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4"/>
          <w:szCs w:val="24"/>
          <w:color w:val="auto"/>
        </w:rPr>
      </w:pPr>
    </w:p>
    <w:p>
      <w:pPr>
        <w:jc w:val="center"/>
        <w:ind w:right="-6"/>
        <w:spacing w:after="0"/>
        <w:rPr>
          <w:sz w:val="20"/>
          <w:szCs w:val="20"/>
          <w:color w:val="auto"/>
        </w:rPr>
      </w:pPr>
      <w:r>
        <w:rPr>
          <w:rFonts w:ascii="Arial" w:cs="Arial" w:eastAsia="Arial" w:hAnsi="Arial"/>
          <w:sz w:val="13"/>
          <w:szCs w:val="13"/>
          <w:b w:val="1"/>
          <w:bCs w:val="1"/>
          <w:color w:val="auto"/>
        </w:rPr>
        <w:t>As filed with the Securities and Exchange Commission on April 29, 2019.</w:t>
      </w:r>
    </w:p>
    <w:p>
      <w:pPr>
        <w:jc w:val="right"/>
        <w:spacing w:after="0"/>
        <w:rPr>
          <w:sz w:val="20"/>
          <w:szCs w:val="20"/>
          <w:color w:val="auto"/>
        </w:rPr>
      </w:pPr>
      <w:r>
        <w:rPr>
          <w:rFonts w:ascii="Arial" w:cs="Arial" w:eastAsia="Arial" w:hAnsi="Arial"/>
          <w:sz w:val="13"/>
          <w:szCs w:val="13"/>
          <w:b w:val="1"/>
          <w:bCs w:val="1"/>
          <w:color w:val="auto"/>
        </w:rPr>
        <w:t>Registration No. 333-230851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607187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71870" cy="26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53340</wp:posOffset>
            </wp:positionV>
            <wp:extent cx="60718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39" w:lineRule="exact"/>
        <w:rPr>
          <w:sz w:val="24"/>
          <w:szCs w:val="24"/>
          <w:color w:val="auto"/>
        </w:rPr>
      </w:pPr>
    </w:p>
    <w:p>
      <w:pPr>
        <w:jc w:val="center"/>
        <w:ind w:right="-6"/>
        <w:spacing w:after="0"/>
        <w:rPr>
          <w:sz w:val="20"/>
          <w:szCs w:val="20"/>
          <w:color w:val="auto"/>
        </w:rPr>
      </w:pPr>
      <w:r>
        <w:rPr>
          <w:rFonts w:ascii="Arial" w:cs="Arial" w:eastAsia="Arial" w:hAnsi="Arial"/>
          <w:sz w:val="20"/>
          <w:szCs w:val="20"/>
          <w:b w:val="1"/>
          <w:bCs w:val="1"/>
          <w:color w:val="auto"/>
        </w:rPr>
        <w:t>UNITED STATES</w:t>
      </w:r>
    </w:p>
    <w:p>
      <w:pPr>
        <w:jc w:val="center"/>
        <w:ind w:right="-6"/>
        <w:spacing w:after="0" w:line="216" w:lineRule="auto"/>
        <w:rPr>
          <w:sz w:val="20"/>
          <w:szCs w:val="20"/>
          <w:color w:val="auto"/>
        </w:rPr>
      </w:pPr>
      <w:r>
        <w:rPr>
          <w:rFonts w:ascii="Arial" w:cs="Arial" w:eastAsia="Arial" w:hAnsi="Arial"/>
          <w:sz w:val="20"/>
          <w:szCs w:val="20"/>
          <w:b w:val="1"/>
          <w:bCs w:val="1"/>
          <w:color w:val="auto"/>
        </w:rPr>
        <w:t>SECURITIES AND EXCHANGE COMMISSION</w:t>
      </w:r>
    </w:p>
    <w:p>
      <w:pPr>
        <w:spacing w:after="0" w:line="1" w:lineRule="exact"/>
        <w:rPr>
          <w:sz w:val="24"/>
          <w:szCs w:val="24"/>
          <w:color w:val="auto"/>
        </w:rPr>
      </w:pPr>
    </w:p>
    <w:p>
      <w:pPr>
        <w:ind w:left="3947"/>
        <w:spacing w:after="0"/>
        <w:rPr>
          <w:sz w:val="20"/>
          <w:szCs w:val="20"/>
          <w:color w:val="auto"/>
        </w:rPr>
      </w:pPr>
      <w:r>
        <w:rPr>
          <w:rFonts w:ascii="Arial" w:cs="Arial" w:eastAsia="Arial" w:hAnsi="Arial"/>
          <w:sz w:val="16"/>
          <w:szCs w:val="16"/>
          <w:b w:val="1"/>
          <w:bCs w:val="1"/>
          <w:color w:val="auto"/>
        </w:rPr>
        <w:t>Washington, D.C. 20549</w:t>
      </w:r>
    </w:p>
    <w:p>
      <w:pPr>
        <w:spacing w:after="0" w:line="10" w:lineRule="exact"/>
        <w:rPr>
          <w:sz w:val="24"/>
          <w:szCs w:val="24"/>
          <w:color w:val="auto"/>
        </w:rPr>
      </w:pPr>
    </w:p>
    <w:p>
      <w:pPr>
        <w:ind w:left="4007"/>
        <w:spacing w:after="0"/>
        <w:rPr>
          <w:sz w:val="20"/>
          <w:szCs w:val="20"/>
          <w:color w:val="auto"/>
        </w:rPr>
      </w:pPr>
      <w:r>
        <w:rPr>
          <w:rFonts w:ascii="Arial" w:cs="Arial" w:eastAsia="Arial" w:hAnsi="Arial"/>
          <w:sz w:val="16"/>
          <w:szCs w:val="16"/>
          <w:b w:val="1"/>
          <w:bCs w:val="1"/>
          <w:color w:val="auto"/>
        </w:rPr>
        <w:t>AMENDMENT NO. 1</w:t>
      </w:r>
    </w:p>
    <w:p>
      <w:pPr>
        <w:jc w:val="center"/>
        <w:ind w:right="-6"/>
        <w:spacing w:after="0"/>
        <w:rPr>
          <w:sz w:val="20"/>
          <w:szCs w:val="20"/>
          <w:color w:val="auto"/>
        </w:rPr>
      </w:pPr>
      <w:r>
        <w:rPr>
          <w:rFonts w:ascii="Arial" w:cs="Arial" w:eastAsia="Arial" w:hAnsi="Arial"/>
          <w:sz w:val="16"/>
          <w:szCs w:val="16"/>
          <w:b w:val="1"/>
          <w:bCs w:val="1"/>
          <w:color w:val="auto"/>
        </w:rPr>
        <w:t>to</w:t>
      </w:r>
    </w:p>
    <w:p>
      <w:pPr>
        <w:spacing w:after="0" w:line="8" w:lineRule="exact"/>
        <w:rPr>
          <w:sz w:val="24"/>
          <w:szCs w:val="24"/>
          <w:color w:val="auto"/>
        </w:rPr>
      </w:pPr>
    </w:p>
    <w:p>
      <w:pPr>
        <w:jc w:val="center"/>
        <w:ind w:right="-6"/>
        <w:spacing w:after="0"/>
        <w:rPr>
          <w:sz w:val="20"/>
          <w:szCs w:val="20"/>
          <w:color w:val="auto"/>
        </w:rPr>
      </w:pPr>
      <w:r>
        <w:rPr>
          <w:rFonts w:ascii="Arial" w:cs="Arial" w:eastAsia="Arial" w:hAnsi="Arial"/>
          <w:sz w:val="22"/>
          <w:szCs w:val="22"/>
          <w:b w:val="1"/>
          <w:bCs w:val="1"/>
          <w:color w:val="auto"/>
        </w:rPr>
        <w:t>FORM S-1</w:t>
      </w:r>
    </w:p>
    <w:p>
      <w:pPr>
        <w:spacing w:after="0" w:line="6" w:lineRule="exact"/>
        <w:rPr>
          <w:sz w:val="24"/>
          <w:szCs w:val="24"/>
          <w:color w:val="auto"/>
        </w:rPr>
      </w:pPr>
    </w:p>
    <w:p>
      <w:pPr>
        <w:jc w:val="center"/>
        <w:ind w:right="-6"/>
        <w:spacing w:after="0"/>
        <w:rPr>
          <w:sz w:val="20"/>
          <w:szCs w:val="20"/>
          <w:color w:val="auto"/>
        </w:rPr>
      </w:pPr>
      <w:r>
        <w:rPr>
          <w:rFonts w:ascii="Arial" w:cs="Arial" w:eastAsia="Arial" w:hAnsi="Arial"/>
          <w:sz w:val="18"/>
          <w:szCs w:val="18"/>
          <w:b w:val="1"/>
          <w:bCs w:val="1"/>
          <w:color w:val="auto"/>
        </w:rPr>
        <w:t>REGISTRATION STATEMENT</w:t>
      </w:r>
    </w:p>
    <w:p>
      <w:pPr>
        <w:jc w:val="center"/>
        <w:ind w:right="-6"/>
        <w:spacing w:after="0" w:line="220" w:lineRule="auto"/>
        <w:rPr>
          <w:sz w:val="20"/>
          <w:szCs w:val="20"/>
          <w:color w:val="auto"/>
        </w:rPr>
      </w:pPr>
      <w:r>
        <w:rPr>
          <w:rFonts w:ascii="Arial" w:cs="Arial" w:eastAsia="Arial" w:hAnsi="Arial"/>
          <w:sz w:val="18"/>
          <w:szCs w:val="18"/>
          <w:b w:val="1"/>
          <w:bCs w:val="1"/>
          <w:i w:val="1"/>
          <w:iCs w:val="1"/>
          <w:color w:val="auto"/>
        </w:rPr>
        <w:t>UNDER</w:t>
      </w:r>
    </w:p>
    <w:p>
      <w:pPr>
        <w:jc w:val="center"/>
        <w:ind w:right="-6"/>
        <w:spacing w:after="0" w:line="201" w:lineRule="auto"/>
        <w:rPr>
          <w:sz w:val="20"/>
          <w:szCs w:val="20"/>
          <w:color w:val="auto"/>
        </w:rPr>
      </w:pPr>
      <w:r>
        <w:rPr>
          <w:rFonts w:ascii="Arial" w:cs="Arial" w:eastAsia="Arial" w:hAnsi="Arial"/>
          <w:sz w:val="18"/>
          <w:szCs w:val="18"/>
          <w:b w:val="1"/>
          <w:bCs w:val="1"/>
          <w:i w:val="1"/>
          <w:iCs w:val="1"/>
          <w:color w:val="auto"/>
        </w:rPr>
        <w:t>THE SECURITIES ACT OF 1933</w:t>
      </w:r>
    </w:p>
    <w:p>
      <w:pPr>
        <w:jc w:val="center"/>
        <w:ind w:right="-6"/>
        <w:spacing w:after="0" w:line="197" w:lineRule="auto"/>
        <w:rPr>
          <w:sz w:val="20"/>
          <w:szCs w:val="20"/>
          <w:color w:val="auto"/>
        </w:rPr>
      </w:pPr>
      <w:r>
        <w:rPr>
          <w:rFonts w:ascii="Arial" w:cs="Arial" w:eastAsia="Arial" w:hAnsi="Arial"/>
          <w:sz w:val="29"/>
          <w:szCs w:val="29"/>
          <w:b w:val="1"/>
          <w:bCs w:val="1"/>
          <w:color w:val="auto"/>
        </w:rPr>
        <w:t>South Plains Financial, Inc.</w:t>
      </w:r>
    </w:p>
    <w:p>
      <w:pPr>
        <w:spacing w:after="0" w:line="1" w:lineRule="exact"/>
        <w:rPr>
          <w:sz w:val="24"/>
          <w:szCs w:val="24"/>
          <w:color w:val="auto"/>
        </w:rPr>
      </w:pPr>
    </w:p>
    <w:p>
      <w:pPr>
        <w:jc w:val="center"/>
        <w:ind w:right="-6"/>
        <w:spacing w:after="0"/>
        <w:rPr>
          <w:sz w:val="20"/>
          <w:szCs w:val="20"/>
          <w:color w:val="auto"/>
        </w:rPr>
      </w:pPr>
      <w:r>
        <w:rPr>
          <w:rFonts w:ascii="Arial" w:cs="Arial" w:eastAsia="Arial" w:hAnsi="Arial"/>
          <w:sz w:val="16"/>
          <w:szCs w:val="16"/>
          <w:color w:val="auto"/>
        </w:rPr>
        <w:t>(Exact name of registrant as specified in its charter)</w:t>
      </w:r>
    </w:p>
    <w:p>
      <w:pPr>
        <w:spacing w:after="0" w:line="68" w:lineRule="exact"/>
        <w:rPr>
          <w:sz w:val="24"/>
          <w:szCs w:val="24"/>
          <w:color w:val="auto"/>
        </w:rPr>
      </w:pPr>
    </w:p>
    <w:tbl>
      <w:tblPr>
        <w:tblLayout w:type="fixed"/>
        <w:tblInd w:w="507" w:type="dxa"/>
        <w:tblCellMar>
          <w:top w:w="0" w:type="dxa"/>
          <w:left w:w="0" w:type="dxa"/>
          <w:bottom w:w="0" w:type="dxa"/>
          <w:right w:w="0" w:type="dxa"/>
        </w:tblCellMar>
      </w:tblPr>
      <w:tr>
        <w:trPr>
          <w:trHeight w:val="210"/>
        </w:trPr>
        <w:tc>
          <w:tcPr>
            <w:tcW w:w="2600" w:type="dxa"/>
            <w:vAlign w:val="bottom"/>
          </w:tcPr>
          <w:p>
            <w:pPr>
              <w:jc w:val="center"/>
              <w:ind w:right="579"/>
              <w:spacing w:after="0"/>
              <w:rPr>
                <w:sz w:val="20"/>
                <w:szCs w:val="20"/>
                <w:color w:val="auto"/>
              </w:rPr>
            </w:pPr>
            <w:r>
              <w:rPr>
                <w:rFonts w:ascii="Arial" w:cs="Arial" w:eastAsia="Arial" w:hAnsi="Arial"/>
                <w:sz w:val="16"/>
                <w:szCs w:val="16"/>
                <w:b w:val="1"/>
                <w:bCs w:val="1"/>
                <w:color w:val="auto"/>
                <w:w w:val="83"/>
              </w:rPr>
              <w:t>Texas</w:t>
            </w:r>
          </w:p>
        </w:tc>
        <w:tc>
          <w:tcPr>
            <w:tcW w:w="3340" w:type="dxa"/>
            <w:vAlign w:val="bottom"/>
          </w:tcPr>
          <w:p>
            <w:pPr>
              <w:jc w:val="center"/>
              <w:ind w:right="99"/>
              <w:spacing w:after="0"/>
              <w:rPr>
                <w:sz w:val="20"/>
                <w:szCs w:val="20"/>
                <w:color w:val="auto"/>
              </w:rPr>
            </w:pPr>
            <w:r>
              <w:rPr>
                <w:rFonts w:ascii="Arial" w:cs="Arial" w:eastAsia="Arial" w:hAnsi="Arial"/>
                <w:sz w:val="16"/>
                <w:szCs w:val="16"/>
                <w:b w:val="1"/>
                <w:bCs w:val="1"/>
                <w:color w:val="auto"/>
                <w:w w:val="89"/>
              </w:rPr>
              <w:t>6022</w:t>
            </w:r>
          </w:p>
        </w:tc>
        <w:tc>
          <w:tcPr>
            <w:tcW w:w="2300" w:type="dxa"/>
            <w:vAlign w:val="bottom"/>
          </w:tcPr>
          <w:p>
            <w:pPr>
              <w:jc w:val="center"/>
              <w:ind w:left="719"/>
              <w:spacing w:after="0"/>
              <w:rPr>
                <w:sz w:val="20"/>
                <w:szCs w:val="20"/>
                <w:color w:val="auto"/>
              </w:rPr>
            </w:pPr>
            <w:r>
              <w:rPr>
                <w:rFonts w:ascii="Arial" w:cs="Arial" w:eastAsia="Arial" w:hAnsi="Arial"/>
                <w:sz w:val="16"/>
                <w:szCs w:val="16"/>
                <w:b w:val="1"/>
                <w:bCs w:val="1"/>
                <w:color w:val="auto"/>
                <w:w w:val="91"/>
              </w:rPr>
              <w:t>75-2453320</w:t>
            </w:r>
          </w:p>
        </w:tc>
      </w:tr>
      <w:tr>
        <w:trPr>
          <w:trHeight w:val="226"/>
        </w:trPr>
        <w:tc>
          <w:tcPr>
            <w:tcW w:w="2600" w:type="dxa"/>
            <w:vAlign w:val="bottom"/>
          </w:tcPr>
          <w:p>
            <w:pPr>
              <w:jc w:val="center"/>
              <w:ind w:right="559"/>
              <w:spacing w:after="0"/>
              <w:rPr>
                <w:sz w:val="20"/>
                <w:szCs w:val="20"/>
                <w:color w:val="auto"/>
              </w:rPr>
            </w:pPr>
            <w:r>
              <w:rPr>
                <w:rFonts w:ascii="Arial" w:cs="Arial" w:eastAsia="Arial" w:hAnsi="Arial"/>
                <w:sz w:val="16"/>
                <w:szCs w:val="16"/>
                <w:color w:val="auto"/>
                <w:w w:val="93"/>
              </w:rPr>
              <w:t>(State or other jurisdiction of</w:t>
            </w:r>
          </w:p>
        </w:tc>
        <w:tc>
          <w:tcPr>
            <w:tcW w:w="3340" w:type="dxa"/>
            <w:vAlign w:val="bottom"/>
          </w:tcPr>
          <w:p>
            <w:pPr>
              <w:jc w:val="center"/>
              <w:ind w:right="79"/>
              <w:spacing w:after="0"/>
              <w:rPr>
                <w:sz w:val="20"/>
                <w:szCs w:val="20"/>
                <w:color w:val="auto"/>
              </w:rPr>
            </w:pPr>
            <w:r>
              <w:rPr>
                <w:rFonts w:ascii="Arial" w:cs="Arial" w:eastAsia="Arial" w:hAnsi="Arial"/>
                <w:sz w:val="16"/>
                <w:szCs w:val="16"/>
                <w:color w:val="auto"/>
                <w:w w:val="93"/>
              </w:rPr>
              <w:t>(Primary Standard Industrial</w:t>
            </w:r>
          </w:p>
        </w:tc>
        <w:tc>
          <w:tcPr>
            <w:tcW w:w="2300" w:type="dxa"/>
            <w:vAlign w:val="bottom"/>
          </w:tcPr>
          <w:p>
            <w:pPr>
              <w:jc w:val="center"/>
              <w:ind w:left="719"/>
              <w:spacing w:after="0"/>
              <w:rPr>
                <w:sz w:val="20"/>
                <w:szCs w:val="20"/>
                <w:color w:val="auto"/>
              </w:rPr>
            </w:pPr>
            <w:r>
              <w:rPr>
                <w:rFonts w:ascii="Arial" w:cs="Arial" w:eastAsia="Arial" w:hAnsi="Arial"/>
                <w:sz w:val="16"/>
                <w:szCs w:val="16"/>
                <w:color w:val="auto"/>
                <w:w w:val="93"/>
              </w:rPr>
              <w:t>(I.R.S. Employer</w:t>
            </w:r>
          </w:p>
        </w:tc>
      </w:tr>
      <w:tr>
        <w:trPr>
          <w:trHeight w:val="206"/>
        </w:trPr>
        <w:tc>
          <w:tcPr>
            <w:tcW w:w="2600" w:type="dxa"/>
            <w:vAlign w:val="bottom"/>
          </w:tcPr>
          <w:p>
            <w:pPr>
              <w:jc w:val="center"/>
              <w:ind w:right="579"/>
              <w:spacing w:after="0"/>
              <w:rPr>
                <w:sz w:val="20"/>
                <w:szCs w:val="20"/>
                <w:color w:val="auto"/>
              </w:rPr>
            </w:pPr>
            <w:r>
              <w:rPr>
                <w:rFonts w:ascii="Arial" w:cs="Arial" w:eastAsia="Arial" w:hAnsi="Arial"/>
                <w:sz w:val="16"/>
                <w:szCs w:val="16"/>
                <w:color w:val="auto"/>
                <w:w w:val="93"/>
              </w:rPr>
              <w:t>incorporation or organization)</w:t>
            </w:r>
          </w:p>
        </w:tc>
        <w:tc>
          <w:tcPr>
            <w:tcW w:w="3340" w:type="dxa"/>
            <w:vAlign w:val="bottom"/>
          </w:tcPr>
          <w:p>
            <w:pPr>
              <w:jc w:val="center"/>
              <w:ind w:right="79"/>
              <w:spacing w:after="0"/>
              <w:rPr>
                <w:sz w:val="20"/>
                <w:szCs w:val="20"/>
                <w:color w:val="auto"/>
              </w:rPr>
            </w:pPr>
            <w:r>
              <w:rPr>
                <w:rFonts w:ascii="Arial" w:cs="Arial" w:eastAsia="Arial" w:hAnsi="Arial"/>
                <w:sz w:val="16"/>
                <w:szCs w:val="16"/>
                <w:color w:val="auto"/>
                <w:w w:val="93"/>
              </w:rPr>
              <w:t>Classification Code Number)</w:t>
            </w:r>
          </w:p>
        </w:tc>
        <w:tc>
          <w:tcPr>
            <w:tcW w:w="2300" w:type="dxa"/>
            <w:vAlign w:val="bottom"/>
          </w:tcPr>
          <w:p>
            <w:pPr>
              <w:jc w:val="center"/>
              <w:ind w:left="719"/>
              <w:spacing w:after="0"/>
              <w:rPr>
                <w:sz w:val="20"/>
                <w:szCs w:val="20"/>
                <w:color w:val="auto"/>
              </w:rPr>
            </w:pPr>
            <w:r>
              <w:rPr>
                <w:rFonts w:ascii="Arial" w:cs="Arial" w:eastAsia="Arial" w:hAnsi="Arial"/>
                <w:sz w:val="16"/>
                <w:szCs w:val="16"/>
                <w:color w:val="auto"/>
                <w:w w:val="95"/>
              </w:rPr>
              <w:t>Identification Number)</w:t>
            </w:r>
          </w:p>
        </w:tc>
      </w:tr>
    </w:tbl>
    <w:p>
      <w:pPr>
        <w:spacing w:after="0" w:line="37" w:lineRule="exact"/>
        <w:rPr>
          <w:sz w:val="24"/>
          <w:szCs w:val="24"/>
          <w:color w:val="auto"/>
        </w:rPr>
      </w:pPr>
    </w:p>
    <w:p>
      <w:pPr>
        <w:ind w:left="1027"/>
        <w:spacing w:after="0"/>
        <w:rPr>
          <w:sz w:val="20"/>
          <w:szCs w:val="20"/>
          <w:color w:val="auto"/>
        </w:rPr>
      </w:pPr>
      <w:r>
        <w:rPr>
          <w:rFonts w:ascii="Arial" w:cs="Arial" w:eastAsia="Arial" w:hAnsi="Arial"/>
          <w:sz w:val="16"/>
          <w:szCs w:val="16"/>
          <w:color w:val="auto"/>
        </w:rPr>
        <w:t>(Address, including zip code, and telephone number, including area code, of registrant’s principal executive offices)</w:t>
      </w:r>
    </w:p>
    <w:p>
      <w:pPr>
        <w:spacing w:after="0" w:line="38" w:lineRule="exact"/>
        <w:rPr>
          <w:sz w:val="24"/>
          <w:szCs w:val="24"/>
          <w:color w:val="auto"/>
        </w:rPr>
      </w:pPr>
    </w:p>
    <w:p>
      <w:pPr>
        <w:ind w:left="4167"/>
        <w:spacing w:after="0"/>
        <w:rPr>
          <w:sz w:val="20"/>
          <w:szCs w:val="20"/>
          <w:color w:val="auto"/>
        </w:rPr>
      </w:pPr>
      <w:r>
        <w:rPr>
          <w:rFonts w:ascii="Arial" w:cs="Arial" w:eastAsia="Arial" w:hAnsi="Arial"/>
          <w:sz w:val="16"/>
          <w:szCs w:val="16"/>
          <w:b w:val="1"/>
          <w:bCs w:val="1"/>
          <w:color w:val="auto"/>
        </w:rPr>
        <w:t>Curtis C. Griffith</w:t>
      </w:r>
    </w:p>
    <w:p>
      <w:pPr>
        <w:jc w:val="center"/>
        <w:ind w:right="-6"/>
        <w:spacing w:after="0" w:line="211" w:lineRule="auto"/>
        <w:rPr>
          <w:sz w:val="20"/>
          <w:szCs w:val="20"/>
          <w:color w:val="auto"/>
        </w:rPr>
      </w:pPr>
      <w:r>
        <w:rPr>
          <w:rFonts w:ascii="Arial" w:cs="Arial" w:eastAsia="Arial" w:hAnsi="Arial"/>
          <w:sz w:val="16"/>
          <w:szCs w:val="16"/>
          <w:b w:val="1"/>
          <w:bCs w:val="1"/>
          <w:color w:val="auto"/>
        </w:rPr>
        <w:t>Chairman and Chief Executive Officer</w:t>
      </w:r>
    </w:p>
    <w:p>
      <w:pPr>
        <w:jc w:val="center"/>
        <w:ind w:right="-6"/>
        <w:spacing w:after="0" w:line="211" w:lineRule="auto"/>
        <w:rPr>
          <w:sz w:val="20"/>
          <w:szCs w:val="20"/>
          <w:color w:val="auto"/>
        </w:rPr>
      </w:pPr>
      <w:r>
        <w:rPr>
          <w:rFonts w:ascii="Arial" w:cs="Arial" w:eastAsia="Arial" w:hAnsi="Arial"/>
          <w:sz w:val="16"/>
          <w:szCs w:val="16"/>
          <w:b w:val="1"/>
          <w:bCs w:val="1"/>
          <w:color w:val="auto"/>
        </w:rPr>
        <w:t>5219 City Bank Parkway</w:t>
      </w:r>
    </w:p>
    <w:p>
      <w:pPr>
        <w:jc w:val="center"/>
        <w:ind w:right="-6"/>
        <w:spacing w:after="0" w:line="212" w:lineRule="auto"/>
        <w:rPr>
          <w:sz w:val="20"/>
          <w:szCs w:val="20"/>
          <w:color w:val="auto"/>
        </w:rPr>
      </w:pPr>
      <w:r>
        <w:rPr>
          <w:rFonts w:ascii="Arial" w:cs="Arial" w:eastAsia="Arial" w:hAnsi="Arial"/>
          <w:sz w:val="16"/>
          <w:szCs w:val="16"/>
          <w:b w:val="1"/>
          <w:bCs w:val="1"/>
          <w:color w:val="auto"/>
        </w:rPr>
        <w:t>Lubbock, Texas 79407</w:t>
      </w:r>
    </w:p>
    <w:p>
      <w:pPr>
        <w:jc w:val="center"/>
        <w:ind w:right="-6"/>
        <w:spacing w:after="0" w:line="211" w:lineRule="auto"/>
        <w:rPr>
          <w:sz w:val="20"/>
          <w:szCs w:val="20"/>
          <w:color w:val="auto"/>
        </w:rPr>
      </w:pPr>
      <w:r>
        <w:rPr>
          <w:rFonts w:ascii="Arial" w:cs="Arial" w:eastAsia="Arial" w:hAnsi="Arial"/>
          <w:sz w:val="16"/>
          <w:szCs w:val="16"/>
          <w:b w:val="1"/>
          <w:bCs w:val="1"/>
          <w:color w:val="auto"/>
        </w:rPr>
        <w:t>(806) 792-7101</w:t>
      </w:r>
    </w:p>
    <w:p>
      <w:pPr>
        <w:jc w:val="center"/>
        <w:ind w:right="-6"/>
        <w:spacing w:after="0"/>
        <w:rPr>
          <w:sz w:val="20"/>
          <w:szCs w:val="20"/>
          <w:color w:val="auto"/>
        </w:rPr>
      </w:pPr>
      <w:r>
        <w:rPr>
          <w:rFonts w:ascii="Arial" w:cs="Arial" w:eastAsia="Arial" w:hAnsi="Arial"/>
          <w:sz w:val="16"/>
          <w:szCs w:val="16"/>
          <w:color w:val="auto"/>
        </w:rPr>
        <w:t>(Name, address, including zip code, and telephone number, including area code, of agent for service)</w:t>
      </w:r>
    </w:p>
    <w:p>
      <w:pPr>
        <w:spacing w:after="0" w:line="18" w:lineRule="exact"/>
        <w:rPr>
          <w:sz w:val="24"/>
          <w:szCs w:val="24"/>
          <w:color w:val="auto"/>
        </w:rPr>
      </w:pPr>
    </w:p>
    <w:p>
      <w:pPr>
        <w:jc w:val="center"/>
        <w:ind w:right="-6"/>
        <w:spacing w:after="0"/>
        <w:rPr>
          <w:sz w:val="20"/>
          <w:szCs w:val="20"/>
          <w:color w:val="auto"/>
        </w:rPr>
      </w:pPr>
      <w:r>
        <w:rPr>
          <w:rFonts w:ascii="Arial" w:cs="Arial" w:eastAsia="Arial" w:hAnsi="Arial"/>
          <w:sz w:val="16"/>
          <w:szCs w:val="16"/>
          <w:i w:val="1"/>
          <w:iCs w:val="1"/>
          <w:color w:val="auto"/>
        </w:rPr>
        <w:t>Copies to:</w:t>
      </w:r>
    </w:p>
    <w:p>
      <w:pPr>
        <w:spacing w:after="0" w:line="82" w:lineRule="exact"/>
        <w:rPr>
          <w:sz w:val="24"/>
          <w:szCs w:val="24"/>
          <w:color w:val="auto"/>
        </w:rPr>
      </w:pPr>
    </w:p>
    <w:tbl>
      <w:tblPr>
        <w:tblLayout w:type="fixed"/>
        <w:tblInd w:w="1267" w:type="dxa"/>
        <w:tblCellMar>
          <w:top w:w="0" w:type="dxa"/>
          <w:left w:w="0" w:type="dxa"/>
          <w:bottom w:w="0" w:type="dxa"/>
          <w:right w:w="0" w:type="dxa"/>
        </w:tblCellMar>
      </w:tblPr>
      <w:tr>
        <w:trPr>
          <w:trHeight w:val="203"/>
        </w:trPr>
        <w:tc>
          <w:tcPr>
            <w:tcW w:w="3300" w:type="dxa"/>
            <w:vAlign w:val="bottom"/>
          </w:tcPr>
          <w:p>
            <w:pPr>
              <w:jc w:val="center"/>
              <w:ind w:right="1159"/>
              <w:spacing w:after="0"/>
              <w:rPr>
                <w:sz w:val="20"/>
                <w:szCs w:val="20"/>
                <w:color w:val="auto"/>
              </w:rPr>
            </w:pPr>
            <w:r>
              <w:rPr>
                <w:rFonts w:ascii="Arial" w:cs="Arial" w:eastAsia="Arial" w:hAnsi="Arial"/>
                <w:sz w:val="16"/>
                <w:szCs w:val="16"/>
                <w:b w:val="1"/>
                <w:bCs w:val="1"/>
                <w:color w:val="auto"/>
                <w:w w:val="91"/>
              </w:rPr>
              <w:t>Peter G. Weinstock</w:t>
            </w:r>
          </w:p>
        </w:tc>
        <w:tc>
          <w:tcPr>
            <w:tcW w:w="3960" w:type="dxa"/>
            <w:vAlign w:val="bottom"/>
          </w:tcPr>
          <w:p>
            <w:pPr>
              <w:jc w:val="center"/>
              <w:ind w:left="1179"/>
              <w:spacing w:after="0"/>
              <w:rPr>
                <w:sz w:val="20"/>
                <w:szCs w:val="20"/>
                <w:color w:val="auto"/>
              </w:rPr>
            </w:pPr>
            <w:r>
              <w:rPr>
                <w:rFonts w:ascii="Arial" w:cs="Arial" w:eastAsia="Arial" w:hAnsi="Arial"/>
                <w:sz w:val="16"/>
                <w:szCs w:val="16"/>
                <w:b w:val="1"/>
                <w:bCs w:val="1"/>
                <w:color w:val="auto"/>
                <w:w w:val="92"/>
              </w:rPr>
              <w:t>Chet A. Fenimore</w:t>
            </w:r>
          </w:p>
        </w:tc>
      </w:tr>
      <w:tr>
        <w:trPr>
          <w:trHeight w:val="203"/>
        </w:trPr>
        <w:tc>
          <w:tcPr>
            <w:tcW w:w="3300" w:type="dxa"/>
            <w:vAlign w:val="bottom"/>
          </w:tcPr>
          <w:p>
            <w:pPr>
              <w:jc w:val="center"/>
              <w:ind w:right="1179"/>
              <w:spacing w:after="0"/>
              <w:rPr>
                <w:sz w:val="20"/>
                <w:szCs w:val="20"/>
                <w:color w:val="auto"/>
              </w:rPr>
            </w:pPr>
            <w:r>
              <w:rPr>
                <w:rFonts w:ascii="Arial" w:cs="Arial" w:eastAsia="Arial" w:hAnsi="Arial"/>
                <w:sz w:val="16"/>
                <w:szCs w:val="16"/>
                <w:b w:val="1"/>
                <w:bCs w:val="1"/>
                <w:color w:val="auto"/>
                <w:w w:val="93"/>
              </w:rPr>
              <w:t>Heather A. Eastep</w:t>
            </w:r>
          </w:p>
        </w:tc>
        <w:tc>
          <w:tcPr>
            <w:tcW w:w="3960" w:type="dxa"/>
            <w:vAlign w:val="bottom"/>
          </w:tcPr>
          <w:p>
            <w:pPr>
              <w:jc w:val="center"/>
              <w:ind w:left="1179"/>
              <w:spacing w:after="0"/>
              <w:rPr>
                <w:sz w:val="20"/>
                <w:szCs w:val="20"/>
                <w:color w:val="auto"/>
              </w:rPr>
            </w:pPr>
            <w:r>
              <w:rPr>
                <w:rFonts w:ascii="Arial" w:cs="Arial" w:eastAsia="Arial" w:hAnsi="Arial"/>
                <w:sz w:val="16"/>
                <w:szCs w:val="16"/>
                <w:b w:val="1"/>
                <w:bCs w:val="1"/>
                <w:color w:val="auto"/>
                <w:w w:val="94"/>
              </w:rPr>
              <w:t>Derek W. McGee</w:t>
            </w:r>
          </w:p>
        </w:tc>
      </w:tr>
      <w:tr>
        <w:trPr>
          <w:trHeight w:val="203"/>
        </w:trPr>
        <w:tc>
          <w:tcPr>
            <w:tcW w:w="3300" w:type="dxa"/>
            <w:vAlign w:val="bottom"/>
          </w:tcPr>
          <w:p>
            <w:pPr>
              <w:jc w:val="center"/>
              <w:ind w:right="1159"/>
              <w:spacing w:after="0"/>
              <w:rPr>
                <w:sz w:val="20"/>
                <w:szCs w:val="20"/>
                <w:color w:val="auto"/>
              </w:rPr>
            </w:pPr>
            <w:r>
              <w:rPr>
                <w:rFonts w:ascii="Arial" w:cs="Arial" w:eastAsia="Arial" w:hAnsi="Arial"/>
                <w:sz w:val="16"/>
                <w:szCs w:val="16"/>
                <w:b w:val="1"/>
                <w:bCs w:val="1"/>
                <w:color w:val="auto"/>
                <w:w w:val="96"/>
              </w:rPr>
              <w:t>Hunton Andrews Kurth LLP</w:t>
            </w:r>
          </w:p>
        </w:tc>
        <w:tc>
          <w:tcPr>
            <w:tcW w:w="3960" w:type="dxa"/>
            <w:vAlign w:val="bottom"/>
          </w:tcPr>
          <w:p>
            <w:pPr>
              <w:jc w:val="center"/>
              <w:ind w:left="1179"/>
              <w:spacing w:after="0"/>
              <w:rPr>
                <w:sz w:val="20"/>
                <w:szCs w:val="20"/>
                <w:color w:val="auto"/>
              </w:rPr>
            </w:pPr>
            <w:r>
              <w:rPr>
                <w:rFonts w:ascii="Arial" w:cs="Arial" w:eastAsia="Arial" w:hAnsi="Arial"/>
                <w:sz w:val="16"/>
                <w:szCs w:val="16"/>
                <w:b w:val="1"/>
                <w:bCs w:val="1"/>
                <w:color w:val="auto"/>
                <w:w w:val="96"/>
              </w:rPr>
              <w:t>Fenimore, Kay, Harrison &amp; Ford, LLP</w:t>
            </w:r>
          </w:p>
        </w:tc>
      </w:tr>
      <w:tr>
        <w:trPr>
          <w:trHeight w:val="203"/>
        </w:trPr>
        <w:tc>
          <w:tcPr>
            <w:tcW w:w="3300" w:type="dxa"/>
            <w:vAlign w:val="bottom"/>
          </w:tcPr>
          <w:p>
            <w:pPr>
              <w:jc w:val="center"/>
              <w:ind w:right="1179"/>
              <w:spacing w:after="0"/>
              <w:rPr>
                <w:sz w:val="20"/>
                <w:szCs w:val="20"/>
                <w:color w:val="auto"/>
              </w:rPr>
            </w:pPr>
            <w:r>
              <w:rPr>
                <w:rFonts w:ascii="Arial" w:cs="Arial" w:eastAsia="Arial" w:hAnsi="Arial"/>
                <w:sz w:val="16"/>
                <w:szCs w:val="16"/>
                <w:b w:val="1"/>
                <w:bCs w:val="1"/>
                <w:color w:val="auto"/>
                <w:w w:val="88"/>
              </w:rPr>
              <w:t>1445 Ross Avenue, Suite 3700</w:t>
            </w:r>
          </w:p>
        </w:tc>
        <w:tc>
          <w:tcPr>
            <w:tcW w:w="3960" w:type="dxa"/>
            <w:vAlign w:val="bottom"/>
          </w:tcPr>
          <w:p>
            <w:pPr>
              <w:jc w:val="center"/>
              <w:ind w:left="1179"/>
              <w:spacing w:after="0"/>
              <w:rPr>
                <w:sz w:val="20"/>
                <w:szCs w:val="20"/>
                <w:color w:val="auto"/>
              </w:rPr>
            </w:pPr>
            <w:r>
              <w:rPr>
                <w:rFonts w:ascii="Arial" w:cs="Arial" w:eastAsia="Arial" w:hAnsi="Arial"/>
                <w:sz w:val="16"/>
                <w:szCs w:val="16"/>
                <w:b w:val="1"/>
                <w:bCs w:val="1"/>
                <w:color w:val="auto"/>
                <w:w w:val="90"/>
              </w:rPr>
              <w:t>812 San Antonio Street, Suite 600</w:t>
            </w:r>
          </w:p>
        </w:tc>
      </w:tr>
      <w:tr>
        <w:trPr>
          <w:trHeight w:val="203"/>
        </w:trPr>
        <w:tc>
          <w:tcPr>
            <w:tcW w:w="3300" w:type="dxa"/>
            <w:vAlign w:val="bottom"/>
          </w:tcPr>
          <w:p>
            <w:pPr>
              <w:jc w:val="center"/>
              <w:ind w:right="1179"/>
              <w:spacing w:after="0"/>
              <w:rPr>
                <w:sz w:val="20"/>
                <w:szCs w:val="20"/>
                <w:color w:val="auto"/>
              </w:rPr>
            </w:pPr>
            <w:r>
              <w:rPr>
                <w:rFonts w:ascii="Arial" w:cs="Arial" w:eastAsia="Arial" w:hAnsi="Arial"/>
                <w:sz w:val="16"/>
                <w:szCs w:val="16"/>
                <w:b w:val="1"/>
                <w:bCs w:val="1"/>
                <w:color w:val="auto"/>
                <w:w w:val="90"/>
              </w:rPr>
              <w:t>Dallas, Texas 75202</w:t>
            </w:r>
          </w:p>
        </w:tc>
        <w:tc>
          <w:tcPr>
            <w:tcW w:w="3960" w:type="dxa"/>
            <w:vAlign w:val="bottom"/>
          </w:tcPr>
          <w:p>
            <w:pPr>
              <w:jc w:val="center"/>
              <w:ind w:left="1179"/>
              <w:spacing w:after="0"/>
              <w:rPr>
                <w:sz w:val="20"/>
                <w:szCs w:val="20"/>
                <w:color w:val="auto"/>
              </w:rPr>
            </w:pPr>
            <w:r>
              <w:rPr>
                <w:rFonts w:ascii="Arial" w:cs="Arial" w:eastAsia="Arial" w:hAnsi="Arial"/>
                <w:sz w:val="16"/>
                <w:szCs w:val="16"/>
                <w:b w:val="1"/>
                <w:bCs w:val="1"/>
                <w:color w:val="auto"/>
                <w:w w:val="90"/>
              </w:rPr>
              <w:t>Austin, Texas 78701</w:t>
            </w:r>
          </w:p>
        </w:tc>
      </w:tr>
      <w:tr>
        <w:trPr>
          <w:trHeight w:val="203"/>
        </w:trPr>
        <w:tc>
          <w:tcPr>
            <w:tcW w:w="3300" w:type="dxa"/>
            <w:vAlign w:val="bottom"/>
          </w:tcPr>
          <w:p>
            <w:pPr>
              <w:jc w:val="center"/>
              <w:ind w:right="1179"/>
              <w:spacing w:after="0"/>
              <w:rPr>
                <w:sz w:val="20"/>
                <w:szCs w:val="20"/>
                <w:color w:val="auto"/>
              </w:rPr>
            </w:pPr>
            <w:r>
              <w:rPr>
                <w:rFonts w:ascii="Arial" w:cs="Arial" w:eastAsia="Arial" w:hAnsi="Arial"/>
                <w:sz w:val="16"/>
                <w:szCs w:val="16"/>
                <w:b w:val="1"/>
                <w:bCs w:val="1"/>
                <w:color w:val="auto"/>
                <w:w w:val="91"/>
              </w:rPr>
              <w:t>(214) 979-3000</w:t>
            </w:r>
          </w:p>
        </w:tc>
        <w:tc>
          <w:tcPr>
            <w:tcW w:w="3960" w:type="dxa"/>
            <w:vAlign w:val="bottom"/>
          </w:tcPr>
          <w:p>
            <w:pPr>
              <w:jc w:val="center"/>
              <w:ind w:left="1179"/>
              <w:spacing w:after="0"/>
              <w:rPr>
                <w:sz w:val="20"/>
                <w:szCs w:val="20"/>
                <w:color w:val="auto"/>
              </w:rPr>
            </w:pPr>
            <w:r>
              <w:rPr>
                <w:rFonts w:ascii="Arial" w:cs="Arial" w:eastAsia="Arial" w:hAnsi="Arial"/>
                <w:sz w:val="16"/>
                <w:szCs w:val="16"/>
                <w:b w:val="1"/>
                <w:bCs w:val="1"/>
                <w:color w:val="auto"/>
                <w:w w:val="93"/>
              </w:rPr>
              <w:t>(512) 583-5900</w:t>
            </w:r>
          </w:p>
        </w:tc>
      </w:tr>
      <w:tr>
        <w:trPr>
          <w:trHeight w:val="210"/>
        </w:trPr>
        <w:tc>
          <w:tcPr>
            <w:tcW w:w="3300" w:type="dxa"/>
            <w:vAlign w:val="bottom"/>
          </w:tcPr>
          <w:p>
            <w:pPr>
              <w:jc w:val="center"/>
              <w:ind w:right="1179"/>
              <w:spacing w:after="0"/>
              <w:rPr>
                <w:sz w:val="20"/>
                <w:szCs w:val="20"/>
                <w:color w:val="auto"/>
              </w:rPr>
            </w:pPr>
            <w:r>
              <w:rPr>
                <w:rFonts w:ascii="Arial" w:cs="Arial" w:eastAsia="Arial" w:hAnsi="Arial"/>
                <w:sz w:val="16"/>
                <w:szCs w:val="16"/>
                <w:b w:val="1"/>
                <w:bCs w:val="1"/>
                <w:color w:val="auto"/>
                <w:w w:val="91"/>
              </w:rPr>
              <w:t>(214) 880-0011 (facsimile)</w:t>
            </w:r>
          </w:p>
        </w:tc>
        <w:tc>
          <w:tcPr>
            <w:tcW w:w="3960" w:type="dxa"/>
            <w:vAlign w:val="bottom"/>
          </w:tcPr>
          <w:p>
            <w:pPr>
              <w:jc w:val="center"/>
              <w:ind w:left="1179"/>
              <w:spacing w:after="0"/>
              <w:rPr>
                <w:sz w:val="20"/>
                <w:szCs w:val="20"/>
                <w:color w:val="auto"/>
              </w:rPr>
            </w:pPr>
            <w:r>
              <w:rPr>
                <w:rFonts w:ascii="Arial" w:cs="Arial" w:eastAsia="Arial" w:hAnsi="Arial"/>
                <w:sz w:val="16"/>
                <w:szCs w:val="16"/>
                <w:b w:val="1"/>
                <w:bCs w:val="1"/>
                <w:color w:val="auto"/>
                <w:w w:val="92"/>
              </w:rPr>
              <w:t>(512) 583-5940 (facsimile)</w:t>
            </w:r>
          </w:p>
        </w:tc>
      </w:tr>
    </w:tbl>
    <w:p>
      <w:pPr>
        <w:spacing w:after="0" w:line="56" w:lineRule="exact"/>
        <w:rPr>
          <w:sz w:val="24"/>
          <w:szCs w:val="24"/>
          <w:color w:val="auto"/>
        </w:rPr>
      </w:pPr>
    </w:p>
    <w:p>
      <w:pPr>
        <w:jc w:val="center"/>
        <w:ind w:right="-6"/>
        <w:spacing w:after="0"/>
        <w:rPr>
          <w:sz w:val="20"/>
          <w:szCs w:val="20"/>
          <w:color w:val="auto"/>
        </w:rPr>
      </w:pPr>
      <w:r>
        <w:rPr>
          <w:rFonts w:ascii="Arial" w:cs="Arial" w:eastAsia="Arial" w:hAnsi="Arial"/>
          <w:sz w:val="16"/>
          <w:szCs w:val="16"/>
          <w:b w:val="1"/>
          <w:bCs w:val="1"/>
          <w:color w:val="auto"/>
        </w:rPr>
        <w:t>Approximate date of commencement of proposed sale to the public:</w:t>
      </w:r>
    </w:p>
    <w:p>
      <w:pPr>
        <w:jc w:val="center"/>
        <w:ind w:right="-6"/>
        <w:spacing w:after="0"/>
        <w:rPr>
          <w:sz w:val="20"/>
          <w:szCs w:val="20"/>
          <w:color w:val="auto"/>
        </w:rPr>
      </w:pPr>
      <w:r>
        <w:rPr>
          <w:rFonts w:ascii="Arial" w:cs="Arial" w:eastAsia="Arial" w:hAnsi="Arial"/>
          <w:sz w:val="16"/>
          <w:szCs w:val="16"/>
          <w:b w:val="1"/>
          <w:bCs w:val="1"/>
          <w:color w:val="auto"/>
        </w:rPr>
        <w:t>As soon as practicable after the effective date of this registration statement.</w:t>
      </w:r>
    </w:p>
    <w:p>
      <w:pPr>
        <w:spacing w:after="0" w:line="32" w:lineRule="exact"/>
        <w:rPr>
          <w:sz w:val="24"/>
          <w:szCs w:val="24"/>
          <w:color w:val="auto"/>
        </w:rPr>
      </w:pPr>
    </w:p>
    <w:p>
      <w:pPr>
        <w:ind w:left="7" w:right="500" w:firstLine="360"/>
        <w:spacing w:after="0"/>
        <w:rPr>
          <w:sz w:val="20"/>
          <w:szCs w:val="20"/>
          <w:color w:val="auto"/>
        </w:rPr>
      </w:pPr>
      <w:r>
        <w:rPr>
          <w:rFonts w:ascii="Arial" w:cs="Arial" w:eastAsia="Arial" w:hAnsi="Arial"/>
          <w:sz w:val="16"/>
          <w:szCs w:val="16"/>
          <w:color w:val="auto"/>
        </w:rPr>
        <w:t>If any of the securities being registered on this Form are to be offered on a delayed or continuous basis pursuant to Rule 415 under the Securities Act of 1933, check the following box. o</w:t>
      </w:r>
    </w:p>
    <w:p>
      <w:pPr>
        <w:spacing w:after="0" w:line="91" w:lineRule="exact"/>
        <w:rPr>
          <w:sz w:val="24"/>
          <w:szCs w:val="24"/>
          <w:color w:val="auto"/>
        </w:rPr>
      </w:pPr>
    </w:p>
    <w:p>
      <w:pPr>
        <w:ind w:left="7" w:right="100" w:firstLine="360"/>
        <w:spacing w:after="0" w:line="272" w:lineRule="auto"/>
        <w:rPr>
          <w:sz w:val="20"/>
          <w:szCs w:val="20"/>
          <w:color w:val="auto"/>
        </w:rPr>
      </w:pPr>
      <w:r>
        <w:rPr>
          <w:rFonts w:ascii="Arial" w:cs="Arial" w:eastAsia="Arial" w:hAnsi="Arial"/>
          <w:sz w:val="15"/>
          <w:szCs w:val="15"/>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55" w:lineRule="exact"/>
        <w:rPr>
          <w:sz w:val="24"/>
          <w:szCs w:val="24"/>
          <w:color w:val="auto"/>
        </w:rPr>
      </w:pPr>
    </w:p>
    <w:p>
      <w:pPr>
        <w:ind w:left="7" w:right="520" w:firstLine="360"/>
        <w:spacing w:after="0"/>
        <w:rPr>
          <w:sz w:val="20"/>
          <w:szCs w:val="20"/>
          <w:color w:val="auto"/>
        </w:rPr>
      </w:pPr>
      <w:r>
        <w:rPr>
          <w:rFonts w:ascii="Arial" w:cs="Arial" w:eastAsia="Arial" w:hAnsi="Arial"/>
          <w:sz w:val="16"/>
          <w:szCs w:val="16"/>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78" w:lineRule="exact"/>
        <w:rPr>
          <w:sz w:val="24"/>
          <w:szCs w:val="24"/>
          <w:color w:val="auto"/>
        </w:rPr>
      </w:pPr>
    </w:p>
    <w:p>
      <w:pPr>
        <w:ind w:left="7" w:right="520" w:firstLine="360"/>
        <w:spacing w:after="0"/>
        <w:rPr>
          <w:sz w:val="20"/>
          <w:szCs w:val="20"/>
          <w:color w:val="auto"/>
        </w:rPr>
      </w:pPr>
      <w:r>
        <w:rPr>
          <w:rFonts w:ascii="Arial" w:cs="Arial" w:eastAsia="Arial" w:hAnsi="Arial"/>
          <w:sz w:val="16"/>
          <w:szCs w:val="16"/>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91" w:lineRule="exact"/>
        <w:rPr>
          <w:sz w:val="24"/>
          <w:szCs w:val="24"/>
          <w:color w:val="auto"/>
        </w:rPr>
      </w:pPr>
    </w:p>
    <w:p>
      <w:pPr>
        <w:ind w:left="7" w:right="280" w:firstLine="360"/>
        <w:spacing w:after="0" w:line="23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 w:lineRule="exact"/>
        <w:rPr>
          <w:sz w:val="24"/>
          <w:szCs w:val="24"/>
          <w:color w:val="auto"/>
        </w:rPr>
      </w:pPr>
    </w:p>
    <w:p>
      <w:pPr>
        <w:ind w:left="2347" w:right="240" w:hanging="4071"/>
        <w:spacing w:after="0" w:line="233" w:lineRule="exact"/>
        <w:tabs>
          <w:tab w:leader="none" w:pos="2326" w:val="left"/>
        </w:tabs>
        <w:rPr>
          <w:sz w:val="20"/>
          <w:szCs w:val="20"/>
          <w:color w:val="auto"/>
        </w:rPr>
      </w:pPr>
      <w:r>
        <w:rPr>
          <w:rFonts w:ascii="Arial" w:cs="Arial" w:eastAsia="Arial" w:hAnsi="Arial"/>
          <w:sz w:val="16"/>
          <w:szCs w:val="16"/>
          <w:color w:val="auto"/>
        </w:rPr>
        <w:t>Large accelerated filer o</w:t>
      </w:r>
      <w:r>
        <w:rPr>
          <w:sz w:val="20"/>
          <w:szCs w:val="20"/>
          <w:color w:val="auto"/>
        </w:rPr>
        <w:tab/>
      </w:r>
      <w:r>
        <w:rPr>
          <w:rFonts w:ascii="Arial" w:cs="Arial" w:eastAsia="Arial" w:hAnsi="Arial"/>
          <w:sz w:val="16"/>
          <w:szCs w:val="16"/>
          <w:color w:val="auto"/>
        </w:rPr>
        <w:t xml:space="preserve">Accelerated filer o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o (Do not check if a smaller reporting company)</w:t>
      </w:r>
    </w:p>
    <w:p>
      <w:pPr>
        <w:spacing w:after="0" w:line="1" w:lineRule="exact"/>
        <w:rPr>
          <w:sz w:val="24"/>
          <w:szCs w:val="24"/>
          <w:color w:val="auto"/>
        </w:rPr>
      </w:pPr>
    </w:p>
    <w:p>
      <w:pPr>
        <w:ind w:left="7"/>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09" w:lineRule="exact"/>
        <w:rPr>
          <w:sz w:val="24"/>
          <w:szCs w:val="24"/>
          <w:color w:val="auto"/>
        </w:rPr>
      </w:pPr>
    </w:p>
    <w:p>
      <w:pPr>
        <w:ind w:left="7" w:right="160" w:firstLine="360"/>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7(a)(2)(B) of the Securities Act. o</w:t>
      </w:r>
    </w:p>
    <w:p>
      <w:pPr>
        <w:spacing w:after="0" w:line="87" w:lineRule="exact"/>
        <w:rPr>
          <w:sz w:val="24"/>
          <w:szCs w:val="24"/>
          <w:color w:val="auto"/>
        </w:rPr>
      </w:pPr>
    </w:p>
    <w:p>
      <w:pPr>
        <w:jc w:val="center"/>
        <w:ind w:right="-6"/>
        <w:spacing w:after="0"/>
        <w:rPr>
          <w:sz w:val="20"/>
          <w:szCs w:val="20"/>
          <w:color w:val="auto"/>
        </w:rPr>
      </w:pPr>
      <w:r>
        <w:rPr>
          <w:rFonts w:ascii="Arial" w:cs="Arial" w:eastAsia="Arial" w:hAnsi="Arial"/>
          <w:sz w:val="16"/>
          <w:szCs w:val="16"/>
          <w:b w:val="1"/>
          <w:bCs w:val="1"/>
          <w:color w:val="auto"/>
        </w:rPr>
        <w:t>CALCULATION OF REGISTRATION FEE</w:t>
      </w:r>
    </w:p>
    <w:p>
      <w:pPr>
        <w:spacing w:after="0" w:line="93" w:lineRule="exact"/>
        <w:rPr>
          <w:sz w:val="24"/>
          <w:szCs w:val="24"/>
          <w:color w:val="auto"/>
        </w:rPr>
      </w:pPr>
    </w:p>
    <w:tbl>
      <w:tblPr>
        <w:tblLayout w:type="fixed"/>
        <w:tblInd w:w="7" w:type="dxa"/>
        <w:tblCellMar>
          <w:top w:w="0" w:type="dxa"/>
          <w:left w:w="0" w:type="dxa"/>
          <w:bottom w:w="0" w:type="dxa"/>
          <w:right w:w="0" w:type="dxa"/>
        </w:tblCellMar>
      </w:tblPr>
      <w:tr>
        <w:trPr>
          <w:trHeight w:val="41"/>
        </w:trPr>
        <w:tc>
          <w:tcPr>
            <w:tcW w:w="4980" w:type="dxa"/>
            <w:vAlign w:val="bottom"/>
            <w:tcBorders>
              <w:top w:val="single" w:sz="8" w:color="auto"/>
              <w:bottom w:val="single" w:sz="8" w:color="auto"/>
              <w:right w:val="single" w:sz="8" w:color="auto"/>
            </w:tcBorders>
          </w:tcPr>
          <w:p>
            <w:pPr>
              <w:spacing w:after="0"/>
              <w:rPr>
                <w:sz w:val="3"/>
                <w:szCs w:val="3"/>
                <w:color w:val="auto"/>
              </w:rPr>
            </w:pPr>
          </w:p>
        </w:tc>
        <w:tc>
          <w:tcPr>
            <w:tcW w:w="1140" w:type="dxa"/>
            <w:vAlign w:val="bottom"/>
            <w:tcBorders>
              <w:top w:val="single" w:sz="8" w:color="auto"/>
              <w:bottom w:val="single" w:sz="8" w:color="auto"/>
              <w:right w:val="single" w:sz="8" w:color="auto"/>
            </w:tcBorders>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960" w:type="dxa"/>
            <w:vAlign w:val="bottom"/>
            <w:tcBorders>
              <w:top w:val="single" w:sz="8" w:color="auto"/>
              <w:bottom w:val="single" w:sz="8" w:color="auto"/>
              <w:right w:val="single" w:sz="8" w:color="auto"/>
            </w:tcBorders>
          </w:tcPr>
          <w:p>
            <w:pPr>
              <w:spacing w:after="0"/>
              <w:rPr>
                <w:sz w:val="3"/>
                <w:szCs w:val="3"/>
                <w:color w:val="auto"/>
              </w:rPr>
            </w:pPr>
          </w:p>
        </w:tc>
        <w:tc>
          <w:tcPr>
            <w:tcW w:w="1220" w:type="dxa"/>
            <w:vAlign w:val="bottom"/>
            <w:tcBorders>
              <w:top w:val="single" w:sz="8" w:color="auto"/>
              <w:bottom w:val="single" w:sz="8" w:color="auto"/>
              <w:right w:val="single" w:sz="8" w:color="auto"/>
            </w:tcBorders>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9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9"/>
        </w:trPr>
        <w:tc>
          <w:tcPr>
            <w:tcW w:w="498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Borders>
              <w:right w:val="single" w:sz="8" w:color="auto"/>
            </w:tcBorders>
            <w:vMerge w:val="restart"/>
          </w:tcPr>
          <w:p>
            <w:pPr>
              <w:jc w:val="center"/>
              <w:ind w:right="148"/>
              <w:spacing w:after="0"/>
              <w:rPr>
                <w:sz w:val="20"/>
                <w:szCs w:val="20"/>
                <w:color w:val="auto"/>
              </w:rPr>
            </w:pPr>
            <w:r>
              <w:rPr>
                <w:rFonts w:ascii="Arial" w:cs="Arial" w:eastAsia="Arial" w:hAnsi="Arial"/>
                <w:sz w:val="14"/>
                <w:szCs w:val="14"/>
                <w:b w:val="1"/>
                <w:bCs w:val="1"/>
                <w:color w:val="auto"/>
                <w:w w:val="89"/>
              </w:rPr>
              <w:t>Proposed</w:t>
            </w:r>
          </w:p>
        </w:tc>
        <w:tc>
          <w:tcPr>
            <w:tcW w:w="1220" w:type="dxa"/>
            <w:vAlign w:val="bottom"/>
            <w:tcBorders>
              <w:right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Proposed</w:t>
            </w: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98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Borders>
              <w:right w:val="single" w:sz="8" w:color="auto"/>
            </w:tcBorders>
            <w:vMerge w:val="continue"/>
          </w:tcPr>
          <w:p>
            <w:pPr>
              <w:spacing w:after="0"/>
              <w:rPr>
                <w:sz w:val="12"/>
                <w:szCs w:val="12"/>
                <w:color w:val="auto"/>
              </w:rPr>
            </w:pPr>
          </w:p>
        </w:tc>
        <w:tc>
          <w:tcPr>
            <w:tcW w:w="122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99"/>
              </w:rPr>
              <w:t>Maximum</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98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4"/>
                <w:szCs w:val="14"/>
                <w:color w:val="auto"/>
              </w:rPr>
            </w:pPr>
          </w:p>
        </w:tc>
        <w:tc>
          <w:tcPr>
            <w:tcW w:w="960" w:type="dxa"/>
            <w:vAlign w:val="bottom"/>
            <w:tcBorders>
              <w:right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9"/>
              </w:rPr>
              <w:t>Maximum</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160" w:type="dxa"/>
            <w:vAlign w:val="bottom"/>
          </w:tcPr>
          <w:p>
            <w:pPr>
              <w:spacing w:after="0"/>
              <w:rPr>
                <w:sz w:val="14"/>
                <w:szCs w:val="14"/>
                <w:color w:val="auto"/>
              </w:rPr>
            </w:pPr>
          </w:p>
        </w:tc>
        <w:tc>
          <w:tcPr>
            <w:tcW w:w="920" w:type="dxa"/>
            <w:vAlign w:val="bottom"/>
          </w:tcPr>
          <w:p>
            <w:pPr>
              <w:jc w:val="center"/>
              <w:ind w:right="71"/>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62"/>
        </w:trPr>
        <w:tc>
          <w:tcPr>
            <w:tcW w:w="4980" w:type="dxa"/>
            <w:vAlign w:val="bottom"/>
            <w:tcBorders>
              <w:right w:val="single" w:sz="8" w:color="auto"/>
            </w:tcBorders>
          </w:tcPr>
          <w:p>
            <w:pPr>
              <w:jc w:val="center"/>
              <w:ind w:right="5"/>
              <w:spacing w:after="0"/>
              <w:rPr>
                <w:sz w:val="20"/>
                <w:szCs w:val="20"/>
                <w:color w:val="auto"/>
              </w:rPr>
            </w:pPr>
            <w:r>
              <w:rPr>
                <w:rFonts w:ascii="Arial" w:cs="Arial" w:eastAsia="Arial" w:hAnsi="Arial"/>
                <w:sz w:val="14"/>
                <w:szCs w:val="14"/>
                <w:b w:val="1"/>
                <w:bCs w:val="1"/>
                <w:color w:val="auto"/>
                <w:w w:val="91"/>
              </w:rPr>
              <w:t>Title of Each Class of</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 be</w:t>
            </w:r>
          </w:p>
        </w:tc>
        <w:tc>
          <w:tcPr>
            <w:tcW w:w="114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122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1"/>
                <w:szCs w:val="11"/>
                <w:b w:val="1"/>
                <w:bCs w:val="1"/>
                <w:color w:val="auto"/>
              </w:rPr>
              <w:t>Offering Price</w:t>
            </w:r>
            <w:r>
              <w:rPr>
                <w:rFonts w:ascii="Arial" w:cs="Arial" w:eastAsia="Arial" w:hAnsi="Arial"/>
                <w:sz w:val="18"/>
                <w:szCs w:val="18"/>
                <w:b w:val="1"/>
                <w:bCs w:val="1"/>
                <w:color w:val="auto"/>
                <w:vertAlign w:val="superscript"/>
              </w:rPr>
              <w:t>(2)</w:t>
            </w:r>
          </w:p>
        </w:tc>
        <w:tc>
          <w:tcPr>
            <w:tcW w:w="160" w:type="dxa"/>
            <w:vAlign w:val="bottom"/>
          </w:tcPr>
          <w:p>
            <w:pPr>
              <w:spacing w:after="0"/>
              <w:rPr>
                <w:sz w:val="14"/>
                <w:szCs w:val="14"/>
                <w:color w:val="auto"/>
              </w:rPr>
            </w:pPr>
          </w:p>
        </w:tc>
        <w:tc>
          <w:tcPr>
            <w:tcW w:w="920" w:type="dxa"/>
            <w:vAlign w:val="bottom"/>
          </w:tcPr>
          <w:p>
            <w:pPr>
              <w:jc w:val="center"/>
              <w:ind w:right="51"/>
              <w:spacing w:after="0"/>
              <w:rPr>
                <w:sz w:val="20"/>
                <w:szCs w:val="20"/>
                <w:color w:val="auto"/>
              </w:rPr>
            </w:pPr>
            <w:r>
              <w:rPr>
                <w:rFonts w:ascii="Arial" w:cs="Arial" w:eastAsia="Arial" w:hAnsi="Arial"/>
                <w:sz w:val="14"/>
                <w:szCs w:val="14"/>
                <w:b w:val="1"/>
                <w:bCs w:val="1"/>
                <w:color w:val="auto"/>
                <w:w w:val="92"/>
              </w:rPr>
              <w:t>Registration</w:t>
            </w:r>
          </w:p>
        </w:tc>
        <w:tc>
          <w:tcPr>
            <w:tcW w:w="0" w:type="dxa"/>
            <w:vAlign w:val="bottom"/>
          </w:tcPr>
          <w:p>
            <w:pPr>
              <w:spacing w:after="0"/>
              <w:rPr>
                <w:sz w:val="1"/>
                <w:szCs w:val="1"/>
                <w:color w:val="auto"/>
              </w:rPr>
            </w:pPr>
          </w:p>
        </w:tc>
      </w:tr>
      <w:tr>
        <w:trPr>
          <w:trHeight w:val="176"/>
        </w:trPr>
        <w:tc>
          <w:tcPr>
            <w:tcW w:w="4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Securities to Be Registered</w:t>
            </w:r>
          </w:p>
        </w:tc>
        <w:tc>
          <w:tcPr>
            <w:tcW w:w="1140" w:type="dxa"/>
            <w:vAlign w:val="bottom"/>
            <w:tcBorders>
              <w:bottom w:val="single" w:sz="8" w:color="auto"/>
              <w:right w:val="single" w:sz="8" w:color="auto"/>
            </w:tcBorders>
          </w:tcPr>
          <w:p>
            <w:pPr>
              <w:jc w:val="center"/>
              <w:spacing w:after="0" w:line="176" w:lineRule="exact"/>
              <w:rPr>
                <w:sz w:val="20"/>
                <w:szCs w:val="20"/>
                <w:color w:val="auto"/>
              </w:rPr>
            </w:pPr>
            <w:r>
              <w:rPr>
                <w:rFonts w:ascii="Arial" w:cs="Arial" w:eastAsia="Arial" w:hAnsi="Arial"/>
                <w:sz w:val="12"/>
                <w:szCs w:val="12"/>
                <w:b w:val="1"/>
                <w:bCs w:val="1"/>
                <w:color w:val="auto"/>
              </w:rPr>
              <w:t>Registered</w:t>
            </w:r>
            <w:r>
              <w:rPr>
                <w:rFonts w:ascii="Arial" w:cs="Arial" w:eastAsia="Arial" w:hAnsi="Arial"/>
                <w:sz w:val="20"/>
                <w:szCs w:val="20"/>
                <w:b w:val="1"/>
                <w:bCs w:val="1"/>
                <w:color w:val="auto"/>
                <w:vertAlign w:val="superscript"/>
              </w:rPr>
              <w:t>(1)</w:t>
            </w: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jc w:val="center"/>
              <w:ind w:right="148"/>
              <w:spacing w:after="0" w:line="176" w:lineRule="exact"/>
              <w:rPr>
                <w:sz w:val="20"/>
                <w:szCs w:val="20"/>
                <w:color w:val="auto"/>
              </w:rPr>
            </w:pPr>
            <w:r>
              <w:rPr>
                <w:rFonts w:ascii="Arial" w:cs="Arial" w:eastAsia="Arial" w:hAnsi="Arial"/>
                <w:sz w:val="12"/>
                <w:szCs w:val="12"/>
                <w:b w:val="1"/>
                <w:bCs w:val="1"/>
                <w:color w:val="auto"/>
              </w:rPr>
              <w:t>Per Share</w:t>
            </w:r>
            <w:r>
              <w:rPr>
                <w:rFonts w:ascii="Arial" w:cs="Arial" w:eastAsia="Arial" w:hAnsi="Arial"/>
                <w:sz w:val="20"/>
                <w:szCs w:val="20"/>
                <w:b w:val="1"/>
                <w:bCs w:val="1"/>
                <w:color w:val="auto"/>
                <w:vertAlign w:val="superscript"/>
              </w:rPr>
              <w:t>(2)</w:t>
            </w:r>
          </w:p>
        </w:tc>
        <w:tc>
          <w:tcPr>
            <w:tcW w:w="1220" w:type="dxa"/>
            <w:vAlign w:val="bottom"/>
            <w:tcBorders>
              <w:bottom w:val="single" w:sz="8" w:color="auto"/>
              <w:right w:val="single" w:sz="8" w:color="auto"/>
            </w:tcBorders>
          </w:tcPr>
          <w:p>
            <w:pPr>
              <w:jc w:val="right"/>
              <w:ind w:right="492"/>
              <w:spacing w:after="0"/>
              <w:rPr>
                <w:sz w:val="20"/>
                <w:szCs w:val="20"/>
                <w:color w:val="auto"/>
              </w:rPr>
            </w:pPr>
            <w:r>
              <w:rPr>
                <w:rFonts w:ascii="Arial" w:cs="Arial" w:eastAsia="Arial" w:hAnsi="Arial"/>
                <w:sz w:val="12"/>
                <w:szCs w:val="12"/>
                <w:b w:val="1"/>
                <w:bCs w:val="1"/>
                <w:color w:val="auto"/>
              </w:rPr>
              <w:t>(3)</w:t>
            </w: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1"/>
              <w:spacing w:after="0" w:line="176" w:lineRule="exact"/>
              <w:rPr>
                <w:sz w:val="20"/>
                <w:szCs w:val="20"/>
                <w:color w:val="auto"/>
              </w:rPr>
            </w:pPr>
            <w:r>
              <w:rPr>
                <w:rFonts w:ascii="Arial" w:cs="Arial" w:eastAsia="Arial" w:hAnsi="Arial"/>
                <w:sz w:val="20"/>
                <w:szCs w:val="20"/>
                <w:b w:val="1"/>
                <w:bCs w:val="1"/>
                <w:color w:val="auto"/>
                <w:vertAlign w:val="subscript"/>
              </w:rPr>
              <w:t>Fee</w:t>
            </w:r>
            <w:r>
              <w:rPr>
                <w:rFonts w:ascii="Arial" w:cs="Arial" w:eastAsia="Arial" w:hAnsi="Arial"/>
                <w:sz w:val="10"/>
                <w:szCs w:val="10"/>
                <w:b w:val="1"/>
                <w:bCs w:val="1"/>
                <w:color w:val="auto"/>
              </w:rPr>
              <w:t>(4)</w:t>
            </w:r>
          </w:p>
        </w:tc>
        <w:tc>
          <w:tcPr>
            <w:tcW w:w="0" w:type="dxa"/>
            <w:vAlign w:val="bottom"/>
          </w:tcPr>
          <w:p>
            <w:pPr>
              <w:spacing w:after="0"/>
              <w:rPr>
                <w:sz w:val="1"/>
                <w:szCs w:val="1"/>
                <w:color w:val="auto"/>
              </w:rPr>
            </w:pPr>
          </w:p>
        </w:tc>
      </w:tr>
      <w:tr>
        <w:trPr>
          <w:trHeight w:val="217"/>
        </w:trPr>
        <w:tc>
          <w:tcPr>
            <w:tcW w:w="4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Common Stock, par value $1.00 per share</w:t>
            </w:r>
          </w:p>
        </w:tc>
        <w:tc>
          <w:tcPr>
            <w:tcW w:w="114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6"/>
                <w:szCs w:val="16"/>
                <w:color w:val="auto"/>
              </w:rPr>
              <w:t>3,887,000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6"/>
                <w:szCs w:val="16"/>
                <w:color w:val="auto"/>
              </w:rPr>
              <w:t>19.50</w:t>
            </w:r>
          </w:p>
        </w:tc>
        <w:tc>
          <w:tcPr>
            <w:tcW w:w="122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6"/>
                <w:szCs w:val="16"/>
                <w:color w:val="auto"/>
                <w:w w:val="97"/>
              </w:rPr>
              <w:t>$75,796,500.00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6"/>
                <w:szCs w:val="16"/>
                <w:color w:val="auto"/>
              </w:rPr>
              <w:t>9,186.54</w:t>
            </w:r>
          </w:p>
        </w:tc>
        <w:tc>
          <w:tcPr>
            <w:tcW w:w="0" w:type="dxa"/>
            <w:vAlign w:val="bottom"/>
          </w:tcPr>
          <w:p>
            <w:pPr>
              <w:spacing w:after="0"/>
              <w:rPr>
                <w:sz w:val="1"/>
                <w:szCs w:val="1"/>
                <w:color w:val="auto"/>
              </w:rPr>
            </w:pPr>
          </w:p>
        </w:tc>
      </w:tr>
      <w:tr>
        <w:trPr>
          <w:trHeight w:val="54"/>
        </w:trPr>
        <w:tc>
          <w:tcPr>
            <w:tcW w:w="49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97" w:lineRule="exact"/>
        <w:rPr>
          <w:sz w:val="24"/>
          <w:szCs w:val="24"/>
          <w:color w:val="auto"/>
        </w:rPr>
      </w:pPr>
    </w:p>
    <w:p>
      <w:pPr>
        <w:ind w:left="347" w:right="400" w:hanging="347"/>
        <w:spacing w:after="0" w:line="273" w:lineRule="auto"/>
        <w:tabs>
          <w:tab w:leader="none" w:pos="347"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507,000 shares of common stock issuable upon the exercise of the underwriters’ option to purchase additional shares of common stock from the registrant.</w:t>
      </w:r>
    </w:p>
    <w:p>
      <w:pPr>
        <w:spacing w:after="0" w:line="65" w:lineRule="exact"/>
        <w:rPr>
          <w:rFonts w:ascii="Arial" w:cs="Arial" w:eastAsia="Arial" w:hAnsi="Arial"/>
          <w:sz w:val="14"/>
          <w:szCs w:val="14"/>
          <w:color w:val="auto"/>
        </w:rPr>
      </w:pPr>
    </w:p>
    <w:p>
      <w:pPr>
        <w:ind w:left="347" w:right="180" w:hanging="347"/>
        <w:spacing w:after="0" w:line="273" w:lineRule="auto"/>
        <w:tabs>
          <w:tab w:leader="none" w:pos="347"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purposes of calculating the registration fee in accordance with Rule 457(o) under the Securities Act of 1933, as amended, based upon an estimate of the maximum aggregate offering price.</w:t>
      </w:r>
    </w:p>
    <w:p>
      <w:pPr>
        <w:spacing w:after="0" w:line="65" w:lineRule="exact"/>
        <w:rPr>
          <w:rFonts w:ascii="Arial" w:cs="Arial" w:eastAsia="Arial" w:hAnsi="Arial"/>
          <w:sz w:val="14"/>
          <w:szCs w:val="14"/>
          <w:color w:val="auto"/>
        </w:rPr>
      </w:pPr>
    </w:p>
    <w:p>
      <w:pPr>
        <w:ind w:left="347" w:hanging="347"/>
        <w:spacing w:after="0"/>
        <w:tabs>
          <w:tab w:leader="none" w:pos="347"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the offering price of any additional shares of common stock that the underwriters have the option to purchase.</w:t>
      </w:r>
    </w:p>
    <w:p>
      <w:pPr>
        <w:spacing w:after="0" w:line="109" w:lineRule="exact"/>
        <w:rPr>
          <w:rFonts w:ascii="Arial" w:cs="Arial" w:eastAsia="Arial" w:hAnsi="Arial"/>
          <w:sz w:val="14"/>
          <w:szCs w:val="14"/>
          <w:color w:val="auto"/>
        </w:rPr>
      </w:pPr>
    </w:p>
    <w:p>
      <w:pPr>
        <w:ind w:left="347" w:hanging="347"/>
        <w:spacing w:after="0"/>
        <w:tabs>
          <w:tab w:leader="none" w:pos="347" w:val="left"/>
        </w:tabs>
        <w:numPr>
          <w:ilvl w:val="0"/>
          <w:numId w:val="1"/>
        </w:numPr>
        <w:rPr>
          <w:rFonts w:ascii="Arial" w:cs="Arial" w:eastAsia="Arial" w:hAnsi="Arial"/>
          <w:sz w:val="14"/>
          <w:szCs w:val="14"/>
          <w:color w:val="auto"/>
        </w:rPr>
      </w:pPr>
      <w:r>
        <w:rPr>
          <w:rFonts w:ascii="Arial" w:cs="Arial" w:eastAsia="Arial" w:hAnsi="Arial"/>
          <w:sz w:val="14"/>
          <w:szCs w:val="14"/>
          <w:color w:val="auto"/>
        </w:rPr>
        <w:t>$6,060.00 was previously paid in connection with the initial filing of this Registration Statement.</w:t>
      </w:r>
    </w:p>
    <w:p>
      <w:pPr>
        <w:spacing w:after="0" w:line="47" w:lineRule="exact"/>
        <w:rPr>
          <w:sz w:val="24"/>
          <w:szCs w:val="24"/>
          <w:color w:val="auto"/>
        </w:rPr>
      </w:pPr>
    </w:p>
    <w:p>
      <w:pPr>
        <w:jc w:val="both"/>
        <w:ind w:left="7" w:right="120" w:firstLine="360"/>
        <w:spacing w:after="0" w:line="243" w:lineRule="auto"/>
        <w:rPr>
          <w:sz w:val="20"/>
          <w:szCs w:val="20"/>
          <w:color w:val="auto"/>
        </w:rPr>
      </w:pPr>
      <w:r>
        <w:rPr>
          <w:rFonts w:ascii="Arial" w:cs="Arial" w:eastAsia="Arial" w:hAnsi="Arial"/>
          <w:sz w:val="15"/>
          <w:szCs w:val="15"/>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131445</wp:posOffset>
            </wp:positionV>
            <wp:extent cx="60718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173990</wp:posOffset>
            </wp:positionV>
            <wp:extent cx="60718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7187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474345</wp:posOffset>
            </wp:positionV>
            <wp:extent cx="607187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38" w:right="1159" w:bottom="1440" w:gutter="0" w:footer="0" w:header="0"/>
        </w:sectPr>
      </w:pPr>
    </w:p>
    <w:bookmarkStart w:id="1" w:name="page2"/>
    <w:bookmarkEnd w:id="1"/>
    <w:p>
      <w:pPr>
        <w:ind w:left="7"/>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9" w:lineRule="exact"/>
        <w:rPr>
          <w:sz w:val="20"/>
          <w:szCs w:val="20"/>
          <w:color w:val="auto"/>
        </w:rPr>
      </w:pPr>
    </w:p>
    <w:p>
      <w:pPr>
        <w:jc w:val="both"/>
        <w:ind w:left="7"/>
        <w:spacing w:after="0" w:line="221" w:lineRule="auto"/>
        <w:rPr>
          <w:sz w:val="20"/>
          <w:szCs w:val="20"/>
          <w:color w:val="auto"/>
        </w:rPr>
      </w:pPr>
      <w:r>
        <w:rPr>
          <w:rFonts w:ascii="Arial" w:cs="Arial" w:eastAsia="Arial" w:hAnsi="Arial"/>
          <w:sz w:val="18"/>
          <w:szCs w:val="18"/>
          <w:b w:val="1"/>
          <w:bCs w:val="1"/>
          <w:color w:val="FC0014"/>
        </w:rPr>
        <w:t>The information in this preliminary prospectus is not complete and may be changed. We and the selling shareholder may not sell these securities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74"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FC0014"/>
        </w:rPr>
        <w:t>SUBJECT TO COMPLETION, DATED APRIL 29, 2019</w:t>
      </w:r>
    </w:p>
    <w:p>
      <w:pPr>
        <w:spacing w:after="0" w:line="320"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PRELIMINARY PROSPECTUS</w:t>
      </w:r>
    </w:p>
    <w:p>
      <w:pPr>
        <w:spacing w:after="0" w:line="220" w:lineRule="exact"/>
        <w:rPr>
          <w:sz w:val="20"/>
          <w:szCs w:val="20"/>
          <w:color w:val="auto"/>
        </w:rPr>
      </w:pPr>
    </w:p>
    <w:p>
      <w:pPr>
        <w:jc w:val="center"/>
        <w:ind w:right="-6"/>
        <w:spacing w:after="0"/>
        <w:rPr>
          <w:sz w:val="20"/>
          <w:szCs w:val="20"/>
          <w:color w:val="auto"/>
        </w:rPr>
      </w:pPr>
      <w:r>
        <w:rPr>
          <w:rFonts w:ascii="Arial" w:cs="Arial" w:eastAsia="Arial" w:hAnsi="Arial"/>
          <w:sz w:val="25"/>
          <w:szCs w:val="25"/>
          <w:b w:val="1"/>
          <w:bCs w:val="1"/>
          <w:color w:val="auto"/>
        </w:rPr>
        <w:t>3,380,000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1307465</wp:posOffset>
            </wp:positionH>
            <wp:positionV relativeFrom="paragraph">
              <wp:posOffset>89535</wp:posOffset>
            </wp:positionV>
            <wp:extent cx="3439160" cy="506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3916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6"/>
        <w:spacing w:after="0"/>
        <w:rPr>
          <w:sz w:val="20"/>
          <w:szCs w:val="20"/>
          <w:color w:val="auto"/>
        </w:rPr>
      </w:pPr>
      <w:r>
        <w:rPr>
          <w:rFonts w:ascii="Arial" w:cs="Arial" w:eastAsia="Arial" w:hAnsi="Arial"/>
          <w:sz w:val="25"/>
          <w:szCs w:val="25"/>
          <w:b w:val="1"/>
          <w:bCs w:val="1"/>
          <w:color w:val="auto"/>
        </w:rPr>
        <w:t>Common Stock</w:t>
      </w:r>
    </w:p>
    <w:p>
      <w:pPr>
        <w:spacing w:after="0" w:line="315" w:lineRule="exact"/>
        <w:rPr>
          <w:sz w:val="20"/>
          <w:szCs w:val="20"/>
          <w:color w:val="auto"/>
        </w:rPr>
      </w:pPr>
    </w:p>
    <w:p>
      <w:pPr>
        <w:jc w:val="both"/>
        <w:ind w:left="7" w:right="60" w:firstLine="360"/>
        <w:spacing w:after="0" w:line="264" w:lineRule="auto"/>
        <w:rPr>
          <w:sz w:val="20"/>
          <w:szCs w:val="20"/>
          <w:color w:val="auto"/>
        </w:rPr>
      </w:pPr>
      <w:r>
        <w:rPr>
          <w:rFonts w:ascii="Arial" w:cs="Arial" w:eastAsia="Arial" w:hAnsi="Arial"/>
          <w:sz w:val="18"/>
          <w:szCs w:val="18"/>
          <w:color w:val="auto"/>
        </w:rPr>
        <w:t>This is the initial public offering of South Plains Financial, Inc. We are offering 2,700,000 shares of our common stock and the selling shareholder is offering 680,000 shares of our common stock. We will not receive any proceeds from the sale of shares by the selling shareholder.</w:t>
      </w:r>
    </w:p>
    <w:p>
      <w:pPr>
        <w:spacing w:after="0" w:line="276" w:lineRule="exact"/>
        <w:rPr>
          <w:sz w:val="20"/>
          <w:szCs w:val="20"/>
          <w:color w:val="auto"/>
        </w:rPr>
      </w:pPr>
    </w:p>
    <w:p>
      <w:pPr>
        <w:jc w:val="both"/>
        <w:ind w:left="7" w:right="100" w:firstLine="360"/>
        <w:spacing w:after="0" w:line="264" w:lineRule="auto"/>
        <w:rPr>
          <w:sz w:val="20"/>
          <w:szCs w:val="20"/>
          <w:color w:val="auto"/>
        </w:rPr>
      </w:pPr>
      <w:r>
        <w:rPr>
          <w:rFonts w:ascii="Arial" w:cs="Arial" w:eastAsia="Arial" w:hAnsi="Arial"/>
          <w:sz w:val="18"/>
          <w:szCs w:val="18"/>
          <w:color w:val="auto"/>
        </w:rPr>
        <w:t>Prior to this offering, there has been no established public market for our common stock. We anticipate that the public offering price of our common stock will be between $17.50 and $19.50. We have applied to list our common stock on the NASDAQ Global Select Market under the symbol “SPFI.”</w:t>
      </w:r>
    </w:p>
    <w:p>
      <w:pPr>
        <w:spacing w:after="0" w:line="272" w:lineRule="exact"/>
        <w:rPr>
          <w:sz w:val="20"/>
          <w:szCs w:val="20"/>
          <w:color w:val="auto"/>
        </w:rPr>
      </w:pPr>
    </w:p>
    <w:p>
      <w:pPr>
        <w:ind w:left="367"/>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Investing in our common stock involves risk. See “Risk Factors” beginning on page </w:t>
      </w:r>
      <w:hyperlink w:anchor="page21">
        <w:r>
          <w:rPr>
            <w:rFonts w:ascii="Arial" w:cs="Arial" w:eastAsia="Arial" w:hAnsi="Arial"/>
            <w:sz w:val="18"/>
            <w:szCs w:val="18"/>
            <w:b w:val="1"/>
            <w:bCs w:val="1"/>
            <w:u w:val="single" w:color="auto"/>
            <w:color w:val="0000EE"/>
          </w:rPr>
          <w:t>14</w:t>
        </w:r>
      </w:hyperlink>
      <w:r>
        <w:rPr>
          <w:rFonts w:ascii="Arial" w:cs="Arial" w:eastAsia="Arial" w:hAnsi="Arial"/>
          <w:sz w:val="18"/>
          <w:szCs w:val="18"/>
          <w:b w:val="1"/>
          <w:bCs w:val="1"/>
          <w:color w:val="auto"/>
        </w:rPr>
        <w:t>.</w:t>
      </w:r>
    </w:p>
    <w:p>
      <w:pPr>
        <w:spacing w:after="0" w:line="306" w:lineRule="exact"/>
        <w:rPr>
          <w:sz w:val="20"/>
          <w:szCs w:val="20"/>
          <w:color w:val="auto"/>
        </w:rPr>
      </w:pPr>
    </w:p>
    <w:p>
      <w:pPr>
        <w:ind w:left="7" w:right="20" w:firstLine="360"/>
        <w:spacing w:after="0" w:line="282" w:lineRule="auto"/>
        <w:rPr>
          <w:sz w:val="20"/>
          <w:szCs w:val="20"/>
          <w:color w:val="auto"/>
        </w:rPr>
      </w:pPr>
      <w:r>
        <w:rPr>
          <w:rFonts w:ascii="Arial" w:cs="Arial" w:eastAsia="Arial" w:hAnsi="Arial"/>
          <w:sz w:val="18"/>
          <w:szCs w:val="18"/>
          <w:b w:val="1"/>
          <w:bCs w:val="1"/>
          <w:color w:val="auto"/>
        </w:rPr>
        <w:t>We are an “emerging growth company” under the federal securities laws and will be subject to reduced public company reporting requirements.</w:t>
      </w:r>
    </w:p>
    <w:p>
      <w:pPr>
        <w:spacing w:after="0" w:line="22"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7600" w:type="dxa"/>
            <w:vAlign w:val="bottom"/>
          </w:tcPr>
          <w:p>
            <w:pPr>
              <w:spacing w:after="0"/>
              <w:rPr>
                <w:sz w:val="16"/>
                <w:szCs w:val="16"/>
                <w:color w:val="auto"/>
              </w:rPr>
            </w:pP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Per Share</w:t>
            </w:r>
          </w:p>
        </w:tc>
        <w:tc>
          <w:tcPr>
            <w:tcW w:w="180" w:type="dxa"/>
            <w:vAlign w:val="bottom"/>
          </w:tcPr>
          <w:p>
            <w:pPr>
              <w:spacing w:after="0"/>
              <w:rPr>
                <w:sz w:val="16"/>
                <w:szCs w:val="16"/>
                <w:color w:val="auto"/>
              </w:rPr>
            </w:pPr>
          </w:p>
        </w:tc>
        <w:tc>
          <w:tcPr>
            <w:tcW w:w="8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r>
      <w:tr>
        <w:trPr>
          <w:trHeight w:val="237"/>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860" w:type="dxa"/>
            <w:vAlign w:val="bottom"/>
            <w:shd w:val="clear" w:color="auto" w:fill="CCEEFF"/>
          </w:tcPr>
          <w:p>
            <w:pPr>
              <w:jc w:val="right"/>
              <w:ind w:right="674"/>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r>
      <w:tr>
        <w:trPr>
          <w:trHeight w:val="243"/>
        </w:trPr>
        <w:tc>
          <w:tcPr>
            <w:tcW w:w="7600" w:type="dxa"/>
            <w:vAlign w:val="bottom"/>
          </w:tcPr>
          <w:p>
            <w:pPr>
              <w:spacing w:after="0" w:line="243" w:lineRule="exact"/>
              <w:rPr>
                <w:sz w:val="20"/>
                <w:szCs w:val="20"/>
                <w:color w:val="auto"/>
              </w:rPr>
            </w:pPr>
            <w:r>
              <w:rPr>
                <w:rFonts w:ascii="Arial" w:cs="Arial" w:eastAsia="Arial" w:hAnsi="Arial"/>
                <w:sz w:val="17"/>
                <w:szCs w:val="17"/>
                <w:color w:val="auto"/>
              </w:rPr>
              <w:t>Underwriting discounts</w:t>
            </w:r>
            <w:r>
              <w:rPr>
                <w:rFonts w:ascii="Arial" w:cs="Arial" w:eastAsia="Arial" w:hAnsi="Arial"/>
                <w:sz w:val="28"/>
                <w:szCs w:val="28"/>
                <w:color w:val="auto"/>
                <w:vertAlign w:val="superscript"/>
              </w:rPr>
              <w:t>(1)</w:t>
            </w:r>
          </w:p>
        </w:tc>
        <w:tc>
          <w:tcPr>
            <w:tcW w:w="860" w:type="dxa"/>
            <w:vAlign w:val="bottom"/>
          </w:tcPr>
          <w:p>
            <w:pPr>
              <w:jc w:val="right"/>
              <w:ind w:right="674"/>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64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43"/>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860" w:type="dxa"/>
            <w:vAlign w:val="bottom"/>
            <w:shd w:val="clear" w:color="auto" w:fill="CCEEFF"/>
          </w:tcPr>
          <w:p>
            <w:pPr>
              <w:jc w:val="right"/>
              <w:ind w:right="674"/>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Proceeds to the selling shareholder, before expenses</w:t>
            </w:r>
          </w:p>
        </w:tc>
        <w:tc>
          <w:tcPr>
            <w:tcW w:w="860" w:type="dxa"/>
            <w:vAlign w:val="bottom"/>
          </w:tcPr>
          <w:p>
            <w:pPr>
              <w:jc w:val="right"/>
              <w:ind w:right="674"/>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64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128270</wp:posOffset>
            </wp:positionV>
            <wp:extent cx="9690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298" w:lineRule="exact"/>
        <w:rPr>
          <w:sz w:val="20"/>
          <w:szCs w:val="20"/>
          <w:color w:val="auto"/>
        </w:rPr>
      </w:pPr>
    </w:p>
    <w:p>
      <w:pPr>
        <w:ind w:left="347" w:hanging="347"/>
        <w:spacing w:after="0"/>
        <w:tabs>
          <w:tab w:leader="none" w:pos="347" w:val="left"/>
        </w:tabs>
        <w:numPr>
          <w:ilvl w:val="0"/>
          <w:numId w:val="2"/>
        </w:numPr>
        <w:rPr>
          <w:rFonts w:ascii="Arial" w:cs="Arial" w:eastAsia="Arial" w:hAnsi="Arial"/>
          <w:sz w:val="14"/>
          <w:szCs w:val="14"/>
          <w:color w:val="auto"/>
        </w:rPr>
      </w:pPr>
      <w:r>
        <w:rPr>
          <w:rFonts w:ascii="Arial" w:cs="Arial" w:eastAsia="Arial" w:hAnsi="Arial"/>
          <w:sz w:val="14"/>
          <w:szCs w:val="14"/>
          <w:color w:val="auto"/>
        </w:rPr>
        <w:t>See “Underwriting” for additional information regarding underwriting compensation.</w:t>
      </w:r>
    </w:p>
    <w:p>
      <w:pPr>
        <w:spacing w:after="0" w:line="303" w:lineRule="exact"/>
        <w:rPr>
          <w:sz w:val="20"/>
          <w:szCs w:val="20"/>
          <w:color w:val="auto"/>
        </w:rPr>
      </w:pPr>
    </w:p>
    <w:p>
      <w:pPr>
        <w:ind w:left="7" w:right="300" w:firstLine="360"/>
        <w:spacing w:after="0" w:line="277" w:lineRule="auto"/>
        <w:rPr>
          <w:sz w:val="20"/>
          <w:szCs w:val="20"/>
          <w:color w:val="auto"/>
        </w:rPr>
      </w:pPr>
      <w:r>
        <w:rPr>
          <w:rFonts w:ascii="Arial" w:cs="Arial" w:eastAsia="Arial" w:hAnsi="Arial"/>
          <w:sz w:val="18"/>
          <w:szCs w:val="18"/>
          <w:color w:val="auto"/>
        </w:rPr>
        <w:t>The underwriters have an option to purchase up to an additional 507,000 shares from us at the public offering price, less the underwriting discount, within 30 days from the date of this prospectus.</w:t>
      </w:r>
    </w:p>
    <w:p>
      <w:pPr>
        <w:spacing w:after="0" w:line="247" w:lineRule="exact"/>
        <w:rPr>
          <w:sz w:val="20"/>
          <w:szCs w:val="20"/>
          <w:color w:val="auto"/>
        </w:rPr>
      </w:pPr>
    </w:p>
    <w:p>
      <w:pPr>
        <w:ind w:left="7" w:right="140" w:firstLine="36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71" w:lineRule="exact"/>
        <w:rPr>
          <w:sz w:val="20"/>
          <w:szCs w:val="20"/>
          <w:color w:val="auto"/>
        </w:rPr>
      </w:pPr>
    </w:p>
    <w:p>
      <w:pPr>
        <w:ind w:left="7" w:right="420" w:firstLine="360"/>
        <w:spacing w:after="0" w:line="282" w:lineRule="auto"/>
        <w:rPr>
          <w:sz w:val="20"/>
          <w:szCs w:val="20"/>
          <w:color w:val="auto"/>
        </w:rPr>
      </w:pPr>
      <w:r>
        <w:rPr>
          <w:rFonts w:ascii="Arial" w:cs="Arial" w:eastAsia="Arial" w:hAnsi="Arial"/>
          <w:sz w:val="18"/>
          <w:szCs w:val="18"/>
          <w:b w:val="1"/>
          <w:bCs w:val="1"/>
          <w:color w:val="auto"/>
        </w:rPr>
        <w:t>Shares of our common stock are not savings accounts or deposits and are not insured or guaranteed by the Federal Deposit Insurance Corporation or any other government agency.</w:t>
      </w:r>
    </w:p>
    <w:p>
      <w:pPr>
        <w:spacing w:after="0" w:line="260" w:lineRule="exact"/>
        <w:rPr>
          <w:sz w:val="20"/>
          <w:szCs w:val="20"/>
          <w:color w:val="auto"/>
        </w:rPr>
      </w:pPr>
    </w:p>
    <w:tbl>
      <w:tblPr>
        <w:tblLayout w:type="fixed"/>
        <w:tblInd w:w="367" w:type="dxa"/>
        <w:tblCellMar>
          <w:top w:w="0" w:type="dxa"/>
          <w:left w:w="0" w:type="dxa"/>
          <w:bottom w:w="0" w:type="dxa"/>
          <w:right w:w="0" w:type="dxa"/>
        </w:tblCellMar>
      </w:tblPr>
      <w:tr>
        <w:trPr>
          <w:trHeight w:val="230"/>
        </w:trPr>
        <w:tc>
          <w:tcPr>
            <w:tcW w:w="5020" w:type="dxa"/>
            <w:vAlign w:val="bottom"/>
          </w:tcPr>
          <w:p>
            <w:pPr>
              <w:spacing w:after="0"/>
              <w:rPr>
                <w:sz w:val="20"/>
                <w:szCs w:val="20"/>
                <w:color w:val="auto"/>
              </w:rPr>
            </w:pPr>
            <w:r>
              <w:rPr>
                <w:rFonts w:ascii="Arial" w:cs="Arial" w:eastAsia="Arial" w:hAnsi="Arial"/>
                <w:sz w:val="18"/>
                <w:szCs w:val="18"/>
                <w:color w:val="auto"/>
                <w:w w:val="95"/>
              </w:rPr>
              <w:t>The shares of common stock will be ready for delivery on or about</w:t>
            </w:r>
          </w:p>
        </w:tc>
        <w:tc>
          <w:tcPr>
            <w:tcW w:w="720" w:type="dxa"/>
            <w:vAlign w:val="bottom"/>
          </w:tcPr>
          <w:p>
            <w:pPr>
              <w:jc w:val="right"/>
              <w:spacing w:after="0"/>
              <w:rPr>
                <w:sz w:val="20"/>
                <w:szCs w:val="20"/>
                <w:color w:val="auto"/>
              </w:rPr>
            </w:pPr>
            <w:r>
              <w:rPr>
                <w:rFonts w:ascii="Arial" w:cs="Arial" w:eastAsia="Arial" w:hAnsi="Arial"/>
                <w:sz w:val="18"/>
                <w:szCs w:val="18"/>
                <w:color w:val="auto"/>
              </w:rPr>
              <w:t>, 2019.</w:t>
            </w:r>
          </w:p>
        </w:tc>
      </w:tr>
    </w:tbl>
    <w:p>
      <w:pPr>
        <w:spacing w:after="0" w:line="35" w:lineRule="exact"/>
        <w:rPr>
          <w:sz w:val="20"/>
          <w:szCs w:val="20"/>
          <w:color w:val="auto"/>
        </w:rPr>
      </w:pPr>
    </w:p>
    <w:tbl>
      <w:tblPr>
        <w:tblLayout w:type="fixed"/>
        <w:tblInd w:w="7" w:type="dxa"/>
        <w:tblCellMar>
          <w:top w:w="0" w:type="dxa"/>
          <w:left w:w="0" w:type="dxa"/>
          <w:bottom w:w="0" w:type="dxa"/>
          <w:right w:w="0" w:type="dxa"/>
        </w:tblCellMar>
      </w:tblPr>
      <w:tr>
        <w:trPr>
          <w:trHeight w:val="375"/>
        </w:trPr>
        <w:tc>
          <w:tcPr>
            <w:tcW w:w="4300" w:type="dxa"/>
            <w:vAlign w:val="bottom"/>
          </w:tcPr>
          <w:p>
            <w:pPr>
              <w:jc w:val="right"/>
              <w:ind w:right="140"/>
              <w:spacing w:after="0"/>
              <w:rPr>
                <w:sz w:val="20"/>
                <w:szCs w:val="20"/>
                <w:color w:val="auto"/>
              </w:rPr>
            </w:pPr>
            <w:r>
              <w:rPr>
                <w:rFonts w:ascii="Arial" w:cs="Arial" w:eastAsia="Arial" w:hAnsi="Arial"/>
                <w:sz w:val="29"/>
                <w:szCs w:val="29"/>
                <w:b w:val="1"/>
                <w:bCs w:val="1"/>
                <w:color w:val="auto"/>
              </w:rPr>
              <w:t>Keefe, Bruyette &amp; Woods</w:t>
            </w:r>
          </w:p>
        </w:tc>
        <w:tc>
          <w:tcPr>
            <w:tcW w:w="5260" w:type="dxa"/>
            <w:vAlign w:val="bottom"/>
            <w:gridSpan w:val="2"/>
          </w:tcPr>
          <w:p>
            <w:pPr>
              <w:jc w:val="right"/>
              <w:ind w:right="970"/>
              <w:spacing w:after="0"/>
              <w:rPr>
                <w:sz w:val="20"/>
                <w:szCs w:val="20"/>
                <w:color w:val="auto"/>
              </w:rPr>
            </w:pPr>
            <w:r>
              <w:rPr>
                <w:rFonts w:ascii="Arial" w:cs="Arial" w:eastAsia="Arial" w:hAnsi="Arial"/>
                <w:sz w:val="29"/>
                <w:szCs w:val="29"/>
                <w:b w:val="1"/>
                <w:bCs w:val="1"/>
                <w:color w:val="auto"/>
                <w:w w:val="98"/>
              </w:rPr>
              <w:t>Sandler O’Neill + Partners, L.P.</w:t>
            </w:r>
          </w:p>
        </w:tc>
      </w:tr>
      <w:tr>
        <w:trPr>
          <w:trHeight w:val="328"/>
        </w:trPr>
        <w:tc>
          <w:tcPr>
            <w:tcW w:w="4300" w:type="dxa"/>
            <w:vAlign w:val="bottom"/>
          </w:tcPr>
          <w:p>
            <w:pPr>
              <w:jc w:val="right"/>
              <w:ind w:right="140"/>
              <w:spacing w:after="0"/>
              <w:rPr>
                <w:sz w:val="20"/>
                <w:szCs w:val="20"/>
                <w:color w:val="auto"/>
              </w:rPr>
            </w:pPr>
            <w:r>
              <w:rPr>
                <w:rFonts w:ascii="Arial" w:cs="Arial" w:eastAsia="Arial" w:hAnsi="Arial"/>
                <w:sz w:val="25"/>
                <w:szCs w:val="25"/>
                <w:i w:val="1"/>
                <w:iCs w:val="1"/>
                <w:color w:val="auto"/>
              </w:rPr>
              <w:t>A Stifel Company</w:t>
            </w:r>
          </w:p>
        </w:tc>
        <w:tc>
          <w:tcPr>
            <w:tcW w:w="134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653"/>
        </w:trPr>
        <w:tc>
          <w:tcPr>
            <w:tcW w:w="5640" w:type="dxa"/>
            <w:vAlign w:val="bottom"/>
            <w:gridSpan w:val="2"/>
          </w:tcPr>
          <w:p>
            <w:pPr>
              <w:ind w:left="3180"/>
              <w:spacing w:after="0"/>
              <w:rPr>
                <w:sz w:val="20"/>
                <w:szCs w:val="20"/>
                <w:color w:val="auto"/>
              </w:rPr>
            </w:pPr>
            <w:r>
              <w:rPr>
                <w:rFonts w:ascii="Arial" w:cs="Arial" w:eastAsia="Arial" w:hAnsi="Arial"/>
                <w:sz w:val="18"/>
                <w:szCs w:val="18"/>
                <w:b w:val="1"/>
                <w:bCs w:val="1"/>
                <w:color w:val="auto"/>
                <w:w w:val="95"/>
              </w:rPr>
              <w:t>The date of this prospectus is</w:t>
            </w:r>
          </w:p>
        </w:tc>
        <w:tc>
          <w:tcPr>
            <w:tcW w:w="3920" w:type="dxa"/>
            <w:vAlign w:val="bottom"/>
          </w:tcPr>
          <w:p>
            <w:pPr>
              <w:jc w:val="right"/>
              <w:ind w:right="3110"/>
              <w:spacing w:after="0"/>
              <w:rPr>
                <w:sz w:val="20"/>
                <w:szCs w:val="20"/>
                <w:color w:val="auto"/>
              </w:rPr>
            </w:pPr>
            <w:r>
              <w:rPr>
                <w:rFonts w:ascii="Arial" w:cs="Arial" w:eastAsia="Arial" w:hAnsi="Arial"/>
                <w:sz w:val="18"/>
                <w:szCs w:val="18"/>
                <w:b w:val="1"/>
                <w:bCs w:val="1"/>
                <w:color w:val="auto"/>
              </w:rPr>
              <w:t>, 2019.</w:t>
            </w:r>
          </w:p>
        </w:tc>
      </w:tr>
      <w:tr>
        <w:trPr>
          <w:trHeight w:val="446"/>
        </w:trPr>
        <w:tc>
          <w:tcPr>
            <w:tcW w:w="4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68"/>
        </w:trPr>
        <w:tc>
          <w:tcPr>
            <w:tcW w:w="4300" w:type="dxa"/>
            <w:vAlign w:val="bottom"/>
            <w:shd w:val="clear" w:color="auto" w:fill="000000"/>
          </w:tcPr>
          <w:p>
            <w:pPr>
              <w:spacing w:after="0"/>
              <w:rPr>
                <w:sz w:val="5"/>
                <w:szCs w:val="5"/>
                <w:color w:val="auto"/>
              </w:rPr>
            </w:pPr>
          </w:p>
        </w:tc>
        <w:tc>
          <w:tcPr>
            <w:tcW w:w="1340" w:type="dxa"/>
            <w:vAlign w:val="bottom"/>
            <w:shd w:val="clear" w:color="auto" w:fill="000000"/>
          </w:tcPr>
          <w:p>
            <w:pPr>
              <w:spacing w:after="0"/>
              <w:rPr>
                <w:sz w:val="5"/>
                <w:szCs w:val="5"/>
                <w:color w:val="auto"/>
              </w:rPr>
            </w:pPr>
          </w:p>
        </w:tc>
        <w:tc>
          <w:tcPr>
            <w:tcW w:w="3920" w:type="dxa"/>
            <w:vAlign w:val="bottom"/>
            <w:shd w:val="clear" w:color="auto" w:fill="000000"/>
          </w:tcPr>
          <w:p>
            <w:pPr>
              <w:spacing w:after="0"/>
              <w:rPr>
                <w:sz w:val="5"/>
                <w:szCs w:val="5"/>
                <w:color w:val="auto"/>
              </w:rPr>
            </w:pPr>
          </w:p>
        </w:tc>
      </w:tr>
    </w:tbl>
    <w:p>
      <w:pPr>
        <w:sectPr>
          <w:pgSz w:w="11900" w:h="16838" w:orient="portrait"/>
          <w:cols w:equalWidth="0" w:num="1">
            <w:col w:w="9567"/>
          </w:cols>
          <w:pgMar w:left="1173" w:top="279" w:right="115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6646545" cy="9073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46545" cy="9073515"/>
                    </a:xfrm>
                    <a:prstGeom prst="rect">
                      <a:avLst/>
                    </a:prstGeom>
                    <a:noFill/>
                  </pic:spPr>
                </pic:pic>
              </a:graphicData>
            </a:graphic>
          </wp:anchor>
        </w:drawing>
      </w:r>
    </w:p>
    <w:p>
      <w:pPr>
        <w:sectPr>
          <w:pgSz w:w="11900" w:h="16838" w:orient="portrait"/>
          <w:cols w:equalWidth="0" w:num="1">
            <w:col w:w="9279"/>
          </w:cols>
          <w:pgMar w:left="1180" w:top="279" w:right="1440"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80" w:type="dxa"/>
            <w:vAlign w:val="bottom"/>
            <w:gridSpan w:val="5"/>
          </w:tcPr>
          <w:p>
            <w:pPr>
              <w:ind w:left="2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60" w:type="dxa"/>
            <w:vAlign w:val="bottom"/>
            <w:gridSpan w:val="12"/>
            <w:shd w:val="clear" w:color="auto" w:fill="CCEEFF"/>
          </w:tcPr>
          <w:p>
            <w:pPr>
              <w:spacing w:after="0" w:line="189" w:lineRule="exact"/>
              <w:rPr>
                <w:rFonts w:ascii="Arial" w:cs="Arial" w:eastAsia="Arial" w:hAnsi="Arial"/>
                <w:sz w:val="18"/>
                <w:szCs w:val="18"/>
                <w:color w:val="0000EE"/>
                <w:w w:val="92"/>
              </w:rPr>
            </w:pPr>
            <w:hyperlink w:anchor="page8">
              <w:r>
                <w:rPr>
                  <w:rFonts w:ascii="Arial" w:cs="Arial" w:eastAsia="Arial" w:hAnsi="Arial"/>
                  <w:sz w:val="18"/>
                  <w:szCs w:val="18"/>
                  <w:color w:val="0000EE"/>
                  <w:w w:val="92"/>
                </w:rPr>
                <w:t>PROSPECTUS SUMMARY</w:t>
              </w:r>
            </w:hyperlink>
          </w:p>
        </w:tc>
        <w:tc>
          <w:tcPr>
            <w:tcW w:w="6800" w:type="dxa"/>
            <w:vAlign w:val="bottom"/>
            <w:gridSpan w:val="14"/>
            <w:shd w:val="clear" w:color="auto" w:fill="CCEEFF"/>
          </w:tcPr>
          <w:p>
            <w:pPr>
              <w:spacing w:after="0"/>
              <w:rPr>
                <w:sz w:val="16"/>
                <w:szCs w:val="16"/>
                <w:color w:val="auto"/>
              </w:rPr>
            </w:pPr>
          </w:p>
        </w:tc>
        <w:tc>
          <w:tcPr>
            <w:tcW w:w="580" w:type="dxa"/>
            <w:vAlign w:val="bottom"/>
            <w:tcBorders>
              <w:top w:val="single" w:sz="8" w:color="auto"/>
            </w:tcBorders>
            <w:gridSpan w:val="4"/>
            <w:shd w:val="clear" w:color="auto" w:fill="CCEEFF"/>
          </w:tcPr>
          <w:p>
            <w:pPr>
              <w:jc w:val="right"/>
              <w:spacing w:after="0" w:line="189" w:lineRule="exact"/>
              <w:rPr>
                <w:rFonts w:ascii="Arial" w:cs="Arial" w:eastAsia="Arial" w:hAnsi="Arial"/>
                <w:sz w:val="18"/>
                <w:szCs w:val="18"/>
                <w:color w:val="0000EE"/>
              </w:rPr>
            </w:pPr>
            <w:hyperlink w:anchor="page8">
              <w:r>
                <w:rPr>
                  <w:rFonts w:ascii="Arial" w:cs="Arial" w:eastAsia="Arial" w:hAnsi="Arial"/>
                  <w:sz w:val="18"/>
                  <w:szCs w:val="18"/>
                  <w:color w:val="0000EE"/>
                </w:rPr>
                <w:t>1</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060" w:type="dxa"/>
            <w:vAlign w:val="bottom"/>
            <w:gridSpan w:val="12"/>
          </w:tcPr>
          <w:p>
            <w:pPr>
              <w:spacing w:after="0" w:line="189" w:lineRule="exact"/>
              <w:rPr>
                <w:rFonts w:ascii="Arial" w:cs="Arial" w:eastAsia="Arial" w:hAnsi="Arial"/>
                <w:sz w:val="18"/>
                <w:szCs w:val="18"/>
                <w:color w:val="0000EE"/>
              </w:rPr>
            </w:pPr>
            <w:hyperlink w:anchor="page17">
              <w:r>
                <w:rPr>
                  <w:rFonts w:ascii="Arial" w:cs="Arial" w:eastAsia="Arial" w:hAnsi="Arial"/>
                  <w:sz w:val="18"/>
                  <w:szCs w:val="18"/>
                  <w:color w:val="0000EE"/>
                </w:rPr>
                <w:t>THE OFFERING</w:t>
              </w:r>
            </w:hyperlink>
          </w:p>
        </w:tc>
        <w:tc>
          <w:tcPr>
            <w:tcW w:w="6800" w:type="dxa"/>
            <w:vAlign w:val="bottom"/>
            <w:gridSpan w:val="14"/>
          </w:tcPr>
          <w:p>
            <w:pPr>
              <w:spacing w:after="0"/>
              <w:rPr>
                <w:sz w:val="16"/>
                <w:szCs w:val="16"/>
                <w:color w:val="auto"/>
              </w:rPr>
            </w:pPr>
          </w:p>
        </w:tc>
        <w:tc>
          <w:tcPr>
            <w:tcW w:w="580" w:type="dxa"/>
            <w:vAlign w:val="bottom"/>
            <w:gridSpan w:val="4"/>
          </w:tcPr>
          <w:p>
            <w:pPr>
              <w:jc w:val="right"/>
              <w:spacing w:after="0" w:line="189" w:lineRule="exact"/>
              <w:rPr>
                <w:rFonts w:ascii="Arial" w:cs="Arial" w:eastAsia="Arial" w:hAnsi="Arial"/>
                <w:sz w:val="18"/>
                <w:szCs w:val="18"/>
                <w:color w:val="0000EE"/>
              </w:rPr>
            </w:pPr>
            <w:hyperlink w:anchor="page17">
              <w:r>
                <w:rPr>
                  <w:rFonts w:ascii="Arial" w:cs="Arial" w:eastAsia="Arial" w:hAnsi="Arial"/>
                  <w:sz w:val="18"/>
                  <w:szCs w:val="18"/>
                  <w:color w:val="0000EE"/>
                </w:rPr>
                <w:t>10</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0000EE"/>
            </w:tcBorders>
            <w:vMerge w:val="continue"/>
          </w:tcPr>
          <w:p>
            <w:pPr>
              <w:spacing w:after="0"/>
              <w:rPr>
                <w:sz w:val="19"/>
                <w:szCs w:val="19"/>
                <w:color w:val="auto"/>
              </w:rPr>
            </w:pPr>
          </w:p>
        </w:tc>
        <w:tc>
          <w:tcPr>
            <w:tcW w:w="7180" w:type="dxa"/>
            <w:vAlign w:val="bottom"/>
            <w:tcBorders>
              <w:bottom w:val="single" w:sz="8" w:color="0000EE"/>
            </w:tcBorders>
            <w:gridSpan w:val="24"/>
            <w:shd w:val="clear" w:color="auto" w:fill="CCEEFF"/>
          </w:tcPr>
          <w:p>
            <w:pPr>
              <w:spacing w:after="0" w:line="189" w:lineRule="exact"/>
              <w:rPr>
                <w:rFonts w:ascii="Arial" w:cs="Arial" w:eastAsia="Arial" w:hAnsi="Arial"/>
                <w:sz w:val="18"/>
                <w:szCs w:val="18"/>
                <w:color w:val="0000EE"/>
                <w:w w:val="96"/>
              </w:rPr>
            </w:pPr>
            <w:hyperlink w:anchor="page19">
              <w:r>
                <w:rPr>
                  <w:rFonts w:ascii="Arial" w:cs="Arial" w:eastAsia="Arial" w:hAnsi="Arial"/>
                  <w:sz w:val="18"/>
                  <w:szCs w:val="18"/>
                  <w:color w:val="0000EE"/>
                  <w:w w:val="96"/>
                </w:rPr>
                <w:t>SELECTED HISTORICAL CONSOLIDATED FINANCIAL AND OPERATING INFORMATION</w:t>
              </w:r>
            </w:hyperlink>
          </w:p>
        </w:tc>
        <w:tc>
          <w:tcPr>
            <w:tcW w:w="1680" w:type="dxa"/>
            <w:vAlign w:val="bottom"/>
            <w:tcBorders>
              <w:bottom w:val="single" w:sz="8" w:color="CCEEFF"/>
            </w:tcBorders>
            <w:gridSpan w:val="2"/>
            <w:shd w:val="clear" w:color="auto" w:fill="CCEEFF"/>
          </w:tcPr>
          <w:p>
            <w:pPr>
              <w:spacing w:after="0"/>
              <w:rPr>
                <w:sz w:val="19"/>
                <w:szCs w:val="19"/>
                <w:color w:val="auto"/>
              </w:rPr>
            </w:pPr>
          </w:p>
        </w:tc>
        <w:tc>
          <w:tcPr>
            <w:tcW w:w="400" w:type="dxa"/>
            <w:vAlign w:val="bottom"/>
            <w:tcBorders>
              <w:bottom w:val="single" w:sz="8" w:color="CCEEFF"/>
              <w:right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89" w:lineRule="exact"/>
              <w:rPr>
                <w:rFonts w:ascii="Arial" w:cs="Arial" w:eastAsia="Arial" w:hAnsi="Arial"/>
                <w:sz w:val="18"/>
                <w:szCs w:val="18"/>
                <w:color w:val="0000EE"/>
                <w:w w:val="79"/>
              </w:rPr>
            </w:pPr>
            <w:hyperlink w:anchor="page19">
              <w:r>
                <w:rPr>
                  <w:rFonts w:ascii="Arial" w:cs="Arial" w:eastAsia="Arial" w:hAnsi="Arial"/>
                  <w:sz w:val="18"/>
                  <w:szCs w:val="18"/>
                  <w:color w:val="0000EE"/>
                  <w:w w:val="79"/>
                </w:rPr>
                <w:t>12</w:t>
              </w:r>
            </w:hyperlink>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860" w:type="dxa"/>
            <w:vAlign w:val="bottom"/>
            <w:gridSpan w:val="26"/>
          </w:tcPr>
          <w:p>
            <w:pPr>
              <w:spacing w:after="0" w:line="189" w:lineRule="exact"/>
              <w:rPr>
                <w:rFonts w:ascii="Arial" w:cs="Arial" w:eastAsia="Arial" w:hAnsi="Arial"/>
                <w:sz w:val="18"/>
                <w:szCs w:val="18"/>
                <w:color w:val="0000EE"/>
              </w:rPr>
            </w:pPr>
            <w:hyperlink w:anchor="page21">
              <w:r>
                <w:rPr>
                  <w:rFonts w:ascii="Arial" w:cs="Arial" w:eastAsia="Arial" w:hAnsi="Arial"/>
                  <w:sz w:val="18"/>
                  <w:szCs w:val="18"/>
                  <w:color w:val="0000EE"/>
                </w:rPr>
                <w:t>RISK FACTORS</w:t>
              </w:r>
            </w:hyperlink>
          </w:p>
        </w:tc>
        <w:tc>
          <w:tcPr>
            <w:tcW w:w="580" w:type="dxa"/>
            <w:vAlign w:val="bottom"/>
            <w:gridSpan w:val="4"/>
          </w:tcPr>
          <w:p>
            <w:pPr>
              <w:jc w:val="right"/>
              <w:spacing w:after="0" w:line="189" w:lineRule="exact"/>
              <w:rPr>
                <w:rFonts w:ascii="Arial" w:cs="Arial" w:eastAsia="Arial" w:hAnsi="Arial"/>
                <w:sz w:val="18"/>
                <w:szCs w:val="18"/>
                <w:color w:val="0000EE"/>
              </w:rPr>
            </w:pPr>
            <w:hyperlink w:anchor="page21">
              <w:r>
                <w:rPr>
                  <w:rFonts w:ascii="Arial" w:cs="Arial" w:eastAsia="Arial" w:hAnsi="Arial"/>
                  <w:sz w:val="18"/>
                  <w:szCs w:val="18"/>
                  <w:color w:val="0000EE"/>
                </w:rPr>
                <w:t>14</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0000EE"/>
            </w:tcBorders>
            <w:vMerge w:val="continue"/>
          </w:tcPr>
          <w:p>
            <w:pPr>
              <w:spacing w:after="0"/>
              <w:rPr>
                <w:sz w:val="19"/>
                <w:szCs w:val="19"/>
                <w:color w:val="auto"/>
              </w:rPr>
            </w:pPr>
          </w:p>
        </w:tc>
        <w:tc>
          <w:tcPr>
            <w:tcW w:w="5760" w:type="dxa"/>
            <w:vAlign w:val="bottom"/>
            <w:tcBorders>
              <w:bottom w:val="single" w:sz="8" w:color="0000EE"/>
            </w:tcBorders>
            <w:gridSpan w:val="22"/>
            <w:shd w:val="clear" w:color="auto" w:fill="CCEEFF"/>
          </w:tcPr>
          <w:p>
            <w:pPr>
              <w:spacing w:after="0" w:line="189" w:lineRule="exact"/>
              <w:rPr>
                <w:rFonts w:ascii="Arial" w:cs="Arial" w:eastAsia="Arial" w:hAnsi="Arial"/>
                <w:sz w:val="18"/>
                <w:szCs w:val="18"/>
                <w:color w:val="0000EE"/>
                <w:w w:val="95"/>
              </w:rPr>
            </w:pPr>
            <w:hyperlink w:anchor="page50">
              <w:r>
                <w:rPr>
                  <w:rFonts w:ascii="Arial" w:cs="Arial" w:eastAsia="Arial" w:hAnsi="Arial"/>
                  <w:sz w:val="18"/>
                  <w:szCs w:val="18"/>
                  <w:color w:val="0000EE"/>
                  <w:w w:val="95"/>
                </w:rPr>
                <w:t>CAUTIONARY NOTE REGARDING FORWARD-LOOKING STATEMENTS</w:t>
              </w:r>
            </w:hyperlink>
          </w:p>
        </w:tc>
        <w:tc>
          <w:tcPr>
            <w:tcW w:w="3100" w:type="dxa"/>
            <w:vAlign w:val="bottom"/>
            <w:tcBorders>
              <w:bottom w:val="single" w:sz="8" w:color="CCEEFF"/>
            </w:tcBorders>
            <w:gridSpan w:val="4"/>
            <w:shd w:val="clear" w:color="auto" w:fill="CCEEFF"/>
          </w:tcPr>
          <w:p>
            <w:pPr>
              <w:spacing w:after="0"/>
              <w:rPr>
                <w:sz w:val="19"/>
                <w:szCs w:val="19"/>
                <w:color w:val="auto"/>
              </w:rPr>
            </w:pPr>
          </w:p>
        </w:tc>
        <w:tc>
          <w:tcPr>
            <w:tcW w:w="400" w:type="dxa"/>
            <w:vAlign w:val="bottom"/>
            <w:tcBorders>
              <w:bottom w:val="single" w:sz="8" w:color="CCEEFF"/>
              <w:right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89" w:lineRule="exact"/>
              <w:rPr>
                <w:rFonts w:ascii="Arial" w:cs="Arial" w:eastAsia="Arial" w:hAnsi="Arial"/>
                <w:sz w:val="18"/>
                <w:szCs w:val="18"/>
                <w:color w:val="0000EE"/>
                <w:w w:val="79"/>
              </w:rPr>
            </w:pPr>
            <w:hyperlink w:anchor="page50">
              <w:r>
                <w:rPr>
                  <w:rFonts w:ascii="Arial" w:cs="Arial" w:eastAsia="Arial" w:hAnsi="Arial"/>
                  <w:sz w:val="18"/>
                  <w:szCs w:val="18"/>
                  <w:color w:val="0000EE"/>
                  <w:w w:val="79"/>
                </w:rPr>
                <w:t>43</w:t>
              </w:r>
            </w:hyperlink>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860" w:type="dxa"/>
            <w:vAlign w:val="bottom"/>
            <w:gridSpan w:val="26"/>
          </w:tcPr>
          <w:p>
            <w:pPr>
              <w:spacing w:after="0" w:line="189" w:lineRule="exact"/>
              <w:rPr>
                <w:rFonts w:ascii="Arial" w:cs="Arial" w:eastAsia="Arial" w:hAnsi="Arial"/>
                <w:sz w:val="18"/>
                <w:szCs w:val="18"/>
                <w:color w:val="0000EE"/>
              </w:rPr>
            </w:pPr>
            <w:hyperlink w:anchor="page52">
              <w:r>
                <w:rPr>
                  <w:rFonts w:ascii="Arial" w:cs="Arial" w:eastAsia="Arial" w:hAnsi="Arial"/>
                  <w:sz w:val="18"/>
                  <w:szCs w:val="18"/>
                  <w:color w:val="0000EE"/>
                </w:rPr>
                <w:t>USE OF PROCEEDS</w:t>
              </w:r>
            </w:hyperlink>
          </w:p>
        </w:tc>
        <w:tc>
          <w:tcPr>
            <w:tcW w:w="580" w:type="dxa"/>
            <w:vAlign w:val="bottom"/>
            <w:gridSpan w:val="4"/>
          </w:tcPr>
          <w:p>
            <w:pPr>
              <w:jc w:val="right"/>
              <w:spacing w:after="0" w:line="189" w:lineRule="exact"/>
              <w:rPr>
                <w:rFonts w:ascii="Arial" w:cs="Arial" w:eastAsia="Arial" w:hAnsi="Arial"/>
                <w:sz w:val="18"/>
                <w:szCs w:val="18"/>
                <w:color w:val="0000EE"/>
              </w:rPr>
            </w:pPr>
            <w:hyperlink w:anchor="page52">
              <w:r>
                <w:rPr>
                  <w:rFonts w:ascii="Arial" w:cs="Arial" w:eastAsia="Arial" w:hAnsi="Arial"/>
                  <w:sz w:val="18"/>
                  <w:szCs w:val="18"/>
                  <w:color w:val="0000EE"/>
                </w:rPr>
                <w:t>45</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60" w:type="dxa"/>
            <w:vAlign w:val="bottom"/>
            <w:gridSpan w:val="26"/>
            <w:shd w:val="clear" w:color="auto" w:fill="CCEEFF"/>
          </w:tcPr>
          <w:p>
            <w:pPr>
              <w:spacing w:after="0" w:line="189" w:lineRule="exact"/>
              <w:rPr>
                <w:rFonts w:ascii="Arial" w:cs="Arial" w:eastAsia="Arial" w:hAnsi="Arial"/>
                <w:sz w:val="18"/>
                <w:szCs w:val="18"/>
                <w:color w:val="0000EE"/>
              </w:rPr>
            </w:pPr>
            <w:hyperlink w:anchor="page53">
              <w:r>
                <w:rPr>
                  <w:rFonts w:ascii="Arial" w:cs="Arial" w:eastAsia="Arial" w:hAnsi="Arial"/>
                  <w:sz w:val="18"/>
                  <w:szCs w:val="18"/>
                  <w:color w:val="0000EE"/>
                </w:rPr>
                <w:t>CAPITALIZATION</w:t>
              </w:r>
            </w:hyperlink>
          </w:p>
        </w:tc>
        <w:tc>
          <w:tcPr>
            <w:tcW w:w="58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53">
              <w:r>
                <w:rPr>
                  <w:rFonts w:ascii="Arial" w:cs="Arial" w:eastAsia="Arial" w:hAnsi="Arial"/>
                  <w:sz w:val="18"/>
                  <w:szCs w:val="18"/>
                  <w:color w:val="0000EE"/>
                </w:rPr>
                <w:t>46</w:t>
              </w:r>
            </w:hyperlink>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0000EE"/>
            </w:tcBorders>
          </w:tcPr>
          <w:p>
            <w:pPr>
              <w:spacing w:after="0"/>
              <w:rPr>
                <w:sz w:val="16"/>
                <w:szCs w:val="16"/>
                <w:color w:val="auto"/>
              </w:rPr>
            </w:pPr>
          </w:p>
        </w:tc>
        <w:tc>
          <w:tcPr>
            <w:tcW w:w="1420" w:type="dxa"/>
            <w:vAlign w:val="bottom"/>
            <w:tcBorders>
              <w:top w:val="single" w:sz="8" w:color="0000EE"/>
            </w:tcBorders>
            <w:gridSpan w:val="10"/>
          </w:tcPr>
          <w:p>
            <w:pPr>
              <w:spacing w:after="0" w:line="189" w:lineRule="exact"/>
              <w:rPr>
                <w:rFonts w:ascii="Arial" w:cs="Arial" w:eastAsia="Arial" w:hAnsi="Arial"/>
                <w:sz w:val="18"/>
                <w:szCs w:val="18"/>
                <w:color w:val="0000EE"/>
              </w:rPr>
            </w:pPr>
            <w:hyperlink w:anchor="page54">
              <w:r>
                <w:rPr>
                  <w:rFonts w:ascii="Arial" w:cs="Arial" w:eastAsia="Arial" w:hAnsi="Arial"/>
                  <w:sz w:val="18"/>
                  <w:szCs w:val="18"/>
                  <w:color w:val="0000EE"/>
                </w:rPr>
                <w:t>DILUTION</w:t>
              </w:r>
            </w:hyperlink>
          </w:p>
        </w:tc>
        <w:tc>
          <w:tcPr>
            <w:tcW w:w="7440" w:type="dxa"/>
            <w:vAlign w:val="bottom"/>
            <w:tcBorders>
              <w:top w:val="single" w:sz="8" w:color="CCEEFF"/>
            </w:tcBorders>
            <w:gridSpan w:val="16"/>
          </w:tcPr>
          <w:p>
            <w:pPr>
              <w:spacing w:after="0"/>
              <w:rPr>
                <w:sz w:val="16"/>
                <w:szCs w:val="16"/>
                <w:color w:val="auto"/>
              </w:rPr>
            </w:pPr>
          </w:p>
        </w:tc>
        <w:tc>
          <w:tcPr>
            <w:tcW w:w="400" w:type="dxa"/>
            <w:vAlign w:val="bottom"/>
            <w:tcBorders>
              <w:top w:val="single" w:sz="8" w:color="CCEEFF"/>
            </w:tcBorders>
            <w:gridSpan w:val="2"/>
          </w:tcPr>
          <w:p>
            <w:pPr>
              <w:spacing w:after="0"/>
              <w:rPr>
                <w:sz w:val="16"/>
                <w:szCs w:val="16"/>
                <w:color w:val="auto"/>
              </w:rPr>
            </w:pPr>
          </w:p>
        </w:tc>
        <w:tc>
          <w:tcPr>
            <w:tcW w:w="180" w:type="dxa"/>
            <w:vAlign w:val="bottom"/>
            <w:tcBorders>
              <w:top w:val="single" w:sz="8" w:color="0000EE"/>
            </w:tcBorders>
            <w:gridSpan w:val="2"/>
          </w:tcPr>
          <w:p>
            <w:pPr>
              <w:jc w:val="right"/>
              <w:spacing w:after="0" w:line="189" w:lineRule="exact"/>
              <w:rPr>
                <w:rFonts w:ascii="Arial" w:cs="Arial" w:eastAsia="Arial" w:hAnsi="Arial"/>
                <w:sz w:val="18"/>
                <w:szCs w:val="18"/>
                <w:color w:val="0000EE"/>
                <w:w w:val="79"/>
              </w:rPr>
            </w:pPr>
            <w:hyperlink w:anchor="page54">
              <w:r>
                <w:rPr>
                  <w:rFonts w:ascii="Arial" w:cs="Arial" w:eastAsia="Arial" w:hAnsi="Arial"/>
                  <w:sz w:val="18"/>
                  <w:szCs w:val="18"/>
                  <w:color w:val="0000EE"/>
                  <w:w w:val="79"/>
                </w:rPr>
                <w:t>47</w:t>
              </w:r>
            </w:hyperlink>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0000EE"/>
            </w:tcBorders>
            <w:vMerge w:val="continue"/>
          </w:tcPr>
          <w:p>
            <w:pPr>
              <w:spacing w:after="0"/>
              <w:rPr>
                <w:sz w:val="19"/>
                <w:szCs w:val="19"/>
                <w:color w:val="auto"/>
              </w:rPr>
            </w:pPr>
          </w:p>
        </w:tc>
        <w:tc>
          <w:tcPr>
            <w:tcW w:w="3360" w:type="dxa"/>
            <w:vAlign w:val="bottom"/>
            <w:tcBorders>
              <w:bottom w:val="single" w:sz="8" w:color="0000EE"/>
            </w:tcBorders>
            <w:gridSpan w:val="17"/>
            <w:shd w:val="clear" w:color="auto" w:fill="CCEEFF"/>
          </w:tcPr>
          <w:p>
            <w:pPr>
              <w:spacing w:after="0" w:line="189" w:lineRule="exact"/>
              <w:rPr>
                <w:rFonts w:ascii="Arial" w:cs="Arial" w:eastAsia="Arial" w:hAnsi="Arial"/>
                <w:sz w:val="18"/>
                <w:szCs w:val="18"/>
                <w:color w:val="0000EE"/>
                <w:w w:val="94"/>
              </w:rPr>
            </w:pPr>
            <w:hyperlink w:anchor="page56">
              <w:r>
                <w:rPr>
                  <w:rFonts w:ascii="Arial" w:cs="Arial" w:eastAsia="Arial" w:hAnsi="Arial"/>
                  <w:sz w:val="18"/>
                  <w:szCs w:val="18"/>
                  <w:color w:val="0000EE"/>
                  <w:w w:val="94"/>
                </w:rPr>
                <w:t>PRICE RANGE OF OUR COMMON STOCK</w:t>
              </w:r>
            </w:hyperlink>
          </w:p>
        </w:tc>
        <w:tc>
          <w:tcPr>
            <w:tcW w:w="5500" w:type="dxa"/>
            <w:vAlign w:val="bottom"/>
            <w:tcBorders>
              <w:bottom w:val="single" w:sz="8" w:color="CCEEFF"/>
            </w:tcBorders>
            <w:gridSpan w:val="9"/>
            <w:shd w:val="clear" w:color="auto" w:fill="CCEEFF"/>
          </w:tcPr>
          <w:p>
            <w:pPr>
              <w:spacing w:after="0"/>
              <w:rPr>
                <w:sz w:val="19"/>
                <w:szCs w:val="19"/>
                <w:color w:val="auto"/>
              </w:rPr>
            </w:pPr>
          </w:p>
        </w:tc>
        <w:tc>
          <w:tcPr>
            <w:tcW w:w="400" w:type="dxa"/>
            <w:vAlign w:val="bottom"/>
            <w:tcBorders>
              <w:bottom w:val="single" w:sz="8" w:color="CCEEFF"/>
              <w:right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89" w:lineRule="exact"/>
              <w:rPr>
                <w:rFonts w:ascii="Arial" w:cs="Arial" w:eastAsia="Arial" w:hAnsi="Arial"/>
                <w:sz w:val="18"/>
                <w:szCs w:val="18"/>
                <w:color w:val="0000EE"/>
                <w:w w:val="79"/>
              </w:rPr>
            </w:pPr>
            <w:hyperlink w:anchor="page56">
              <w:r>
                <w:rPr>
                  <w:rFonts w:ascii="Arial" w:cs="Arial" w:eastAsia="Arial" w:hAnsi="Arial"/>
                  <w:sz w:val="18"/>
                  <w:szCs w:val="18"/>
                  <w:color w:val="0000EE"/>
                  <w:w w:val="79"/>
                </w:rPr>
                <w:t>49</w:t>
              </w:r>
            </w:hyperlink>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860" w:type="dxa"/>
            <w:vAlign w:val="bottom"/>
            <w:gridSpan w:val="26"/>
          </w:tcPr>
          <w:p>
            <w:pPr>
              <w:spacing w:after="0" w:line="189" w:lineRule="exact"/>
              <w:rPr>
                <w:rFonts w:ascii="Arial" w:cs="Arial" w:eastAsia="Arial" w:hAnsi="Arial"/>
                <w:sz w:val="18"/>
                <w:szCs w:val="18"/>
                <w:color w:val="0000EE"/>
              </w:rPr>
            </w:pPr>
            <w:hyperlink w:anchor="page57">
              <w:r>
                <w:rPr>
                  <w:rFonts w:ascii="Arial" w:cs="Arial" w:eastAsia="Arial" w:hAnsi="Arial"/>
                  <w:sz w:val="18"/>
                  <w:szCs w:val="18"/>
                  <w:color w:val="0000EE"/>
                </w:rPr>
                <w:t>MANAGEMENT’S DISCUSSION AND ANALYSIS OF FINANCIAL CONDITION AND RESULTS OF</w:t>
              </w:r>
            </w:hyperlink>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758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OPERATIONS</w:t>
              </w:r>
            </w:hyperlink>
          </w:p>
        </w:tc>
        <w:tc>
          <w:tcPr>
            <w:tcW w:w="1120" w:type="dxa"/>
            <w:vAlign w:val="bottom"/>
          </w:tcPr>
          <w:p>
            <w:pPr>
              <w:spacing w:after="0"/>
              <w:rPr>
                <w:sz w:val="17"/>
                <w:szCs w:val="17"/>
                <w:color w:val="auto"/>
              </w:rPr>
            </w:pPr>
          </w:p>
        </w:tc>
        <w:tc>
          <w:tcPr>
            <w:tcW w:w="580" w:type="dxa"/>
            <w:vAlign w:val="bottom"/>
            <w:gridSpan w:val="4"/>
          </w:tcPr>
          <w:p>
            <w:pPr>
              <w:jc w:val="right"/>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50</w:t>
              </w:r>
            </w:hyperlink>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60" w:type="dxa"/>
            <w:vAlign w:val="bottom"/>
            <w:gridSpan w:val="26"/>
            <w:shd w:val="clear" w:color="auto" w:fill="CCEEFF"/>
          </w:tcPr>
          <w:p>
            <w:pPr>
              <w:spacing w:after="0" w:line="189" w:lineRule="exact"/>
              <w:rPr>
                <w:rFonts w:ascii="Arial" w:cs="Arial" w:eastAsia="Arial" w:hAnsi="Arial"/>
                <w:sz w:val="18"/>
                <w:szCs w:val="18"/>
                <w:color w:val="0000EE"/>
              </w:rPr>
            </w:pPr>
            <w:hyperlink w:anchor="page84">
              <w:r>
                <w:rPr>
                  <w:rFonts w:ascii="Arial" w:cs="Arial" w:eastAsia="Arial" w:hAnsi="Arial"/>
                  <w:sz w:val="18"/>
                  <w:szCs w:val="18"/>
                  <w:color w:val="0000EE"/>
                </w:rPr>
                <w:t>BUSINESS</w:t>
              </w:r>
            </w:hyperlink>
          </w:p>
        </w:tc>
        <w:tc>
          <w:tcPr>
            <w:tcW w:w="58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84">
              <w:r>
                <w:rPr>
                  <w:rFonts w:ascii="Arial" w:cs="Arial" w:eastAsia="Arial" w:hAnsi="Arial"/>
                  <w:sz w:val="18"/>
                  <w:szCs w:val="18"/>
                  <w:color w:val="0000EE"/>
                </w:rPr>
                <w:t>77</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60" w:type="dxa"/>
            <w:vAlign w:val="bottom"/>
            <w:gridSpan w:val="26"/>
          </w:tcPr>
          <w:p>
            <w:pPr>
              <w:spacing w:after="0" w:line="189" w:lineRule="exact"/>
              <w:rPr>
                <w:rFonts w:ascii="Arial" w:cs="Arial" w:eastAsia="Arial" w:hAnsi="Arial"/>
                <w:sz w:val="18"/>
                <w:szCs w:val="18"/>
                <w:color w:val="0000EE"/>
              </w:rPr>
            </w:pPr>
            <w:hyperlink w:anchor="page101">
              <w:r>
                <w:rPr>
                  <w:rFonts w:ascii="Arial" w:cs="Arial" w:eastAsia="Arial" w:hAnsi="Arial"/>
                  <w:sz w:val="18"/>
                  <w:szCs w:val="18"/>
                  <w:color w:val="0000EE"/>
                </w:rPr>
                <w:t>SUPERVISION AND REGULATION</w:t>
              </w:r>
            </w:hyperlink>
          </w:p>
        </w:tc>
        <w:tc>
          <w:tcPr>
            <w:tcW w:w="580" w:type="dxa"/>
            <w:vAlign w:val="bottom"/>
            <w:gridSpan w:val="4"/>
          </w:tcPr>
          <w:p>
            <w:pPr>
              <w:jc w:val="right"/>
              <w:spacing w:after="0" w:line="189" w:lineRule="exact"/>
              <w:rPr>
                <w:rFonts w:ascii="Arial" w:cs="Arial" w:eastAsia="Arial" w:hAnsi="Arial"/>
                <w:sz w:val="18"/>
                <w:szCs w:val="18"/>
                <w:color w:val="0000EE"/>
              </w:rPr>
            </w:pPr>
            <w:hyperlink w:anchor="page101">
              <w:r>
                <w:rPr>
                  <w:rFonts w:ascii="Arial" w:cs="Arial" w:eastAsia="Arial" w:hAnsi="Arial"/>
                  <w:sz w:val="18"/>
                  <w:szCs w:val="18"/>
                  <w:color w:val="0000EE"/>
                </w:rPr>
                <w:t>94</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280" w:type="dxa"/>
            <w:vAlign w:val="bottom"/>
            <w:gridSpan w:val="8"/>
            <w:shd w:val="clear" w:color="auto" w:fill="CCEEFF"/>
          </w:tcPr>
          <w:p>
            <w:pPr>
              <w:spacing w:after="0" w:line="189" w:lineRule="exact"/>
              <w:rPr>
                <w:rFonts w:ascii="Arial" w:cs="Arial" w:eastAsia="Arial" w:hAnsi="Arial"/>
                <w:sz w:val="18"/>
                <w:szCs w:val="18"/>
                <w:color w:val="0000EE"/>
                <w:w w:val="97"/>
              </w:rPr>
            </w:pPr>
            <w:hyperlink w:anchor="page116">
              <w:r>
                <w:rPr>
                  <w:rFonts w:ascii="Arial" w:cs="Arial" w:eastAsia="Arial" w:hAnsi="Arial"/>
                  <w:sz w:val="18"/>
                  <w:szCs w:val="18"/>
                  <w:color w:val="0000EE"/>
                  <w:w w:val="97"/>
                </w:rPr>
                <w:t>MANAGEMENT</w:t>
              </w:r>
            </w:hyperlink>
          </w:p>
        </w:tc>
        <w:tc>
          <w:tcPr>
            <w:tcW w:w="7580" w:type="dxa"/>
            <w:vAlign w:val="bottom"/>
            <w:gridSpan w:val="18"/>
            <w:shd w:val="clear" w:color="auto" w:fill="CCEEFF"/>
          </w:tcPr>
          <w:p>
            <w:pPr>
              <w:spacing w:after="0"/>
              <w:rPr>
                <w:sz w:val="16"/>
                <w:szCs w:val="16"/>
                <w:color w:val="auto"/>
              </w:rPr>
            </w:pPr>
          </w:p>
        </w:tc>
        <w:tc>
          <w:tcPr>
            <w:tcW w:w="58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116">
              <w:r>
                <w:rPr>
                  <w:rFonts w:ascii="Arial" w:cs="Arial" w:eastAsia="Arial" w:hAnsi="Arial"/>
                  <w:sz w:val="18"/>
                  <w:szCs w:val="18"/>
                  <w:color w:val="0000EE"/>
                </w:rPr>
                <w:t>109</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60" w:type="dxa"/>
            <w:vAlign w:val="bottom"/>
            <w:gridSpan w:val="26"/>
          </w:tcPr>
          <w:p>
            <w:pPr>
              <w:spacing w:after="0" w:line="189" w:lineRule="exact"/>
              <w:rPr>
                <w:rFonts w:ascii="Arial" w:cs="Arial" w:eastAsia="Arial" w:hAnsi="Arial"/>
                <w:sz w:val="18"/>
                <w:szCs w:val="18"/>
                <w:color w:val="0000EE"/>
              </w:rPr>
            </w:pPr>
            <w:hyperlink w:anchor="page124">
              <w:r>
                <w:rPr>
                  <w:rFonts w:ascii="Arial" w:cs="Arial" w:eastAsia="Arial" w:hAnsi="Arial"/>
                  <w:sz w:val="18"/>
                  <w:szCs w:val="18"/>
                  <w:color w:val="0000EE"/>
                </w:rPr>
                <w:t>EXECUTIVE COMPENSATION</w:t>
              </w:r>
            </w:hyperlink>
          </w:p>
        </w:tc>
        <w:tc>
          <w:tcPr>
            <w:tcW w:w="580" w:type="dxa"/>
            <w:vAlign w:val="bottom"/>
            <w:gridSpan w:val="4"/>
          </w:tcPr>
          <w:p>
            <w:pPr>
              <w:jc w:val="right"/>
              <w:spacing w:after="0" w:line="189" w:lineRule="exact"/>
              <w:rPr>
                <w:rFonts w:ascii="Arial" w:cs="Arial" w:eastAsia="Arial" w:hAnsi="Arial"/>
                <w:sz w:val="18"/>
                <w:szCs w:val="18"/>
                <w:color w:val="0000EE"/>
              </w:rPr>
            </w:pPr>
            <w:hyperlink w:anchor="page124">
              <w:r>
                <w:rPr>
                  <w:rFonts w:ascii="Arial" w:cs="Arial" w:eastAsia="Arial" w:hAnsi="Arial"/>
                  <w:sz w:val="18"/>
                  <w:szCs w:val="18"/>
                  <w:color w:val="0000EE"/>
                </w:rPr>
                <w:t>117</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60" w:type="dxa"/>
            <w:vAlign w:val="bottom"/>
            <w:gridSpan w:val="26"/>
            <w:shd w:val="clear" w:color="auto" w:fill="CCEEFF"/>
          </w:tcPr>
          <w:p>
            <w:pPr>
              <w:spacing w:after="0" w:line="189" w:lineRule="exact"/>
              <w:rPr>
                <w:rFonts w:ascii="Arial" w:cs="Arial" w:eastAsia="Arial" w:hAnsi="Arial"/>
                <w:sz w:val="18"/>
                <w:szCs w:val="18"/>
                <w:color w:val="0000EE"/>
              </w:rPr>
            </w:pPr>
            <w:hyperlink w:anchor="page132">
              <w:r>
                <w:rPr>
                  <w:rFonts w:ascii="Arial" w:cs="Arial" w:eastAsia="Arial" w:hAnsi="Arial"/>
                  <w:sz w:val="18"/>
                  <w:szCs w:val="18"/>
                  <w:color w:val="0000EE"/>
                </w:rPr>
                <w:t>CERTAIN RELATIONSHIPS AND RELATED PARTY TRANSACTIONS</w:t>
              </w:r>
            </w:hyperlink>
          </w:p>
        </w:tc>
        <w:tc>
          <w:tcPr>
            <w:tcW w:w="58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132">
              <w:r>
                <w:rPr>
                  <w:rFonts w:ascii="Arial" w:cs="Arial" w:eastAsia="Arial" w:hAnsi="Arial"/>
                  <w:sz w:val="18"/>
                  <w:szCs w:val="18"/>
                  <w:color w:val="0000EE"/>
                </w:rPr>
                <w:t>125</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10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40" w:type="dxa"/>
            <w:vAlign w:val="bottom"/>
            <w:gridSpan w:val="21"/>
          </w:tcPr>
          <w:p>
            <w:pPr>
              <w:spacing w:after="0" w:line="189" w:lineRule="exact"/>
              <w:rPr>
                <w:rFonts w:ascii="Arial" w:cs="Arial" w:eastAsia="Arial" w:hAnsi="Arial"/>
                <w:sz w:val="18"/>
                <w:szCs w:val="18"/>
                <w:color w:val="0000EE"/>
              </w:rPr>
            </w:pPr>
            <w:hyperlink w:anchor="page134">
              <w:r>
                <w:rPr>
                  <w:rFonts w:ascii="Arial" w:cs="Arial" w:eastAsia="Arial" w:hAnsi="Arial"/>
                  <w:sz w:val="18"/>
                  <w:szCs w:val="18"/>
                  <w:color w:val="0000EE"/>
                </w:rPr>
                <w:t>PRINCIPAL AND SELLING SHAREHOLDERS</w:t>
              </w:r>
            </w:hyperlink>
          </w:p>
        </w:tc>
        <w:tc>
          <w:tcPr>
            <w:tcW w:w="3420" w:type="dxa"/>
            <w:vAlign w:val="bottom"/>
            <w:gridSpan w:val="5"/>
          </w:tcPr>
          <w:p>
            <w:pPr>
              <w:spacing w:after="0"/>
              <w:rPr>
                <w:sz w:val="16"/>
                <w:szCs w:val="16"/>
                <w:color w:val="auto"/>
              </w:rPr>
            </w:pPr>
          </w:p>
        </w:tc>
        <w:tc>
          <w:tcPr>
            <w:tcW w:w="580" w:type="dxa"/>
            <w:vAlign w:val="bottom"/>
            <w:gridSpan w:val="4"/>
          </w:tcPr>
          <w:p>
            <w:pPr>
              <w:jc w:val="right"/>
              <w:spacing w:after="0" w:line="189" w:lineRule="exact"/>
              <w:rPr>
                <w:rFonts w:ascii="Arial" w:cs="Arial" w:eastAsia="Arial" w:hAnsi="Arial"/>
                <w:sz w:val="18"/>
                <w:szCs w:val="18"/>
                <w:color w:val="0000EE"/>
              </w:rPr>
            </w:pPr>
            <w:hyperlink w:anchor="page134">
              <w:r>
                <w:rPr>
                  <w:rFonts w:ascii="Arial" w:cs="Arial" w:eastAsia="Arial" w:hAnsi="Arial"/>
                  <w:sz w:val="18"/>
                  <w:szCs w:val="18"/>
                  <w:color w:val="0000EE"/>
                </w:rPr>
                <w:t>127</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60" w:type="dxa"/>
            <w:vAlign w:val="bottom"/>
            <w:gridSpan w:val="26"/>
            <w:shd w:val="clear" w:color="auto" w:fill="CCEEFF"/>
          </w:tcPr>
          <w:p>
            <w:pPr>
              <w:spacing w:after="0" w:line="189" w:lineRule="exact"/>
              <w:rPr>
                <w:rFonts w:ascii="Arial" w:cs="Arial" w:eastAsia="Arial" w:hAnsi="Arial"/>
                <w:sz w:val="18"/>
                <w:szCs w:val="18"/>
                <w:color w:val="0000EE"/>
              </w:rPr>
            </w:pPr>
            <w:hyperlink w:anchor="page136">
              <w:r>
                <w:rPr>
                  <w:rFonts w:ascii="Arial" w:cs="Arial" w:eastAsia="Arial" w:hAnsi="Arial"/>
                  <w:sz w:val="18"/>
                  <w:szCs w:val="18"/>
                  <w:color w:val="0000EE"/>
                </w:rPr>
                <w:t>DESCRIPTION OF CAPITAL STOCK</w:t>
              </w:r>
            </w:hyperlink>
          </w:p>
        </w:tc>
        <w:tc>
          <w:tcPr>
            <w:tcW w:w="58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136">
              <w:r>
                <w:rPr>
                  <w:rFonts w:ascii="Arial" w:cs="Arial" w:eastAsia="Arial" w:hAnsi="Arial"/>
                  <w:sz w:val="18"/>
                  <w:szCs w:val="18"/>
                  <w:color w:val="0000EE"/>
                </w:rPr>
                <w:t>129</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60" w:type="dxa"/>
            <w:vAlign w:val="bottom"/>
            <w:gridSpan w:val="26"/>
          </w:tcPr>
          <w:p>
            <w:pPr>
              <w:spacing w:after="0" w:line="189" w:lineRule="exact"/>
              <w:rPr>
                <w:rFonts w:ascii="Arial" w:cs="Arial" w:eastAsia="Arial" w:hAnsi="Arial"/>
                <w:sz w:val="18"/>
                <w:szCs w:val="18"/>
                <w:color w:val="0000EE"/>
              </w:rPr>
            </w:pPr>
            <w:hyperlink w:anchor="page140">
              <w:r>
                <w:rPr>
                  <w:rFonts w:ascii="Arial" w:cs="Arial" w:eastAsia="Arial" w:hAnsi="Arial"/>
                  <w:sz w:val="18"/>
                  <w:szCs w:val="18"/>
                  <w:color w:val="0000EE"/>
                </w:rPr>
                <w:t>SHARES ELIGIBLE FOR FUTURE SALE</w:t>
              </w:r>
            </w:hyperlink>
          </w:p>
        </w:tc>
        <w:tc>
          <w:tcPr>
            <w:tcW w:w="580" w:type="dxa"/>
            <w:vAlign w:val="bottom"/>
            <w:gridSpan w:val="4"/>
          </w:tcPr>
          <w:p>
            <w:pPr>
              <w:jc w:val="right"/>
              <w:spacing w:after="0" w:line="189" w:lineRule="exact"/>
              <w:rPr>
                <w:rFonts w:ascii="Arial" w:cs="Arial" w:eastAsia="Arial" w:hAnsi="Arial"/>
                <w:sz w:val="18"/>
                <w:szCs w:val="18"/>
                <w:color w:val="0000EE"/>
              </w:rPr>
            </w:pPr>
            <w:hyperlink w:anchor="page140">
              <w:r>
                <w:rPr>
                  <w:rFonts w:ascii="Arial" w:cs="Arial" w:eastAsia="Arial" w:hAnsi="Arial"/>
                  <w:sz w:val="18"/>
                  <w:szCs w:val="18"/>
                  <w:color w:val="0000EE"/>
                </w:rPr>
                <w:t>133</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60" w:type="dxa"/>
            <w:vAlign w:val="bottom"/>
            <w:gridSpan w:val="26"/>
            <w:shd w:val="clear" w:color="auto" w:fill="CCEEFF"/>
          </w:tcPr>
          <w:p>
            <w:pPr>
              <w:spacing w:after="0" w:line="189" w:lineRule="exact"/>
              <w:rPr>
                <w:rFonts w:ascii="Arial" w:cs="Arial" w:eastAsia="Arial" w:hAnsi="Arial"/>
                <w:sz w:val="18"/>
                <w:szCs w:val="18"/>
                <w:color w:val="0000EE"/>
              </w:rPr>
            </w:pPr>
            <w:hyperlink w:anchor="page142">
              <w:r>
                <w:rPr>
                  <w:rFonts w:ascii="Arial" w:cs="Arial" w:eastAsia="Arial" w:hAnsi="Arial"/>
                  <w:sz w:val="18"/>
                  <w:szCs w:val="18"/>
                  <w:color w:val="0000EE"/>
                </w:rPr>
                <w:t>MATERIAL UNITED STATES FEDERAL INCOME TAX CONSIDERATIONS</w:t>
              </w:r>
            </w:hyperlink>
          </w:p>
        </w:tc>
        <w:tc>
          <w:tcPr>
            <w:tcW w:w="58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142">
              <w:r>
                <w:rPr>
                  <w:rFonts w:ascii="Arial" w:cs="Arial" w:eastAsia="Arial" w:hAnsi="Arial"/>
                  <w:sz w:val="18"/>
                  <w:szCs w:val="18"/>
                  <w:color w:val="0000EE"/>
                </w:rPr>
                <w:t>135</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10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860" w:type="dxa"/>
            <w:vAlign w:val="bottom"/>
            <w:gridSpan w:val="23"/>
          </w:tcPr>
          <w:p>
            <w:pPr>
              <w:spacing w:after="0" w:line="189" w:lineRule="exact"/>
              <w:rPr>
                <w:rFonts w:ascii="Arial" w:cs="Arial" w:eastAsia="Arial" w:hAnsi="Arial"/>
                <w:sz w:val="18"/>
                <w:szCs w:val="18"/>
                <w:color w:val="0000EE"/>
              </w:rPr>
            </w:pPr>
            <w:hyperlink w:anchor="page147">
              <w:r>
                <w:rPr>
                  <w:rFonts w:ascii="Arial" w:cs="Arial" w:eastAsia="Arial" w:hAnsi="Arial"/>
                  <w:sz w:val="18"/>
                  <w:szCs w:val="18"/>
                  <w:color w:val="0000EE"/>
                </w:rPr>
                <w:t>UNDERWRITING</w:t>
              </w:r>
            </w:hyperlink>
          </w:p>
        </w:tc>
        <w:tc>
          <w:tcPr>
            <w:tcW w:w="3000" w:type="dxa"/>
            <w:vAlign w:val="bottom"/>
            <w:gridSpan w:val="3"/>
          </w:tcPr>
          <w:p>
            <w:pPr>
              <w:spacing w:after="0"/>
              <w:rPr>
                <w:sz w:val="16"/>
                <w:szCs w:val="16"/>
                <w:color w:val="auto"/>
              </w:rPr>
            </w:pPr>
          </w:p>
        </w:tc>
        <w:tc>
          <w:tcPr>
            <w:tcW w:w="580" w:type="dxa"/>
            <w:vAlign w:val="bottom"/>
            <w:gridSpan w:val="4"/>
          </w:tcPr>
          <w:p>
            <w:pPr>
              <w:jc w:val="right"/>
              <w:spacing w:after="0" w:line="189" w:lineRule="exact"/>
              <w:rPr>
                <w:rFonts w:ascii="Arial" w:cs="Arial" w:eastAsia="Arial" w:hAnsi="Arial"/>
                <w:sz w:val="18"/>
                <w:szCs w:val="18"/>
                <w:color w:val="0000EE"/>
              </w:rPr>
            </w:pPr>
            <w:hyperlink w:anchor="page147">
              <w:r>
                <w:rPr>
                  <w:rFonts w:ascii="Arial" w:cs="Arial" w:eastAsia="Arial" w:hAnsi="Arial"/>
                  <w:sz w:val="18"/>
                  <w:szCs w:val="18"/>
                  <w:color w:val="0000EE"/>
                </w:rPr>
                <w:t>140</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60" w:type="dxa"/>
            <w:vAlign w:val="bottom"/>
            <w:gridSpan w:val="26"/>
            <w:shd w:val="clear" w:color="auto" w:fill="CCEEFF"/>
          </w:tcPr>
          <w:p>
            <w:pPr>
              <w:spacing w:after="0" w:line="189" w:lineRule="exact"/>
              <w:rPr>
                <w:rFonts w:ascii="Arial" w:cs="Arial" w:eastAsia="Arial" w:hAnsi="Arial"/>
                <w:sz w:val="18"/>
                <w:szCs w:val="18"/>
                <w:color w:val="0000EE"/>
              </w:rPr>
            </w:pPr>
            <w:hyperlink w:anchor="page151">
              <w:r>
                <w:rPr>
                  <w:rFonts w:ascii="Arial" w:cs="Arial" w:eastAsia="Arial" w:hAnsi="Arial"/>
                  <w:sz w:val="18"/>
                  <w:szCs w:val="18"/>
                  <w:color w:val="0000EE"/>
                </w:rPr>
                <w:t>LEGAL MATTERS</w:t>
              </w:r>
            </w:hyperlink>
          </w:p>
        </w:tc>
        <w:tc>
          <w:tcPr>
            <w:tcW w:w="58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151">
              <w:r>
                <w:rPr>
                  <w:rFonts w:ascii="Arial" w:cs="Arial" w:eastAsia="Arial" w:hAnsi="Arial"/>
                  <w:sz w:val="18"/>
                  <w:szCs w:val="18"/>
                  <w:color w:val="0000EE"/>
                </w:rPr>
                <w:t>144</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420" w:type="dxa"/>
            <w:vAlign w:val="bottom"/>
            <w:gridSpan w:val="10"/>
          </w:tcPr>
          <w:p>
            <w:pPr>
              <w:spacing w:after="0" w:line="189" w:lineRule="exact"/>
              <w:rPr>
                <w:rFonts w:ascii="Arial" w:cs="Arial" w:eastAsia="Arial" w:hAnsi="Arial"/>
                <w:sz w:val="18"/>
                <w:szCs w:val="18"/>
                <w:color w:val="0000EE"/>
              </w:rPr>
            </w:pPr>
            <w:hyperlink w:anchor="page151">
              <w:r>
                <w:rPr>
                  <w:rFonts w:ascii="Arial" w:cs="Arial" w:eastAsia="Arial" w:hAnsi="Arial"/>
                  <w:sz w:val="18"/>
                  <w:szCs w:val="18"/>
                  <w:color w:val="0000EE"/>
                </w:rPr>
                <w:t>EXPERTS</w:t>
              </w:r>
            </w:hyperlink>
          </w:p>
        </w:tc>
        <w:tc>
          <w:tcPr>
            <w:tcW w:w="7440" w:type="dxa"/>
            <w:vAlign w:val="bottom"/>
            <w:gridSpan w:val="16"/>
          </w:tcPr>
          <w:p>
            <w:pPr>
              <w:spacing w:after="0"/>
              <w:rPr>
                <w:sz w:val="16"/>
                <w:szCs w:val="16"/>
                <w:color w:val="auto"/>
              </w:rPr>
            </w:pPr>
          </w:p>
        </w:tc>
        <w:tc>
          <w:tcPr>
            <w:tcW w:w="580" w:type="dxa"/>
            <w:vAlign w:val="bottom"/>
            <w:gridSpan w:val="4"/>
          </w:tcPr>
          <w:p>
            <w:pPr>
              <w:jc w:val="right"/>
              <w:spacing w:after="0" w:line="189" w:lineRule="exact"/>
              <w:rPr>
                <w:rFonts w:ascii="Arial" w:cs="Arial" w:eastAsia="Arial" w:hAnsi="Arial"/>
                <w:sz w:val="18"/>
                <w:szCs w:val="18"/>
                <w:color w:val="0000EE"/>
              </w:rPr>
            </w:pPr>
            <w:hyperlink w:anchor="page151">
              <w:r>
                <w:rPr>
                  <w:rFonts w:ascii="Arial" w:cs="Arial" w:eastAsia="Arial" w:hAnsi="Arial"/>
                  <w:sz w:val="18"/>
                  <w:szCs w:val="18"/>
                  <w:color w:val="0000EE"/>
                </w:rPr>
                <w:t>144</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60" w:type="dxa"/>
            <w:vAlign w:val="bottom"/>
            <w:gridSpan w:val="26"/>
            <w:shd w:val="clear" w:color="auto" w:fill="CCEEFF"/>
          </w:tcPr>
          <w:p>
            <w:pPr>
              <w:spacing w:after="0" w:line="189" w:lineRule="exact"/>
              <w:rPr>
                <w:rFonts w:ascii="Arial" w:cs="Arial" w:eastAsia="Arial" w:hAnsi="Arial"/>
                <w:sz w:val="18"/>
                <w:szCs w:val="18"/>
                <w:color w:val="0000EE"/>
              </w:rPr>
            </w:pPr>
            <w:hyperlink w:anchor="page151">
              <w:r>
                <w:rPr>
                  <w:rFonts w:ascii="Arial" w:cs="Arial" w:eastAsia="Arial" w:hAnsi="Arial"/>
                  <w:sz w:val="18"/>
                  <w:szCs w:val="18"/>
                  <w:color w:val="0000EE"/>
                </w:rPr>
                <w:t>WHERE YOU CAN FIND MORE INFORMATION</w:t>
              </w:r>
            </w:hyperlink>
          </w:p>
        </w:tc>
        <w:tc>
          <w:tcPr>
            <w:tcW w:w="58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151">
              <w:r>
                <w:rPr>
                  <w:rFonts w:ascii="Arial" w:cs="Arial" w:eastAsia="Arial" w:hAnsi="Arial"/>
                  <w:sz w:val="18"/>
                  <w:szCs w:val="18"/>
                  <w:color w:val="0000EE"/>
                </w:rPr>
                <w:t>144</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60" w:type="dxa"/>
            <w:vAlign w:val="bottom"/>
            <w:gridSpan w:val="26"/>
          </w:tcPr>
          <w:p>
            <w:pPr>
              <w:spacing w:after="0" w:line="189" w:lineRule="exact"/>
              <w:rPr>
                <w:rFonts w:ascii="Arial" w:cs="Arial" w:eastAsia="Arial" w:hAnsi="Arial"/>
                <w:sz w:val="18"/>
                <w:szCs w:val="18"/>
                <w:color w:val="0000EE"/>
              </w:rPr>
            </w:pPr>
            <w:hyperlink w:anchor="page152">
              <w:r>
                <w:rPr>
                  <w:rFonts w:ascii="Arial" w:cs="Arial" w:eastAsia="Arial" w:hAnsi="Arial"/>
                  <w:sz w:val="18"/>
                  <w:szCs w:val="18"/>
                  <w:color w:val="0000EE"/>
                </w:rPr>
                <w:t>INDEX TO CONSOLIDATED FINANCIAL STATEMENTS</w:t>
              </w:r>
            </w:hyperlink>
          </w:p>
        </w:tc>
        <w:tc>
          <w:tcPr>
            <w:tcW w:w="320" w:type="dxa"/>
            <w:vAlign w:val="bottom"/>
          </w:tcPr>
          <w:p>
            <w:pPr>
              <w:spacing w:after="0"/>
              <w:rPr>
                <w:sz w:val="16"/>
                <w:szCs w:val="16"/>
                <w:color w:val="auto"/>
              </w:rPr>
            </w:pPr>
          </w:p>
        </w:tc>
        <w:tc>
          <w:tcPr>
            <w:tcW w:w="360" w:type="dxa"/>
            <w:vAlign w:val="bottom"/>
            <w:gridSpan w:val="4"/>
          </w:tcPr>
          <w:p>
            <w:pPr>
              <w:ind w:left="20"/>
              <w:spacing w:after="0" w:line="189" w:lineRule="exact"/>
              <w:rPr>
                <w:rFonts w:ascii="Arial" w:cs="Arial" w:eastAsia="Arial" w:hAnsi="Arial"/>
                <w:sz w:val="18"/>
                <w:szCs w:val="18"/>
                <w:color w:val="0000EE"/>
              </w:rPr>
            </w:pPr>
            <w:hyperlink w:anchor="page152">
              <w:r>
                <w:rPr>
                  <w:rFonts w:ascii="Arial" w:cs="Arial" w:eastAsia="Arial" w:hAnsi="Arial"/>
                  <w:sz w:val="18"/>
                  <w:szCs w:val="18"/>
                  <w:color w:val="0000EE"/>
                </w:rPr>
                <w:t>F-1</w:t>
              </w:r>
            </w:hyperlink>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21" w:lineRule="exact"/>
        <w:rPr>
          <w:sz w:val="20"/>
          <w:szCs w:val="20"/>
          <w:color w:val="auto"/>
        </w:rPr>
      </w:pPr>
    </w:p>
    <w:p>
      <w:pPr>
        <w:ind w:right="100" w:firstLine="360"/>
        <w:spacing w:after="0" w:line="255" w:lineRule="auto"/>
        <w:rPr>
          <w:sz w:val="20"/>
          <w:szCs w:val="20"/>
          <w:color w:val="auto"/>
        </w:rPr>
      </w:pPr>
      <w:r>
        <w:rPr>
          <w:rFonts w:ascii="Arial" w:cs="Arial" w:eastAsia="Arial" w:hAnsi="Arial"/>
          <w:sz w:val="18"/>
          <w:szCs w:val="18"/>
          <w:color w:val="auto"/>
        </w:rPr>
        <w:t>You should rely only on the information contained in this prospectus or in any free writing prospectus that we authorize to be delivered to you. We, the selling shareholder and the underwriters have not authorized anyone to provide you with different or additional information. We, the selling shareholder and the underwriters are not making an offer of these securities in any jurisdiction where the offer is not permitted. You should not assume that the information contained in this prospectus is accurate as of any date other than the date on the front of this prospectus. Our business, financial condition, results of operations and prospects may have changed since that date.</w:t>
      </w:r>
    </w:p>
    <w:p>
      <w:pPr>
        <w:spacing w:after="0" w:line="85"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Unless we state otherwise or the context otherwise requires, references in this prospectus to “we,” “our,” “us,” “ourselves,” “our company,” and the “Company” refer to South Plains Financial, Inc., a Texas corporation, and its consolidated subsidiaries. References in this prospectus to “City Bank” and the “Bank” refer to City Bank, a Texas banking association and our wholly-owned consolidated subsidiary.</w:t>
      </w:r>
    </w:p>
    <w:p>
      <w:pPr>
        <w:spacing w:after="0" w:line="79"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This prospectus describes the specific details regarding this offering and the terms and conditions of our common stock being offered hereby and the risks of investing in our common stock. For additional information, please see the section entitled “Where You Can Find More Information.”</w:t>
      </w:r>
    </w:p>
    <w:p>
      <w:pPr>
        <w:spacing w:after="0" w:line="73"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You should not interpret the contents of this prospectus to be legal, business, investment or tax advice. You should consult with your own advisors for that type of advice and consult with them about the legal, tax, business, financial and other issues that you should consider before investing in our common stock.</w:t>
      </w:r>
    </w:p>
    <w:p>
      <w:pPr>
        <w:spacing w:after="0" w:line="73" w:lineRule="exact"/>
        <w:rPr>
          <w:sz w:val="20"/>
          <w:szCs w:val="20"/>
          <w:color w:val="auto"/>
        </w:rPr>
      </w:pPr>
    </w:p>
    <w:p>
      <w:pPr>
        <w:ind w:firstLine="360"/>
        <w:spacing w:after="0" w:line="279" w:lineRule="auto"/>
        <w:rPr>
          <w:sz w:val="20"/>
          <w:szCs w:val="20"/>
          <w:color w:val="auto"/>
        </w:rPr>
      </w:pPr>
      <w:r>
        <w:rPr>
          <w:rFonts w:ascii="Arial" w:cs="Arial" w:eastAsia="Arial" w:hAnsi="Arial"/>
          <w:sz w:val="17"/>
          <w:szCs w:val="17"/>
          <w:color w:val="auto"/>
        </w:rPr>
        <w:t>Unless otherwise stated, all information in this prospectus gives effect to a 29-for-1 stock dividend, whereby each holder of our common stock received 29 additional shares of common stock for each share owned as of the record date of March 11, 2019, which was distributed the same day. The stock dividend has the effect of a stock split on outstanding shares and per share figures, and it has been retroactively applied to all periods presented in this prospectus.</w:t>
      </w:r>
    </w:p>
    <w:p>
      <w:pPr>
        <w:spacing w:after="0" w:line="63" w:lineRule="exact"/>
        <w:rPr>
          <w:sz w:val="20"/>
          <w:szCs w:val="20"/>
          <w:color w:val="auto"/>
        </w:rPr>
      </w:pPr>
    </w:p>
    <w:p>
      <w:pPr>
        <w:ind w:right="360" w:firstLine="360"/>
        <w:spacing w:after="0" w:line="277" w:lineRule="auto"/>
        <w:rPr>
          <w:sz w:val="20"/>
          <w:szCs w:val="20"/>
          <w:color w:val="auto"/>
        </w:rPr>
      </w:pPr>
      <w:r>
        <w:rPr>
          <w:rFonts w:ascii="Arial" w:cs="Arial" w:eastAsia="Arial" w:hAnsi="Arial"/>
          <w:sz w:val="18"/>
          <w:szCs w:val="18"/>
          <w:color w:val="auto"/>
        </w:rPr>
        <w:t>Unless otherwise stated, all information in this prospectus assumes that the underwriters have not exercised their option to purchase additional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2452370</wp:posOffset>
            </wp:positionH>
            <wp:positionV relativeFrom="paragraph">
              <wp:posOffset>108585</wp:posOffset>
            </wp:positionV>
            <wp:extent cx="11576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and Industry Data</w:t>
      </w:r>
    </w:p>
    <w:p>
      <w:pPr>
        <w:spacing w:after="0" w:line="121" w:lineRule="exact"/>
        <w:rPr>
          <w:sz w:val="20"/>
          <w:szCs w:val="20"/>
          <w:color w:val="auto"/>
        </w:rPr>
      </w:pPr>
    </w:p>
    <w:p>
      <w:pPr>
        <w:ind w:firstLine="360"/>
        <w:spacing w:after="0" w:line="290" w:lineRule="auto"/>
        <w:rPr>
          <w:sz w:val="20"/>
          <w:szCs w:val="20"/>
          <w:color w:val="auto"/>
        </w:rPr>
      </w:pPr>
      <w:r>
        <w:rPr>
          <w:rFonts w:ascii="Arial" w:cs="Arial" w:eastAsia="Arial" w:hAnsi="Arial"/>
          <w:sz w:val="16"/>
          <w:szCs w:val="16"/>
          <w:color w:val="auto"/>
        </w:rPr>
        <w:t>Within this prospectus, we reference certain market, industry and demographic data, forecasts and other statistical information. We have obtained this data, forecasts and information from various independent, third party industry sources and publications. Nothing in the data, forecasts or information used or derived from third party sources should be construed as advice. Some data and other information are also based on our good faith estimates, which are derived from our review of industry publications and surveys and independent sources. We believe that these sources and estimates are reliable, but have not independently verified them. Statements as to our market position are based on market data currently available to us. Although we are not aware of any misstatements regarding the economic, employment, industry and other market data presented herein, these estimates involve inherent risks and uncertainties and are based on assumptions that are subject to change.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As a company with less than $1.07 billion in revenue during our last fiscal year, we qualify as an “emerging growth company” under the Jumpstart Our Business Startups Act of 2012, or the JOBS Act. An emerging growth company may take advantage of reduced reporting requirements and is relieved of certain other significant requirements that are otherwise generally applicable to public companies. As an emerging growth company:</w:t>
      </w:r>
    </w:p>
    <w:p>
      <w:pPr>
        <w:spacing w:after="0" w:line="79" w:lineRule="exact"/>
        <w:rPr>
          <w:sz w:val="20"/>
          <w:szCs w:val="20"/>
          <w:color w:val="auto"/>
        </w:rPr>
      </w:pPr>
    </w:p>
    <w:p>
      <w:pPr>
        <w:ind w:left="700" w:right="180" w:hanging="356"/>
        <w:spacing w:after="0" w:line="277"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present as few as two years of audited financial statements and two years of related management discussion and analysis of financial condition and results of operations;</w:t>
      </w:r>
    </w:p>
    <w:p>
      <w:pPr>
        <w:spacing w:after="0" w:line="62" w:lineRule="exact"/>
        <w:rPr>
          <w:rFonts w:ascii="Arial" w:cs="Arial" w:eastAsia="Arial" w:hAnsi="Arial"/>
          <w:sz w:val="18"/>
          <w:szCs w:val="18"/>
          <w:color w:val="auto"/>
        </w:rPr>
      </w:pPr>
    </w:p>
    <w:p>
      <w:pPr>
        <w:ind w:left="700" w:right="100" w:hanging="356"/>
        <w:spacing w:after="0" w:line="342" w:lineRule="auto"/>
        <w:tabs>
          <w:tab w:leader="none" w:pos="70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are exempt from the requirement to obtain an attestation and report from our auditors on management’s assessment of our internal control over financial reporting under the Sarbanes-Oxley Act of 2002, or the Sarbanes-Oxley Act;</w:t>
      </w:r>
    </w:p>
    <w:p>
      <w:pPr>
        <w:spacing w:after="0" w:line="15" w:lineRule="exact"/>
        <w:rPr>
          <w:rFonts w:ascii="Arial" w:cs="Arial" w:eastAsia="Arial" w:hAnsi="Arial"/>
          <w:sz w:val="16"/>
          <w:szCs w:val="16"/>
          <w:color w:val="auto"/>
        </w:rPr>
      </w:pPr>
    </w:p>
    <w:p>
      <w:pPr>
        <w:ind w:left="700" w:hanging="35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permitted to provide less extensive disclosure about our executive compensation arrangements; and</w:t>
      </w:r>
    </w:p>
    <w:p>
      <w:pPr>
        <w:spacing w:after="0" w:line="117" w:lineRule="exact"/>
        <w:rPr>
          <w:rFonts w:ascii="Arial" w:cs="Arial" w:eastAsia="Arial" w:hAnsi="Arial"/>
          <w:sz w:val="18"/>
          <w:szCs w:val="18"/>
          <w:color w:val="auto"/>
        </w:rPr>
      </w:pPr>
    </w:p>
    <w:p>
      <w:pPr>
        <w:ind w:left="700" w:right="180" w:hanging="356"/>
        <w:spacing w:after="0" w:line="277"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not required to give our shareholders non-binding advisory votes on executive compensation or golden parachute arrangements.</w:t>
      </w:r>
    </w:p>
    <w:p>
      <w:pPr>
        <w:spacing w:after="0" w:line="62" w:lineRule="exact"/>
        <w:rPr>
          <w:sz w:val="20"/>
          <w:szCs w:val="20"/>
          <w:color w:val="auto"/>
        </w:rPr>
      </w:pPr>
    </w:p>
    <w:p>
      <w:pPr>
        <w:ind w:right="20" w:firstLine="360"/>
        <w:spacing w:after="0" w:line="291" w:lineRule="auto"/>
        <w:rPr>
          <w:sz w:val="20"/>
          <w:szCs w:val="20"/>
          <w:color w:val="auto"/>
        </w:rPr>
      </w:pPr>
      <w:r>
        <w:rPr>
          <w:rFonts w:ascii="Arial" w:cs="Arial" w:eastAsia="Arial" w:hAnsi="Arial"/>
          <w:sz w:val="16"/>
          <w:szCs w:val="16"/>
          <w:color w:val="auto"/>
        </w:rPr>
        <w:t>In this prospectus we have elected to take advantage of the reduced disclosure requirements relating to the presentation and discussion of our audited financial statements and executive compensation, and in the future we may take advantage of any or all of these exemptions for so long as we remain an emerging growth company. We will remain an emerging growth company until the earliest of (i) the end of the fiscal year during which we have total annual gross revenues of $1.07 billion or more, (ii) the last day of the fiscal year following the fifth anniversary of the completion of this offering, (iii) the date on which we have, during the previous three-year period, issued more than $1.0 billion in non-convertible debt securities and (iv) the date on which we are deemed to be a “large accelerated filer” under the Securities Exchange Act of 1934, as amended, or the Exchange Act.</w:t>
      </w:r>
    </w:p>
    <w:p>
      <w:pPr>
        <w:spacing w:after="0" w:line="59" w:lineRule="exact"/>
        <w:rPr>
          <w:sz w:val="20"/>
          <w:szCs w:val="20"/>
          <w:color w:val="auto"/>
        </w:rPr>
      </w:pPr>
    </w:p>
    <w:p>
      <w:pPr>
        <w:ind w:right="140" w:firstLine="360"/>
        <w:spacing w:after="0" w:line="255" w:lineRule="auto"/>
        <w:rPr>
          <w:sz w:val="20"/>
          <w:szCs w:val="20"/>
          <w:color w:val="auto"/>
        </w:rPr>
      </w:pPr>
      <w:r>
        <w:rPr>
          <w:rFonts w:ascii="Arial" w:cs="Arial" w:eastAsia="Arial" w:hAnsi="Arial"/>
          <w:sz w:val="18"/>
          <w:szCs w:val="18"/>
          <w:color w:val="auto"/>
        </w:rPr>
        <w:t>In addition to the relief described above, the JOBS Act permits us an extended transition period for complying with new or revised accounting standards affecting public companies. We have elected to take advantage of this extended transition period, which means that the financial statements included in this prospectus, as well as any financial statements that we file in the future, will not be subject to all new or revised accounting standards generally applicable to public companies for the transition period for so long as we remain an emerging growth company or until we affirmatively and irrevocably opt out of the extended transition period under the JOBS Act.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 of S Corporation Status</w:t>
      </w:r>
    </w:p>
    <w:p>
      <w:pPr>
        <w:spacing w:after="0" w:line="121"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Beginning January 1, 1998, the Company elected to be taxed for U.S. federal income tax purposes as an “S corporation,” or S Corporation or S Corp, under the provisions of Sections 1361 to 1379 of the Internal Revenue Code of 1986, as amended, or the Code. As a result, our net income had not been subject to, and we had not paid, U.S. federal income tax, and no provision or liability for U.S. federal income tax had been included in our consolidated financial statements. Instead, for U.S. federal income tax purposes our taxable income was “passed through” to our shareholders.</w:t>
      </w:r>
    </w:p>
    <w:p>
      <w:pPr>
        <w:spacing w:after="0" w:line="64" w:lineRule="exact"/>
        <w:rPr>
          <w:sz w:val="20"/>
          <w:szCs w:val="20"/>
          <w:color w:val="auto"/>
        </w:rPr>
      </w:pPr>
    </w:p>
    <w:p>
      <w:pPr>
        <w:ind w:right="20" w:firstLine="360"/>
        <w:spacing w:after="0" w:line="291" w:lineRule="auto"/>
        <w:rPr>
          <w:sz w:val="20"/>
          <w:szCs w:val="20"/>
          <w:color w:val="auto"/>
        </w:rPr>
      </w:pPr>
      <w:r>
        <w:rPr>
          <w:rFonts w:ascii="Arial" w:cs="Arial" w:eastAsia="Arial" w:hAnsi="Arial"/>
          <w:sz w:val="16"/>
          <w:szCs w:val="16"/>
          <w:color w:val="auto"/>
        </w:rPr>
        <w:t>Effective May 31, 2018, the Company revoked its S Corporation election and the Company became taxed as a C Corporation under the provisions of Sections 301 to 385 of the Code (which treat the corporation as an entity that is subject to an entity level U.S. federal income tax). We established a deferred tax asset to reflect the S Corporation revocation. Thus, our net income is now subject to U.S. federal income tax and we bear the liability for those taxes. Unless otherwise stated, all information in this prospectus, including consolidated net income, return on average assets, return on average shareholders’ equity and earnings per share, is presented as if we had converted from an S Corporation to a C Corporation at the beginning of each respective period using a statutory tax rate for federal income taxes of 35.0% prior to January 1, 2018 and 21.0% after January 1, 2018.</w:t>
      </w:r>
    </w:p>
    <w:p>
      <w:pPr>
        <w:spacing w:after="0" w:line="59"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The Company calculates its pro forma C Corporation net income, return on average assets, return on average shareholders’ equity and earnings per share using a statutory tax rate for federal income taxes of 35.0% prior to January 1, 2018 and 21.0% after January 1, 2018. This calculation reflects only the revocation of the Company’s status as an S Corporation and does not give effect to any other transaction. As our state income taxes are insignificant, they are not reflected in these calculations. For our comparative C Corporation and S Corporation financial information, see “Selected Historical Consolidated Financial and Operating Information.”</w:t>
      </w:r>
    </w:p>
    <w:p>
      <w:pPr>
        <w:spacing w:after="0" w:line="85" w:lineRule="exact"/>
        <w:rPr>
          <w:sz w:val="20"/>
          <w:szCs w:val="20"/>
          <w:color w:val="auto"/>
        </w:rPr>
      </w:pPr>
    </w:p>
    <w:p>
      <w:pPr>
        <w:jc w:val="both"/>
        <w:ind w:right="40" w:firstLine="360"/>
        <w:spacing w:after="0" w:line="264" w:lineRule="auto"/>
        <w:rPr>
          <w:sz w:val="20"/>
          <w:szCs w:val="20"/>
          <w:color w:val="auto"/>
        </w:rPr>
      </w:pPr>
      <w:r>
        <w:rPr>
          <w:rFonts w:ascii="Arial" w:cs="Arial" w:eastAsia="Arial" w:hAnsi="Arial"/>
          <w:sz w:val="18"/>
          <w:szCs w:val="18"/>
          <w:color w:val="auto"/>
        </w:rPr>
        <w:t>While we were an S Corporation, our shareholders were subject to a shareholder agreement that was intended to preserve our S Corporation status, which we amended and restated when we became a C Corporation. At the 2019 annual meeting of shareholders, our shareholders approved the termination of that shareholder agreement.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ESOP Repurchase Right Termination</w:t>
      </w:r>
    </w:p>
    <w:p>
      <w:pPr>
        <w:spacing w:after="0" w:line="121" w:lineRule="exact"/>
        <w:rPr>
          <w:sz w:val="20"/>
          <w:szCs w:val="20"/>
          <w:color w:val="auto"/>
        </w:rPr>
      </w:pPr>
    </w:p>
    <w:p>
      <w:pPr>
        <w:ind w:right="20" w:firstLine="360"/>
        <w:spacing w:after="0" w:line="290" w:lineRule="auto"/>
        <w:rPr>
          <w:sz w:val="20"/>
          <w:szCs w:val="20"/>
          <w:color w:val="auto"/>
        </w:rPr>
      </w:pPr>
      <w:r>
        <w:rPr>
          <w:rFonts w:ascii="Arial" w:cs="Arial" w:eastAsia="Arial" w:hAnsi="Arial"/>
          <w:sz w:val="16"/>
          <w:szCs w:val="16"/>
          <w:color w:val="auto"/>
        </w:rPr>
        <w:t>In accordance with applicable provisions of the Internal Revenue Code, the terms of the South Plains Financial, Inc. Employee Stock Ownership Plan, or ESOP, currently provide that ESOP participants have the right, for a specified period of time, to require us to repurchase shares of our common stock that are distributed to them by the ESOP. The shares of common stock held by the ESOP are reflected in our consolidated balance sheet as of December 31, 2018 as a line item called “ESOP owned shares” appearing between total liabilities and shareholders’ equity. As a result, the ESOP-owned shares are deducted from shareholders’ equity in our consolidated balance sheet. This repurchase right will terminate upon the closing of this offering and the listing of our common stock on the NASDAQ Global Select Market, which we sometimes refer to as the ESOP Repurchase Right Termination, whereupon our repurchase liability will be extinguished and thereafter the ESOP-owned shares will not be deducted from shareholders’ equity.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4739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92825" cy="7473950"/>
                    </a:xfrm>
                    <a:prstGeom prst="rect">
                      <a:avLst/>
                    </a:prstGeom>
                    <a:noFill/>
                  </pic:spPr>
                </pic:pic>
              </a:graphicData>
            </a:graphic>
          </wp:anchor>
        </w:drawing>
      </w:r>
    </w:p>
    <w:p>
      <w:pPr>
        <w:spacing w:after="0" w:line="35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PROSPECTUS SUMMARY</w:t>
      </w:r>
    </w:p>
    <w:p>
      <w:pPr>
        <w:spacing w:after="0" w:line="121" w:lineRule="exact"/>
        <w:rPr>
          <w:sz w:val="20"/>
          <w:szCs w:val="20"/>
          <w:color w:val="auto"/>
        </w:rPr>
      </w:pPr>
    </w:p>
    <w:p>
      <w:pPr>
        <w:ind w:left="100" w:right="20" w:firstLine="360"/>
        <w:spacing w:after="0" w:line="255"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This summary does not contain all of the information that you should consider in making your investment decision. You should read the following summary together with the entire prospectus, including the matters discussed in the “Risk Factors” and “Management’s Discussion and Analysis of Financial Condition and Results of Operations” sections and the historical financial statements and the accompanying notes before deciding to invest in our common stock. Some of the statements in this prospectus constitute forward-looking statements. See “Forward-Looking Statements.”</w:t>
      </w:r>
    </w:p>
    <w:p>
      <w:pPr>
        <w:spacing w:after="0" w:line="18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left="100" w:right="180" w:firstLine="360"/>
        <w:spacing w:after="0" w:line="255" w:lineRule="auto"/>
        <w:rPr>
          <w:sz w:val="20"/>
          <w:szCs w:val="20"/>
          <w:color w:val="auto"/>
        </w:rPr>
      </w:pPr>
      <w:r>
        <w:rPr>
          <w:rFonts w:ascii="Arial" w:cs="Arial" w:eastAsia="Arial" w:hAnsi="Arial"/>
          <w:sz w:val="18"/>
          <w:szCs w:val="18"/>
          <w:color w:val="auto"/>
        </w:rPr>
        <w:t>We are a bank holding company headquartered in Lubbock, Texas, and our wholly-owned subsidiary, City Bank, is one of the largest independent banks in West Texas. We have additional banking operations in the Dallas-Fort Worth-Arlington and El Paso MSAs, as well as in the Greater Houston, College Station, and Ruidoso and Eastern New Mexico markets. Through City Bank, we provide a wide range of commercial and consumer financial services to small and medium-sized businesses and individuals in our market areas. Our principal business activities include commercial and retail banking, along with insurance, investment, trust and mortgage services.</w:t>
      </w:r>
    </w:p>
    <w:p>
      <w:pPr>
        <w:spacing w:after="0" w:line="85" w:lineRule="exact"/>
        <w:rPr>
          <w:sz w:val="20"/>
          <w:szCs w:val="20"/>
          <w:color w:val="auto"/>
        </w:rPr>
      </w:pPr>
    </w:p>
    <w:p>
      <w:pPr>
        <w:ind w:left="100" w:right="300" w:firstLine="360"/>
        <w:spacing w:after="0" w:line="277" w:lineRule="auto"/>
        <w:rPr>
          <w:sz w:val="20"/>
          <w:szCs w:val="20"/>
          <w:color w:val="auto"/>
        </w:rPr>
      </w:pPr>
      <w:r>
        <w:rPr>
          <w:rFonts w:ascii="Arial" w:cs="Arial" w:eastAsia="Arial" w:hAnsi="Arial"/>
          <w:sz w:val="18"/>
          <w:szCs w:val="18"/>
          <w:color w:val="auto"/>
        </w:rPr>
        <w:t>We had total assets of $2.7 billion, gross loans held for investment of $2.0 billion, total deposits of $2.3 billion, and total shareholders’ equity of $154.6 million as of December 31, 2018.</w:t>
      </w:r>
    </w:p>
    <w:p>
      <w:pPr>
        <w:spacing w:after="0" w:line="62" w:lineRule="exact"/>
        <w:rPr>
          <w:sz w:val="20"/>
          <w:szCs w:val="20"/>
          <w:color w:val="auto"/>
        </w:rPr>
      </w:pPr>
    </w:p>
    <w:p>
      <w:pPr>
        <w:ind w:left="100" w:right="20" w:firstLine="360"/>
        <w:spacing w:after="0" w:line="254" w:lineRule="auto"/>
        <w:rPr>
          <w:sz w:val="20"/>
          <w:szCs w:val="20"/>
          <w:color w:val="auto"/>
        </w:rPr>
      </w:pPr>
      <w:r>
        <w:rPr>
          <w:rFonts w:ascii="Arial" w:cs="Arial" w:eastAsia="Arial" w:hAnsi="Arial"/>
          <w:sz w:val="18"/>
          <w:szCs w:val="18"/>
          <w:color w:val="auto"/>
        </w:rPr>
        <w:t>Unless otherwise stated, all information in this prospectus, including consolidated net income, return on average assets, return on average shareholders’ equity and earnings per share, is presented as if we had converted from an S Corporation to a C Corporation at the beginning of each respective period using a statutory tax rate for federal income taxes of 35.0% prior to January 1, 2018 and 21.0% after January 1, 2018. In addition, unless otherwise stated, all information in this prospectus gives effect to a 29-for-1 stock dividend, whereby each holder of our common stock received 29 additional shares of common stock for each share owned as of the record date of March 11, 2019, which was distributed the same day. The stock dividend has the effect of a stock split on outstanding shares and per share figures, and it has been retroactively applied to all periods presented in this prospectus.</w:t>
      </w:r>
    </w:p>
    <w:p>
      <w:pPr>
        <w:spacing w:after="0" w:line="18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Our History and Growth</w:t>
      </w:r>
    </w:p>
    <w:p>
      <w:pPr>
        <w:spacing w:after="0" w:line="121" w:lineRule="exact"/>
        <w:rPr>
          <w:sz w:val="20"/>
          <w:szCs w:val="20"/>
          <w:color w:val="auto"/>
        </w:rPr>
      </w:pPr>
    </w:p>
    <w:p>
      <w:pPr>
        <w:ind w:left="100" w:firstLine="360"/>
        <w:spacing w:after="0" w:line="288" w:lineRule="auto"/>
        <w:rPr>
          <w:sz w:val="20"/>
          <w:szCs w:val="20"/>
          <w:color w:val="auto"/>
        </w:rPr>
      </w:pPr>
      <w:r>
        <w:rPr>
          <w:rFonts w:ascii="Arial" w:cs="Arial" w:eastAsia="Arial" w:hAnsi="Arial"/>
          <w:sz w:val="16"/>
          <w:szCs w:val="16"/>
          <w:color w:val="auto"/>
        </w:rPr>
        <w:t>Our company’s history dates back more than 75 years. We trace our beginnings to the founding of First State Bank of Morton, a community bank headquartered in West Texas that held approximately $1 million of total assets in 1941. In 1962, the bank was sold to new management, including J.K. Griffith, the father of our current Chairman and Chief Executive Officer, Curtis C. Griffith. Since Mr. Griffith was elected Chairman of First State Bank of Morton in 1984, the bank has transformed from a small-town institution with approximately $30 million in total assets and a single branch location into one of the largest community banks in West Texas. The parent company to First State Bank of Morton acquired South Plains National Bank of Levelland, Texas in 1991 and changed its name to South Plains Bank. The Company became the holding company to First State Bank of Morton and South Plains Bank in 1993, the same year we acquired City Bank. City Bank was originally established in Lubbock in 1984. We merged First State Bank of Morton and South Plains Bank into City Bank in 1998 and 1999, respectively. South Plains Financial, Inc. had more than $175 million in assets upon the closing of these acquisitions.</w:t>
      </w:r>
    </w:p>
    <w:p>
      <w:pPr>
        <w:spacing w:after="0" w:line="61" w:lineRule="exact"/>
        <w:rPr>
          <w:sz w:val="20"/>
          <w:szCs w:val="20"/>
          <w:color w:val="auto"/>
        </w:rPr>
      </w:pPr>
    </w:p>
    <w:p>
      <w:pPr>
        <w:ind w:left="100" w:right="100" w:firstLine="360"/>
        <w:spacing w:after="0" w:line="293" w:lineRule="auto"/>
        <w:rPr>
          <w:sz w:val="20"/>
          <w:szCs w:val="20"/>
          <w:color w:val="auto"/>
        </w:rPr>
      </w:pPr>
      <w:r>
        <w:rPr>
          <w:rFonts w:ascii="Arial" w:cs="Arial" w:eastAsia="Arial" w:hAnsi="Arial"/>
          <w:sz w:val="16"/>
          <w:szCs w:val="16"/>
          <w:color w:val="auto"/>
        </w:rPr>
        <w:t>We currently operate 21 full-service banking locations across six geographic markets resulting from five acquisitions, de novo branches, and the formation of a de novo bank in Ruidoso, New Mexico, which we later merged into the Bank. We also operate 13 loan production offices both in our banking markets and in certain key areas that primarily focus on mortgage loan production. We build long-lasting relationships with our customers by delivering high quality products and services and have sought to capitalize on the opportunities presented by continued consolidation in the banking industry. We believe a major contributor to our historical success has been our focus on becoming the community bank of choice in all markets that we serve.</w:t>
      </w:r>
    </w:p>
    <w:p>
      <w:pPr>
        <w:spacing w:after="0" w:line="57" w:lineRule="exact"/>
        <w:rPr>
          <w:sz w:val="20"/>
          <w:szCs w:val="20"/>
          <w:color w:val="auto"/>
        </w:rPr>
      </w:pPr>
    </w:p>
    <w:p>
      <w:pPr>
        <w:ind w:left="100" w:right="40" w:firstLine="360"/>
        <w:spacing w:after="0" w:line="264" w:lineRule="auto"/>
        <w:rPr>
          <w:sz w:val="20"/>
          <w:szCs w:val="20"/>
          <w:color w:val="auto"/>
        </w:rPr>
      </w:pPr>
      <w:r>
        <w:rPr>
          <w:rFonts w:ascii="Arial" w:cs="Arial" w:eastAsia="Arial" w:hAnsi="Arial"/>
          <w:sz w:val="18"/>
          <w:szCs w:val="18"/>
          <w:color w:val="auto"/>
        </w:rPr>
        <w:t>We have worked diligently to produce balance sheet growth, increase our earnings power, maintain sound credit quality, grow core deposits, create operational efficiencies, and improve digital and in-branch customer experiences. Our success in these areas is demonstrated by our:</w:t>
      </w:r>
    </w:p>
    <w:p>
      <w:pPr>
        <w:spacing w:after="0" w:line="73" w:lineRule="exact"/>
        <w:rPr>
          <w:sz w:val="20"/>
          <w:szCs w:val="20"/>
          <w:color w:val="auto"/>
        </w:rPr>
      </w:pPr>
    </w:p>
    <w:p>
      <w:pPr>
        <w:ind w:left="800" w:right="400" w:hanging="342"/>
        <w:spacing w:after="0" w:line="277"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Earnings growth, with a compound annual growth rate, or CAGR, of 11.9% in net income for the five years ended December 31, 2018;</w:t>
      </w:r>
    </w:p>
    <w:p>
      <w:pPr>
        <w:spacing w:after="0" w:line="200" w:lineRule="exact"/>
        <w:rPr>
          <w:sz w:val="20"/>
          <w:szCs w:val="20"/>
          <w:color w:val="auto"/>
        </w:rPr>
      </w:pPr>
    </w:p>
    <w:p>
      <w:pPr>
        <w:spacing w:after="0" w:line="2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40"/>
          </w:cols>
          <w:pgMar w:left="1180" w:top="279" w:right="127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2675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92825" cy="7267575"/>
                    </a:xfrm>
                    <a:prstGeom prst="rect">
                      <a:avLst/>
                    </a:prstGeom>
                    <a:noFill/>
                  </pic:spPr>
                </pic:pic>
              </a:graphicData>
            </a:graphic>
          </wp:anchor>
        </w:drawing>
      </w:r>
    </w:p>
    <w:p>
      <w:pPr>
        <w:spacing w:after="0" w:line="246" w:lineRule="exact"/>
        <w:rPr>
          <w:sz w:val="20"/>
          <w:szCs w:val="20"/>
          <w:color w:val="auto"/>
        </w:rPr>
      </w:pPr>
    </w:p>
    <w:p>
      <w:pPr>
        <w:ind w:left="800" w:hanging="342"/>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Loan growth, with a CAGR of 7.1% for the period December 31, 2013 to December 31, 2018;</w:t>
      </w:r>
    </w:p>
    <w:p>
      <w:pPr>
        <w:spacing w:after="0" w:line="117" w:lineRule="exact"/>
        <w:rPr>
          <w:rFonts w:ascii="Arial" w:cs="Arial" w:eastAsia="Arial" w:hAnsi="Arial"/>
          <w:sz w:val="18"/>
          <w:szCs w:val="18"/>
          <w:color w:val="auto"/>
        </w:rPr>
      </w:pPr>
    </w:p>
    <w:p>
      <w:pPr>
        <w:ind w:left="800" w:right="280" w:hanging="342"/>
        <w:spacing w:after="0" w:line="342" w:lineRule="auto"/>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color w:val="auto"/>
        </w:rPr>
        <w:t>Strong asset quality metrics, with a net charge-offs to average loans ratio of 0.27% for the year ended December 31, 2018 and our nonperforming assets representing 0.47% of our loans and OREO as of December 31, 2018; and</w:t>
      </w:r>
    </w:p>
    <w:p>
      <w:pPr>
        <w:spacing w:after="0" w:line="15" w:lineRule="exact"/>
        <w:rPr>
          <w:rFonts w:ascii="Arial" w:cs="Arial" w:eastAsia="Arial" w:hAnsi="Arial"/>
          <w:sz w:val="16"/>
          <w:szCs w:val="16"/>
          <w:color w:val="auto"/>
        </w:rPr>
      </w:pPr>
    </w:p>
    <w:p>
      <w:pPr>
        <w:ind w:left="800" w:right="220" w:hanging="342"/>
        <w:spacing w:after="0" w:line="312" w:lineRule="auto"/>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Core deposit base, which includes deposits obtained directly from depositors and excludes time deposits in excess of $250,000, deposits obtained from listing services, and brokered deposits, represented 90.4% of total deposits as of December 31, 2018, and our cost of total deposits, which was 0.80% for the year ended December 31, 2018.</w:t>
      </w:r>
    </w:p>
    <w:p>
      <w:pPr>
        <w:spacing w:after="0" w:line="14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100" w:right="80" w:firstLine="360"/>
        <w:spacing w:after="0" w:line="264" w:lineRule="auto"/>
        <w:rPr>
          <w:sz w:val="20"/>
          <w:szCs w:val="20"/>
          <w:color w:val="auto"/>
        </w:rPr>
      </w:pPr>
      <w:r>
        <w:rPr>
          <w:rFonts w:ascii="Arial" w:cs="Arial" w:eastAsia="Arial" w:hAnsi="Arial"/>
          <w:sz w:val="18"/>
          <w:szCs w:val="18"/>
          <w:color w:val="auto"/>
        </w:rPr>
        <w:t>Our strategy is to deliver best-in-class customer service and achieve our goal of becoming the preferred community bank in our market areas. We aim to increase shareholder value by achieving profitable growth and operating leverage through a combination of:</w:t>
      </w:r>
    </w:p>
    <w:p>
      <w:pPr>
        <w:spacing w:after="0" w:line="73" w:lineRule="exact"/>
        <w:rPr>
          <w:sz w:val="20"/>
          <w:szCs w:val="20"/>
          <w:color w:val="auto"/>
        </w:rPr>
      </w:pPr>
    </w:p>
    <w:p>
      <w:pPr>
        <w:ind w:left="800" w:right="60" w:hanging="342"/>
        <w:spacing w:after="0" w:line="255"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Organic Growth</w:t>
      </w:r>
      <w:r>
        <w:rPr>
          <w:rFonts w:ascii="Arial" w:cs="Arial" w:eastAsia="Arial" w:hAnsi="Arial"/>
          <w:sz w:val="18"/>
          <w:szCs w:val="18"/>
          <w:color w:val="auto"/>
        </w:rPr>
        <w:t>. We focus primarily on the organic growth of existing business lines in our current market areas.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customer-service driven, community-focused business model differentiates our company from competitors, many of which are larger out-of-market banks. Our strategy is to continue gathering low-cost deposits in these nonmetropolitan markets and deploy them in larger, more dynamic lending markets. The following shows our total deposits and gross loans held for investment in our community markets and our metropolitan markets as of December 31, 2018, which we believe illustrates this strategy.</w:t>
      </w:r>
    </w:p>
    <w:p>
      <w:pPr>
        <w:spacing w:after="0" w:line="50" w:lineRule="exact"/>
        <w:rPr>
          <w:sz w:val="20"/>
          <w:szCs w:val="20"/>
          <w:color w:val="auto"/>
        </w:rPr>
      </w:pPr>
    </w:p>
    <w:tbl>
      <w:tblPr>
        <w:tblLayout w:type="fixed"/>
        <w:tblInd w:w="860"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Deposits</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w w:val="87"/>
              </w:rPr>
              <w:t>Loans</w:t>
            </w: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0"/>
        </w:trPr>
        <w:tc>
          <w:tcPr>
            <w:tcW w:w="2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gridSpan w:val="7"/>
          </w:tcPr>
          <w:p>
            <w:pPr>
              <w:ind w:left="220"/>
              <w:spacing w:after="0"/>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Loans/</w:t>
            </w:r>
          </w:p>
        </w:tc>
      </w:tr>
      <w:tr>
        <w:trPr>
          <w:trHeight w:val="178"/>
        </w:trPr>
        <w:tc>
          <w:tcPr>
            <w:tcW w:w="2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5"/>
                <w:szCs w:val="15"/>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Overall %</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Overall %</w:t>
            </w:r>
          </w:p>
        </w:tc>
        <w:tc>
          <w:tcPr>
            <w:tcW w:w="18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Deposits</w:t>
            </w:r>
          </w:p>
        </w:tc>
        <w:tc>
          <w:tcPr>
            <w:tcW w:w="80" w:type="dxa"/>
            <w:vAlign w:val="bottom"/>
          </w:tcPr>
          <w:p>
            <w:pPr>
              <w:spacing w:after="0"/>
              <w:rPr>
                <w:sz w:val="15"/>
                <w:szCs w:val="15"/>
                <w:color w:val="auto"/>
              </w:rPr>
            </w:pPr>
          </w:p>
        </w:tc>
      </w:tr>
      <w:tr>
        <w:trPr>
          <w:trHeight w:val="243"/>
        </w:trPr>
        <w:tc>
          <w:tcPr>
            <w:tcW w:w="200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Metropolitan markets</w:t>
            </w:r>
            <w:r>
              <w:rPr>
                <w:rFonts w:ascii="Arial" w:cs="Arial" w:eastAsia="Arial" w:hAnsi="Arial"/>
                <w:sz w:val="28"/>
                <w:szCs w:val="28"/>
                <w:color w:val="auto"/>
                <w:vertAlign w:val="superscript"/>
              </w:rPr>
              <w:t>(1)</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394,756</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567,394</w:t>
            </w:r>
          </w:p>
        </w:tc>
        <w:tc>
          <w:tcPr>
            <w:tcW w:w="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143.7%</w:t>
            </w:r>
          </w:p>
        </w:tc>
      </w:tr>
      <w:tr>
        <w:trPr>
          <w:trHeight w:val="390"/>
        </w:trPr>
        <w:tc>
          <w:tcPr>
            <w:tcW w:w="2000" w:type="dxa"/>
            <w:vAlign w:val="bottom"/>
          </w:tcPr>
          <w:p>
            <w:pPr>
              <w:spacing w:after="0"/>
              <w:rPr>
                <w:sz w:val="20"/>
                <w:szCs w:val="20"/>
                <w:color w:val="auto"/>
              </w:rPr>
            </w:pPr>
            <w:r>
              <w:rPr>
                <w:rFonts w:ascii="Arial" w:cs="Arial" w:eastAsia="Arial" w:hAnsi="Arial"/>
                <w:sz w:val="18"/>
                <w:szCs w:val="18"/>
                <w:color w:val="auto"/>
              </w:rPr>
              <w:t>Community markets</w:t>
            </w:r>
            <w:r>
              <w:rPr>
                <w:rFonts w:ascii="Arial" w:cs="Arial" w:eastAsia="Arial" w:hAnsi="Arial"/>
                <w:sz w:val="29"/>
                <w:szCs w:val="29"/>
                <w:color w:val="auto"/>
                <w:vertAlign w:val="superscript"/>
              </w:rPr>
              <w:t>(2)</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1,882,698</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82.7%</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1,389,803</w:t>
            </w:r>
          </w:p>
        </w:tc>
        <w:tc>
          <w:tcPr>
            <w:tcW w:w="8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71.0%</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73.8%</w:t>
            </w:r>
          </w:p>
        </w:tc>
      </w:tr>
    </w:tbl>
    <w:p>
      <w:pPr>
        <w:spacing w:after="0" w:line="172" w:lineRule="exact"/>
        <w:rPr>
          <w:sz w:val="20"/>
          <w:szCs w:val="20"/>
          <w:color w:val="auto"/>
        </w:rPr>
      </w:pPr>
    </w:p>
    <w:p>
      <w:pPr>
        <w:ind w:left="1180" w:hanging="358"/>
        <w:spacing w:after="0"/>
        <w:tabs>
          <w:tab w:leader="none" w:pos="118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three Dallas, TX branches, two El Paso, TX branches, and one Houston, TX branch.</w:t>
      </w:r>
    </w:p>
    <w:p>
      <w:pPr>
        <w:spacing w:after="0" w:line="109" w:lineRule="exact"/>
        <w:rPr>
          <w:rFonts w:ascii="Arial" w:cs="Arial" w:eastAsia="Arial" w:hAnsi="Arial"/>
          <w:sz w:val="14"/>
          <w:szCs w:val="14"/>
          <w:color w:val="auto"/>
        </w:rPr>
      </w:pPr>
    </w:p>
    <w:p>
      <w:pPr>
        <w:ind w:left="1180" w:right="180" w:hanging="358"/>
        <w:spacing w:after="0" w:line="273" w:lineRule="auto"/>
        <w:tabs>
          <w:tab w:leader="none" w:pos="118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twelve branches in the Lubbock/South Plains market area, two branches in Ruidoso/Eastern, NM, and one branch in Bryan/College Station, TX.</w:t>
      </w:r>
    </w:p>
    <w:p>
      <w:pPr>
        <w:spacing w:after="0" w:line="57" w:lineRule="exact"/>
        <w:rPr>
          <w:sz w:val="20"/>
          <w:szCs w:val="20"/>
          <w:color w:val="auto"/>
        </w:rPr>
      </w:pPr>
    </w:p>
    <w:p>
      <w:pPr>
        <w:ind w:left="820" w:right="20"/>
        <w:spacing w:after="0" w:line="257" w:lineRule="auto"/>
        <w:rPr>
          <w:sz w:val="20"/>
          <w:szCs w:val="20"/>
          <w:color w:val="auto"/>
        </w:rPr>
      </w:pPr>
      <w:r>
        <w:rPr>
          <w:rFonts w:ascii="Arial" w:cs="Arial" w:eastAsia="Arial" w:hAnsi="Arial"/>
          <w:sz w:val="18"/>
          <w:szCs w:val="18"/>
          <w:color w:val="auto"/>
        </w:rPr>
        <w:t>In addition, we intend to actively recruit additional lenders and employees from other institutions. We have had success in this area which we believe is attributable to our employee ownership, long-standing market presence and desirable culture in which our employees can thrive. Finally, we cross-sell our various banking products, including our deposits and treasury wealth management to our commercial loan customers, which we believe provides a basis for expanding our banking relationships.</w:t>
      </w:r>
    </w:p>
    <w:p>
      <w:pPr>
        <w:spacing w:after="0" w:line="80" w:lineRule="exact"/>
        <w:rPr>
          <w:sz w:val="20"/>
          <w:szCs w:val="20"/>
          <w:color w:val="auto"/>
        </w:rPr>
      </w:pPr>
    </w:p>
    <w:p>
      <w:pPr>
        <w:ind w:left="800" w:hanging="342"/>
        <w:spacing w:after="0" w:line="268" w:lineRule="auto"/>
        <w:tabs>
          <w:tab w:leader="none" w:pos="80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Growth Through Acquisitions</w:t>
      </w:r>
      <w:r>
        <w:rPr>
          <w:rFonts w:ascii="Arial" w:cs="Arial" w:eastAsia="Arial" w:hAnsi="Arial"/>
          <w:sz w:val="17"/>
          <w:szCs w:val="17"/>
          <w:color w:val="auto"/>
        </w:rPr>
        <w:t>. We intend to take advantage of strategic acquisition opportunities, including using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common stock as public currency to become a logical consolidator in our market areas. As of December 31, 2018, there were more than 160 banks in Texas and New Mexico with total assets between $250 million and $1.0 billion, which provides us with ample opportunities to make acquisitions that increase shareholder value both in our existing markets and in attractive new markets in those states, including in Midland and Odessa, Texas. Catalysts for acquisition activity include scale and operational issues, excessive regulation, shareholder liquidity needs, and management succession concerns. We believe that our longstanding presence in West Texas, our culture of emphasizing employees as our most important asset, and our financial commitment to helping our communities will give us a significant advantage in making us an acquirer of choice. We acquired an online mortgage platform and staff from an Overland Park, Kansas-based mortgage company at the end of November 2018 as part of our strategy to enhance our consumer-direct business model for our mortgage operations to accompany our traditional brick-and-mortar delivery channels. We employ 32 full-time employees at this location. We are not currently party to any arrangements, understandings, or agreements to make any material acquisitions.</w:t>
      </w:r>
    </w:p>
    <w:p>
      <w:pPr>
        <w:spacing w:after="0" w:line="79" w:lineRule="exact"/>
        <w:rPr>
          <w:rFonts w:ascii="Arial" w:cs="Arial" w:eastAsia="Arial" w:hAnsi="Arial"/>
          <w:sz w:val="17"/>
          <w:szCs w:val="17"/>
          <w:color w:val="auto"/>
        </w:rPr>
      </w:pPr>
    </w:p>
    <w:p>
      <w:pPr>
        <w:ind w:left="800" w:right="20" w:hanging="342"/>
        <w:spacing w:after="0" w:line="264"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Operational Improvements Through Enterprise Risk Management</w:t>
      </w:r>
      <w:r>
        <w:rPr>
          <w:rFonts w:ascii="Arial" w:cs="Arial" w:eastAsia="Arial" w:hAnsi="Arial"/>
          <w:sz w:val="18"/>
          <w:szCs w:val="18"/>
          <w:color w:val="auto"/>
        </w:rPr>
        <w:t>. We implemented a rigorous enterprise risk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or ERM, system in the aftermath of the financial crisis, and view this development as a defining event for our institution. This system delivers a systematic approach to risk</w:t>
      </w:r>
    </w:p>
    <w:p>
      <w:pPr>
        <w:spacing w:after="0" w:line="200" w:lineRule="exact"/>
        <w:rPr>
          <w:sz w:val="20"/>
          <w:szCs w:val="20"/>
          <w:color w:val="auto"/>
        </w:rPr>
      </w:pPr>
    </w:p>
    <w:p>
      <w:pPr>
        <w:spacing w:after="0" w:line="26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40"/>
          </w:cols>
          <w:pgMar w:left="1180" w:top="279" w:right="127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7189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92825" cy="6718935"/>
                    </a:xfrm>
                    <a:prstGeom prst="rect">
                      <a:avLst/>
                    </a:prstGeom>
                    <a:noFill/>
                  </pic:spPr>
                </pic:pic>
              </a:graphicData>
            </a:graphic>
          </wp:anchor>
        </w:drawing>
      </w:r>
    </w:p>
    <w:p>
      <w:pPr>
        <w:spacing w:after="0" w:line="138" w:lineRule="exact"/>
        <w:rPr>
          <w:sz w:val="20"/>
          <w:szCs w:val="20"/>
          <w:color w:val="auto"/>
        </w:rPr>
      </w:pPr>
    </w:p>
    <w:p>
      <w:pPr>
        <w:ind w:left="820" w:right="40"/>
        <w:spacing w:after="0" w:line="289" w:lineRule="auto"/>
        <w:rPr>
          <w:sz w:val="20"/>
          <w:szCs w:val="20"/>
          <w:color w:val="auto"/>
        </w:rPr>
      </w:pPr>
      <w:r>
        <w:rPr>
          <w:rFonts w:ascii="Arial" w:cs="Arial" w:eastAsia="Arial" w:hAnsi="Arial"/>
          <w:sz w:val="16"/>
          <w:szCs w:val="16"/>
          <w:color w:val="auto"/>
        </w:rPr>
        <w:t>measurement and enhances the effectiveness of risk management across the institution. Integrating this system into our culture and strategic decision making has improved all functional areas of the business. Our asset quality has improved significantly by enhancing our underwriting process and establishing a specific credit appetite that aligns to the broader enterprise risk management framework. Operational oversight has been heightened to include monitoring for potential personnel, process and systems issues. We have also implemented monitoring and controls for other functional areas such as information security and technology, vendor management, liquidity, interest rate risk, compliance and company reputation. We believe the ERM program has positioned our company to better consummate acquisitions with less risk and increased cost savings. In addition, we believe we are one of the only community banks in our size range and market area to implement such a comprehensive risk management system.</w:t>
      </w:r>
    </w:p>
    <w:p>
      <w:pPr>
        <w:spacing w:after="0" w:line="59" w:lineRule="exact"/>
        <w:rPr>
          <w:sz w:val="20"/>
          <w:szCs w:val="20"/>
          <w:color w:val="auto"/>
        </w:rPr>
      </w:pPr>
    </w:p>
    <w:p>
      <w:pPr>
        <w:ind w:left="800" w:right="140" w:hanging="342"/>
        <w:spacing w:after="0" w:line="270" w:lineRule="auto"/>
        <w:tabs>
          <w:tab w:leader="none" w:pos="80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Improving Efficiency and Profitability</w:t>
      </w:r>
      <w:r>
        <w:rPr>
          <w:rFonts w:ascii="Arial" w:cs="Arial" w:eastAsia="Arial" w:hAnsi="Arial"/>
          <w:sz w:val="17"/>
          <w:szCs w:val="17"/>
          <w:color w:val="auto"/>
        </w:rPr>
        <w:t>. We have invested in a number of systems and processes that we believe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comparable to those of much larger financial institutions. These include our new operations center located in Lubbock which houses back-office processing for deposit operations, loan operations, mortgage operations, and corporate training. We are also investing in digital and payments technologies to increase efficiencies and streamline processes. These technologies including remote deposit capture software for business customers, expanded usage of electronic signatures, online account tools, and technologies that facilitate more efficient item processing. We believe these investments will allow us to scale our business without commensurate additional expenses and help us further reduce our efficiency ratio over time. Our efficiency ratio was 77.6% and 77.9% for the years ended December 31, 2018 and 2017, respectively.</w:t>
      </w:r>
    </w:p>
    <w:p>
      <w:pPr>
        <w:spacing w:after="0" w:line="73" w:lineRule="exact"/>
        <w:rPr>
          <w:rFonts w:ascii="Arial" w:cs="Arial" w:eastAsia="Arial" w:hAnsi="Arial"/>
          <w:sz w:val="17"/>
          <w:szCs w:val="17"/>
          <w:color w:val="auto"/>
        </w:rPr>
      </w:pPr>
    </w:p>
    <w:p>
      <w:pPr>
        <w:ind w:left="800" w:hanging="342"/>
        <w:spacing w:after="0" w:line="289" w:lineRule="auto"/>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Emphasize Community Banking</w:t>
      </w:r>
      <w:r>
        <w:rPr>
          <w:rFonts w:ascii="Arial" w:cs="Arial" w:eastAsia="Arial" w:hAnsi="Arial"/>
          <w:sz w:val="16"/>
          <w:szCs w:val="16"/>
          <w:color w:val="auto"/>
        </w:rPr>
        <w:t>. We intend to continue operating our subsidiary bank as a community banking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organization focused on meeting the specific needs of individuals and small and medium-sized businesses in our market areas. We will continue to provide a high degree of responsiveness and a wide variety of banking products and services to our customers. Our history and focus is centered on being a dominant bank in the smaller markets we serve. Our employees are engaged in numerous community activities and organizations beyond the bank and our consistent corporate message is that the success of our communities will drive the success of the Bank. We strive to meet all the financial needs of customers in those markets with outstanding products and service. We seek to leverage our banking platform as we expand into large metropolitan markets such as Dallas and Houston where we target customers looking for our relationship-based approach to banking and our sophisticated products and services.</w:t>
      </w:r>
    </w:p>
    <w:p>
      <w:pPr>
        <w:spacing w:after="0" w:line="16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800" w:right="140" w:hanging="342"/>
        <w:spacing w:after="0" w:line="255"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Management Depth and Experience. </w:t>
      </w:r>
      <w:r>
        <w:rPr>
          <w:rFonts w:ascii="Arial" w:cs="Arial" w:eastAsia="Arial" w:hAnsi="Arial"/>
          <w:sz w:val="18"/>
          <w:szCs w:val="18"/>
          <w:color w:val="auto"/>
        </w:rPr>
        <w:t>Our executive management team has an average of 31 years of commercial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banking experience with strong track records and deep customer relationships in our markets. We believe that our executive team has significant depth in areas such as lending, loan administration, business operations, finance, accounting, and technology. Our management team has significant tenure with the Bank. Our Chairman and Chief Executive Officer, Curtis C. Griffith, has worked with our President, Cory T. Newsom, for over 28 years. Together the executive team has successfully managed profitable growth for the institution while also managing credit quality through economic downturns.</w:t>
      </w:r>
    </w:p>
    <w:p>
      <w:pPr>
        <w:spacing w:after="0" w:line="81" w:lineRule="exact"/>
        <w:rPr>
          <w:sz w:val="20"/>
          <w:szCs w:val="20"/>
          <w:color w:val="auto"/>
        </w:rPr>
      </w:pPr>
    </w:p>
    <w:p>
      <w:pPr>
        <w:ind w:left="1180" w:right="200"/>
        <w:spacing w:after="0" w:line="291" w:lineRule="auto"/>
        <w:rPr>
          <w:sz w:val="20"/>
          <w:szCs w:val="20"/>
          <w:color w:val="auto"/>
        </w:rPr>
      </w:pPr>
      <w:r>
        <w:rPr>
          <w:rFonts w:ascii="Arial" w:cs="Arial" w:eastAsia="Arial" w:hAnsi="Arial"/>
          <w:sz w:val="16"/>
          <w:szCs w:val="16"/>
          <w:b w:val="1"/>
          <w:bCs w:val="1"/>
          <w:i w:val="1"/>
          <w:iCs w:val="1"/>
          <w:color w:val="auto"/>
        </w:rPr>
        <w:t xml:space="preserve">Curtis C. Griffith </w:t>
      </w:r>
      <w:r>
        <w:rPr>
          <w:rFonts w:ascii="Arial" w:cs="Arial" w:eastAsia="Arial" w:hAnsi="Arial"/>
          <w:sz w:val="16"/>
          <w:szCs w:val="16"/>
          <w:i w:val="1"/>
          <w:iCs w:val="1"/>
          <w:color w:val="auto"/>
        </w:rPr>
        <w:t>– Chairman and Chief Executive Officer – Age 66</w:t>
      </w:r>
      <w:r>
        <w:rPr>
          <w:rFonts w:ascii="Arial" w:cs="Arial" w:eastAsia="Arial" w:hAnsi="Arial"/>
          <w:sz w:val="16"/>
          <w:szCs w:val="16"/>
          <w:color w:val="auto"/>
        </w:rPr>
        <w:t>. Mr. Griffith has been with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its inception and has worked with the Bank and its predecessor institutions for over 47 years. Mr. Griffith became our Chairman and President in 1993, with his title shifting to Chairman and Chief Executive Officer earlier this year in connection with a general update of our executive team's titles. In 1972, he was elected to the board of directors of First State Bank of Morton, Texas, a predecessor institution to the Bank, and continues to serve on the board of directors of the Bank. He has served on the board of directors of the Independent Bankers Association of Texas, or IBAT, and continues to serve on the Legislative and PAC committees for IBAT.</w:t>
      </w:r>
    </w:p>
    <w:p>
      <w:pPr>
        <w:spacing w:after="0" w:line="59" w:lineRule="exact"/>
        <w:rPr>
          <w:sz w:val="20"/>
          <w:szCs w:val="20"/>
          <w:color w:val="auto"/>
        </w:rPr>
      </w:pPr>
    </w:p>
    <w:p>
      <w:pPr>
        <w:ind w:left="1180" w:right="660"/>
        <w:spacing w:after="0" w:line="308" w:lineRule="auto"/>
        <w:rPr>
          <w:sz w:val="20"/>
          <w:szCs w:val="20"/>
          <w:color w:val="auto"/>
        </w:rPr>
      </w:pPr>
      <w:r>
        <w:rPr>
          <w:rFonts w:ascii="Arial" w:cs="Arial" w:eastAsia="Arial" w:hAnsi="Arial"/>
          <w:sz w:val="17"/>
          <w:szCs w:val="17"/>
          <w:b w:val="1"/>
          <w:bCs w:val="1"/>
          <w:i w:val="1"/>
          <w:iCs w:val="1"/>
          <w:color w:val="auto"/>
        </w:rPr>
        <w:t xml:space="preserve">Cory T. Newsom </w:t>
      </w:r>
      <w:r>
        <w:rPr>
          <w:rFonts w:ascii="Arial" w:cs="Arial" w:eastAsia="Arial" w:hAnsi="Arial"/>
          <w:sz w:val="17"/>
          <w:szCs w:val="17"/>
          <w:i w:val="1"/>
          <w:iCs w:val="1"/>
          <w:color w:val="auto"/>
        </w:rPr>
        <w:t>– Director and President – Age 51</w:t>
      </w:r>
      <w:r>
        <w:rPr>
          <w:rFonts w:ascii="Arial" w:cs="Arial" w:eastAsia="Arial" w:hAnsi="Arial"/>
          <w:sz w:val="17"/>
          <w:szCs w:val="17"/>
          <w:color w:val="auto"/>
        </w:rPr>
        <w:t>. Mr. Newsom began his 36-year career in banking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progressing through our lending and operations areas. He currently serves as President</w:t>
      </w: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47980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92825" cy="4798060"/>
                    </a:xfrm>
                    <a:prstGeom prst="rect">
                      <a:avLst/>
                    </a:prstGeom>
                    <a:noFill/>
                  </pic:spPr>
                </pic:pic>
              </a:graphicData>
            </a:graphic>
          </wp:anchor>
        </w:drawing>
      </w:r>
    </w:p>
    <w:p>
      <w:pPr>
        <w:spacing w:after="0" w:line="138" w:lineRule="exact"/>
        <w:rPr>
          <w:sz w:val="20"/>
          <w:szCs w:val="20"/>
          <w:color w:val="auto"/>
        </w:rPr>
      </w:pPr>
    </w:p>
    <w:p>
      <w:pPr>
        <w:jc w:val="both"/>
        <w:ind w:left="1180" w:right="40"/>
        <w:spacing w:after="0" w:line="264" w:lineRule="auto"/>
        <w:rPr>
          <w:sz w:val="20"/>
          <w:szCs w:val="20"/>
          <w:color w:val="auto"/>
        </w:rPr>
      </w:pPr>
      <w:r>
        <w:rPr>
          <w:rFonts w:ascii="Arial" w:cs="Arial" w:eastAsia="Arial" w:hAnsi="Arial"/>
          <w:sz w:val="18"/>
          <w:szCs w:val="18"/>
          <w:color w:val="auto"/>
        </w:rPr>
        <w:t>of the Company and serves on the board of directors of the Company and the Bank. Mr. Newsom served as Chief Operating Officer of the Bank before being named President and Chief Executive Officer of the Bank in 2008. He also serves on the board of directors of IBAT.</w:t>
      </w:r>
    </w:p>
    <w:p>
      <w:pPr>
        <w:spacing w:after="0" w:line="73" w:lineRule="exact"/>
        <w:rPr>
          <w:sz w:val="20"/>
          <w:szCs w:val="20"/>
          <w:color w:val="auto"/>
        </w:rPr>
      </w:pPr>
    </w:p>
    <w:p>
      <w:pPr>
        <w:ind w:left="1180"/>
        <w:spacing w:after="0" w:line="272" w:lineRule="auto"/>
        <w:rPr>
          <w:sz w:val="20"/>
          <w:szCs w:val="20"/>
          <w:color w:val="auto"/>
        </w:rPr>
      </w:pPr>
      <w:r>
        <w:rPr>
          <w:rFonts w:ascii="Arial" w:cs="Arial" w:eastAsia="Arial" w:hAnsi="Arial"/>
          <w:sz w:val="17"/>
          <w:szCs w:val="17"/>
          <w:b w:val="1"/>
          <w:bCs w:val="1"/>
          <w:i w:val="1"/>
          <w:iCs w:val="1"/>
          <w:color w:val="auto"/>
        </w:rPr>
        <w:t xml:space="preserve">Steven B. Crockett </w:t>
      </w:r>
      <w:r>
        <w:rPr>
          <w:rFonts w:ascii="Arial" w:cs="Arial" w:eastAsia="Arial" w:hAnsi="Arial"/>
          <w:sz w:val="17"/>
          <w:szCs w:val="17"/>
          <w:i w:val="1"/>
          <w:iCs w:val="1"/>
          <w:color w:val="auto"/>
        </w:rPr>
        <w:t>– Chief Financial Officer and Treasurer – Age 47</w:t>
      </w:r>
      <w:r>
        <w:rPr>
          <w:rFonts w:ascii="Arial" w:cs="Arial" w:eastAsia="Arial" w:hAnsi="Arial"/>
          <w:sz w:val="17"/>
          <w:szCs w:val="17"/>
          <w:color w:val="auto"/>
        </w:rPr>
        <w:t>. Mr. Crockett has served as Chief Financial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 and Treasurer of the Company and as Chief Financial Officer of the Bank since 2015. He previously served as Senior Vice President and Controller of the Company from 2010 to 2014 and as Controller of the Bank from 2001 to 2014. As Controller, he was responsible for financial and regulatory reporting, coordinating financial statement audits, budgeting, capital forecasting, and financial projections. Before joining the Bank, he practiced in public accounting for seven years with an accounting firm that had previously functioned as a practicing office of PricewaterhouseCoopers, LLP in Lubbock, Texas.</w:t>
      </w:r>
    </w:p>
    <w:p>
      <w:pPr>
        <w:spacing w:after="0" w:line="70" w:lineRule="exact"/>
        <w:rPr>
          <w:sz w:val="20"/>
          <w:szCs w:val="20"/>
          <w:color w:val="auto"/>
        </w:rPr>
      </w:pPr>
    </w:p>
    <w:p>
      <w:pPr>
        <w:ind w:left="1180" w:right="40"/>
        <w:spacing w:after="0" w:line="279" w:lineRule="auto"/>
        <w:rPr>
          <w:sz w:val="20"/>
          <w:szCs w:val="20"/>
          <w:color w:val="auto"/>
        </w:rPr>
      </w:pPr>
      <w:r>
        <w:rPr>
          <w:rFonts w:ascii="Arial" w:cs="Arial" w:eastAsia="Arial" w:hAnsi="Arial"/>
          <w:sz w:val="17"/>
          <w:szCs w:val="17"/>
          <w:b w:val="1"/>
          <w:bCs w:val="1"/>
          <w:i w:val="1"/>
          <w:iCs w:val="1"/>
          <w:color w:val="auto"/>
        </w:rPr>
        <w:t xml:space="preserve">Kevin R. Bass </w:t>
      </w:r>
      <w:r>
        <w:rPr>
          <w:rFonts w:ascii="Arial" w:cs="Arial" w:eastAsia="Arial" w:hAnsi="Arial"/>
          <w:sz w:val="17"/>
          <w:szCs w:val="17"/>
          <w:i w:val="1"/>
          <w:iCs w:val="1"/>
          <w:color w:val="auto"/>
        </w:rPr>
        <w:t>– Chief Credit Officer – Age 52</w:t>
      </w:r>
      <w:r>
        <w:rPr>
          <w:rFonts w:ascii="Arial" w:cs="Arial" w:eastAsia="Arial" w:hAnsi="Arial"/>
          <w:sz w:val="17"/>
          <w:szCs w:val="17"/>
          <w:color w:val="auto"/>
        </w:rPr>
        <w:t>. Mr. Bass began his 31-year career in banking as a credit analyst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before serving as a bank regulator with the Texas Department of Banking for four years. He started with the Bank in 1995 as an asset review officer and currently serves as the Chief Credit Officer of each of the Company and the Bank. He has served on the board of directors of the Bank since 2006.</w:t>
      </w:r>
    </w:p>
    <w:p>
      <w:pPr>
        <w:spacing w:after="0" w:line="63" w:lineRule="exact"/>
        <w:rPr>
          <w:sz w:val="20"/>
          <w:szCs w:val="20"/>
          <w:color w:val="auto"/>
        </w:rPr>
      </w:pPr>
    </w:p>
    <w:p>
      <w:pPr>
        <w:ind w:left="1180" w:right="20"/>
        <w:spacing w:after="0" w:line="255" w:lineRule="auto"/>
        <w:rPr>
          <w:sz w:val="20"/>
          <w:szCs w:val="20"/>
          <w:color w:val="auto"/>
        </w:rPr>
      </w:pPr>
      <w:r>
        <w:rPr>
          <w:rFonts w:ascii="Arial" w:cs="Arial" w:eastAsia="Arial" w:hAnsi="Arial"/>
          <w:sz w:val="18"/>
          <w:szCs w:val="18"/>
          <w:b w:val="1"/>
          <w:bCs w:val="1"/>
          <w:i w:val="1"/>
          <w:iCs w:val="1"/>
          <w:color w:val="auto"/>
        </w:rPr>
        <w:t xml:space="preserve">Mikella D. Newsom </w:t>
      </w:r>
      <w:r>
        <w:rPr>
          <w:rFonts w:ascii="Arial" w:cs="Arial" w:eastAsia="Arial" w:hAnsi="Arial"/>
          <w:sz w:val="18"/>
          <w:szCs w:val="18"/>
          <w:i w:val="1"/>
          <w:iCs w:val="1"/>
          <w:color w:val="auto"/>
        </w:rPr>
        <w:t>– Chief Risk Officer and Secretary – Age 45</w:t>
      </w:r>
      <w:r>
        <w:rPr>
          <w:rFonts w:ascii="Arial" w:cs="Arial" w:eastAsia="Arial" w:hAnsi="Arial"/>
          <w:sz w:val="18"/>
          <w:szCs w:val="18"/>
          <w:color w:val="auto"/>
        </w:rPr>
        <w:t>. Ms. Newsom has a 23-year banking career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started at First State Bank of Morton, a predecessor institution to the Bank. She currently serves as Chief Risk Officer and Secretary of the Company and Chief Risk Officer of the Bank. She previously held the position of Chief Financial Officer of the Bank. She is a member of the Risk Management Association and the Texas Bankers Association where she serves on the Chief Risk Officer steering committee. Ms. Newsom has no familial relationship with Cory Newsom.</w:t>
      </w:r>
    </w:p>
    <w:p>
      <w:pPr>
        <w:spacing w:after="0" w:line="85" w:lineRule="exact"/>
        <w:rPr>
          <w:sz w:val="20"/>
          <w:szCs w:val="20"/>
          <w:color w:val="auto"/>
        </w:rPr>
      </w:pPr>
    </w:p>
    <w:p>
      <w:pPr>
        <w:ind w:left="1180" w:right="100"/>
        <w:spacing w:after="0" w:line="293" w:lineRule="auto"/>
        <w:rPr>
          <w:sz w:val="20"/>
          <w:szCs w:val="20"/>
          <w:color w:val="auto"/>
        </w:rPr>
      </w:pPr>
      <w:r>
        <w:rPr>
          <w:rFonts w:ascii="Arial" w:cs="Arial" w:eastAsia="Arial" w:hAnsi="Arial"/>
          <w:sz w:val="16"/>
          <w:szCs w:val="16"/>
          <w:b w:val="1"/>
          <w:bCs w:val="1"/>
          <w:i w:val="1"/>
          <w:iCs w:val="1"/>
          <w:color w:val="auto"/>
        </w:rPr>
        <w:t xml:space="preserve">Kelly L. Deterding </w:t>
      </w:r>
      <w:r>
        <w:rPr>
          <w:rFonts w:ascii="Arial" w:cs="Arial" w:eastAsia="Arial" w:hAnsi="Arial"/>
          <w:sz w:val="16"/>
          <w:szCs w:val="16"/>
          <w:i w:val="1"/>
          <w:iCs w:val="1"/>
          <w:color w:val="auto"/>
        </w:rPr>
        <w:t>– President of Windmark Insurance Agency, Inc. and Senior Vice President, Insurance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Development of City Bank – Age 61</w:t>
      </w:r>
      <w:r>
        <w:rPr>
          <w:rFonts w:ascii="Arial" w:cs="Arial" w:eastAsia="Arial" w:hAnsi="Arial"/>
          <w:sz w:val="16"/>
          <w:szCs w:val="16"/>
          <w:color w:val="auto"/>
        </w:rPr>
        <w:t>. Mr. Deterding has served as President of Windmark Insurance Agency, Inc.,</w:t>
      </w:r>
      <w:r>
        <w:rPr>
          <w:rFonts w:ascii="Arial" w:cs="Arial" w:eastAsia="Arial" w:hAnsi="Arial"/>
          <w:sz w:val="16"/>
          <w:szCs w:val="16"/>
          <w:i w:val="1"/>
          <w:iCs w:val="1"/>
          <w:color w:val="auto"/>
        </w:rPr>
        <w:t xml:space="preserve"> </w:t>
      </w:r>
      <w:r>
        <w:rPr>
          <w:rFonts w:ascii="Arial" w:cs="Arial" w:eastAsia="Arial" w:hAnsi="Arial"/>
          <w:sz w:val="16"/>
          <w:szCs w:val="16"/>
          <w:color w:val="auto"/>
        </w:rPr>
        <w:t>or Windmark Insurance, and as Senior Vice President of Insurance Development at the Bank since 2003. He has worked in the crop insurance industry since 1996, previously serving as an adjuster, a claims supervisor and a marketing representative for American Agrisurance. Mr. Deterding is also involved in several U.S. industry trade associations that represent the interests of the private sector crop insurance industry.</w:t>
      </w:r>
    </w:p>
    <w:p>
      <w:pPr>
        <w:spacing w:after="0" w:line="57" w:lineRule="exact"/>
        <w:rPr>
          <w:sz w:val="20"/>
          <w:szCs w:val="20"/>
          <w:color w:val="auto"/>
        </w:rPr>
      </w:pPr>
    </w:p>
    <w:p>
      <w:pPr>
        <w:ind w:left="800" w:right="100" w:hanging="342"/>
        <w:spacing w:after="0" w:line="257"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Low Cost Core-Deposit Base</w:t>
      </w:r>
      <w:r>
        <w:rPr>
          <w:rFonts w:ascii="Arial" w:cs="Arial" w:eastAsia="Arial" w:hAnsi="Arial"/>
          <w:sz w:val="18"/>
          <w:szCs w:val="18"/>
          <w:color w:val="auto"/>
        </w:rPr>
        <w:t>. We have built a strong core deposit base over many years by providing quality products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services to customers in our market areas. We offer retail deposit services through our existing branch network, as well as digital banking products. Core deposits totaled $2.1 billion, or 90.4% of total deposits, and noninterest-bearing deposits totaled $510.1 million, or 22.4% of total deposits as of December 31, 2018. Our cost of total deposits was 0.80% for the year ended December 31, 2018.</w:t>
      </w:r>
    </w:p>
    <w:p>
      <w:pPr>
        <w:spacing w:after="0" w:line="200" w:lineRule="exact"/>
        <w:rPr>
          <w:sz w:val="20"/>
          <w:szCs w:val="20"/>
          <w:color w:val="auto"/>
        </w:rPr>
      </w:pPr>
    </w:p>
    <w:p>
      <w:pPr>
        <w:spacing w:after="0" w:line="2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40"/>
          </w:cols>
          <w:pgMar w:left="1180" w:top="279" w:right="127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5507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92825" cy="7550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800" w:hanging="342"/>
        <w:spacing w:after="0" w:line="259"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Well-Balanced Loan Portfolio</w:t>
      </w:r>
      <w:r>
        <w:rPr>
          <w:rFonts w:ascii="Arial" w:cs="Arial" w:eastAsia="Arial" w:hAnsi="Arial"/>
          <w:sz w:val="18"/>
          <w:szCs w:val="18"/>
          <w:color w:val="auto"/>
        </w:rPr>
        <w:t>. We lend to both individual and business borrowers, with 68.9% of loans made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customers, and 31.1% of loans made to individual customers as of December 31, 2018. The Bank establishes a personal relationship with its customers and their businesses, with the goal of creating the right loans for the right borrowers and the right properties.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graph shows each major category of our loan portfolio as of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800" w:right="40" w:hanging="342"/>
        <w:spacing w:after="0" w:line="264"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Strong Asset Quality</w:t>
      </w:r>
      <w:r>
        <w:rPr>
          <w:rFonts w:ascii="Arial" w:cs="Arial" w:eastAsia="Arial" w:hAnsi="Arial"/>
          <w:sz w:val="18"/>
          <w:szCs w:val="18"/>
          <w:color w:val="auto"/>
        </w:rPr>
        <w:t>. We believe our in-depth knowledge of our markets and customers, as well as the implementation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consistent and conservative underwriting, has allowed us to maintain strong asset quality over time. Our nonperforming assets were $9.2 million as of December 31, 2018, which</w:t>
      </w:r>
    </w:p>
    <w:p>
      <w:pPr>
        <w:spacing w:after="0" w:line="200" w:lineRule="exact"/>
        <w:rPr>
          <w:sz w:val="20"/>
          <w:szCs w:val="20"/>
          <w:color w:val="auto"/>
        </w:rPr>
      </w:pPr>
    </w:p>
    <w:p>
      <w:pPr>
        <w:spacing w:after="0" w:line="26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40"/>
          </w:cols>
          <w:pgMar w:left="1180" w:top="279" w:right="127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002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92825" cy="7002145"/>
                    </a:xfrm>
                    <a:prstGeom prst="rect">
                      <a:avLst/>
                    </a:prstGeom>
                    <a:noFill/>
                  </pic:spPr>
                </pic:pic>
              </a:graphicData>
            </a:graphic>
          </wp:anchor>
        </w:drawing>
      </w:r>
    </w:p>
    <w:p>
      <w:pPr>
        <w:spacing w:after="0" w:line="138" w:lineRule="exact"/>
        <w:rPr>
          <w:sz w:val="20"/>
          <w:szCs w:val="20"/>
          <w:color w:val="auto"/>
        </w:rPr>
      </w:pPr>
    </w:p>
    <w:p>
      <w:pPr>
        <w:ind w:left="820"/>
        <w:spacing w:after="0" w:line="264" w:lineRule="auto"/>
        <w:rPr>
          <w:sz w:val="20"/>
          <w:szCs w:val="20"/>
          <w:color w:val="auto"/>
        </w:rPr>
      </w:pPr>
      <w:r>
        <w:rPr>
          <w:rFonts w:ascii="Arial" w:cs="Arial" w:eastAsia="Arial" w:hAnsi="Arial"/>
          <w:sz w:val="18"/>
          <w:szCs w:val="18"/>
          <w:color w:val="auto"/>
        </w:rPr>
        <w:t>represents less than 0.47% of our loans and OREO. Our net charge-offs as a percentage of average loans was 0.27% for the year ended December 31, 2018. Additionally, our loan loss reserve to nonperforming loans ratio was 332.6% as of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800" w:hanging="342"/>
        <w:spacing w:after="0" w:line="271" w:lineRule="auto"/>
        <w:tabs>
          <w:tab w:leader="none" w:pos="800"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Fee Income</w:t>
      </w:r>
      <w:r>
        <w:rPr>
          <w:rFonts w:ascii="Arial" w:cs="Arial" w:eastAsia="Arial" w:hAnsi="Arial"/>
          <w:sz w:val="17"/>
          <w:szCs w:val="17"/>
          <w:color w:val="auto"/>
        </w:rPr>
        <w:t>. Our fee income is primarily driven by our mortgage operations, debit card and other bank service charge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income, and income for our insurance, trust and investment services business. Fee income comprised 35.3% of our total revenue for the year ended December 31, 2018. This compares to a median fee income of 10.3% of total revenue for major exchange-traded banks headquartered in Texas with total assets between $1.0 billion and $5.0 billion and 15.6% of total revenue for all banks headquartered in Texas with total assets between $1.0 billion and $5.0 billion. Our fee income provides shareholders with a recurring and diversified earnings stream. Total fee income was $52.1 million for the year ended December 31, 2018 and has increased significantly over the past five years due primarily to growth and improved performance in our mortgage banking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800" w:right="60" w:hanging="342"/>
        <w:spacing w:after="0" w:line="257"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Outstanding Place to Work</w:t>
      </w:r>
      <w:r>
        <w:rPr>
          <w:rFonts w:ascii="Arial" w:cs="Arial" w:eastAsia="Arial" w:hAnsi="Arial"/>
          <w:sz w:val="18"/>
          <w:szCs w:val="18"/>
          <w:color w:val="auto"/>
        </w:rPr>
        <w:t>. The Bank has been repeatedly recognized as an outstanding place to work, with American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Banker naming it one of the “Best Banks to Work For” for six consecutive years and ranking it the number 13 bank in the nation in 2018. We believe that we provide excellent pay and benefits to our employees as well as a safe and inviting workplace. Our employees respond with loyalty and by making us known in our communities as a bank that does the right things for the right reasons.</w:t>
      </w:r>
    </w:p>
    <w:p>
      <w:pPr>
        <w:spacing w:after="0" w:line="80" w:lineRule="exact"/>
        <w:rPr>
          <w:rFonts w:ascii="Arial" w:cs="Arial" w:eastAsia="Arial" w:hAnsi="Arial"/>
          <w:sz w:val="18"/>
          <w:szCs w:val="18"/>
          <w:color w:val="auto"/>
        </w:rPr>
      </w:pPr>
    </w:p>
    <w:p>
      <w:pPr>
        <w:ind w:left="800" w:right="140" w:hanging="342"/>
        <w:spacing w:after="0" w:line="259"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Inside Ownership</w:t>
      </w:r>
      <w:r>
        <w:rPr>
          <w:rFonts w:ascii="Arial" w:cs="Arial" w:eastAsia="Arial" w:hAnsi="Arial"/>
          <w:sz w:val="18"/>
          <w:szCs w:val="18"/>
          <w:color w:val="auto"/>
        </w:rPr>
        <w:t>. Our ESOP, employees, officers and directors of the Company and the Bank, and the families they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 are our primary shareholders. Currently, they represent shareholders who own 70.1% of our common stock. We believe that this level of insider ownership keeps our corporate goals and strategy aligned with the interests of all shareholders.</w:t>
      </w:r>
    </w:p>
    <w:p>
      <w:pPr>
        <w:spacing w:after="0" w:line="200" w:lineRule="exact"/>
        <w:rPr>
          <w:sz w:val="20"/>
          <w:szCs w:val="20"/>
          <w:color w:val="auto"/>
        </w:rPr>
      </w:pPr>
    </w:p>
    <w:p>
      <w:pPr>
        <w:spacing w:after="0" w:line="2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40"/>
          </w:cols>
          <w:pgMar w:left="1180" w:top="279" w:right="127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2675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92825" cy="7267575"/>
                    </a:xfrm>
                    <a:prstGeom prst="rect">
                      <a:avLst/>
                    </a:prstGeom>
                    <a:noFill/>
                  </pic:spPr>
                </pic:pic>
              </a:graphicData>
            </a:graphic>
          </wp:anchor>
        </w:drawing>
      </w:r>
    </w:p>
    <w:p>
      <w:pPr>
        <w:spacing w:after="0" w:line="35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Our Banking Markets</w:t>
      </w:r>
    </w:p>
    <w:p>
      <w:pPr>
        <w:spacing w:after="0" w:line="121"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Lubbock/South Plains</w:t>
      </w:r>
    </w:p>
    <w:p>
      <w:pPr>
        <w:spacing w:after="0" w:line="117" w:lineRule="exact"/>
        <w:rPr>
          <w:sz w:val="20"/>
          <w:szCs w:val="20"/>
          <w:color w:val="auto"/>
        </w:rPr>
      </w:pPr>
    </w:p>
    <w:p>
      <w:pPr>
        <w:ind w:left="100" w:firstLine="360"/>
        <w:spacing w:after="0" w:line="287" w:lineRule="auto"/>
        <w:rPr>
          <w:sz w:val="20"/>
          <w:szCs w:val="20"/>
          <w:color w:val="auto"/>
        </w:rPr>
      </w:pPr>
      <w:r>
        <w:rPr>
          <w:rFonts w:ascii="Arial" w:cs="Arial" w:eastAsia="Arial" w:hAnsi="Arial"/>
          <w:sz w:val="16"/>
          <w:szCs w:val="16"/>
          <w:color w:val="auto"/>
        </w:rPr>
        <w:t>We operate 12 branches holding $1.7 billion of deposits in the Lubbock MSA and the surrounding South Plains region as of December 31, 2018. The Lubbock MSA is home to more than 315,000 people with major industries in agribusiness – primarily cotton, corn, and grain sorghum – as well as education, trade and transportation, health services and government, among others. Lubbock is home to Texas Tech University, a public research university enrolling more than 35,000 students each year, according to the university’s website. Texas Tech’s student enrollment ranks within the top 10 for universities in Texas as of the Spring 2018 semester, and is one of only two campuses in the state to house an undergraduate university, law school, and medical school. Lubbock Christian University is also headquartered in Lubbock and Wayland Baptist University and South Plains College maintain campuses here. The Lubbock MSA reports unemployment of 3.1% for 2018 according to Forbes, which also listed Lubbock as one of its “Best Places for Business and Careers” during 2018, with a gross metro product of more than $14.0 billion during 2018. Major employers in the Lubbock MSA include Texas Tech University, United Super Market, Covenant Health System, UMC Health System and Lubbock ISD, according to the Lubbock Economic Development Alliance.</w:t>
      </w:r>
    </w:p>
    <w:p>
      <w:pPr>
        <w:spacing w:after="0" w:line="173"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Dallas</w:t>
      </w:r>
    </w:p>
    <w:p>
      <w:pPr>
        <w:spacing w:after="0" w:line="117" w:lineRule="exact"/>
        <w:rPr>
          <w:sz w:val="20"/>
          <w:szCs w:val="20"/>
          <w:color w:val="auto"/>
        </w:rPr>
      </w:pPr>
    </w:p>
    <w:p>
      <w:pPr>
        <w:ind w:left="100" w:right="20" w:firstLine="360"/>
        <w:spacing w:after="0" w:line="288" w:lineRule="auto"/>
        <w:rPr>
          <w:sz w:val="20"/>
          <w:szCs w:val="20"/>
          <w:color w:val="auto"/>
        </w:rPr>
      </w:pPr>
      <w:r>
        <w:rPr>
          <w:rFonts w:ascii="Arial" w:cs="Arial" w:eastAsia="Arial" w:hAnsi="Arial"/>
          <w:sz w:val="16"/>
          <w:szCs w:val="16"/>
          <w:color w:val="auto"/>
        </w:rPr>
        <w:t>We operate three branches with $258.7 million of deposits as of December 31, 2018 and six mortgage offices in the Dallas-Fort Worth-Arlington MSA, which we refer to as the Dallas-Fort Worth metroplex. The Dallas-Fort Worth metroplex is the largest MSA in Texas and fourth largest in the nation as of 2018, according to S&amp;P Global. It saw the second highest population growth of any MSA from 2010 to 2018 and third highest employment growth from 2015 to 2018, according to S&amp;P Global. The area also serves as the corporate headquarters for 22 Fortune 500 companies including Southwest Airlines, AT&amp;T and Exxon Mobil, ranking third in the nation for Fortune 500 corporate headquarters, according to the Dallas Regional Chamber of Commerce. The Dallas-Fort Worth metroplex area was responsible for producing 33% of the state’s total gross domestic product in 2018. The Dallas-Fort Worth International Airport is the fourth largest in the country for passenger traffic according to the Dallas Morning News. According to the U.S. Bureau of Economic Analysis, and, according to the Dallas Economic Development, the MSA is home to over 65,000 businesses, adding over 300 jobs per day on average over the past twelve months.</w:t>
      </w:r>
    </w:p>
    <w:p>
      <w:pPr>
        <w:spacing w:after="0" w:line="169"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El Paso</w:t>
      </w:r>
    </w:p>
    <w:p>
      <w:pPr>
        <w:spacing w:after="0" w:line="117" w:lineRule="exact"/>
        <w:rPr>
          <w:sz w:val="20"/>
          <w:szCs w:val="20"/>
          <w:color w:val="auto"/>
        </w:rPr>
      </w:pPr>
    </w:p>
    <w:p>
      <w:pPr>
        <w:ind w:left="100" w:firstLine="360"/>
        <w:spacing w:after="0" w:line="268" w:lineRule="auto"/>
        <w:rPr>
          <w:sz w:val="20"/>
          <w:szCs w:val="20"/>
          <w:color w:val="auto"/>
        </w:rPr>
      </w:pPr>
      <w:r>
        <w:rPr>
          <w:rFonts w:ascii="Arial" w:cs="Arial" w:eastAsia="Arial" w:hAnsi="Arial"/>
          <w:sz w:val="16"/>
          <w:szCs w:val="16"/>
          <w:color w:val="auto"/>
        </w:rPr>
        <w:t>We operate two bank branches with $111.2 million of deposits as of December 31, 2018 and a mortgage office in the El Paso MSA, which has a population of more than 850,000. The El Paso MSA is adjacent to Juarez, Mexico, which has a growing industrial center, an estimated population of 1.5 million people, and has contributed to significant growth in El Paso. The El Paso MSA provides manufacturing, education, and retail services to businesses and residents in Juarez. The El Paso MSA is home to Fort Bliss, which houses the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Armored Division, the 32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Army Air and Missile Defense Command and the 402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Field Artillery Brigade, among other major units. Fort Bliss is also adjacent to the White Sands Missile Range. Civil employers include a number of universities, including The University of Texas at El Paso, The Texas Tech School of Medicine, El Paso Community College, and Vista College. The largest industries in the El Paso MSA are military, healthcare, educational services and retail. The highest paying industries are business management, oil and gas and utilities according to Data USA.</w:t>
      </w:r>
    </w:p>
    <w:p>
      <w:pPr>
        <w:spacing w:after="0" w:line="183"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Houston</w:t>
      </w:r>
    </w:p>
    <w:p>
      <w:pPr>
        <w:spacing w:after="0" w:line="117" w:lineRule="exact"/>
        <w:rPr>
          <w:sz w:val="20"/>
          <w:szCs w:val="20"/>
          <w:color w:val="auto"/>
        </w:rPr>
      </w:pPr>
    </w:p>
    <w:p>
      <w:pPr>
        <w:ind w:left="100" w:right="40" w:firstLine="360"/>
        <w:spacing w:after="0" w:line="270" w:lineRule="auto"/>
        <w:rPr>
          <w:sz w:val="20"/>
          <w:szCs w:val="20"/>
          <w:color w:val="auto"/>
        </w:rPr>
      </w:pPr>
      <w:r>
        <w:rPr>
          <w:rFonts w:ascii="Arial" w:cs="Arial" w:eastAsia="Arial" w:hAnsi="Arial"/>
          <w:sz w:val="17"/>
          <w:szCs w:val="17"/>
          <w:color w:val="auto"/>
        </w:rPr>
        <w:t>We operate one branch with $24.8 million of deposits in the city of Houston as of December 31, 2018. The Houston-The Woodlands-Sugarland MSA, which we refer to as Greater Houston, is the corporate headquarters for 21 Fortune 500 companies, ranking fourth among metro areas according to the Greater Houston Partnership. Greater Houston had the seventh largest gross domestic product in the U.S. in 2018, according to the U.S. Bureau of Economic Analysis. While Houston is known as the “Energy Capital of the World,” the metropolitan area also boasts the largest medical complex in the world, has the second busiest port in the United States in 2018, and is a leader in international business. Houston’s economic success is projected to continue, with employment growth of 1.74% annually through the year 2040, according to the Perryman Group. Greater Houston has seen robust population expansion over the last several years – largely a result of the companies headquartered in the area, such as Anadarko Petroleum, Aon Hewitt, ConocoPhillips, Sysco, Waste Connections, Inc., Halliburton and Baker Hughes, among others, according to The Houston Chronicle.</w:t>
      </w:r>
    </w:p>
    <w:p>
      <w:pPr>
        <w:spacing w:after="0" w:line="200" w:lineRule="exact"/>
        <w:rPr>
          <w:sz w:val="20"/>
          <w:szCs w:val="20"/>
          <w:color w:val="auto"/>
        </w:rPr>
      </w:pPr>
    </w:p>
    <w:p>
      <w:pPr>
        <w:spacing w:after="0" w:line="2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9246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92825" cy="6924675"/>
                    </a:xfrm>
                    <a:prstGeom prst="rect">
                      <a:avLst/>
                    </a:prstGeom>
                    <a:noFill/>
                  </pic:spPr>
                </pic:pic>
              </a:graphicData>
            </a:graphic>
          </wp:anchor>
        </w:drawing>
      </w:r>
    </w:p>
    <w:p>
      <w:pPr>
        <w:spacing w:after="0" w:line="354"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Bryan/College Station</w:t>
      </w:r>
    </w:p>
    <w:p>
      <w:pPr>
        <w:spacing w:after="0" w:line="117" w:lineRule="exact"/>
        <w:rPr>
          <w:sz w:val="20"/>
          <w:szCs w:val="20"/>
          <w:color w:val="auto"/>
        </w:rPr>
      </w:pPr>
    </w:p>
    <w:p>
      <w:pPr>
        <w:ind w:left="100" w:right="60" w:firstLine="360"/>
        <w:spacing w:after="0" w:line="289" w:lineRule="auto"/>
        <w:rPr>
          <w:sz w:val="20"/>
          <w:szCs w:val="20"/>
          <w:color w:val="auto"/>
        </w:rPr>
      </w:pPr>
      <w:r>
        <w:rPr>
          <w:rFonts w:ascii="Arial" w:cs="Arial" w:eastAsia="Arial" w:hAnsi="Arial"/>
          <w:sz w:val="16"/>
          <w:szCs w:val="16"/>
          <w:color w:val="auto"/>
        </w:rPr>
        <w:t>We operate one branch and one mortgage office in the city of College Station, Texas, which has $67.7 million in deposits as of December 31, 2018. The Bryan-College Station MSA, which we refer to as Bryan/College Station, is home to Texas A&amp;M University, which enrolls over 68,000 students and is the largest university in the state according to the Texas Higher Education Coordinating Board. Bryan/College Station ranked first in Texas and third nationwide for Best Small Places for Business and Careers in 2018 with job growth of 10.3% from 2015 to 2018, according to Forbes. Unemployment in the Bryan/College station MSA reached a historically low rate of 2.8% in 2018. Total construction project valuation in Bryan/College Station was over $750 million in 2016. Notable ongoing projects include the Texas A&amp;M RELLIS Campus, a $250 million, 2,000 acre campus dedicated to technology development, as well as the continued development of ATLAS, a master planned community and business complex specifically constructed for companies engaged in medical technology and pharmaceuticals.</w:t>
      </w:r>
    </w:p>
    <w:p>
      <w:pPr>
        <w:spacing w:after="0" w:line="167"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Ruidoso/Eastern New Mexico</w:t>
      </w:r>
    </w:p>
    <w:p>
      <w:pPr>
        <w:spacing w:after="0" w:line="117" w:lineRule="exact"/>
        <w:rPr>
          <w:sz w:val="20"/>
          <w:szCs w:val="20"/>
          <w:color w:val="auto"/>
        </w:rPr>
      </w:pPr>
    </w:p>
    <w:p>
      <w:pPr>
        <w:ind w:left="100" w:right="20" w:firstLine="360"/>
        <w:spacing w:after="0" w:line="290" w:lineRule="auto"/>
        <w:rPr>
          <w:sz w:val="20"/>
          <w:szCs w:val="20"/>
          <w:color w:val="auto"/>
        </w:rPr>
      </w:pPr>
      <w:r>
        <w:rPr>
          <w:rFonts w:ascii="Arial" w:cs="Arial" w:eastAsia="Arial" w:hAnsi="Arial"/>
          <w:sz w:val="16"/>
          <w:szCs w:val="16"/>
          <w:color w:val="auto"/>
        </w:rPr>
        <w:t>We operate two branches with $116.3 million of deposits as of December 31, 2018 in the village of Ruidoso, New Mexico, which makes our institution the largest deposit holder in the Ruidoso micropolitan statistical area. Based on the customers we serve and our strategic plan, we consider the Eastern New Mexico region, including Ruidoso, to be our market area. The Ruidoso micropolitan statistical area is home to a population of more than 20,000, according to data obtained through the United States Census Bureau. Ruidoso has seen a large amount of investment over the last decade from developers. Notable projects include housing subdivisions and condominiums, as well as retail centers, all of which are transforming the once slow-moving mountain community into one of popularity and high growth, especially for active retirees. Ruidoso is home to a number of public and private schools, as well as a two-year community college branch of Eastern New Mexico University.</w:t>
      </w:r>
    </w:p>
    <w:p>
      <w:pPr>
        <w:spacing w:after="0" w:line="16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Our Challenges</w:t>
      </w:r>
    </w:p>
    <w:p>
      <w:pPr>
        <w:spacing w:after="0" w:line="121" w:lineRule="exact"/>
        <w:rPr>
          <w:sz w:val="20"/>
          <w:szCs w:val="20"/>
          <w:color w:val="auto"/>
        </w:rPr>
      </w:pPr>
    </w:p>
    <w:p>
      <w:pPr>
        <w:ind w:left="100" w:right="80" w:firstLine="36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There are a number of risks that you should consider before investing in our common stock. These risks are discussed more fully in the section titled “Risk Factors,” beginning on page </w:t>
      </w:r>
      <w:hyperlink w:anchor="page21">
        <w:r>
          <w:rPr>
            <w:rFonts w:ascii="Arial" w:cs="Arial" w:eastAsia="Arial" w:hAnsi="Arial"/>
            <w:sz w:val="18"/>
            <w:szCs w:val="18"/>
            <w:u w:val="single" w:color="auto"/>
            <w:color w:val="0000EE"/>
          </w:rPr>
          <w:t>14,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and include, but are not limited to:</w:t>
      </w:r>
    </w:p>
    <w:p>
      <w:pPr>
        <w:spacing w:after="0" w:line="62" w:lineRule="exact"/>
        <w:rPr>
          <w:sz w:val="20"/>
          <w:szCs w:val="20"/>
          <w:color w:val="auto"/>
        </w:rPr>
      </w:pPr>
    </w:p>
    <w:p>
      <w:pPr>
        <w:ind w:left="800" w:hanging="342"/>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not be able to adequately measure and limit our credit risk, which could lead to unexpected losses;</w:t>
      </w:r>
    </w:p>
    <w:p>
      <w:pPr>
        <w:spacing w:after="0" w:line="117" w:lineRule="exact"/>
        <w:rPr>
          <w:rFonts w:ascii="Arial" w:cs="Arial" w:eastAsia="Arial" w:hAnsi="Arial"/>
          <w:sz w:val="18"/>
          <w:szCs w:val="18"/>
          <w:color w:val="auto"/>
        </w:rPr>
      </w:pPr>
    </w:p>
    <w:p>
      <w:pPr>
        <w:ind w:left="800" w:right="120" w:hanging="342"/>
        <w:spacing w:after="0" w:line="264"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Because a significant portion of our loan portfolio is comprised of real estate loans, negative changes in the economy affecting real estate values and liquidity could impair the value of collateral securing our real estate loans and result in loan and other losses;</w:t>
      </w:r>
    </w:p>
    <w:p>
      <w:pPr>
        <w:spacing w:after="0" w:line="73" w:lineRule="exact"/>
        <w:rPr>
          <w:rFonts w:ascii="Arial" w:cs="Arial" w:eastAsia="Arial" w:hAnsi="Arial"/>
          <w:sz w:val="18"/>
          <w:szCs w:val="18"/>
          <w:color w:val="auto"/>
        </w:rPr>
      </w:pPr>
    </w:p>
    <w:p>
      <w:pPr>
        <w:ind w:left="800" w:right="360" w:hanging="342"/>
        <w:spacing w:after="0" w:line="277"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rely heavily on our executive management team and other key employees, and the loss of any these individuals could adversely impact our business or reputation;</w:t>
      </w:r>
    </w:p>
    <w:p>
      <w:pPr>
        <w:spacing w:after="0" w:line="62" w:lineRule="exact"/>
        <w:rPr>
          <w:rFonts w:ascii="Arial" w:cs="Arial" w:eastAsia="Arial" w:hAnsi="Arial"/>
          <w:sz w:val="18"/>
          <w:szCs w:val="18"/>
          <w:color w:val="auto"/>
        </w:rPr>
      </w:pPr>
    </w:p>
    <w:p>
      <w:pPr>
        <w:ind w:left="800" w:hanging="342"/>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attract and retain profitable bankers is critical to the success of our business strategy;</w:t>
      </w:r>
    </w:p>
    <w:p>
      <w:pPr>
        <w:spacing w:after="0" w:line="117" w:lineRule="exact"/>
        <w:rPr>
          <w:rFonts w:ascii="Arial" w:cs="Arial" w:eastAsia="Arial" w:hAnsi="Arial"/>
          <w:sz w:val="18"/>
          <w:szCs w:val="18"/>
          <w:color w:val="auto"/>
        </w:rPr>
      </w:pPr>
    </w:p>
    <w:p>
      <w:pPr>
        <w:ind w:left="800" w:right="600" w:hanging="342"/>
        <w:spacing w:after="0" w:line="308" w:lineRule="auto"/>
        <w:tabs>
          <w:tab w:leader="none" w:pos="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geographic concentration of our markets in Texas and New Mexico makes us more sensitive than our more geographically diversified competitors to adverse changes in our markets’ local economies; and</w:t>
      </w:r>
    </w:p>
    <w:p>
      <w:pPr>
        <w:spacing w:after="0" w:line="38" w:lineRule="exact"/>
        <w:rPr>
          <w:rFonts w:ascii="Arial" w:cs="Arial" w:eastAsia="Arial" w:hAnsi="Arial"/>
          <w:sz w:val="17"/>
          <w:szCs w:val="17"/>
          <w:color w:val="auto"/>
        </w:rPr>
      </w:pPr>
    </w:p>
    <w:p>
      <w:pPr>
        <w:ind w:left="800" w:hanging="342"/>
        <w:spacing w:after="0" w:line="264"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operate in a highly regulated environment and the laws and regulations that govern our operations, corporate governance, executive compensation and accounting principles, or changes in them, or our failure to comply with them, could subject us to regulatory action or penalties.</w:t>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100" w:right="100" w:firstLine="360"/>
        <w:spacing w:after="0" w:line="257" w:lineRule="auto"/>
        <w:rPr>
          <w:sz w:val="20"/>
          <w:szCs w:val="20"/>
          <w:color w:val="auto"/>
        </w:rPr>
      </w:pPr>
      <w:r>
        <w:rPr>
          <w:rFonts w:ascii="Arial" w:cs="Arial" w:eastAsia="Arial" w:hAnsi="Arial"/>
          <w:sz w:val="18"/>
          <w:szCs w:val="18"/>
          <w:color w:val="auto"/>
        </w:rPr>
        <w:t>For the three months ended March 31, 2019, net income was $4.8 million and diluted earnings per share was $0.32, compared to net income of $4.6 million and diluted earnings per share of $0.31 for the three months ended March 31, 2018. The net income for the three months ended March 31, 2019 resulted in a return on average assets of 0.71% and a return on average shareholders’ equity of 8.98%, compared to a return on average assets of 0.73% and a return on average shareholders’ equity of 8.73% for the three months ended March 31,</w:t>
      </w:r>
    </w:p>
    <w:p>
      <w:pPr>
        <w:spacing w:after="0" w:line="200" w:lineRule="exact"/>
        <w:rPr>
          <w:sz w:val="20"/>
          <w:szCs w:val="20"/>
          <w:color w:val="auto"/>
        </w:rPr>
      </w:pPr>
    </w:p>
    <w:p>
      <w:pPr>
        <w:spacing w:after="0" w:line="2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40"/>
          </w:cols>
          <w:pgMar w:left="1180" w:top="279" w:right="127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3562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92825" cy="3562985"/>
                    </a:xfrm>
                    <a:prstGeom prst="rect">
                      <a:avLst/>
                    </a:prstGeom>
                    <a:noFill/>
                  </pic:spPr>
                </pic:pic>
              </a:graphicData>
            </a:graphic>
          </wp:anchor>
        </w:drawing>
      </w:r>
    </w:p>
    <w:p>
      <w:pPr>
        <w:spacing w:after="0" w:line="138" w:lineRule="exact"/>
        <w:rPr>
          <w:sz w:val="20"/>
          <w:szCs w:val="20"/>
          <w:color w:val="auto"/>
        </w:rPr>
      </w:pPr>
    </w:p>
    <w:p>
      <w:pPr>
        <w:jc w:val="both"/>
        <w:ind w:left="100" w:right="20"/>
        <w:spacing w:after="0" w:line="264" w:lineRule="auto"/>
        <w:rPr>
          <w:sz w:val="20"/>
          <w:szCs w:val="20"/>
          <w:color w:val="auto"/>
        </w:rPr>
      </w:pPr>
      <w:r>
        <w:rPr>
          <w:rFonts w:ascii="Arial" w:cs="Arial" w:eastAsia="Arial" w:hAnsi="Arial"/>
          <w:sz w:val="18"/>
          <w:szCs w:val="18"/>
          <w:color w:val="auto"/>
        </w:rPr>
        <w:t>2018. Due to the seasonality of our agricultural production loans, we historically have experienced large paydowns on these loans during the first quarter of each year. Additionally, we incurred $115,000 of after-tax legal expenses during the three months ended March 31, 2019 in connection with the offering and related activities.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March 31, 2019, total assets were $2.7 billion, gross loans held for investment were $1.9 billion, total deposits were</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$2.3 billion, and noninterest-bearing deposits were $497.6 million. As of March 31, 2019, total shareholders’ equity was $218.6</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million, after giving effect to the ESOP Repurchase Right Termination, and book value and tangible book value per share were</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$14.80. As of March 31, 2018, total assets were $2.6 billion, gross loans held for investment were $1.8 billion, total deposits were</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$2.2 billion, and noninterest-bearing deposits were $468.3 million. As of March 31, 2018, total shareholders’ equity was $215.5</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million, after giving effect to the ESOP Repurchase Right Termination, and book value and tangible book value per share were</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$14.59. Tangible book value per share is a non-GAAP financial measure. The most directly comparable GAAP financial measure</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for tangible book value per share is book value per share. We did not have any goodwill or other intangible assets as of the</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quarter ended March 31, 2019. See our reconciliation of non-GAAP financial measures to their most directly comparable GAAP</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financial measures under the caption “Management’s Discussion and Analysis of Financial Condition and Results of Operations</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—Non-GAAP Financial Measures.”</w:t>
      </w:r>
    </w:p>
    <w:p>
      <w:pPr>
        <w:spacing w:after="0" w:line="103" w:lineRule="exact"/>
        <w:rPr>
          <w:sz w:val="20"/>
          <w:szCs w:val="20"/>
          <w:color w:val="auto"/>
        </w:rPr>
      </w:pPr>
    </w:p>
    <w:p>
      <w:pPr>
        <w:ind w:left="100" w:right="220" w:firstLine="360"/>
        <w:spacing w:after="0" w:line="259" w:lineRule="auto"/>
        <w:rPr>
          <w:sz w:val="20"/>
          <w:szCs w:val="20"/>
          <w:color w:val="auto"/>
        </w:rPr>
      </w:pPr>
      <w:r>
        <w:rPr>
          <w:rFonts w:ascii="Arial" w:cs="Arial" w:eastAsia="Arial" w:hAnsi="Arial"/>
          <w:sz w:val="18"/>
          <w:szCs w:val="18"/>
          <w:color w:val="auto"/>
        </w:rPr>
        <w:t>Weaver and Tidwell, L.L.P., our independent registered public accounting firm, has not completed review procedures with respect to these preliminary financial results. Accordingly, our final results for the three month period ending March 31, 2019 may not be consistent with these preliminary financial results. See “Risk Factors—Risks Related to Our Business and Market” and “Cautionary Note Regarding Forward-Looking Statements.”</w:t>
      </w:r>
    </w:p>
    <w:p>
      <w:pPr>
        <w:spacing w:after="0" w:line="18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principal executive office is located at 5219 City Bank Parkway, Lubbock, Texas 79407, and our telephone number is</w:t>
      </w:r>
    </w:p>
    <w:p>
      <w:pPr>
        <w:spacing w:after="0" w:line="46" w:lineRule="exact"/>
        <w:rPr>
          <w:sz w:val="20"/>
          <w:szCs w:val="20"/>
          <w:color w:val="auto"/>
        </w:rPr>
      </w:pPr>
    </w:p>
    <w:p>
      <w:pPr>
        <w:ind w:left="100" w:right="320" w:firstLine="7"/>
        <w:spacing w:after="0" w:line="261" w:lineRule="auto"/>
        <w:tabs>
          <w:tab w:leader="none" w:pos="5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792-7101. Our website address is www.city.bank. Information contained on or that can be accessed through our website does not constitute a part of this prospectus and is not incorporated by reference into this prospectus.</w:t>
      </w:r>
    </w:p>
    <w:p>
      <w:pPr>
        <w:spacing w:after="0" w:line="200" w:lineRule="exact"/>
        <w:rPr>
          <w:sz w:val="20"/>
          <w:szCs w:val="20"/>
          <w:color w:val="auto"/>
        </w:rPr>
      </w:pPr>
    </w:p>
    <w:p>
      <w:pPr>
        <w:spacing w:after="0" w:line="2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3074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92825" cy="6307455"/>
                    </a:xfrm>
                    <a:prstGeom prst="rect">
                      <a:avLst/>
                    </a:prstGeom>
                    <a:noFill/>
                  </pic:spPr>
                </pic:pic>
              </a:graphicData>
            </a:graphic>
          </wp:anchor>
        </w:drawing>
      </w:r>
    </w:p>
    <w:p>
      <w:pPr>
        <w:spacing w:after="0" w:line="3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OFFERING</w:t>
      </w:r>
    </w:p>
    <w:p>
      <w:pPr>
        <w:spacing w:after="0" w:line="117" w:lineRule="exact"/>
        <w:rPr>
          <w:sz w:val="20"/>
          <w:szCs w:val="20"/>
          <w:color w:val="auto"/>
        </w:rPr>
      </w:pPr>
    </w:p>
    <w:p>
      <w:pPr>
        <w:ind w:left="100"/>
        <w:spacing w:after="0"/>
        <w:tabs>
          <w:tab w:leader="none" w:pos="4360" w:val="left"/>
        </w:tabs>
        <w:rPr>
          <w:sz w:val="20"/>
          <w:szCs w:val="20"/>
          <w:color w:val="auto"/>
        </w:rPr>
      </w:pPr>
      <w:r>
        <w:rPr>
          <w:rFonts w:ascii="Arial" w:cs="Arial" w:eastAsia="Arial" w:hAnsi="Arial"/>
          <w:sz w:val="18"/>
          <w:szCs w:val="18"/>
          <w:b w:val="1"/>
          <w:bCs w:val="1"/>
          <w:color w:val="auto"/>
        </w:rPr>
        <w:t>Common stock offered by us</w:t>
      </w:r>
      <w:r>
        <w:rPr>
          <w:sz w:val="20"/>
          <w:szCs w:val="20"/>
          <w:color w:val="auto"/>
        </w:rPr>
        <w:tab/>
      </w:r>
      <w:r>
        <w:rPr>
          <w:rFonts w:ascii="Arial" w:cs="Arial" w:eastAsia="Arial" w:hAnsi="Arial"/>
          <w:sz w:val="16"/>
          <w:szCs w:val="16"/>
          <w:color w:val="auto"/>
        </w:rPr>
        <w:t>2,700,000 shares (or 3,207,000 shares if the underwriters exercise</w:t>
      </w:r>
    </w:p>
    <w:p>
      <w:pPr>
        <w:spacing w:after="0" w:line="27" w:lineRule="exact"/>
        <w:rPr>
          <w:sz w:val="20"/>
          <w:szCs w:val="20"/>
          <w:color w:val="auto"/>
        </w:rPr>
      </w:pPr>
    </w:p>
    <w:p>
      <w:pPr>
        <w:jc w:val="right"/>
        <w:ind w:right="240"/>
        <w:spacing w:after="0"/>
        <w:rPr>
          <w:sz w:val="20"/>
          <w:szCs w:val="20"/>
          <w:color w:val="auto"/>
        </w:rPr>
      </w:pPr>
      <w:r>
        <w:rPr>
          <w:rFonts w:ascii="Arial" w:cs="Arial" w:eastAsia="Arial" w:hAnsi="Arial"/>
          <w:sz w:val="18"/>
          <w:szCs w:val="18"/>
          <w:color w:val="auto"/>
        </w:rPr>
        <w:t>their option to purchase additional shares of common stock in full).</w:t>
      </w:r>
    </w:p>
    <w:p>
      <w:pPr>
        <w:sectPr>
          <w:pgSz w:w="11900" w:h="16838" w:orient="portrait"/>
          <w:cols w:equalWidth="0" w:num="1">
            <w:col w:w="9460"/>
          </w:cols>
          <w:pgMar w:left="1180" w:top="279" w:right="1259" w:bottom="1440" w:gutter="0" w:footer="0" w:header="0"/>
        </w:sectPr>
      </w:pPr>
    </w:p>
    <w:p>
      <w:pPr>
        <w:spacing w:after="0" w:line="99" w:lineRule="exact"/>
        <w:rPr>
          <w:sz w:val="20"/>
          <w:szCs w:val="20"/>
          <w:color w:val="auto"/>
        </w:rPr>
      </w:pPr>
    </w:p>
    <w:p>
      <w:pPr>
        <w:ind w:left="100" w:right="180"/>
        <w:spacing w:after="0" w:line="488" w:lineRule="auto"/>
        <w:rPr>
          <w:sz w:val="20"/>
          <w:szCs w:val="20"/>
          <w:color w:val="auto"/>
        </w:rPr>
      </w:pPr>
      <w:r>
        <w:rPr>
          <w:rFonts w:ascii="Arial" w:cs="Arial" w:eastAsia="Arial" w:hAnsi="Arial"/>
          <w:sz w:val="16"/>
          <w:szCs w:val="16"/>
          <w:b w:val="1"/>
          <w:bCs w:val="1"/>
          <w:color w:val="auto"/>
        </w:rPr>
        <w:t>Common stock offered by the selling shareholder Underwriters’ overallotment option</w:t>
      </w:r>
    </w:p>
    <w:p>
      <w:pPr>
        <w:spacing w:after="0" w:line="332" w:lineRule="exact"/>
        <w:rPr>
          <w:sz w:val="20"/>
          <w:szCs w:val="20"/>
          <w:color w:val="auto"/>
        </w:rPr>
      </w:pPr>
    </w:p>
    <w:p>
      <w:pPr>
        <w:ind w:left="280" w:hanging="179"/>
        <w:spacing w:after="0" w:line="282" w:lineRule="auto"/>
        <w:rPr>
          <w:sz w:val="20"/>
          <w:szCs w:val="20"/>
          <w:color w:val="auto"/>
        </w:rPr>
      </w:pPr>
      <w:r>
        <w:rPr>
          <w:rFonts w:ascii="Arial" w:cs="Arial" w:eastAsia="Arial" w:hAnsi="Arial"/>
          <w:sz w:val="18"/>
          <w:szCs w:val="18"/>
          <w:b w:val="1"/>
          <w:bCs w:val="1"/>
          <w:color w:val="auto"/>
        </w:rPr>
        <w:t>Common stock outstanding after completion of this offering</w:t>
      </w:r>
    </w:p>
    <w:p>
      <w:pPr>
        <w:spacing w:after="0" w:line="5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Directed share program</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680,000 shares.</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have granted the underwriters an option to purchase up to 507,000 additional shares of common stock from us within 30 days after the date of this prospectus.</w:t>
      </w:r>
    </w:p>
    <w:p>
      <w:pPr>
        <w:spacing w:after="0" w:line="73"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17,471,520 shares (or 17,978,520 shares if the underwriters exercise their option to purchase additional shares of common stock in full).</w:t>
      </w:r>
    </w:p>
    <w:p>
      <w:pPr>
        <w:spacing w:after="0" w:line="1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We estimate that the net proceeds to us from this offering, after deducting underwriting discounts and estimated offering expenses, will be approximately $45.6 million, based on an assumed public offering price of $18.50 per share, which is the midpoint of the price range set forth on the cover page of this prospectus. We intend to use the net proceeds to us from this offering to support future growth of our business, including through strategic acquisitions and organic growth, and for general corporate purposes. See “Use of Proceeds.”</w:t>
      </w:r>
    </w:p>
    <w:p>
      <w:pPr>
        <w:spacing w:after="0" w:line="5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Historically, we have been an S Corporation, and as such, we have paid distributions to our shareholders to assist them in paying the U.S. federal income taxes on our taxable income that is “passed through” to them, as well as additional amounts for returns on capital. Our dividend policy and practice has changed as we were no longer an S Corporation effective May 31, 2018.</w:t>
      </w:r>
    </w:p>
    <w:p>
      <w:pPr>
        <w:spacing w:after="0" w:line="70"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Following the completion of this offering, we anticipate paying a quarterly dividend on our common stock in an amount equal to approximately 10% to 15% of our net income for the immediately preceding quarter, subject to the discretion of our board of directors.</w:t>
      </w:r>
    </w:p>
    <w:p>
      <w:pPr>
        <w:spacing w:after="0" w:line="46"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Dividends from the Bank are the principal source of funds for the payment of dividends on our common stock. The Bank is subject to certain restrictions that may limit its ability to pay dividends to us.</w:t>
      </w:r>
    </w:p>
    <w:p>
      <w:pPr>
        <w:spacing w:after="0" w:line="3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At our request, the underwriters have reserved for sale, at the initial public offering price, up to 5.0% of the shares of common stock offered by this prospectus for sale to our directors, executive officers, employees and business associates and certain other related persons. If these persons purchase reserved shares, it will reduce the number of shares available for sale to the general public. Any reserved shares that are not so purchased will be offered by the underwriters to the general public on the same terms as the other shares offered by this prospectus.</w:t>
      </w:r>
    </w:p>
    <w:p>
      <w:pPr>
        <w:spacing w:after="0" w:line="200" w:lineRule="exact"/>
        <w:rPr>
          <w:sz w:val="20"/>
          <w:szCs w:val="20"/>
          <w:color w:val="auto"/>
        </w:rPr>
      </w:pPr>
    </w:p>
    <w:p>
      <w:pPr>
        <w:sectPr>
          <w:pgSz w:w="11900" w:h="16838" w:orient="portrait"/>
          <w:cols w:equalWidth="0" w:num="2">
            <w:col w:w="4040" w:space="340"/>
            <w:col w:w="5080"/>
          </w:cols>
          <w:pgMar w:left="1180" w:top="279" w:right="1259" w:bottom="1440" w:gutter="0" w:footer="0" w:header="0"/>
          <w:type w:val="continuous"/>
        </w:sectPr>
      </w:pPr>
    </w:p>
    <w:p>
      <w:pPr>
        <w:spacing w:after="0" w:line="26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312420</wp:posOffset>
            </wp:positionV>
            <wp:extent cx="607187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type w:val="continuous"/>
        </w:sectPr>
      </w:pPr>
    </w:p>
    <w:bookmarkStart w:id="17" w:name="page18"/>
    <w:bookmarkEnd w:id="1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3837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92825" cy="3837305"/>
                    </a:xfrm>
                    <a:prstGeom prst="rect">
                      <a:avLst/>
                    </a:prstGeom>
                    <a:noFill/>
                  </pic:spPr>
                </pic:pic>
              </a:graphicData>
            </a:graphic>
          </wp:anchor>
        </w:drawing>
      </w:r>
    </w:p>
    <w:p>
      <w:pPr>
        <w:spacing w:after="0" w:line="242" w:lineRule="exact"/>
        <w:rPr>
          <w:sz w:val="20"/>
          <w:szCs w:val="20"/>
          <w:color w:val="auto"/>
        </w:rPr>
      </w:pPr>
    </w:p>
    <w:tbl>
      <w:tblPr>
        <w:tblLayout w:type="fixed"/>
        <w:tblInd w:w="100" w:type="dxa"/>
        <w:tblCellMar>
          <w:top w:w="0" w:type="dxa"/>
          <w:left w:w="0" w:type="dxa"/>
          <w:bottom w:w="0" w:type="dxa"/>
          <w:right w:w="0" w:type="dxa"/>
        </w:tblCellMar>
      </w:tblPr>
      <w:tr>
        <w:trPr>
          <w:trHeight w:val="220"/>
        </w:trPr>
        <w:tc>
          <w:tcPr>
            <w:tcW w:w="4120" w:type="dxa"/>
            <w:vAlign w:val="bottom"/>
          </w:tcPr>
          <w:p>
            <w:pPr>
              <w:spacing w:after="0"/>
              <w:rPr>
                <w:sz w:val="20"/>
                <w:szCs w:val="20"/>
                <w:color w:val="auto"/>
              </w:rPr>
            </w:pPr>
            <w:r>
              <w:rPr>
                <w:rFonts w:ascii="Arial" w:cs="Arial" w:eastAsia="Arial" w:hAnsi="Arial"/>
                <w:sz w:val="18"/>
                <w:szCs w:val="18"/>
                <w:b w:val="1"/>
                <w:bCs w:val="1"/>
                <w:color w:val="auto"/>
                <w:w w:val="91"/>
              </w:rPr>
              <w:t>Securities owned by directors and executive officers</w:t>
            </w:r>
          </w:p>
        </w:tc>
        <w:tc>
          <w:tcPr>
            <w:tcW w:w="5240" w:type="dxa"/>
            <w:vAlign w:val="bottom"/>
            <w:gridSpan w:val="3"/>
          </w:tcPr>
          <w:p>
            <w:pPr>
              <w:ind w:left="160"/>
              <w:spacing w:after="0"/>
              <w:rPr>
                <w:sz w:val="20"/>
                <w:szCs w:val="20"/>
                <w:color w:val="auto"/>
              </w:rPr>
            </w:pPr>
            <w:r>
              <w:rPr>
                <w:rFonts w:ascii="Arial" w:cs="Arial" w:eastAsia="Arial" w:hAnsi="Arial"/>
                <w:sz w:val="18"/>
                <w:szCs w:val="18"/>
                <w:color w:val="auto"/>
                <w:w w:val="93"/>
              </w:rPr>
              <w:t>As of April 12, 2019, our directors and executive officers beneficially</w:t>
            </w:r>
          </w:p>
        </w:tc>
      </w:tr>
      <w:tr>
        <w:trPr>
          <w:trHeight w:val="216"/>
        </w:trPr>
        <w:tc>
          <w:tcPr>
            <w:tcW w:w="4120" w:type="dxa"/>
            <w:vAlign w:val="bottom"/>
          </w:tcPr>
          <w:p>
            <w:pPr>
              <w:spacing w:after="0"/>
              <w:rPr>
                <w:sz w:val="18"/>
                <w:szCs w:val="18"/>
                <w:color w:val="auto"/>
              </w:rPr>
            </w:pPr>
          </w:p>
        </w:tc>
        <w:tc>
          <w:tcPr>
            <w:tcW w:w="5240" w:type="dxa"/>
            <w:vAlign w:val="bottom"/>
            <w:gridSpan w:val="3"/>
          </w:tcPr>
          <w:p>
            <w:pPr>
              <w:ind w:left="160"/>
              <w:spacing w:after="0"/>
              <w:rPr>
                <w:sz w:val="20"/>
                <w:szCs w:val="20"/>
                <w:color w:val="auto"/>
              </w:rPr>
            </w:pPr>
            <w:r>
              <w:rPr>
                <w:rFonts w:ascii="Arial" w:cs="Arial" w:eastAsia="Arial" w:hAnsi="Arial"/>
                <w:sz w:val="18"/>
                <w:szCs w:val="18"/>
                <w:color w:val="auto"/>
              </w:rPr>
              <w:t>owned 37.2% of our outstanding common stock. Following the</w:t>
            </w:r>
          </w:p>
        </w:tc>
      </w:tr>
      <w:tr>
        <w:trPr>
          <w:trHeight w:val="216"/>
        </w:trPr>
        <w:tc>
          <w:tcPr>
            <w:tcW w:w="4120" w:type="dxa"/>
            <w:vAlign w:val="bottom"/>
          </w:tcPr>
          <w:p>
            <w:pPr>
              <w:spacing w:after="0"/>
              <w:rPr>
                <w:sz w:val="18"/>
                <w:szCs w:val="18"/>
                <w:color w:val="auto"/>
              </w:rPr>
            </w:pPr>
          </w:p>
        </w:tc>
        <w:tc>
          <w:tcPr>
            <w:tcW w:w="5240" w:type="dxa"/>
            <w:vAlign w:val="bottom"/>
            <w:gridSpan w:val="3"/>
          </w:tcPr>
          <w:p>
            <w:pPr>
              <w:ind w:left="160"/>
              <w:spacing w:after="0"/>
              <w:rPr>
                <w:sz w:val="20"/>
                <w:szCs w:val="20"/>
                <w:color w:val="auto"/>
              </w:rPr>
            </w:pPr>
            <w:r>
              <w:rPr>
                <w:rFonts w:ascii="Arial" w:cs="Arial" w:eastAsia="Arial" w:hAnsi="Arial"/>
                <w:sz w:val="18"/>
                <w:szCs w:val="18"/>
                <w:color w:val="auto"/>
              </w:rPr>
              <w:t>completion of this offering, we anticipate that our directors and</w:t>
            </w:r>
          </w:p>
        </w:tc>
      </w:tr>
      <w:tr>
        <w:trPr>
          <w:trHeight w:val="216"/>
        </w:trPr>
        <w:tc>
          <w:tcPr>
            <w:tcW w:w="4120" w:type="dxa"/>
            <w:vAlign w:val="bottom"/>
          </w:tcPr>
          <w:p>
            <w:pPr>
              <w:spacing w:after="0"/>
              <w:rPr>
                <w:sz w:val="18"/>
                <w:szCs w:val="18"/>
                <w:color w:val="auto"/>
              </w:rPr>
            </w:pPr>
          </w:p>
        </w:tc>
        <w:tc>
          <w:tcPr>
            <w:tcW w:w="5240" w:type="dxa"/>
            <w:vAlign w:val="bottom"/>
            <w:gridSpan w:val="3"/>
          </w:tcPr>
          <w:p>
            <w:pPr>
              <w:ind w:left="160"/>
              <w:spacing w:after="0"/>
              <w:rPr>
                <w:sz w:val="20"/>
                <w:szCs w:val="20"/>
                <w:color w:val="auto"/>
              </w:rPr>
            </w:pPr>
            <w:r>
              <w:rPr>
                <w:rFonts w:ascii="Arial" w:cs="Arial" w:eastAsia="Arial" w:hAnsi="Arial"/>
                <w:sz w:val="18"/>
                <w:szCs w:val="18"/>
                <w:color w:val="auto"/>
                <w:w w:val="96"/>
              </w:rPr>
              <w:t>executive officers will beneficially own approximately 27.8% of our</w:t>
            </w:r>
          </w:p>
        </w:tc>
      </w:tr>
      <w:tr>
        <w:trPr>
          <w:trHeight w:val="216"/>
        </w:trPr>
        <w:tc>
          <w:tcPr>
            <w:tcW w:w="4120" w:type="dxa"/>
            <w:vAlign w:val="bottom"/>
          </w:tcPr>
          <w:p>
            <w:pPr>
              <w:spacing w:after="0"/>
              <w:rPr>
                <w:sz w:val="18"/>
                <w:szCs w:val="18"/>
                <w:color w:val="auto"/>
              </w:rPr>
            </w:pPr>
          </w:p>
        </w:tc>
        <w:tc>
          <w:tcPr>
            <w:tcW w:w="5240" w:type="dxa"/>
            <w:vAlign w:val="bottom"/>
            <w:gridSpan w:val="3"/>
          </w:tcPr>
          <w:p>
            <w:pPr>
              <w:ind w:left="160"/>
              <w:spacing w:after="0"/>
              <w:rPr>
                <w:sz w:val="20"/>
                <w:szCs w:val="20"/>
                <w:color w:val="auto"/>
              </w:rPr>
            </w:pPr>
            <w:r>
              <w:rPr>
                <w:rFonts w:ascii="Arial" w:cs="Arial" w:eastAsia="Arial" w:hAnsi="Arial"/>
                <w:sz w:val="18"/>
                <w:szCs w:val="18"/>
                <w:color w:val="auto"/>
                <w:w w:val="94"/>
              </w:rPr>
              <w:t>common stock (or 27.0% if the underwriters exercise their option to</w:t>
            </w:r>
          </w:p>
        </w:tc>
      </w:tr>
      <w:tr>
        <w:trPr>
          <w:trHeight w:val="216"/>
        </w:trPr>
        <w:tc>
          <w:tcPr>
            <w:tcW w:w="4120" w:type="dxa"/>
            <w:vAlign w:val="bottom"/>
          </w:tcPr>
          <w:p>
            <w:pPr>
              <w:spacing w:after="0"/>
              <w:rPr>
                <w:sz w:val="18"/>
                <w:szCs w:val="18"/>
                <w:color w:val="auto"/>
              </w:rPr>
            </w:pPr>
          </w:p>
        </w:tc>
        <w:tc>
          <w:tcPr>
            <w:tcW w:w="5240" w:type="dxa"/>
            <w:vAlign w:val="bottom"/>
            <w:gridSpan w:val="3"/>
          </w:tcPr>
          <w:p>
            <w:pPr>
              <w:ind w:left="160"/>
              <w:spacing w:after="0"/>
              <w:rPr>
                <w:sz w:val="20"/>
                <w:szCs w:val="20"/>
                <w:color w:val="auto"/>
              </w:rPr>
            </w:pPr>
            <w:r>
              <w:rPr>
                <w:rFonts w:ascii="Arial" w:cs="Arial" w:eastAsia="Arial" w:hAnsi="Arial"/>
                <w:sz w:val="18"/>
                <w:szCs w:val="18"/>
                <w:color w:val="auto"/>
                <w:w w:val="95"/>
              </w:rPr>
              <w:t>purchase additional shares of common stock in full). See “Principal</w:t>
            </w:r>
          </w:p>
        </w:tc>
      </w:tr>
      <w:tr>
        <w:trPr>
          <w:trHeight w:val="216"/>
        </w:trPr>
        <w:tc>
          <w:tcPr>
            <w:tcW w:w="4120" w:type="dxa"/>
            <w:vAlign w:val="bottom"/>
          </w:tcPr>
          <w:p>
            <w:pPr>
              <w:spacing w:after="0"/>
              <w:rPr>
                <w:sz w:val="18"/>
                <w:szCs w:val="18"/>
                <w:color w:val="auto"/>
              </w:rPr>
            </w:pPr>
          </w:p>
        </w:tc>
        <w:tc>
          <w:tcPr>
            <w:tcW w:w="5240" w:type="dxa"/>
            <w:vAlign w:val="bottom"/>
            <w:gridSpan w:val="3"/>
          </w:tcPr>
          <w:p>
            <w:pPr>
              <w:ind w:left="160"/>
              <w:spacing w:after="0"/>
              <w:rPr>
                <w:sz w:val="20"/>
                <w:szCs w:val="20"/>
                <w:color w:val="auto"/>
              </w:rPr>
            </w:pPr>
            <w:r>
              <w:rPr>
                <w:rFonts w:ascii="Arial" w:cs="Arial" w:eastAsia="Arial" w:hAnsi="Arial"/>
                <w:sz w:val="18"/>
                <w:szCs w:val="18"/>
                <w:color w:val="auto"/>
                <w:w w:val="92"/>
              </w:rPr>
              <w:t>and Selling Shareholders.” This ownership total does not include any</w:t>
            </w:r>
          </w:p>
        </w:tc>
      </w:tr>
      <w:tr>
        <w:trPr>
          <w:trHeight w:val="216"/>
        </w:trPr>
        <w:tc>
          <w:tcPr>
            <w:tcW w:w="4120" w:type="dxa"/>
            <w:vAlign w:val="bottom"/>
          </w:tcPr>
          <w:p>
            <w:pPr>
              <w:spacing w:after="0"/>
              <w:rPr>
                <w:sz w:val="18"/>
                <w:szCs w:val="18"/>
                <w:color w:val="auto"/>
              </w:rPr>
            </w:pPr>
          </w:p>
        </w:tc>
        <w:tc>
          <w:tcPr>
            <w:tcW w:w="5240" w:type="dxa"/>
            <w:vAlign w:val="bottom"/>
            <w:gridSpan w:val="3"/>
          </w:tcPr>
          <w:p>
            <w:pPr>
              <w:ind w:left="160"/>
              <w:spacing w:after="0"/>
              <w:rPr>
                <w:sz w:val="20"/>
                <w:szCs w:val="20"/>
                <w:color w:val="auto"/>
              </w:rPr>
            </w:pPr>
            <w:r>
              <w:rPr>
                <w:rFonts w:ascii="Arial" w:cs="Arial" w:eastAsia="Arial" w:hAnsi="Arial"/>
                <w:sz w:val="18"/>
                <w:szCs w:val="18"/>
                <w:color w:val="auto"/>
                <w:w w:val="93"/>
              </w:rPr>
              <w:t>shares that our directors and executive officers may purchase in this</w:t>
            </w:r>
          </w:p>
        </w:tc>
      </w:tr>
      <w:tr>
        <w:trPr>
          <w:trHeight w:val="230"/>
        </w:trPr>
        <w:tc>
          <w:tcPr>
            <w:tcW w:w="4120" w:type="dxa"/>
            <w:vAlign w:val="bottom"/>
          </w:tcPr>
          <w:p>
            <w:pPr>
              <w:spacing w:after="0"/>
              <w:rPr>
                <w:sz w:val="20"/>
                <w:szCs w:val="20"/>
                <w:color w:val="auto"/>
              </w:rPr>
            </w:pPr>
          </w:p>
        </w:tc>
        <w:tc>
          <w:tcPr>
            <w:tcW w:w="5240" w:type="dxa"/>
            <w:vAlign w:val="bottom"/>
            <w:gridSpan w:val="3"/>
          </w:tcPr>
          <w:p>
            <w:pPr>
              <w:ind w:left="160"/>
              <w:spacing w:after="0"/>
              <w:rPr>
                <w:sz w:val="20"/>
                <w:szCs w:val="20"/>
                <w:color w:val="auto"/>
              </w:rPr>
            </w:pPr>
            <w:r>
              <w:rPr>
                <w:rFonts w:ascii="Arial" w:cs="Arial" w:eastAsia="Arial" w:hAnsi="Arial"/>
                <w:sz w:val="18"/>
                <w:szCs w:val="18"/>
                <w:color w:val="auto"/>
              </w:rPr>
              <w:t>offering. See “Underwriting—Directed Share Program.”</w:t>
            </w:r>
          </w:p>
        </w:tc>
      </w:tr>
      <w:tr>
        <w:trPr>
          <w:trHeight w:val="310"/>
        </w:trPr>
        <w:tc>
          <w:tcPr>
            <w:tcW w:w="4120" w:type="dxa"/>
            <w:vAlign w:val="bottom"/>
          </w:tcPr>
          <w:p>
            <w:pPr>
              <w:spacing w:after="0"/>
              <w:rPr>
                <w:sz w:val="20"/>
                <w:szCs w:val="20"/>
                <w:color w:val="auto"/>
              </w:rPr>
            </w:pPr>
            <w:r>
              <w:rPr>
                <w:rFonts w:ascii="Arial" w:cs="Arial" w:eastAsia="Arial" w:hAnsi="Arial"/>
                <w:sz w:val="18"/>
                <w:szCs w:val="18"/>
                <w:b w:val="1"/>
                <w:bCs w:val="1"/>
                <w:color w:val="auto"/>
              </w:rPr>
              <w:t>Risk factors</w:t>
            </w:r>
          </w:p>
        </w:tc>
        <w:tc>
          <w:tcPr>
            <w:tcW w:w="5240" w:type="dxa"/>
            <w:vAlign w:val="bottom"/>
            <w:gridSpan w:val="3"/>
          </w:tcPr>
          <w:p>
            <w:pPr>
              <w:ind w:left="160"/>
              <w:spacing w:after="0"/>
              <w:rPr>
                <w:sz w:val="20"/>
                <w:szCs w:val="20"/>
                <w:color w:val="auto"/>
              </w:rPr>
            </w:pPr>
            <w:r>
              <w:rPr>
                <w:rFonts w:ascii="Arial" w:cs="Arial" w:eastAsia="Arial" w:hAnsi="Arial"/>
                <w:sz w:val="18"/>
                <w:szCs w:val="18"/>
                <w:color w:val="auto"/>
                <w:w w:val="95"/>
              </w:rPr>
              <w:t>Investing in shares of our common stock involves a high degree of</w:t>
            </w:r>
          </w:p>
        </w:tc>
      </w:tr>
      <w:tr>
        <w:trPr>
          <w:trHeight w:val="190"/>
        </w:trPr>
        <w:tc>
          <w:tcPr>
            <w:tcW w:w="4120" w:type="dxa"/>
            <w:vAlign w:val="bottom"/>
          </w:tcPr>
          <w:p>
            <w:pPr>
              <w:spacing w:after="0"/>
              <w:rPr>
                <w:sz w:val="16"/>
                <w:szCs w:val="16"/>
                <w:color w:val="auto"/>
              </w:rPr>
            </w:pPr>
          </w:p>
        </w:tc>
        <w:tc>
          <w:tcPr>
            <w:tcW w:w="5240" w:type="dxa"/>
            <w:vAlign w:val="bottom"/>
            <w:gridSpan w:val="3"/>
          </w:tcPr>
          <w:p>
            <w:pPr>
              <w:ind w:left="160"/>
              <w:spacing w:after="0" w:line="190" w:lineRule="exact"/>
              <w:rPr>
                <w:rFonts w:ascii="Arial" w:cs="Arial" w:eastAsia="Arial" w:hAnsi="Arial"/>
                <w:sz w:val="18"/>
                <w:szCs w:val="18"/>
                <w:color w:val="auto"/>
                <w:w w:val="96"/>
              </w:rPr>
            </w:pPr>
            <w:r>
              <w:rPr>
                <w:rFonts w:ascii="Arial" w:cs="Arial" w:eastAsia="Arial" w:hAnsi="Arial"/>
                <w:sz w:val="18"/>
                <w:szCs w:val="18"/>
                <w:color w:val="auto"/>
                <w:w w:val="96"/>
              </w:rPr>
              <w:t xml:space="preserve">risk. See “Risk Factors,” beginning on page </w:t>
            </w:r>
            <w:hyperlink w:anchor="page21">
              <w:r>
                <w:rPr>
                  <w:rFonts w:ascii="Arial" w:cs="Arial" w:eastAsia="Arial" w:hAnsi="Arial"/>
                  <w:sz w:val="18"/>
                  <w:szCs w:val="18"/>
                  <w:color w:val="0000EE"/>
                  <w:w w:val="96"/>
                </w:rPr>
                <w:t>14,</w:t>
              </w:r>
              <w:r>
                <w:rPr>
                  <w:rFonts w:ascii="Arial" w:cs="Arial" w:eastAsia="Arial" w:hAnsi="Arial"/>
                  <w:sz w:val="18"/>
                  <w:szCs w:val="18"/>
                  <w:color w:val="auto"/>
                  <w:w w:val="96"/>
                </w:rPr>
                <w:t xml:space="preserve"> </w:t>
              </w:r>
            </w:hyperlink>
            <w:r>
              <w:rPr>
                <w:rFonts w:ascii="Arial" w:cs="Arial" w:eastAsia="Arial" w:hAnsi="Arial"/>
                <w:sz w:val="18"/>
                <w:szCs w:val="18"/>
                <w:color w:val="auto"/>
                <w:w w:val="96"/>
              </w:rPr>
              <w:t>for a discussion of</w:t>
            </w:r>
          </w:p>
        </w:tc>
      </w:tr>
      <w:tr>
        <w:trPr>
          <w:trHeight w:val="20"/>
        </w:trPr>
        <w:tc>
          <w:tcPr>
            <w:tcW w:w="41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37"/>
        </w:trPr>
        <w:tc>
          <w:tcPr>
            <w:tcW w:w="4120" w:type="dxa"/>
            <w:vAlign w:val="bottom"/>
          </w:tcPr>
          <w:p>
            <w:pPr>
              <w:spacing w:after="0"/>
              <w:rPr>
                <w:sz w:val="20"/>
                <w:szCs w:val="20"/>
                <w:color w:val="auto"/>
              </w:rPr>
            </w:pPr>
          </w:p>
        </w:tc>
        <w:tc>
          <w:tcPr>
            <w:tcW w:w="5240" w:type="dxa"/>
            <w:vAlign w:val="bottom"/>
            <w:gridSpan w:val="3"/>
          </w:tcPr>
          <w:p>
            <w:pPr>
              <w:ind w:left="160"/>
              <w:spacing w:after="0"/>
              <w:rPr>
                <w:sz w:val="20"/>
                <w:szCs w:val="20"/>
                <w:color w:val="auto"/>
              </w:rPr>
            </w:pPr>
            <w:r>
              <w:rPr>
                <w:rFonts w:ascii="Arial" w:cs="Arial" w:eastAsia="Arial" w:hAnsi="Arial"/>
                <w:sz w:val="18"/>
                <w:szCs w:val="18"/>
                <w:color w:val="auto"/>
                <w:w w:val="91"/>
              </w:rPr>
              <w:t>certain factors you should consider carefully before deciding to invest.</w:t>
            </w:r>
          </w:p>
        </w:tc>
      </w:tr>
      <w:tr>
        <w:trPr>
          <w:trHeight w:val="310"/>
        </w:trPr>
        <w:tc>
          <w:tcPr>
            <w:tcW w:w="4120" w:type="dxa"/>
            <w:vAlign w:val="bottom"/>
          </w:tcPr>
          <w:p>
            <w:pPr>
              <w:spacing w:after="0"/>
              <w:rPr>
                <w:sz w:val="20"/>
                <w:szCs w:val="20"/>
                <w:color w:val="auto"/>
              </w:rPr>
            </w:pPr>
            <w:r>
              <w:rPr>
                <w:rFonts w:ascii="Arial" w:cs="Arial" w:eastAsia="Arial" w:hAnsi="Arial"/>
                <w:sz w:val="18"/>
                <w:szCs w:val="18"/>
                <w:b w:val="1"/>
                <w:bCs w:val="1"/>
                <w:color w:val="auto"/>
              </w:rPr>
              <w:t>Listing</w:t>
            </w:r>
          </w:p>
        </w:tc>
        <w:tc>
          <w:tcPr>
            <w:tcW w:w="5240" w:type="dxa"/>
            <w:vAlign w:val="bottom"/>
            <w:gridSpan w:val="3"/>
          </w:tcPr>
          <w:p>
            <w:pPr>
              <w:ind w:left="160"/>
              <w:spacing w:after="0"/>
              <w:rPr>
                <w:sz w:val="20"/>
                <w:szCs w:val="20"/>
                <w:color w:val="auto"/>
              </w:rPr>
            </w:pPr>
            <w:r>
              <w:rPr>
                <w:rFonts w:ascii="Arial" w:cs="Arial" w:eastAsia="Arial" w:hAnsi="Arial"/>
                <w:sz w:val="18"/>
                <w:szCs w:val="18"/>
                <w:color w:val="auto"/>
                <w:w w:val="96"/>
              </w:rPr>
              <w:t>We have applied to list our common stock on the NASDAQ Global</w:t>
            </w:r>
          </w:p>
        </w:tc>
      </w:tr>
      <w:tr>
        <w:trPr>
          <w:trHeight w:val="230"/>
        </w:trPr>
        <w:tc>
          <w:tcPr>
            <w:tcW w:w="4120" w:type="dxa"/>
            <w:vAlign w:val="bottom"/>
          </w:tcPr>
          <w:p>
            <w:pPr>
              <w:spacing w:after="0"/>
              <w:rPr>
                <w:sz w:val="20"/>
                <w:szCs w:val="20"/>
                <w:color w:val="auto"/>
              </w:rPr>
            </w:pPr>
          </w:p>
        </w:tc>
        <w:tc>
          <w:tcPr>
            <w:tcW w:w="5240" w:type="dxa"/>
            <w:vAlign w:val="bottom"/>
            <w:gridSpan w:val="3"/>
          </w:tcPr>
          <w:p>
            <w:pPr>
              <w:ind w:left="160"/>
              <w:spacing w:after="0"/>
              <w:rPr>
                <w:sz w:val="20"/>
                <w:szCs w:val="20"/>
                <w:color w:val="auto"/>
              </w:rPr>
            </w:pPr>
            <w:r>
              <w:rPr>
                <w:rFonts w:ascii="Arial" w:cs="Arial" w:eastAsia="Arial" w:hAnsi="Arial"/>
                <w:sz w:val="18"/>
                <w:szCs w:val="18"/>
                <w:color w:val="auto"/>
              </w:rPr>
              <w:t>Select Market under the trading symbol “SPFI.”</w:t>
            </w:r>
          </w:p>
        </w:tc>
      </w:tr>
    </w:tbl>
    <w:p>
      <w:pPr>
        <w:spacing w:after="0" w:line="94" w:lineRule="exact"/>
        <w:rPr>
          <w:sz w:val="20"/>
          <w:szCs w:val="20"/>
          <w:color w:val="auto"/>
        </w:rPr>
      </w:pPr>
    </w:p>
    <w:p>
      <w:pPr>
        <w:ind w:left="100" w:right="420" w:firstLine="360"/>
        <w:spacing w:after="0" w:line="264" w:lineRule="auto"/>
        <w:rPr>
          <w:sz w:val="20"/>
          <w:szCs w:val="20"/>
          <w:color w:val="auto"/>
        </w:rPr>
      </w:pPr>
      <w:r>
        <w:rPr>
          <w:rFonts w:ascii="Arial" w:cs="Arial" w:eastAsia="Arial" w:hAnsi="Arial"/>
          <w:sz w:val="18"/>
          <w:szCs w:val="18"/>
          <w:color w:val="auto"/>
        </w:rPr>
        <w:t>Unless otherwise indicated, all information in this prospectus relating to the number of shares of common stock to be outstanding immediately after the completion of this offering is based on 14,771,520 shares outstanding as of December 31, 2018, and excludes:</w:t>
      </w:r>
    </w:p>
    <w:p>
      <w:pPr>
        <w:spacing w:after="0" w:line="73" w:lineRule="exact"/>
        <w:rPr>
          <w:sz w:val="20"/>
          <w:szCs w:val="20"/>
          <w:color w:val="auto"/>
        </w:rPr>
      </w:pPr>
    </w:p>
    <w:p>
      <w:pPr>
        <w:ind w:left="800" w:right="40" w:hanging="342"/>
        <w:spacing w:after="0" w:line="277"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2,300,000 shares of common stock reserved and available for future awards under the South Plains Financial, Inc. 2019 Equity Incentive Plan, or the 2019 Plan; and</w:t>
      </w:r>
    </w:p>
    <w:p>
      <w:pPr>
        <w:spacing w:after="0" w:line="62" w:lineRule="exact"/>
        <w:rPr>
          <w:rFonts w:ascii="Arial" w:cs="Arial" w:eastAsia="Arial" w:hAnsi="Arial"/>
          <w:sz w:val="18"/>
          <w:szCs w:val="18"/>
          <w:color w:val="auto"/>
        </w:rPr>
      </w:pPr>
    </w:p>
    <w:p>
      <w:pPr>
        <w:ind w:left="800" w:right="100" w:hanging="342"/>
        <w:spacing w:after="0" w:line="277"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10,342 shares of common stock underlying the equity awards being granted in connection with this offering to Cory T. Newsom, our President.</w:t>
      </w:r>
    </w:p>
    <w:p>
      <w:pPr>
        <w:spacing w:after="0" w:line="62" w:lineRule="exact"/>
        <w:rPr>
          <w:sz w:val="20"/>
          <w:szCs w:val="20"/>
          <w:color w:val="auto"/>
        </w:rPr>
      </w:pPr>
    </w:p>
    <w:p>
      <w:pPr>
        <w:ind w:left="100" w:right="480"/>
        <w:spacing w:after="0" w:line="277" w:lineRule="auto"/>
        <w:rPr>
          <w:sz w:val="20"/>
          <w:szCs w:val="20"/>
          <w:color w:val="auto"/>
        </w:rPr>
      </w:pPr>
      <w:r>
        <w:rPr>
          <w:rFonts w:ascii="Arial" w:cs="Arial" w:eastAsia="Arial" w:hAnsi="Arial"/>
          <w:sz w:val="18"/>
          <w:szCs w:val="18"/>
          <w:color w:val="auto"/>
        </w:rPr>
        <w:t>See “Executive Compensation—Employment Agreement with Cory T. Newsom” for a further discussion of Mr. Newsom’s awards.</w:t>
      </w: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7482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92825" cy="7748270"/>
                    </a:xfrm>
                    <a:prstGeom prst="rect">
                      <a:avLst/>
                    </a:prstGeom>
                    <a:noFill/>
                  </pic:spPr>
                </pic:pic>
              </a:graphicData>
            </a:graphic>
          </wp:anchor>
        </w:drawing>
      </w:r>
    </w:p>
    <w:p>
      <w:pPr>
        <w:spacing w:after="0" w:line="350"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SELECTED HISTORICAL CONSOLIDATED FINANCIAL AND OPERATING INFORMATION</w:t>
      </w:r>
    </w:p>
    <w:p>
      <w:pPr>
        <w:spacing w:after="0" w:line="121" w:lineRule="exact"/>
        <w:rPr>
          <w:sz w:val="20"/>
          <w:szCs w:val="20"/>
          <w:color w:val="auto"/>
        </w:rPr>
      </w:pPr>
    </w:p>
    <w:p>
      <w:pPr>
        <w:ind w:left="100" w:right="40" w:firstLine="360"/>
        <w:spacing w:after="0" w:line="270" w:lineRule="auto"/>
        <w:rPr>
          <w:sz w:val="20"/>
          <w:szCs w:val="20"/>
          <w:color w:val="auto"/>
        </w:rPr>
      </w:pPr>
      <w:r>
        <w:rPr>
          <w:rFonts w:ascii="Arial" w:cs="Arial" w:eastAsia="Arial" w:hAnsi="Arial"/>
          <w:sz w:val="17"/>
          <w:szCs w:val="17"/>
          <w:color w:val="auto"/>
        </w:rPr>
        <w:t>The following table sets forth (i) selected historical consolidated financial and operating data as of and for the years ended December 31, 2018, 2017, 2016, 2015 and 2014, (ii) certain pro forma information to reflect our conversion from an S Corporation to a C Corporation, which was effective May 31, 2018, as if it had occurred at the beginning of each period, and (iii) selected ratios as of and for the periods indicated. Selected financial data as of and for the years ended December 31, 2018 and 2017 has been derived from our audited consolidated financial statements included elsewhere in this prospectus, and the selected historical consolidated financial information as of and for the years ended December 31, 2016, 2015 and 2014 has been derived from our audited consolidated financial statements not appearing in this prospectus. The historical results set forth below and elsewhere in this prospectus are not necessarily indicative of our future performance. The performance, asset quality and capital ratios are unaudited and derived from our audited and unaudited financial statements as of and for the periods presented. Average balances have been calculated using daily averages.</w:t>
      </w:r>
    </w:p>
    <w:p>
      <w:pPr>
        <w:spacing w:after="0" w:line="70" w:lineRule="exact"/>
        <w:rPr>
          <w:sz w:val="20"/>
          <w:szCs w:val="20"/>
          <w:color w:val="auto"/>
        </w:rPr>
      </w:pPr>
    </w:p>
    <w:p>
      <w:pPr>
        <w:ind w:left="100" w:right="120" w:firstLine="360"/>
        <w:spacing w:after="0" w:line="264" w:lineRule="auto"/>
        <w:rPr>
          <w:sz w:val="20"/>
          <w:szCs w:val="20"/>
          <w:color w:val="auto"/>
        </w:rPr>
      </w:pPr>
      <w:r>
        <w:rPr>
          <w:rFonts w:ascii="Arial" w:cs="Arial" w:eastAsia="Arial" w:hAnsi="Arial"/>
          <w:sz w:val="18"/>
          <w:szCs w:val="18"/>
          <w:color w:val="auto"/>
        </w:rPr>
        <w:t>You should read the following financial data in conjunction with the other information contained in this prospectus, including under “Management’s Discussion and Analysis of Financial Condition and Results of Operations” and in the financial statements and related notes included elsewhere in this prospectus.</w:t>
      </w:r>
    </w:p>
    <w:p>
      <w:pPr>
        <w:spacing w:after="0" w:line="38" w:lineRule="exact"/>
        <w:rPr>
          <w:sz w:val="20"/>
          <w:szCs w:val="20"/>
          <w:color w:val="auto"/>
        </w:rPr>
      </w:pPr>
    </w:p>
    <w:tbl>
      <w:tblPr>
        <w:tblLayout w:type="fixed"/>
        <w:tblInd w:w="10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10"/>
          </w:tcPr>
          <w:p>
            <w:pPr>
              <w:jc w:val="right"/>
              <w:ind w:right="280"/>
              <w:spacing w:after="0"/>
              <w:rPr>
                <w:sz w:val="20"/>
                <w:szCs w:val="20"/>
                <w:color w:val="auto"/>
              </w:rPr>
            </w:pPr>
            <w:r>
              <w:rPr>
                <w:rFonts w:ascii="Arial" w:cs="Arial" w:eastAsia="Arial" w:hAnsi="Arial"/>
                <w:sz w:val="14"/>
                <w:szCs w:val="14"/>
                <w:b w:val="1"/>
                <w:bCs w:val="1"/>
                <w:color w:val="auto"/>
                <w:w w:val="97"/>
              </w:rPr>
              <w:t>As of or for the Year Ended December 31,</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83"/>
        </w:trPr>
        <w:tc>
          <w:tcPr>
            <w:tcW w:w="4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5"/>
                <w:szCs w:val="15"/>
                <w:color w:val="auto"/>
              </w:rPr>
            </w:pPr>
          </w:p>
        </w:tc>
      </w:tr>
      <w:tr>
        <w:trPr>
          <w:trHeight w:val="196"/>
        </w:trPr>
        <w:tc>
          <w:tcPr>
            <w:tcW w:w="4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0" w:type="dxa"/>
            <w:vAlign w:val="bottom"/>
            <w:gridSpan w:val="10"/>
          </w:tcPr>
          <w:p>
            <w:pPr>
              <w:jc w:val="right"/>
              <w:ind w:right="180"/>
              <w:spacing w:after="0"/>
              <w:rPr>
                <w:sz w:val="20"/>
                <w:szCs w:val="20"/>
                <w:color w:val="auto"/>
              </w:rPr>
            </w:pPr>
            <w:r>
              <w:rPr>
                <w:rFonts w:ascii="Arial" w:cs="Arial" w:eastAsia="Arial" w:hAnsi="Arial"/>
                <w:sz w:val="14"/>
                <w:szCs w:val="14"/>
                <w:b w:val="1"/>
                <w:bCs w:val="1"/>
                <w:color w:val="auto"/>
                <w:w w:val="93"/>
              </w:rPr>
              <w:t>(Dollars in thousands, except per share data)</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40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Statement of Income Data:</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3"/>
        </w:trPr>
        <w:tc>
          <w:tcPr>
            <w:tcW w:w="4080" w:type="dxa"/>
            <w:vAlign w:val="bottom"/>
          </w:tcPr>
          <w:p>
            <w:pPr>
              <w:ind w:left="180"/>
              <w:spacing w:after="0"/>
              <w:rPr>
                <w:sz w:val="20"/>
                <w:szCs w:val="20"/>
                <w:color w:val="auto"/>
              </w:rPr>
            </w:pPr>
            <w:r>
              <w:rPr>
                <w:rFonts w:ascii="Arial" w:cs="Arial" w:eastAsia="Arial" w:hAnsi="Arial"/>
                <w:sz w:val="17"/>
                <w:szCs w:val="17"/>
                <w:color w:val="auto"/>
              </w:rPr>
              <w:t>Interest income</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118,094</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104,440</w:t>
            </w: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97,220</w:t>
            </w: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95,033</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88,753</w:t>
            </w:r>
          </w:p>
        </w:tc>
        <w:tc>
          <w:tcPr>
            <w:tcW w:w="80" w:type="dxa"/>
            <w:vAlign w:val="bottom"/>
          </w:tcPr>
          <w:p>
            <w:pPr>
              <w:spacing w:after="0"/>
              <w:rPr>
                <w:sz w:val="19"/>
                <w:szCs w:val="19"/>
                <w:color w:val="auto"/>
              </w:rPr>
            </w:pPr>
          </w:p>
        </w:tc>
      </w:tr>
      <w:tr>
        <w:trPr>
          <w:trHeight w:val="236"/>
        </w:trPr>
        <w:tc>
          <w:tcPr>
            <w:tcW w:w="40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Interest expense</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22,482</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15,977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14,582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13,543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14,304</w:t>
            </w:r>
          </w:p>
        </w:tc>
        <w:tc>
          <w:tcPr>
            <w:tcW w:w="80" w:type="dxa"/>
            <w:vAlign w:val="bottom"/>
            <w:shd w:val="clear" w:color="auto" w:fill="CCEEFF"/>
          </w:tcPr>
          <w:p>
            <w:pPr>
              <w:spacing w:after="0"/>
              <w:rPr>
                <w:sz w:val="20"/>
                <w:szCs w:val="20"/>
                <w:color w:val="auto"/>
              </w:rPr>
            </w:pPr>
          </w:p>
        </w:tc>
      </w:tr>
      <w:tr>
        <w:trPr>
          <w:trHeight w:val="223"/>
        </w:trPr>
        <w:tc>
          <w:tcPr>
            <w:tcW w:w="4080" w:type="dxa"/>
            <w:vAlign w:val="bottom"/>
          </w:tcPr>
          <w:p>
            <w:pPr>
              <w:ind w:left="180"/>
              <w:spacing w:after="0"/>
              <w:rPr>
                <w:sz w:val="20"/>
                <w:szCs w:val="20"/>
                <w:color w:val="auto"/>
              </w:rPr>
            </w:pPr>
            <w:r>
              <w:rPr>
                <w:rFonts w:ascii="Arial" w:cs="Arial" w:eastAsia="Arial" w:hAnsi="Arial"/>
                <w:sz w:val="17"/>
                <w:szCs w:val="17"/>
                <w:color w:val="auto"/>
              </w:rPr>
              <w:t>Net interest income</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95,612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88,463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82,638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81,490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74,449</w:t>
            </w:r>
          </w:p>
        </w:tc>
        <w:tc>
          <w:tcPr>
            <w:tcW w:w="80" w:type="dxa"/>
            <w:vAlign w:val="bottom"/>
          </w:tcPr>
          <w:p>
            <w:pPr>
              <w:spacing w:after="0"/>
              <w:rPr>
                <w:sz w:val="19"/>
                <w:szCs w:val="19"/>
                <w:color w:val="auto"/>
              </w:rPr>
            </w:pPr>
          </w:p>
        </w:tc>
      </w:tr>
      <w:tr>
        <w:trPr>
          <w:trHeight w:val="236"/>
        </w:trPr>
        <w:tc>
          <w:tcPr>
            <w:tcW w:w="40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Provision for loan losses</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6,901</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3,966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1,968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781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649</w:t>
            </w:r>
          </w:p>
        </w:tc>
        <w:tc>
          <w:tcPr>
            <w:tcW w:w="80" w:type="dxa"/>
            <w:vAlign w:val="bottom"/>
            <w:shd w:val="clear" w:color="auto" w:fill="CCEEFF"/>
          </w:tcPr>
          <w:p>
            <w:pPr>
              <w:spacing w:after="0"/>
              <w:rPr>
                <w:sz w:val="20"/>
                <w:szCs w:val="20"/>
                <w:color w:val="auto"/>
              </w:rPr>
            </w:pPr>
          </w:p>
        </w:tc>
      </w:tr>
      <w:tr>
        <w:trPr>
          <w:trHeight w:val="223"/>
        </w:trPr>
        <w:tc>
          <w:tcPr>
            <w:tcW w:w="4080" w:type="dxa"/>
            <w:vAlign w:val="bottom"/>
          </w:tcPr>
          <w:p>
            <w:pPr>
              <w:ind w:left="180"/>
              <w:spacing w:after="0"/>
              <w:rPr>
                <w:sz w:val="20"/>
                <w:szCs w:val="20"/>
                <w:color w:val="auto"/>
              </w:rPr>
            </w:pPr>
            <w:r>
              <w:rPr>
                <w:rFonts w:ascii="Arial" w:cs="Arial" w:eastAsia="Arial" w:hAnsi="Arial"/>
                <w:sz w:val="17"/>
                <w:szCs w:val="17"/>
                <w:color w:val="auto"/>
              </w:rPr>
              <w:t>Noninterest income</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52,121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47,389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49,896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39,630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31,863</w:t>
            </w:r>
          </w:p>
        </w:tc>
        <w:tc>
          <w:tcPr>
            <w:tcW w:w="80" w:type="dxa"/>
            <w:vAlign w:val="bottom"/>
          </w:tcPr>
          <w:p>
            <w:pPr>
              <w:spacing w:after="0"/>
              <w:rPr>
                <w:sz w:val="19"/>
                <w:szCs w:val="19"/>
                <w:color w:val="auto"/>
              </w:rPr>
            </w:pPr>
          </w:p>
        </w:tc>
      </w:tr>
      <w:tr>
        <w:trPr>
          <w:trHeight w:val="236"/>
        </w:trPr>
        <w:tc>
          <w:tcPr>
            <w:tcW w:w="40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Noninterest expense</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115,443</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108,144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104,388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97,293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85,972</w:t>
            </w:r>
          </w:p>
        </w:tc>
        <w:tc>
          <w:tcPr>
            <w:tcW w:w="80" w:type="dxa"/>
            <w:vAlign w:val="bottom"/>
            <w:shd w:val="clear" w:color="auto" w:fill="CCEEFF"/>
          </w:tcPr>
          <w:p>
            <w:pPr>
              <w:spacing w:after="0"/>
              <w:rPr>
                <w:sz w:val="20"/>
                <w:szCs w:val="20"/>
                <w:color w:val="auto"/>
              </w:rPr>
            </w:pPr>
          </w:p>
        </w:tc>
      </w:tr>
      <w:tr>
        <w:trPr>
          <w:trHeight w:val="223"/>
        </w:trPr>
        <w:tc>
          <w:tcPr>
            <w:tcW w:w="4080" w:type="dxa"/>
            <w:vAlign w:val="bottom"/>
          </w:tcPr>
          <w:p>
            <w:pPr>
              <w:ind w:left="180"/>
              <w:spacing w:after="0"/>
              <w:rPr>
                <w:sz w:val="20"/>
                <w:szCs w:val="20"/>
                <w:color w:val="auto"/>
              </w:rPr>
            </w:pPr>
            <w:r>
              <w:rPr>
                <w:rFonts w:ascii="Arial" w:cs="Arial" w:eastAsia="Arial" w:hAnsi="Arial"/>
                <w:sz w:val="17"/>
                <w:szCs w:val="17"/>
                <w:color w:val="auto"/>
              </w:rPr>
              <w:t>Net income – S Corp</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29,290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23,635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26,077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22,932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19,560</w:t>
            </w:r>
          </w:p>
        </w:tc>
        <w:tc>
          <w:tcPr>
            <w:tcW w:w="80" w:type="dxa"/>
            <w:vAlign w:val="bottom"/>
          </w:tcPr>
          <w:p>
            <w:pPr>
              <w:spacing w:after="0"/>
              <w:rPr>
                <w:sz w:val="19"/>
                <w:szCs w:val="19"/>
                <w:color w:val="auto"/>
              </w:rPr>
            </w:pPr>
          </w:p>
        </w:tc>
      </w:tr>
      <w:tr>
        <w:trPr>
          <w:trHeight w:val="236"/>
        </w:trPr>
        <w:tc>
          <w:tcPr>
            <w:tcW w:w="4080" w:type="dxa"/>
            <w:vAlign w:val="bottom"/>
            <w:shd w:val="clear" w:color="auto" w:fill="CCEEFF"/>
          </w:tcPr>
          <w:p>
            <w:pPr>
              <w:ind w:left="180"/>
              <w:spacing w:after="0" w:line="236" w:lineRule="exact"/>
              <w:rPr>
                <w:sz w:val="20"/>
                <w:szCs w:val="20"/>
                <w:color w:val="auto"/>
              </w:rPr>
            </w:pPr>
            <w:r>
              <w:rPr>
                <w:rFonts w:ascii="Arial" w:cs="Arial" w:eastAsia="Arial" w:hAnsi="Arial"/>
                <w:sz w:val="17"/>
                <w:szCs w:val="17"/>
                <w:color w:val="auto"/>
              </w:rPr>
              <w:t>Net income – C Corp</w:t>
            </w:r>
            <w:r>
              <w:rPr>
                <w:rFonts w:ascii="Arial" w:cs="Arial" w:eastAsia="Arial" w:hAnsi="Arial"/>
                <w:sz w:val="27"/>
                <w:szCs w:val="27"/>
                <w:color w:val="auto"/>
                <w:vertAlign w:val="superscript"/>
              </w:rPr>
              <w:t>(1)</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20,757</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17,580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19,652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17,073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14,683</w:t>
            </w:r>
          </w:p>
        </w:tc>
        <w:tc>
          <w:tcPr>
            <w:tcW w:w="80" w:type="dxa"/>
            <w:vAlign w:val="bottom"/>
            <w:shd w:val="clear" w:color="auto" w:fill="CCEEFF"/>
          </w:tcPr>
          <w:p>
            <w:pPr>
              <w:spacing w:after="0"/>
              <w:rPr>
                <w:sz w:val="20"/>
                <w:szCs w:val="20"/>
                <w:color w:val="auto"/>
              </w:rPr>
            </w:pPr>
          </w:p>
        </w:tc>
      </w:tr>
      <w:tr>
        <w:trPr>
          <w:trHeight w:val="226"/>
        </w:trPr>
        <w:tc>
          <w:tcPr>
            <w:tcW w:w="4080" w:type="dxa"/>
            <w:vAlign w:val="bottom"/>
          </w:tcPr>
          <w:p>
            <w:pPr>
              <w:spacing w:after="0"/>
              <w:rPr>
                <w:sz w:val="20"/>
                <w:szCs w:val="20"/>
                <w:color w:val="auto"/>
              </w:rPr>
            </w:pPr>
            <w:r>
              <w:rPr>
                <w:rFonts w:ascii="Arial" w:cs="Arial" w:eastAsia="Arial" w:hAnsi="Arial"/>
                <w:sz w:val="17"/>
                <w:szCs w:val="17"/>
                <w:b w:val="1"/>
                <w:bCs w:val="1"/>
                <w:color w:val="auto"/>
              </w:rPr>
              <w:t>Balance Sheet Data:</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3"/>
        </w:trPr>
        <w:tc>
          <w:tcPr>
            <w:tcW w:w="40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Cash and cash equivalents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245,989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294,563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363,400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360,503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295,936</w:t>
            </w:r>
          </w:p>
        </w:tc>
        <w:tc>
          <w:tcPr>
            <w:tcW w:w="80" w:type="dxa"/>
            <w:vAlign w:val="bottom"/>
            <w:shd w:val="clear" w:color="auto" w:fill="CCEEFF"/>
          </w:tcPr>
          <w:p>
            <w:pPr>
              <w:spacing w:after="0"/>
              <w:rPr>
                <w:sz w:val="20"/>
                <w:szCs w:val="20"/>
                <w:color w:val="auto"/>
              </w:rPr>
            </w:pPr>
          </w:p>
        </w:tc>
      </w:tr>
      <w:tr>
        <w:trPr>
          <w:trHeight w:val="223"/>
        </w:trPr>
        <w:tc>
          <w:tcPr>
            <w:tcW w:w="4080" w:type="dxa"/>
            <w:vAlign w:val="bottom"/>
          </w:tcPr>
          <w:p>
            <w:pPr>
              <w:ind w:left="180"/>
              <w:spacing w:after="0"/>
              <w:rPr>
                <w:sz w:val="20"/>
                <w:szCs w:val="20"/>
                <w:color w:val="auto"/>
              </w:rPr>
            </w:pPr>
            <w:r>
              <w:rPr>
                <w:rFonts w:ascii="Arial" w:cs="Arial" w:eastAsia="Arial" w:hAnsi="Arial"/>
                <w:sz w:val="17"/>
                <w:szCs w:val="17"/>
                <w:color w:val="auto"/>
              </w:rPr>
              <w:t>Investment securities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338,196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284,009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324,823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331,322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362,056</w:t>
            </w:r>
          </w:p>
        </w:tc>
        <w:tc>
          <w:tcPr>
            <w:tcW w:w="80" w:type="dxa"/>
            <w:vAlign w:val="bottom"/>
          </w:tcPr>
          <w:p>
            <w:pPr>
              <w:spacing w:after="0"/>
              <w:rPr>
                <w:sz w:val="19"/>
                <w:szCs w:val="19"/>
                <w:color w:val="auto"/>
              </w:rPr>
            </w:pPr>
          </w:p>
        </w:tc>
      </w:tr>
      <w:tr>
        <w:trPr>
          <w:trHeight w:val="236"/>
        </w:trPr>
        <w:tc>
          <w:tcPr>
            <w:tcW w:w="40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Gross loans held for investment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1,957,197</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1,838,155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1,661,186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1,679,314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1,550,033</w:t>
            </w:r>
          </w:p>
        </w:tc>
        <w:tc>
          <w:tcPr>
            <w:tcW w:w="80" w:type="dxa"/>
            <w:vAlign w:val="bottom"/>
            <w:shd w:val="clear" w:color="auto" w:fill="CCEEFF"/>
          </w:tcPr>
          <w:p>
            <w:pPr>
              <w:spacing w:after="0"/>
              <w:rPr>
                <w:sz w:val="20"/>
                <w:szCs w:val="20"/>
                <w:color w:val="auto"/>
              </w:rPr>
            </w:pPr>
          </w:p>
        </w:tc>
      </w:tr>
      <w:tr>
        <w:trPr>
          <w:trHeight w:val="223"/>
        </w:trPr>
        <w:tc>
          <w:tcPr>
            <w:tcW w:w="4080" w:type="dxa"/>
            <w:vAlign w:val="bottom"/>
          </w:tcPr>
          <w:p>
            <w:pPr>
              <w:ind w:left="180"/>
              <w:spacing w:after="0"/>
              <w:rPr>
                <w:sz w:val="20"/>
                <w:szCs w:val="20"/>
                <w:color w:val="auto"/>
              </w:rPr>
            </w:pPr>
            <w:r>
              <w:rPr>
                <w:rFonts w:ascii="Arial" w:cs="Arial" w:eastAsia="Arial" w:hAnsi="Arial"/>
                <w:sz w:val="17"/>
                <w:szCs w:val="17"/>
                <w:color w:val="auto"/>
              </w:rPr>
              <w:t>Allowance for loan losses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23,126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21,461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21,174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24,220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27,940</w:t>
            </w:r>
          </w:p>
        </w:tc>
        <w:tc>
          <w:tcPr>
            <w:tcW w:w="80" w:type="dxa"/>
            <w:vAlign w:val="bottom"/>
          </w:tcPr>
          <w:p>
            <w:pPr>
              <w:spacing w:after="0"/>
              <w:rPr>
                <w:sz w:val="19"/>
                <w:szCs w:val="19"/>
                <w:color w:val="auto"/>
              </w:rPr>
            </w:pPr>
          </w:p>
        </w:tc>
      </w:tr>
      <w:tr>
        <w:trPr>
          <w:trHeight w:val="236"/>
        </w:trPr>
        <w:tc>
          <w:tcPr>
            <w:tcW w:w="40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assets</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2,712,745</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2,573,375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2,500,813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2,536,865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2,335,383</w:t>
            </w:r>
          </w:p>
        </w:tc>
        <w:tc>
          <w:tcPr>
            <w:tcW w:w="80" w:type="dxa"/>
            <w:vAlign w:val="bottom"/>
            <w:shd w:val="clear" w:color="auto" w:fill="CCEEFF"/>
          </w:tcPr>
          <w:p>
            <w:pPr>
              <w:spacing w:after="0"/>
              <w:rPr>
                <w:sz w:val="20"/>
                <w:szCs w:val="20"/>
                <w:color w:val="auto"/>
              </w:rPr>
            </w:pPr>
          </w:p>
        </w:tc>
      </w:tr>
      <w:tr>
        <w:trPr>
          <w:trHeight w:val="223"/>
        </w:trPr>
        <w:tc>
          <w:tcPr>
            <w:tcW w:w="4080" w:type="dxa"/>
            <w:vAlign w:val="bottom"/>
          </w:tcPr>
          <w:p>
            <w:pPr>
              <w:ind w:left="180"/>
              <w:spacing w:after="0"/>
              <w:rPr>
                <w:sz w:val="20"/>
                <w:szCs w:val="20"/>
                <w:color w:val="auto"/>
              </w:rPr>
            </w:pPr>
            <w:r>
              <w:rPr>
                <w:rFonts w:ascii="Arial" w:cs="Arial" w:eastAsia="Arial" w:hAnsi="Arial"/>
                <w:sz w:val="17"/>
                <w:szCs w:val="17"/>
                <w:color w:val="auto"/>
              </w:rPr>
              <w:t>Interest-bearing deposits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1,767,387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1,678,919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1,658,198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1,713,476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1,680,441</w:t>
            </w:r>
          </w:p>
        </w:tc>
        <w:tc>
          <w:tcPr>
            <w:tcW w:w="80" w:type="dxa"/>
            <w:vAlign w:val="bottom"/>
          </w:tcPr>
          <w:p>
            <w:pPr>
              <w:spacing w:after="0"/>
              <w:rPr>
                <w:sz w:val="19"/>
                <w:szCs w:val="19"/>
                <w:color w:val="auto"/>
              </w:rPr>
            </w:pPr>
          </w:p>
        </w:tc>
      </w:tr>
      <w:tr>
        <w:trPr>
          <w:trHeight w:val="236"/>
        </w:trPr>
        <w:tc>
          <w:tcPr>
            <w:tcW w:w="40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Noninterest-bearing deposits</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510,067</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475,162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432,725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413,777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352,207</w:t>
            </w:r>
          </w:p>
        </w:tc>
        <w:tc>
          <w:tcPr>
            <w:tcW w:w="80" w:type="dxa"/>
            <w:vAlign w:val="bottom"/>
            <w:shd w:val="clear" w:color="auto" w:fill="CCEEFF"/>
          </w:tcPr>
          <w:p>
            <w:pPr>
              <w:spacing w:after="0"/>
              <w:rPr>
                <w:sz w:val="20"/>
                <w:szCs w:val="20"/>
                <w:color w:val="auto"/>
              </w:rPr>
            </w:pPr>
          </w:p>
        </w:tc>
      </w:tr>
      <w:tr>
        <w:trPr>
          <w:trHeight w:val="223"/>
        </w:trPr>
        <w:tc>
          <w:tcPr>
            <w:tcW w:w="4080" w:type="dxa"/>
            <w:vAlign w:val="bottom"/>
          </w:tcPr>
          <w:p>
            <w:pPr>
              <w:ind w:left="180"/>
              <w:spacing w:after="0"/>
              <w:rPr>
                <w:sz w:val="20"/>
                <w:szCs w:val="20"/>
                <w:color w:val="auto"/>
              </w:rPr>
            </w:pPr>
            <w:r>
              <w:rPr>
                <w:rFonts w:ascii="Arial" w:cs="Arial" w:eastAsia="Arial" w:hAnsi="Arial"/>
                <w:sz w:val="17"/>
                <w:szCs w:val="17"/>
                <w:color w:val="auto"/>
              </w:rPr>
              <w:t>Total deposits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2,277,454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2,154,081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2,090,923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2,127,253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2,032,648</w:t>
            </w:r>
          </w:p>
        </w:tc>
        <w:tc>
          <w:tcPr>
            <w:tcW w:w="80" w:type="dxa"/>
            <w:vAlign w:val="bottom"/>
          </w:tcPr>
          <w:p>
            <w:pPr>
              <w:spacing w:after="0"/>
              <w:rPr>
                <w:sz w:val="19"/>
                <w:szCs w:val="19"/>
                <w:color w:val="auto"/>
              </w:rPr>
            </w:pPr>
          </w:p>
        </w:tc>
      </w:tr>
      <w:tr>
        <w:trPr>
          <w:trHeight w:val="236"/>
        </w:trPr>
        <w:tc>
          <w:tcPr>
            <w:tcW w:w="40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Borrowings</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193,100</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177,830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189,196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206,418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117,150</w:t>
            </w:r>
          </w:p>
        </w:tc>
        <w:tc>
          <w:tcPr>
            <w:tcW w:w="80" w:type="dxa"/>
            <w:vAlign w:val="bottom"/>
            <w:shd w:val="clear" w:color="auto" w:fill="CCEEFF"/>
          </w:tcPr>
          <w:p>
            <w:pPr>
              <w:spacing w:after="0"/>
              <w:rPr>
                <w:sz w:val="20"/>
                <w:szCs w:val="20"/>
                <w:color w:val="auto"/>
              </w:rPr>
            </w:pPr>
          </w:p>
        </w:tc>
      </w:tr>
      <w:tr>
        <w:trPr>
          <w:trHeight w:val="223"/>
        </w:trPr>
        <w:tc>
          <w:tcPr>
            <w:tcW w:w="4080" w:type="dxa"/>
            <w:vAlign w:val="bottom"/>
          </w:tcPr>
          <w:p>
            <w:pPr>
              <w:ind w:left="180"/>
              <w:spacing w:after="0"/>
              <w:rPr>
                <w:sz w:val="20"/>
                <w:szCs w:val="20"/>
                <w:color w:val="auto"/>
              </w:rPr>
            </w:pPr>
            <w:r>
              <w:rPr>
                <w:rFonts w:ascii="Arial" w:cs="Arial" w:eastAsia="Arial" w:hAnsi="Arial"/>
                <w:sz w:val="17"/>
                <w:szCs w:val="17"/>
                <w:color w:val="auto"/>
              </w:rPr>
              <w:t>ESOP-owned shares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58,195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57,121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49,700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39,867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34,376</w:t>
            </w:r>
          </w:p>
        </w:tc>
        <w:tc>
          <w:tcPr>
            <w:tcW w:w="80" w:type="dxa"/>
            <w:vAlign w:val="bottom"/>
          </w:tcPr>
          <w:p>
            <w:pPr>
              <w:spacing w:after="0"/>
              <w:rPr>
                <w:sz w:val="19"/>
                <w:szCs w:val="19"/>
                <w:color w:val="auto"/>
              </w:rPr>
            </w:pPr>
          </w:p>
        </w:tc>
      </w:tr>
      <w:tr>
        <w:trPr>
          <w:trHeight w:val="205"/>
        </w:trPr>
        <w:tc>
          <w:tcPr>
            <w:tcW w:w="40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shareholders’ equity excluding ESOP-owned</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40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shares</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154,580</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158,206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150,019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145,372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135,942</w:t>
            </w:r>
          </w:p>
        </w:tc>
        <w:tc>
          <w:tcPr>
            <w:tcW w:w="80" w:type="dxa"/>
            <w:vAlign w:val="bottom"/>
            <w:shd w:val="clear" w:color="auto" w:fill="CCEEFF"/>
          </w:tcPr>
          <w:p>
            <w:pPr>
              <w:spacing w:after="0"/>
              <w:rPr>
                <w:sz w:val="20"/>
                <w:szCs w:val="20"/>
                <w:color w:val="auto"/>
              </w:rPr>
            </w:pPr>
          </w:p>
        </w:tc>
      </w:tr>
      <w:tr>
        <w:trPr>
          <w:trHeight w:val="230"/>
        </w:trPr>
        <w:tc>
          <w:tcPr>
            <w:tcW w:w="4080" w:type="dxa"/>
            <w:vAlign w:val="bottom"/>
          </w:tcPr>
          <w:p>
            <w:pPr>
              <w:ind w:left="180"/>
              <w:spacing w:after="0" w:line="230" w:lineRule="exact"/>
              <w:rPr>
                <w:sz w:val="20"/>
                <w:szCs w:val="20"/>
                <w:color w:val="auto"/>
              </w:rPr>
            </w:pPr>
            <w:r>
              <w:rPr>
                <w:rFonts w:ascii="Arial" w:cs="Arial" w:eastAsia="Arial" w:hAnsi="Arial"/>
                <w:sz w:val="16"/>
                <w:szCs w:val="16"/>
                <w:color w:val="auto"/>
              </w:rPr>
              <w:t>Pro forma total shareholders’ equity</w:t>
            </w:r>
            <w:r>
              <w:rPr>
                <w:rFonts w:ascii="Arial" w:cs="Arial" w:eastAsia="Arial" w:hAnsi="Arial"/>
                <w:sz w:val="26"/>
                <w:szCs w:val="26"/>
                <w:color w:val="auto"/>
                <w:vertAlign w:val="superscript"/>
              </w:rPr>
              <w:t>(2)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212,775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215,327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199,719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185,239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170,318</w:t>
            </w:r>
          </w:p>
        </w:tc>
        <w:tc>
          <w:tcPr>
            <w:tcW w:w="80" w:type="dxa"/>
            <w:vAlign w:val="bottom"/>
          </w:tcPr>
          <w:p>
            <w:pPr>
              <w:spacing w:after="0"/>
              <w:rPr>
                <w:sz w:val="19"/>
                <w:szCs w:val="19"/>
                <w:color w:val="auto"/>
              </w:rPr>
            </w:pPr>
          </w:p>
        </w:tc>
      </w:tr>
      <w:tr>
        <w:trPr>
          <w:trHeight w:val="230"/>
        </w:trPr>
        <w:tc>
          <w:tcPr>
            <w:tcW w:w="40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Share and Per Share Data:</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3"/>
        </w:trPr>
        <w:tc>
          <w:tcPr>
            <w:tcW w:w="4080" w:type="dxa"/>
            <w:vAlign w:val="bottom"/>
          </w:tcPr>
          <w:p>
            <w:pPr>
              <w:ind w:left="180"/>
              <w:spacing w:after="0"/>
              <w:rPr>
                <w:sz w:val="20"/>
                <w:szCs w:val="20"/>
                <w:color w:val="auto"/>
              </w:rPr>
            </w:pPr>
            <w:r>
              <w:rPr>
                <w:rFonts w:ascii="Arial" w:cs="Arial" w:eastAsia="Arial" w:hAnsi="Arial"/>
                <w:sz w:val="17"/>
                <w:szCs w:val="17"/>
                <w:color w:val="auto"/>
              </w:rPr>
              <w:t>Earnings per share (basic) – S Corp</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1.98</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1.60</w:t>
            </w: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1.75</w:t>
            </w: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1.53</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1.31</w:t>
            </w:r>
          </w:p>
        </w:tc>
        <w:tc>
          <w:tcPr>
            <w:tcW w:w="80" w:type="dxa"/>
            <w:vAlign w:val="bottom"/>
          </w:tcPr>
          <w:p>
            <w:pPr>
              <w:spacing w:after="0"/>
              <w:rPr>
                <w:sz w:val="19"/>
                <w:szCs w:val="19"/>
                <w:color w:val="auto"/>
              </w:rPr>
            </w:pPr>
          </w:p>
        </w:tc>
      </w:tr>
      <w:tr>
        <w:trPr>
          <w:trHeight w:val="236"/>
        </w:trPr>
        <w:tc>
          <w:tcPr>
            <w:tcW w:w="4080" w:type="dxa"/>
            <w:vAlign w:val="bottom"/>
            <w:shd w:val="clear" w:color="auto" w:fill="CCEEFF"/>
          </w:tcPr>
          <w:p>
            <w:pPr>
              <w:ind w:left="180"/>
              <w:spacing w:after="0" w:line="236" w:lineRule="exact"/>
              <w:rPr>
                <w:sz w:val="20"/>
                <w:szCs w:val="20"/>
                <w:color w:val="auto"/>
              </w:rPr>
            </w:pPr>
            <w:r>
              <w:rPr>
                <w:rFonts w:ascii="Arial" w:cs="Arial" w:eastAsia="Arial" w:hAnsi="Arial"/>
                <w:sz w:val="17"/>
                <w:szCs w:val="17"/>
                <w:color w:val="auto"/>
              </w:rPr>
              <w:t>Earnings per share (basic) – C Corp</w:t>
            </w:r>
            <w:r>
              <w:rPr>
                <w:rFonts w:ascii="Arial" w:cs="Arial" w:eastAsia="Arial" w:hAnsi="Arial"/>
                <w:sz w:val="27"/>
                <w:szCs w:val="27"/>
                <w:color w:val="auto"/>
                <w:vertAlign w:val="superscript"/>
              </w:rPr>
              <w:t>(1)</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1.41</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0.98</w:t>
            </w:r>
          </w:p>
        </w:tc>
        <w:tc>
          <w:tcPr>
            <w:tcW w:w="80" w:type="dxa"/>
            <w:vAlign w:val="bottom"/>
            <w:shd w:val="clear" w:color="auto" w:fill="CCEEFF"/>
          </w:tcPr>
          <w:p>
            <w:pPr>
              <w:spacing w:after="0"/>
              <w:rPr>
                <w:sz w:val="20"/>
                <w:szCs w:val="20"/>
                <w:color w:val="auto"/>
              </w:rPr>
            </w:pPr>
          </w:p>
        </w:tc>
      </w:tr>
      <w:tr>
        <w:trPr>
          <w:trHeight w:val="223"/>
        </w:trPr>
        <w:tc>
          <w:tcPr>
            <w:tcW w:w="4080" w:type="dxa"/>
            <w:vAlign w:val="bottom"/>
          </w:tcPr>
          <w:p>
            <w:pPr>
              <w:ind w:left="180"/>
              <w:spacing w:after="0"/>
              <w:rPr>
                <w:sz w:val="20"/>
                <w:szCs w:val="20"/>
                <w:color w:val="auto"/>
              </w:rPr>
            </w:pPr>
            <w:r>
              <w:rPr>
                <w:rFonts w:ascii="Arial" w:cs="Arial" w:eastAsia="Arial" w:hAnsi="Arial"/>
                <w:sz w:val="17"/>
                <w:szCs w:val="17"/>
                <w:color w:val="auto"/>
              </w:rPr>
              <w:t>Earnings per share (diluted) – S Corp</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1.98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1.60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1.74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1.52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1.29</w:t>
            </w:r>
          </w:p>
        </w:tc>
        <w:tc>
          <w:tcPr>
            <w:tcW w:w="80" w:type="dxa"/>
            <w:vAlign w:val="bottom"/>
          </w:tcPr>
          <w:p>
            <w:pPr>
              <w:spacing w:after="0"/>
              <w:rPr>
                <w:sz w:val="19"/>
                <w:szCs w:val="19"/>
                <w:color w:val="auto"/>
              </w:rPr>
            </w:pPr>
          </w:p>
        </w:tc>
      </w:tr>
      <w:tr>
        <w:trPr>
          <w:trHeight w:val="236"/>
        </w:trPr>
        <w:tc>
          <w:tcPr>
            <w:tcW w:w="4080" w:type="dxa"/>
            <w:vAlign w:val="bottom"/>
            <w:shd w:val="clear" w:color="auto" w:fill="CCEEFF"/>
          </w:tcPr>
          <w:p>
            <w:pPr>
              <w:ind w:left="180"/>
              <w:spacing w:after="0" w:line="236" w:lineRule="exact"/>
              <w:rPr>
                <w:sz w:val="20"/>
                <w:szCs w:val="20"/>
                <w:color w:val="auto"/>
              </w:rPr>
            </w:pPr>
            <w:r>
              <w:rPr>
                <w:rFonts w:ascii="Arial" w:cs="Arial" w:eastAsia="Arial" w:hAnsi="Arial"/>
                <w:sz w:val="17"/>
                <w:szCs w:val="17"/>
                <w:color w:val="auto"/>
              </w:rPr>
              <w:t>Earnings per share (diluted) – C Corp</w:t>
            </w:r>
            <w:r>
              <w:rPr>
                <w:rFonts w:ascii="Arial" w:cs="Arial" w:eastAsia="Arial" w:hAnsi="Arial"/>
                <w:sz w:val="27"/>
                <w:szCs w:val="27"/>
                <w:color w:val="auto"/>
                <w:vertAlign w:val="superscript"/>
              </w:rPr>
              <w:t>(1)</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1.41</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0.97</w:t>
            </w:r>
          </w:p>
        </w:tc>
        <w:tc>
          <w:tcPr>
            <w:tcW w:w="80" w:type="dxa"/>
            <w:vAlign w:val="bottom"/>
            <w:shd w:val="clear" w:color="auto" w:fill="CCEEFF"/>
          </w:tcPr>
          <w:p>
            <w:pPr>
              <w:spacing w:after="0"/>
              <w:rPr>
                <w:sz w:val="20"/>
                <w:szCs w:val="20"/>
                <w:color w:val="auto"/>
              </w:rPr>
            </w:pPr>
          </w:p>
        </w:tc>
      </w:tr>
      <w:tr>
        <w:trPr>
          <w:trHeight w:val="223"/>
        </w:trPr>
        <w:tc>
          <w:tcPr>
            <w:tcW w:w="4080" w:type="dxa"/>
            <w:vAlign w:val="bottom"/>
          </w:tcPr>
          <w:p>
            <w:pPr>
              <w:ind w:left="180"/>
              <w:spacing w:after="0"/>
              <w:rPr>
                <w:sz w:val="20"/>
                <w:szCs w:val="20"/>
                <w:color w:val="auto"/>
              </w:rPr>
            </w:pPr>
            <w:r>
              <w:rPr>
                <w:rFonts w:ascii="Arial" w:cs="Arial" w:eastAsia="Arial" w:hAnsi="Arial"/>
                <w:sz w:val="17"/>
                <w:szCs w:val="17"/>
                <w:color w:val="auto"/>
              </w:rPr>
              <w:t>Dividends per share</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2.03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0.53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0.43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0.48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0.27</w:t>
            </w:r>
          </w:p>
        </w:tc>
        <w:tc>
          <w:tcPr>
            <w:tcW w:w="80" w:type="dxa"/>
            <w:vAlign w:val="bottom"/>
          </w:tcPr>
          <w:p>
            <w:pPr>
              <w:spacing w:after="0"/>
              <w:rPr>
                <w:sz w:val="19"/>
                <w:szCs w:val="19"/>
                <w:color w:val="auto"/>
              </w:rPr>
            </w:pPr>
          </w:p>
        </w:tc>
      </w:tr>
      <w:tr>
        <w:trPr>
          <w:trHeight w:val="236"/>
        </w:trPr>
        <w:tc>
          <w:tcPr>
            <w:tcW w:w="4080" w:type="dxa"/>
            <w:vAlign w:val="bottom"/>
            <w:shd w:val="clear" w:color="auto" w:fill="CCEEFF"/>
          </w:tcPr>
          <w:p>
            <w:pPr>
              <w:ind w:left="180"/>
              <w:spacing w:after="0" w:line="236" w:lineRule="exact"/>
              <w:rPr>
                <w:sz w:val="20"/>
                <w:szCs w:val="20"/>
                <w:color w:val="auto"/>
              </w:rPr>
            </w:pPr>
            <w:r>
              <w:rPr>
                <w:rFonts w:ascii="Arial" w:cs="Arial" w:eastAsia="Arial" w:hAnsi="Arial"/>
                <w:sz w:val="17"/>
                <w:szCs w:val="17"/>
                <w:color w:val="auto"/>
              </w:rPr>
              <w:t>Book value per share</w:t>
            </w:r>
            <w:r>
              <w:rPr>
                <w:rFonts w:ascii="Arial" w:cs="Arial" w:eastAsia="Arial" w:hAnsi="Arial"/>
                <w:sz w:val="27"/>
                <w:szCs w:val="27"/>
                <w:color w:val="auto"/>
                <w:vertAlign w:val="superscript"/>
              </w:rPr>
              <w:t>(3)</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14.40</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14.58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13.58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12.33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11.38</w:t>
            </w:r>
          </w:p>
        </w:tc>
        <w:tc>
          <w:tcPr>
            <w:tcW w:w="80" w:type="dxa"/>
            <w:vAlign w:val="bottom"/>
            <w:shd w:val="clear" w:color="auto" w:fill="CCEEFF"/>
          </w:tcPr>
          <w:p>
            <w:pPr>
              <w:spacing w:after="0"/>
              <w:rPr>
                <w:sz w:val="20"/>
                <w:szCs w:val="20"/>
                <w:color w:val="auto"/>
              </w:rPr>
            </w:pPr>
          </w:p>
        </w:tc>
      </w:tr>
      <w:tr>
        <w:trPr>
          <w:trHeight w:val="230"/>
        </w:trPr>
        <w:tc>
          <w:tcPr>
            <w:tcW w:w="4080" w:type="dxa"/>
            <w:vAlign w:val="bottom"/>
          </w:tcPr>
          <w:p>
            <w:pPr>
              <w:ind w:left="180"/>
              <w:spacing w:after="0" w:line="230" w:lineRule="exact"/>
              <w:rPr>
                <w:sz w:val="20"/>
                <w:szCs w:val="20"/>
                <w:color w:val="auto"/>
              </w:rPr>
            </w:pPr>
            <w:r>
              <w:rPr>
                <w:rFonts w:ascii="Arial" w:cs="Arial" w:eastAsia="Arial" w:hAnsi="Arial"/>
                <w:sz w:val="16"/>
                <w:szCs w:val="16"/>
                <w:color w:val="auto"/>
              </w:rPr>
              <w:t>Tangible book value per share</w:t>
            </w:r>
            <w:r>
              <w:rPr>
                <w:rFonts w:ascii="Arial" w:cs="Arial" w:eastAsia="Arial" w:hAnsi="Arial"/>
                <w:sz w:val="26"/>
                <w:szCs w:val="26"/>
                <w:color w:val="auto"/>
                <w:vertAlign w:val="superscript"/>
              </w:rPr>
              <w:t>(3)(4)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14.40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14.58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13.58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12.33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11.38</w:t>
            </w:r>
          </w:p>
        </w:tc>
        <w:tc>
          <w:tcPr>
            <w:tcW w:w="80" w:type="dxa"/>
            <w:vAlign w:val="bottom"/>
          </w:tcPr>
          <w:p>
            <w:pPr>
              <w:spacing w:after="0"/>
              <w:rPr>
                <w:sz w:val="19"/>
                <w:szCs w:val="19"/>
                <w:color w:val="auto"/>
              </w:rPr>
            </w:pPr>
          </w:p>
        </w:tc>
      </w:tr>
      <w:tr>
        <w:trPr>
          <w:trHeight w:val="230"/>
        </w:trPr>
        <w:tc>
          <w:tcPr>
            <w:tcW w:w="408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4"/>
              </w:rPr>
              <w:t>Weighted average common shares outstanding (basic)</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9"/>
              </w:rPr>
              <w:t>14,771,520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1"/>
              </w:rPr>
              <w:t>14,769,086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9"/>
              </w:rPr>
              <w:t>14,932,021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1"/>
              </w:rPr>
              <w:t>14,963,288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14,960,756</w:t>
            </w:r>
          </w:p>
        </w:tc>
        <w:tc>
          <w:tcPr>
            <w:tcW w:w="80" w:type="dxa"/>
            <w:vAlign w:val="bottom"/>
            <w:shd w:val="clear" w:color="auto" w:fill="CCEEFF"/>
          </w:tcPr>
          <w:p>
            <w:pPr>
              <w:spacing w:after="0"/>
              <w:rPr>
                <w:sz w:val="19"/>
                <w:szCs w:val="19"/>
                <w:color w:val="auto"/>
              </w:rPr>
            </w:pPr>
          </w:p>
        </w:tc>
      </w:tr>
      <w:tr>
        <w:trPr>
          <w:trHeight w:val="223"/>
        </w:trPr>
        <w:tc>
          <w:tcPr>
            <w:tcW w:w="4080" w:type="dxa"/>
            <w:vAlign w:val="bottom"/>
          </w:tcPr>
          <w:p>
            <w:pPr>
              <w:ind w:left="180"/>
              <w:spacing w:after="0"/>
              <w:rPr>
                <w:sz w:val="20"/>
                <w:szCs w:val="20"/>
                <w:color w:val="auto"/>
              </w:rPr>
            </w:pPr>
            <w:r>
              <w:rPr>
                <w:rFonts w:ascii="Arial" w:cs="Arial" w:eastAsia="Arial" w:hAnsi="Arial"/>
                <w:sz w:val="17"/>
                <w:szCs w:val="17"/>
                <w:color w:val="auto"/>
                <w:w w:val="91"/>
              </w:rPr>
              <w:t>Weighted average common shares outstanding (diluted)</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w w:val="89"/>
              </w:rPr>
              <w:t>14,771,520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w w:val="91"/>
              </w:rPr>
              <w:t>14,771,520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w w:val="89"/>
              </w:rPr>
              <w:t>14,997,897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w w:val="91"/>
              </w:rPr>
              <w:t>15,092,592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w w:val="91"/>
              </w:rPr>
              <w:t>15,153,510</w:t>
            </w:r>
          </w:p>
        </w:tc>
        <w:tc>
          <w:tcPr>
            <w:tcW w:w="80" w:type="dxa"/>
            <w:vAlign w:val="bottom"/>
          </w:tcPr>
          <w:p>
            <w:pPr>
              <w:spacing w:after="0"/>
              <w:rPr>
                <w:sz w:val="19"/>
                <w:szCs w:val="19"/>
                <w:color w:val="auto"/>
              </w:rPr>
            </w:pPr>
          </w:p>
        </w:tc>
      </w:tr>
      <w:tr>
        <w:trPr>
          <w:trHeight w:val="236"/>
        </w:trPr>
        <w:tc>
          <w:tcPr>
            <w:tcW w:w="40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Shares outstanding at end of period</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9"/>
              </w:rPr>
              <w:t>14,771,520</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1"/>
              </w:rPr>
              <w:t>14,771,520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9"/>
              </w:rPr>
              <w:t>14,771,520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1"/>
              </w:rPr>
              <w:t>15,028,830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15,153,510</w:t>
            </w:r>
          </w:p>
        </w:tc>
        <w:tc>
          <w:tcPr>
            <w:tcW w:w="80" w:type="dxa"/>
            <w:vAlign w:val="bottom"/>
            <w:shd w:val="clear" w:color="auto" w:fill="CCEEFF"/>
          </w:tcPr>
          <w:p>
            <w:pPr>
              <w:spacing w:after="0"/>
              <w:rPr>
                <w:sz w:val="20"/>
                <w:szCs w:val="20"/>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5557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92825" cy="6555740"/>
                    </a:xfrm>
                    <a:prstGeom prst="rect">
                      <a:avLst/>
                    </a:prstGeom>
                    <a:noFill/>
                  </pic:spPr>
                </pic:pic>
              </a:graphicData>
            </a:graphic>
          </wp:anchor>
        </w:drawing>
      </w:r>
    </w:p>
    <w:p>
      <w:pPr>
        <w:spacing w:after="0" w:line="211" w:lineRule="exact"/>
        <w:rPr>
          <w:sz w:val="20"/>
          <w:szCs w:val="20"/>
          <w:color w:val="auto"/>
        </w:rPr>
      </w:pPr>
    </w:p>
    <w:tbl>
      <w:tblPr>
        <w:tblLayout w:type="fixed"/>
        <w:tblInd w:w="10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rPr>
              <w:t>As of or for the Year Ended December 31,</w:t>
            </w: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83"/>
        </w:trPr>
        <w:tc>
          <w:tcPr>
            <w:tcW w:w="4080" w:type="dxa"/>
            <w:vAlign w:val="bottom"/>
          </w:tcPr>
          <w:p>
            <w:pPr>
              <w:spacing w:after="0"/>
              <w:rPr>
                <w:sz w:val="15"/>
                <w:szCs w:val="15"/>
                <w:color w:val="auto"/>
              </w:rPr>
            </w:pPr>
          </w:p>
        </w:tc>
        <w:tc>
          <w:tcPr>
            <w:tcW w:w="8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5"/>
                <w:szCs w:val="15"/>
                <w:color w:val="auto"/>
              </w:rPr>
            </w:pPr>
          </w:p>
        </w:tc>
        <w:tc>
          <w:tcPr>
            <w:tcW w:w="8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5"/>
                <w:szCs w:val="15"/>
                <w:color w:val="auto"/>
              </w:rPr>
            </w:pPr>
          </w:p>
        </w:tc>
        <w:tc>
          <w:tcPr>
            <w:tcW w:w="9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5"/>
                <w:szCs w:val="15"/>
                <w:color w:val="auto"/>
              </w:rPr>
            </w:pPr>
          </w:p>
        </w:tc>
        <w:tc>
          <w:tcPr>
            <w:tcW w:w="9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5"/>
                <w:szCs w:val="15"/>
                <w:color w:val="auto"/>
              </w:rPr>
            </w:pPr>
          </w:p>
        </w:tc>
        <w:tc>
          <w:tcPr>
            <w:tcW w:w="9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5"/>
                <w:szCs w:val="15"/>
                <w:color w:val="auto"/>
              </w:rPr>
            </w:pPr>
          </w:p>
        </w:tc>
      </w:tr>
      <w:tr>
        <w:trPr>
          <w:trHeight w:val="196"/>
        </w:trPr>
        <w:tc>
          <w:tcPr>
            <w:tcW w:w="4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2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8"/>
              </w:rPr>
              <w:t>(Dollars in thousands, except per share data)</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40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Performance Ratios:</w:t>
            </w: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3"/>
        </w:trPr>
        <w:tc>
          <w:tcPr>
            <w:tcW w:w="4080" w:type="dxa"/>
            <w:vAlign w:val="bottom"/>
          </w:tcPr>
          <w:p>
            <w:pPr>
              <w:ind w:left="180"/>
              <w:spacing w:after="0"/>
              <w:rPr>
                <w:sz w:val="20"/>
                <w:szCs w:val="20"/>
                <w:color w:val="auto"/>
              </w:rPr>
            </w:pPr>
            <w:r>
              <w:rPr>
                <w:rFonts w:ascii="Arial" w:cs="Arial" w:eastAsia="Arial" w:hAnsi="Arial"/>
                <w:sz w:val="17"/>
                <w:szCs w:val="17"/>
                <w:color w:val="auto"/>
              </w:rPr>
              <w:t>Return on average:</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6"/>
        </w:trPr>
        <w:tc>
          <w:tcPr>
            <w:tcW w:w="40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Assets – S Corp</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1.12%</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0.93%</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1.02%</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0.95%</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0.86%</w:t>
            </w:r>
          </w:p>
        </w:tc>
      </w:tr>
      <w:tr>
        <w:trPr>
          <w:trHeight w:val="230"/>
        </w:trPr>
        <w:tc>
          <w:tcPr>
            <w:tcW w:w="4080" w:type="dxa"/>
            <w:vAlign w:val="bottom"/>
          </w:tcPr>
          <w:p>
            <w:pPr>
              <w:ind w:left="360"/>
              <w:spacing w:after="0" w:line="230" w:lineRule="exact"/>
              <w:rPr>
                <w:sz w:val="20"/>
                <w:szCs w:val="20"/>
                <w:color w:val="auto"/>
              </w:rPr>
            </w:pPr>
            <w:r>
              <w:rPr>
                <w:rFonts w:ascii="Arial" w:cs="Arial" w:eastAsia="Arial" w:hAnsi="Arial"/>
                <w:sz w:val="16"/>
                <w:szCs w:val="16"/>
                <w:color w:val="auto"/>
              </w:rPr>
              <w:t>Assets – C Corp</w:t>
            </w:r>
            <w:r>
              <w:rPr>
                <w:rFonts w:ascii="Arial" w:cs="Arial" w:eastAsia="Arial" w:hAnsi="Arial"/>
                <w:sz w:val="26"/>
                <w:szCs w:val="26"/>
                <w:color w:val="auto"/>
                <w:vertAlign w:val="superscript"/>
              </w:rPr>
              <w:t>(1)</w:t>
            </w:r>
          </w:p>
        </w:tc>
        <w:tc>
          <w:tcPr>
            <w:tcW w:w="880" w:type="dxa"/>
            <w:vAlign w:val="bottom"/>
          </w:tcPr>
          <w:p>
            <w:pPr>
              <w:jc w:val="right"/>
              <w:spacing w:after="0"/>
              <w:rPr>
                <w:sz w:val="20"/>
                <w:szCs w:val="20"/>
                <w:color w:val="auto"/>
              </w:rPr>
            </w:pPr>
            <w:r>
              <w:rPr>
                <w:rFonts w:ascii="Arial" w:cs="Arial" w:eastAsia="Arial" w:hAnsi="Arial"/>
                <w:sz w:val="17"/>
                <w:szCs w:val="17"/>
                <w:color w:val="auto"/>
              </w:rPr>
              <w:t>0.79</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0.69</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0.77</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0.71</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0.64</w:t>
            </w:r>
          </w:p>
        </w:tc>
        <w:tc>
          <w:tcPr>
            <w:tcW w:w="80" w:type="dxa"/>
            <w:vAlign w:val="bottom"/>
          </w:tcPr>
          <w:p>
            <w:pPr>
              <w:spacing w:after="0"/>
              <w:rPr>
                <w:sz w:val="19"/>
                <w:szCs w:val="19"/>
                <w:color w:val="auto"/>
              </w:rPr>
            </w:pPr>
          </w:p>
        </w:tc>
      </w:tr>
      <w:tr>
        <w:trPr>
          <w:trHeight w:val="230"/>
        </w:trPr>
        <w:tc>
          <w:tcPr>
            <w:tcW w:w="4080" w:type="dxa"/>
            <w:vAlign w:val="bottom"/>
            <w:shd w:val="clear" w:color="auto" w:fill="CCEEFF"/>
          </w:tcPr>
          <w:p>
            <w:pPr>
              <w:ind w:left="360"/>
              <w:spacing w:after="0" w:line="230" w:lineRule="exact"/>
              <w:rPr>
                <w:sz w:val="20"/>
                <w:szCs w:val="20"/>
                <w:color w:val="auto"/>
              </w:rPr>
            </w:pPr>
            <w:r>
              <w:rPr>
                <w:rFonts w:ascii="Arial" w:cs="Arial" w:eastAsia="Arial" w:hAnsi="Arial"/>
                <w:sz w:val="16"/>
                <w:szCs w:val="16"/>
                <w:color w:val="auto"/>
              </w:rPr>
              <w:t>Shareholders’ equity – S Corp</w:t>
            </w:r>
            <w:r>
              <w:rPr>
                <w:rFonts w:ascii="Arial" w:cs="Arial" w:eastAsia="Arial" w:hAnsi="Arial"/>
                <w:sz w:val="26"/>
                <w:szCs w:val="26"/>
                <w:color w:val="auto"/>
                <w:vertAlign w:val="superscript"/>
              </w:rPr>
              <w:t>(3)</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13.63</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11.40</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13.30</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13.00</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12.44</w:t>
            </w:r>
          </w:p>
        </w:tc>
        <w:tc>
          <w:tcPr>
            <w:tcW w:w="80" w:type="dxa"/>
            <w:vAlign w:val="bottom"/>
            <w:shd w:val="clear" w:color="auto" w:fill="CCEEFF"/>
          </w:tcPr>
          <w:p>
            <w:pPr>
              <w:spacing w:after="0"/>
              <w:rPr>
                <w:sz w:val="19"/>
                <w:szCs w:val="19"/>
                <w:color w:val="auto"/>
              </w:rPr>
            </w:pPr>
          </w:p>
        </w:tc>
      </w:tr>
      <w:tr>
        <w:trPr>
          <w:trHeight w:val="230"/>
        </w:trPr>
        <w:tc>
          <w:tcPr>
            <w:tcW w:w="4080" w:type="dxa"/>
            <w:vAlign w:val="bottom"/>
          </w:tcPr>
          <w:p>
            <w:pPr>
              <w:ind w:left="360"/>
              <w:spacing w:after="0" w:line="230" w:lineRule="exact"/>
              <w:rPr>
                <w:sz w:val="20"/>
                <w:szCs w:val="20"/>
                <w:color w:val="auto"/>
              </w:rPr>
            </w:pPr>
            <w:r>
              <w:rPr>
                <w:rFonts w:ascii="Arial" w:cs="Arial" w:eastAsia="Arial" w:hAnsi="Arial"/>
                <w:sz w:val="16"/>
                <w:szCs w:val="16"/>
                <w:color w:val="auto"/>
              </w:rPr>
              <w:t>Shareholders’ equity – C Corp</w:t>
            </w:r>
            <w:r>
              <w:rPr>
                <w:rFonts w:ascii="Arial" w:cs="Arial" w:eastAsia="Arial" w:hAnsi="Arial"/>
                <w:sz w:val="26"/>
                <w:szCs w:val="26"/>
                <w:color w:val="auto"/>
                <w:vertAlign w:val="superscript"/>
              </w:rPr>
              <w:t>(1)(3)</w:t>
            </w:r>
          </w:p>
        </w:tc>
        <w:tc>
          <w:tcPr>
            <w:tcW w:w="880" w:type="dxa"/>
            <w:vAlign w:val="bottom"/>
          </w:tcPr>
          <w:p>
            <w:pPr>
              <w:jc w:val="right"/>
              <w:spacing w:after="0"/>
              <w:rPr>
                <w:sz w:val="20"/>
                <w:szCs w:val="20"/>
                <w:color w:val="auto"/>
              </w:rPr>
            </w:pPr>
            <w:r>
              <w:rPr>
                <w:rFonts w:ascii="Arial" w:cs="Arial" w:eastAsia="Arial" w:hAnsi="Arial"/>
                <w:sz w:val="17"/>
                <w:szCs w:val="17"/>
                <w:color w:val="auto"/>
              </w:rPr>
              <w:t>9.66</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8.48</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10.02</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9.68</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9.34</w:t>
            </w:r>
          </w:p>
        </w:tc>
        <w:tc>
          <w:tcPr>
            <w:tcW w:w="80" w:type="dxa"/>
            <w:vAlign w:val="bottom"/>
          </w:tcPr>
          <w:p>
            <w:pPr>
              <w:spacing w:after="0"/>
              <w:rPr>
                <w:sz w:val="19"/>
                <w:szCs w:val="19"/>
                <w:color w:val="auto"/>
              </w:rPr>
            </w:pPr>
          </w:p>
        </w:tc>
      </w:tr>
      <w:tr>
        <w:trPr>
          <w:trHeight w:val="230"/>
        </w:trPr>
        <w:tc>
          <w:tcPr>
            <w:tcW w:w="4080" w:type="dxa"/>
            <w:vAlign w:val="bottom"/>
            <w:shd w:val="clear" w:color="auto" w:fill="CCEEFF"/>
          </w:tcPr>
          <w:p>
            <w:pPr>
              <w:ind w:left="180"/>
              <w:spacing w:after="0" w:line="230" w:lineRule="exact"/>
              <w:rPr>
                <w:sz w:val="20"/>
                <w:szCs w:val="20"/>
                <w:color w:val="auto"/>
              </w:rPr>
            </w:pPr>
            <w:r>
              <w:rPr>
                <w:rFonts w:ascii="Arial" w:cs="Arial" w:eastAsia="Arial" w:hAnsi="Arial"/>
                <w:sz w:val="16"/>
                <w:szCs w:val="16"/>
                <w:color w:val="auto"/>
              </w:rPr>
              <w:t>Net interest margin</w:t>
            </w:r>
            <w:r>
              <w:rPr>
                <w:rFonts w:ascii="Arial" w:cs="Arial" w:eastAsia="Arial" w:hAnsi="Arial"/>
                <w:sz w:val="26"/>
                <w:szCs w:val="26"/>
                <w:color w:val="auto"/>
                <w:vertAlign w:val="superscript"/>
              </w:rPr>
              <w:t>(5)</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w:t>
            </w:r>
          </w:p>
        </w:tc>
        <w:tc>
          <w:tcPr>
            <w:tcW w:w="80" w:type="dxa"/>
            <w:vAlign w:val="bottom"/>
            <w:shd w:val="clear" w:color="auto" w:fill="CCEEFF"/>
          </w:tcPr>
          <w:p>
            <w:pPr>
              <w:spacing w:after="0"/>
              <w:rPr>
                <w:sz w:val="19"/>
                <w:szCs w:val="19"/>
                <w:color w:val="auto"/>
              </w:rPr>
            </w:pPr>
          </w:p>
        </w:tc>
      </w:tr>
      <w:tr>
        <w:trPr>
          <w:trHeight w:val="230"/>
        </w:trPr>
        <w:tc>
          <w:tcPr>
            <w:tcW w:w="4080" w:type="dxa"/>
            <w:vAlign w:val="bottom"/>
          </w:tcPr>
          <w:p>
            <w:pPr>
              <w:ind w:left="180"/>
              <w:spacing w:after="0" w:line="230" w:lineRule="exact"/>
              <w:rPr>
                <w:sz w:val="20"/>
                <w:szCs w:val="20"/>
                <w:color w:val="auto"/>
              </w:rPr>
            </w:pPr>
            <w:r>
              <w:rPr>
                <w:rFonts w:ascii="Arial" w:cs="Arial" w:eastAsia="Arial" w:hAnsi="Arial"/>
                <w:sz w:val="16"/>
                <w:szCs w:val="16"/>
                <w:color w:val="auto"/>
              </w:rPr>
              <w:t>Efficiency ratio</w:t>
            </w:r>
            <w:r>
              <w:rPr>
                <w:rFonts w:ascii="Arial" w:cs="Arial" w:eastAsia="Arial" w:hAnsi="Arial"/>
                <w:sz w:val="26"/>
                <w:szCs w:val="26"/>
                <w:color w:val="auto"/>
                <w:vertAlign w:val="superscript"/>
              </w:rPr>
              <w:t>(6)</w:t>
            </w:r>
          </w:p>
        </w:tc>
        <w:tc>
          <w:tcPr>
            <w:tcW w:w="880" w:type="dxa"/>
            <w:vAlign w:val="bottom"/>
          </w:tcPr>
          <w:p>
            <w:pPr>
              <w:jc w:val="right"/>
              <w:spacing w:after="0"/>
              <w:rPr>
                <w:sz w:val="20"/>
                <w:szCs w:val="20"/>
                <w:color w:val="auto"/>
              </w:rPr>
            </w:pPr>
            <w:r>
              <w:rPr>
                <w:rFonts w:ascii="Arial" w:cs="Arial" w:eastAsia="Arial" w:hAnsi="Arial"/>
                <w:sz w:val="17"/>
                <w:szCs w:val="17"/>
                <w:color w:val="auto"/>
              </w:rPr>
              <w:t>77.64</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77.87</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77.01</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78.33</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78.74</w:t>
            </w:r>
          </w:p>
        </w:tc>
        <w:tc>
          <w:tcPr>
            <w:tcW w:w="80" w:type="dxa"/>
            <w:vAlign w:val="bottom"/>
          </w:tcPr>
          <w:p>
            <w:pPr>
              <w:spacing w:after="0"/>
              <w:rPr>
                <w:sz w:val="19"/>
                <w:szCs w:val="19"/>
                <w:color w:val="auto"/>
              </w:rPr>
            </w:pPr>
          </w:p>
        </w:tc>
      </w:tr>
      <w:tr>
        <w:trPr>
          <w:trHeight w:val="230"/>
        </w:trPr>
        <w:tc>
          <w:tcPr>
            <w:tcW w:w="40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Deposit Ratios:</w:t>
            </w: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3"/>
        </w:trPr>
        <w:tc>
          <w:tcPr>
            <w:tcW w:w="4080" w:type="dxa"/>
            <w:vAlign w:val="bottom"/>
          </w:tcPr>
          <w:p>
            <w:pPr>
              <w:ind w:left="180"/>
              <w:spacing w:after="0"/>
              <w:rPr>
                <w:sz w:val="20"/>
                <w:szCs w:val="20"/>
                <w:color w:val="auto"/>
              </w:rPr>
            </w:pPr>
            <w:r>
              <w:rPr>
                <w:rFonts w:ascii="Arial" w:cs="Arial" w:eastAsia="Arial" w:hAnsi="Arial"/>
                <w:sz w:val="17"/>
                <w:szCs w:val="17"/>
                <w:color w:val="auto"/>
              </w:rPr>
              <w:t>Total loans to deposits</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86.61%</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85.70%</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79.67%</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79.85%</w:t>
            </w: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75.62%</w:t>
            </w:r>
          </w:p>
        </w:tc>
      </w:tr>
      <w:tr>
        <w:trPr>
          <w:trHeight w:val="236"/>
        </w:trPr>
        <w:tc>
          <w:tcPr>
            <w:tcW w:w="4080" w:type="dxa"/>
            <w:vAlign w:val="bottom"/>
            <w:shd w:val="clear" w:color="auto" w:fill="CCEEFF"/>
          </w:tcPr>
          <w:p>
            <w:pPr>
              <w:ind w:left="180"/>
              <w:spacing w:after="0" w:line="236" w:lineRule="exact"/>
              <w:rPr>
                <w:sz w:val="20"/>
                <w:szCs w:val="20"/>
                <w:color w:val="auto"/>
              </w:rPr>
            </w:pPr>
            <w:r>
              <w:rPr>
                <w:rFonts w:ascii="Arial" w:cs="Arial" w:eastAsia="Arial" w:hAnsi="Arial"/>
                <w:sz w:val="17"/>
                <w:szCs w:val="17"/>
                <w:color w:val="auto"/>
              </w:rPr>
              <w:t>Core deposits to total deposits</w:t>
            </w:r>
            <w:r>
              <w:rPr>
                <w:rFonts w:ascii="Arial" w:cs="Arial" w:eastAsia="Arial" w:hAnsi="Arial"/>
                <w:sz w:val="27"/>
                <w:szCs w:val="27"/>
                <w:color w:val="auto"/>
                <w:vertAlign w:val="superscript"/>
              </w:rPr>
              <w:t>(7)</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90.38</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88.40</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89.97</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87.97</w:t>
            </w: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86.55</w:t>
            </w:r>
          </w:p>
        </w:tc>
        <w:tc>
          <w:tcPr>
            <w:tcW w:w="80" w:type="dxa"/>
            <w:vAlign w:val="bottom"/>
            <w:shd w:val="clear" w:color="auto" w:fill="CCEEFF"/>
          </w:tcPr>
          <w:p>
            <w:pPr>
              <w:spacing w:after="0"/>
              <w:rPr>
                <w:sz w:val="20"/>
                <w:szCs w:val="20"/>
                <w:color w:val="auto"/>
              </w:rPr>
            </w:pPr>
          </w:p>
        </w:tc>
      </w:tr>
      <w:tr>
        <w:trPr>
          <w:trHeight w:val="223"/>
        </w:trPr>
        <w:tc>
          <w:tcPr>
            <w:tcW w:w="4080" w:type="dxa"/>
            <w:vAlign w:val="bottom"/>
          </w:tcPr>
          <w:p>
            <w:pPr>
              <w:ind w:left="180"/>
              <w:spacing w:after="0"/>
              <w:rPr>
                <w:sz w:val="20"/>
                <w:szCs w:val="20"/>
                <w:color w:val="auto"/>
              </w:rPr>
            </w:pPr>
            <w:r>
              <w:rPr>
                <w:rFonts w:ascii="Arial" w:cs="Arial" w:eastAsia="Arial" w:hAnsi="Arial"/>
                <w:sz w:val="17"/>
                <w:szCs w:val="17"/>
                <w:color w:val="auto"/>
              </w:rPr>
              <w:t>Noninterest-bearing deposits to total deposits</w:t>
            </w:r>
          </w:p>
        </w:tc>
        <w:tc>
          <w:tcPr>
            <w:tcW w:w="880" w:type="dxa"/>
            <w:vAlign w:val="bottom"/>
          </w:tcPr>
          <w:p>
            <w:pPr>
              <w:jc w:val="right"/>
              <w:spacing w:after="0"/>
              <w:rPr>
                <w:sz w:val="20"/>
                <w:szCs w:val="20"/>
                <w:color w:val="auto"/>
              </w:rPr>
            </w:pPr>
            <w:r>
              <w:rPr>
                <w:rFonts w:ascii="Arial" w:cs="Arial" w:eastAsia="Arial" w:hAnsi="Arial"/>
                <w:sz w:val="17"/>
                <w:szCs w:val="17"/>
                <w:color w:val="auto"/>
              </w:rPr>
              <w:t>22.40</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22.06</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20.70</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19.45</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17.33</w:t>
            </w:r>
          </w:p>
        </w:tc>
        <w:tc>
          <w:tcPr>
            <w:tcW w:w="80" w:type="dxa"/>
            <w:vAlign w:val="bottom"/>
          </w:tcPr>
          <w:p>
            <w:pPr>
              <w:spacing w:after="0"/>
              <w:rPr>
                <w:sz w:val="19"/>
                <w:szCs w:val="19"/>
                <w:color w:val="auto"/>
              </w:rPr>
            </w:pPr>
          </w:p>
        </w:tc>
      </w:tr>
      <w:tr>
        <w:trPr>
          <w:trHeight w:val="236"/>
        </w:trPr>
        <w:tc>
          <w:tcPr>
            <w:tcW w:w="40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Cost of total deposits</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0.80</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0.58</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0.55</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0.54</w:t>
            </w: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0.59</w:t>
            </w:r>
          </w:p>
        </w:tc>
        <w:tc>
          <w:tcPr>
            <w:tcW w:w="80" w:type="dxa"/>
            <w:vAlign w:val="bottom"/>
            <w:shd w:val="clear" w:color="auto" w:fill="CCEEFF"/>
          </w:tcPr>
          <w:p>
            <w:pPr>
              <w:spacing w:after="0"/>
              <w:rPr>
                <w:sz w:val="20"/>
                <w:szCs w:val="20"/>
                <w:color w:val="auto"/>
              </w:rPr>
            </w:pPr>
          </w:p>
        </w:tc>
      </w:tr>
      <w:tr>
        <w:trPr>
          <w:trHeight w:val="226"/>
        </w:trPr>
        <w:tc>
          <w:tcPr>
            <w:tcW w:w="4080" w:type="dxa"/>
            <w:vAlign w:val="bottom"/>
          </w:tcPr>
          <w:p>
            <w:pPr>
              <w:spacing w:after="0"/>
              <w:rPr>
                <w:sz w:val="20"/>
                <w:szCs w:val="20"/>
                <w:color w:val="auto"/>
              </w:rPr>
            </w:pPr>
            <w:r>
              <w:rPr>
                <w:rFonts w:ascii="Arial" w:cs="Arial" w:eastAsia="Arial" w:hAnsi="Arial"/>
                <w:sz w:val="17"/>
                <w:szCs w:val="17"/>
                <w:b w:val="1"/>
                <w:bCs w:val="1"/>
                <w:color w:val="auto"/>
              </w:rPr>
              <w:t>Credit Quality Ratios:</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3"/>
        </w:trPr>
        <w:tc>
          <w:tcPr>
            <w:tcW w:w="4080" w:type="dxa"/>
            <w:vAlign w:val="bottom"/>
            <w:shd w:val="clear" w:color="auto" w:fill="CCEEFF"/>
          </w:tcPr>
          <w:p>
            <w:pPr>
              <w:ind w:left="180"/>
              <w:spacing w:after="0" w:line="233" w:lineRule="exact"/>
              <w:rPr>
                <w:sz w:val="20"/>
                <w:szCs w:val="20"/>
                <w:color w:val="auto"/>
              </w:rPr>
            </w:pPr>
            <w:r>
              <w:rPr>
                <w:rFonts w:ascii="Arial" w:cs="Arial" w:eastAsia="Arial" w:hAnsi="Arial"/>
                <w:sz w:val="17"/>
                <w:szCs w:val="17"/>
                <w:color w:val="auto"/>
              </w:rPr>
              <w:t>Nonperforming assets to total loans and OREO</w:t>
            </w:r>
            <w:r>
              <w:rPr>
                <w:rFonts w:ascii="Arial" w:cs="Arial" w:eastAsia="Arial" w:hAnsi="Arial"/>
                <w:sz w:val="27"/>
                <w:szCs w:val="27"/>
                <w:color w:val="auto"/>
                <w:vertAlign w:val="superscript"/>
              </w:rPr>
              <w:t>(8)</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0.47%</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0.91%</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0.90%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0.98%</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1.81%</w:t>
            </w:r>
          </w:p>
        </w:tc>
      </w:tr>
      <w:tr>
        <w:trPr>
          <w:trHeight w:val="230"/>
        </w:trPr>
        <w:tc>
          <w:tcPr>
            <w:tcW w:w="4080" w:type="dxa"/>
            <w:vAlign w:val="bottom"/>
          </w:tcPr>
          <w:p>
            <w:pPr>
              <w:ind w:left="180"/>
              <w:spacing w:after="0" w:line="230" w:lineRule="exact"/>
              <w:rPr>
                <w:sz w:val="20"/>
                <w:szCs w:val="20"/>
                <w:color w:val="auto"/>
              </w:rPr>
            </w:pPr>
            <w:r>
              <w:rPr>
                <w:rFonts w:ascii="Arial" w:cs="Arial" w:eastAsia="Arial" w:hAnsi="Arial"/>
                <w:sz w:val="16"/>
                <w:szCs w:val="16"/>
                <w:color w:val="auto"/>
              </w:rPr>
              <w:t>Allowance for loan losses to nonperforming loans</w:t>
            </w:r>
            <w:r>
              <w:rPr>
                <w:rFonts w:ascii="Arial" w:cs="Arial" w:eastAsia="Arial" w:hAnsi="Arial"/>
                <w:sz w:val="26"/>
                <w:szCs w:val="26"/>
                <w:color w:val="auto"/>
                <w:vertAlign w:val="superscript"/>
              </w:rPr>
              <w:t>(9)</w:t>
            </w:r>
          </w:p>
        </w:tc>
        <w:tc>
          <w:tcPr>
            <w:tcW w:w="880" w:type="dxa"/>
            <w:vAlign w:val="bottom"/>
          </w:tcPr>
          <w:p>
            <w:pPr>
              <w:jc w:val="right"/>
              <w:spacing w:after="0"/>
              <w:rPr>
                <w:sz w:val="20"/>
                <w:szCs w:val="20"/>
                <w:color w:val="auto"/>
              </w:rPr>
            </w:pPr>
            <w:r>
              <w:rPr>
                <w:rFonts w:ascii="Arial" w:cs="Arial" w:eastAsia="Arial" w:hAnsi="Arial"/>
                <w:sz w:val="17"/>
                <w:szCs w:val="17"/>
                <w:color w:val="auto"/>
              </w:rPr>
              <w:t>332.56</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154.38</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294.29</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275.07</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135.18</w:t>
            </w:r>
          </w:p>
        </w:tc>
        <w:tc>
          <w:tcPr>
            <w:tcW w:w="80" w:type="dxa"/>
            <w:vAlign w:val="bottom"/>
          </w:tcPr>
          <w:p>
            <w:pPr>
              <w:spacing w:after="0"/>
              <w:rPr>
                <w:sz w:val="19"/>
                <w:szCs w:val="19"/>
                <w:color w:val="auto"/>
              </w:rPr>
            </w:pPr>
          </w:p>
        </w:tc>
      </w:tr>
      <w:tr>
        <w:trPr>
          <w:trHeight w:val="230"/>
        </w:trPr>
        <w:tc>
          <w:tcPr>
            <w:tcW w:w="40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Allowance for loan losses to gross loans</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w:t>
            </w:r>
          </w:p>
        </w:tc>
        <w:tc>
          <w:tcPr>
            <w:tcW w:w="80" w:type="dxa"/>
            <w:vAlign w:val="bottom"/>
            <w:shd w:val="clear" w:color="auto" w:fill="CCEEFF"/>
          </w:tcPr>
          <w:p>
            <w:pPr>
              <w:spacing w:after="0"/>
              <w:rPr>
                <w:sz w:val="19"/>
                <w:szCs w:val="19"/>
                <w:color w:val="auto"/>
              </w:rPr>
            </w:pPr>
          </w:p>
        </w:tc>
      </w:tr>
      <w:tr>
        <w:trPr>
          <w:trHeight w:val="216"/>
        </w:trPr>
        <w:tc>
          <w:tcPr>
            <w:tcW w:w="4080" w:type="dxa"/>
            <w:vAlign w:val="bottom"/>
          </w:tcPr>
          <w:p>
            <w:pPr>
              <w:ind w:left="180"/>
              <w:spacing w:after="0"/>
              <w:rPr>
                <w:sz w:val="20"/>
                <w:szCs w:val="20"/>
                <w:color w:val="auto"/>
              </w:rPr>
            </w:pPr>
            <w:r>
              <w:rPr>
                <w:rFonts w:ascii="Arial" w:cs="Arial" w:eastAsia="Arial" w:hAnsi="Arial"/>
                <w:sz w:val="17"/>
                <w:szCs w:val="17"/>
                <w:color w:val="auto"/>
              </w:rPr>
              <w:t>Net loan charge-offs to average loans</w:t>
            </w:r>
          </w:p>
        </w:tc>
        <w:tc>
          <w:tcPr>
            <w:tcW w:w="880" w:type="dxa"/>
            <w:vAlign w:val="bottom"/>
          </w:tcPr>
          <w:p>
            <w:pPr>
              <w:jc w:val="right"/>
              <w:spacing w:after="0"/>
              <w:rPr>
                <w:sz w:val="20"/>
                <w:szCs w:val="20"/>
                <w:color w:val="auto"/>
              </w:rPr>
            </w:pPr>
            <w:r>
              <w:rPr>
                <w:rFonts w:ascii="Arial" w:cs="Arial" w:eastAsia="Arial" w:hAnsi="Arial"/>
                <w:sz w:val="17"/>
                <w:szCs w:val="17"/>
                <w:color w:val="auto"/>
              </w:rPr>
              <w:t>0.27</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0.21</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0.30</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0.27</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0.12</w:t>
            </w:r>
          </w:p>
        </w:tc>
        <w:tc>
          <w:tcPr>
            <w:tcW w:w="80" w:type="dxa"/>
            <w:vAlign w:val="bottom"/>
          </w:tcPr>
          <w:p>
            <w:pPr>
              <w:spacing w:after="0"/>
              <w:rPr>
                <w:sz w:val="18"/>
                <w:szCs w:val="18"/>
                <w:color w:val="auto"/>
              </w:rPr>
            </w:pPr>
          </w:p>
        </w:tc>
      </w:tr>
      <w:tr>
        <w:trPr>
          <w:trHeight w:val="243"/>
        </w:trPr>
        <w:tc>
          <w:tcPr>
            <w:tcW w:w="40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Capital Ratios:</w:t>
            </w:r>
          </w:p>
        </w:tc>
        <w:tc>
          <w:tcPr>
            <w:tcW w:w="8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0"/>
        </w:trPr>
        <w:tc>
          <w:tcPr>
            <w:tcW w:w="4080" w:type="dxa"/>
            <w:vAlign w:val="bottom"/>
          </w:tcPr>
          <w:p>
            <w:pPr>
              <w:ind w:left="180"/>
              <w:spacing w:after="0" w:line="230" w:lineRule="exact"/>
              <w:rPr>
                <w:sz w:val="20"/>
                <w:szCs w:val="20"/>
                <w:color w:val="auto"/>
              </w:rPr>
            </w:pPr>
            <w:r>
              <w:rPr>
                <w:rFonts w:ascii="Arial" w:cs="Arial" w:eastAsia="Arial" w:hAnsi="Arial"/>
                <w:sz w:val="16"/>
                <w:szCs w:val="16"/>
                <w:color w:val="auto"/>
              </w:rPr>
              <w:t>Total shareholders’ equity to total assets</w:t>
            </w:r>
            <w:r>
              <w:rPr>
                <w:rFonts w:ascii="Arial" w:cs="Arial" w:eastAsia="Arial" w:hAnsi="Arial"/>
                <w:sz w:val="26"/>
                <w:szCs w:val="26"/>
                <w:color w:val="auto"/>
                <w:vertAlign w:val="superscript"/>
              </w:rPr>
              <w:t>(3)</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7.84%</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8.37%</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7.99%</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7.30%</w:t>
            </w: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7.29%</w:t>
            </w:r>
          </w:p>
        </w:tc>
      </w:tr>
      <w:tr>
        <w:trPr>
          <w:trHeight w:val="230"/>
        </w:trPr>
        <w:tc>
          <w:tcPr>
            <w:tcW w:w="4080" w:type="dxa"/>
            <w:vAlign w:val="bottom"/>
            <w:shd w:val="clear" w:color="auto" w:fill="CCEEFF"/>
          </w:tcPr>
          <w:p>
            <w:pPr>
              <w:ind w:left="180"/>
              <w:spacing w:after="0" w:line="230" w:lineRule="exact"/>
              <w:rPr>
                <w:sz w:val="20"/>
                <w:szCs w:val="20"/>
                <w:color w:val="auto"/>
              </w:rPr>
            </w:pPr>
            <w:r>
              <w:rPr>
                <w:rFonts w:ascii="Arial" w:cs="Arial" w:eastAsia="Arial" w:hAnsi="Arial"/>
                <w:sz w:val="16"/>
                <w:szCs w:val="16"/>
                <w:color w:val="auto"/>
              </w:rPr>
              <w:t>Tangible common equity to tangible assets</w:t>
            </w:r>
            <w:r>
              <w:rPr>
                <w:rFonts w:ascii="Arial" w:cs="Arial" w:eastAsia="Arial" w:hAnsi="Arial"/>
                <w:sz w:val="26"/>
                <w:szCs w:val="26"/>
                <w:color w:val="auto"/>
                <w:vertAlign w:val="superscript"/>
              </w:rPr>
              <w:t>(4)</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7.84</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8.37</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7.99</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7.30</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7.29</w:t>
            </w:r>
          </w:p>
        </w:tc>
        <w:tc>
          <w:tcPr>
            <w:tcW w:w="80" w:type="dxa"/>
            <w:vAlign w:val="bottom"/>
            <w:shd w:val="clear" w:color="auto" w:fill="CCEEFF"/>
          </w:tcPr>
          <w:p>
            <w:pPr>
              <w:spacing w:after="0"/>
              <w:rPr>
                <w:sz w:val="19"/>
                <w:szCs w:val="19"/>
                <w:color w:val="auto"/>
              </w:rPr>
            </w:pPr>
          </w:p>
        </w:tc>
      </w:tr>
      <w:tr>
        <w:trPr>
          <w:trHeight w:val="223"/>
        </w:trPr>
        <w:tc>
          <w:tcPr>
            <w:tcW w:w="4080" w:type="dxa"/>
            <w:vAlign w:val="bottom"/>
          </w:tcPr>
          <w:p>
            <w:pPr>
              <w:ind w:left="180"/>
              <w:spacing w:after="0"/>
              <w:rPr>
                <w:sz w:val="20"/>
                <w:szCs w:val="20"/>
                <w:color w:val="auto"/>
              </w:rPr>
            </w:pPr>
            <w:r>
              <w:rPr>
                <w:rFonts w:ascii="Arial" w:cs="Arial" w:eastAsia="Arial" w:hAnsi="Arial"/>
                <w:sz w:val="17"/>
                <w:szCs w:val="17"/>
                <w:color w:val="auto"/>
              </w:rPr>
              <w:t>Common equity tier 1 capital ratio</w:t>
            </w:r>
          </w:p>
        </w:tc>
        <w:tc>
          <w:tcPr>
            <w:tcW w:w="880" w:type="dxa"/>
            <w:vAlign w:val="bottom"/>
          </w:tcPr>
          <w:p>
            <w:pPr>
              <w:jc w:val="right"/>
              <w:spacing w:after="0"/>
              <w:rPr>
                <w:sz w:val="20"/>
                <w:szCs w:val="20"/>
                <w:color w:val="auto"/>
              </w:rPr>
            </w:pPr>
            <w:r>
              <w:rPr>
                <w:rFonts w:ascii="Arial" w:cs="Arial" w:eastAsia="Arial" w:hAnsi="Arial"/>
                <w:sz w:val="17"/>
                <w:szCs w:val="17"/>
                <w:color w:val="auto"/>
              </w:rPr>
              <w:t>9.91</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10.78</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10.91</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9.96</w:t>
            </w:r>
          </w:p>
        </w:tc>
        <w:tc>
          <w:tcPr>
            <w:tcW w:w="1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n/a</w:t>
            </w:r>
          </w:p>
        </w:tc>
      </w:tr>
      <w:tr>
        <w:trPr>
          <w:trHeight w:val="236"/>
        </w:trPr>
        <w:tc>
          <w:tcPr>
            <w:tcW w:w="40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Tier 1 leverage ratio</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9.63</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10.06</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9.56</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9.34</w:t>
            </w: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9.16</w:t>
            </w:r>
          </w:p>
        </w:tc>
        <w:tc>
          <w:tcPr>
            <w:tcW w:w="80" w:type="dxa"/>
            <w:vAlign w:val="bottom"/>
            <w:shd w:val="clear" w:color="auto" w:fill="CCEEFF"/>
          </w:tcPr>
          <w:p>
            <w:pPr>
              <w:spacing w:after="0"/>
              <w:rPr>
                <w:sz w:val="20"/>
                <w:szCs w:val="20"/>
                <w:color w:val="auto"/>
              </w:rPr>
            </w:pPr>
          </w:p>
        </w:tc>
      </w:tr>
      <w:tr>
        <w:trPr>
          <w:trHeight w:val="223"/>
        </w:trPr>
        <w:tc>
          <w:tcPr>
            <w:tcW w:w="4080" w:type="dxa"/>
            <w:vAlign w:val="bottom"/>
          </w:tcPr>
          <w:p>
            <w:pPr>
              <w:ind w:left="180"/>
              <w:spacing w:after="0"/>
              <w:rPr>
                <w:sz w:val="20"/>
                <w:szCs w:val="20"/>
                <w:color w:val="auto"/>
              </w:rPr>
            </w:pPr>
            <w:r>
              <w:rPr>
                <w:rFonts w:ascii="Arial" w:cs="Arial" w:eastAsia="Arial" w:hAnsi="Arial"/>
                <w:sz w:val="17"/>
                <w:szCs w:val="17"/>
                <w:color w:val="auto"/>
              </w:rPr>
              <w:t>Tier 1 risk-based capital ratio</w:t>
            </w:r>
          </w:p>
        </w:tc>
        <w:tc>
          <w:tcPr>
            <w:tcW w:w="880" w:type="dxa"/>
            <w:vAlign w:val="bottom"/>
          </w:tcPr>
          <w:p>
            <w:pPr>
              <w:jc w:val="right"/>
              <w:spacing w:after="0"/>
              <w:rPr>
                <w:sz w:val="20"/>
                <w:szCs w:val="20"/>
                <w:color w:val="auto"/>
              </w:rPr>
            </w:pPr>
            <w:r>
              <w:rPr>
                <w:rFonts w:ascii="Arial" w:cs="Arial" w:eastAsia="Arial" w:hAnsi="Arial"/>
                <w:sz w:val="17"/>
                <w:szCs w:val="17"/>
                <w:color w:val="auto"/>
              </w:rPr>
              <w:t>11.98</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13.02</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13.38</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12.41</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13.07</w:t>
            </w:r>
          </w:p>
        </w:tc>
        <w:tc>
          <w:tcPr>
            <w:tcW w:w="80" w:type="dxa"/>
            <w:vAlign w:val="bottom"/>
          </w:tcPr>
          <w:p>
            <w:pPr>
              <w:spacing w:after="0"/>
              <w:rPr>
                <w:sz w:val="19"/>
                <w:szCs w:val="19"/>
                <w:color w:val="auto"/>
              </w:rPr>
            </w:pPr>
          </w:p>
        </w:tc>
      </w:tr>
      <w:tr>
        <w:trPr>
          <w:trHeight w:val="236"/>
        </w:trPr>
        <w:tc>
          <w:tcPr>
            <w:tcW w:w="40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risk-based capital ratio</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14.28</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15.15</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15.69</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14.79</w:t>
            </w: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15.61</w:t>
            </w:r>
          </w:p>
        </w:tc>
        <w:tc>
          <w:tcPr>
            <w:tcW w:w="80" w:type="dxa"/>
            <w:vAlign w:val="bottom"/>
            <w:shd w:val="clear" w:color="auto" w:fill="CCEEFF"/>
          </w:tcPr>
          <w:p>
            <w:pPr>
              <w:spacing w:after="0"/>
              <w:rPr>
                <w:sz w:val="20"/>
                <w:szCs w:val="20"/>
                <w:color w:val="auto"/>
              </w:rPr>
            </w:pPr>
          </w:p>
        </w:tc>
      </w:tr>
    </w:tbl>
    <w:p>
      <w:pPr>
        <w:spacing w:after="0" w:line="319" w:lineRule="exact"/>
        <w:rPr>
          <w:sz w:val="20"/>
          <w:szCs w:val="20"/>
          <w:color w:val="auto"/>
        </w:rPr>
      </w:pPr>
    </w:p>
    <w:p>
      <w:pPr>
        <w:ind w:left="460" w:right="20" w:hanging="353"/>
        <w:spacing w:after="0" w:line="252" w:lineRule="auto"/>
        <w:tabs>
          <w:tab w:leader="none" w:pos="4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Company calculates its pro forma C Corporation net income, return on average assets, return on average shareholders’ equity and earnings per share by adding back its franchise S Corporation tax to net income, and using tax rates for Federal income taxes of 35.0% prior to January 1, 2018 and 21.0% after January 1, 2018. This calculation reflects only the revocation of the Company’s status as an S Corporation and does not give effect to any other transaction. As our state income taxes are insignificant, they are not reflected in these calculations.</w:t>
      </w:r>
    </w:p>
    <w:p>
      <w:pPr>
        <w:spacing w:after="0" w:line="80" w:lineRule="exact"/>
        <w:rPr>
          <w:rFonts w:ascii="Arial" w:cs="Arial" w:eastAsia="Arial" w:hAnsi="Arial"/>
          <w:sz w:val="14"/>
          <w:szCs w:val="14"/>
          <w:color w:val="auto"/>
        </w:rPr>
      </w:pPr>
    </w:p>
    <w:p>
      <w:pPr>
        <w:ind w:left="460" w:hanging="353"/>
        <w:spacing w:after="0"/>
        <w:tabs>
          <w:tab w:leader="none" w:pos="4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Reflects the total shareholders’ equity of the Company after giving effect to the ESOP Repurchase Right Termination.</w:t>
      </w:r>
    </w:p>
    <w:p>
      <w:pPr>
        <w:spacing w:after="0" w:line="109" w:lineRule="exact"/>
        <w:rPr>
          <w:rFonts w:ascii="Arial" w:cs="Arial" w:eastAsia="Arial" w:hAnsi="Arial"/>
          <w:sz w:val="14"/>
          <w:szCs w:val="14"/>
          <w:color w:val="auto"/>
        </w:rPr>
      </w:pPr>
    </w:p>
    <w:p>
      <w:pPr>
        <w:ind w:left="460" w:hanging="353"/>
        <w:spacing w:after="0"/>
        <w:tabs>
          <w:tab w:leader="none" w:pos="4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Reflects the Company’s pro forma total shareholders’ equity.</w:t>
      </w:r>
    </w:p>
    <w:p>
      <w:pPr>
        <w:spacing w:after="0" w:line="109" w:lineRule="exact"/>
        <w:rPr>
          <w:rFonts w:ascii="Arial" w:cs="Arial" w:eastAsia="Arial" w:hAnsi="Arial"/>
          <w:sz w:val="14"/>
          <w:szCs w:val="14"/>
          <w:color w:val="auto"/>
        </w:rPr>
      </w:pPr>
    </w:p>
    <w:p>
      <w:pPr>
        <w:ind w:left="460" w:right="100" w:hanging="353"/>
        <w:spacing w:after="0" w:line="257" w:lineRule="auto"/>
        <w:tabs>
          <w:tab w:leader="none" w:pos="4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Represents a non-GAAP financial measure. We did not have any goodwill or other intangible assets as of the years ended December 31, 2014 to 2018. See our reconciliation of non-GAAP financial measures to their most directly comparable GAAP financial measures under the caption “Management’s Discussion and Analysis of Financial Condition and Results of Operations — Non-GAAP Financial Measures.”</w:t>
      </w:r>
    </w:p>
    <w:p>
      <w:pPr>
        <w:spacing w:after="0" w:line="77" w:lineRule="exact"/>
        <w:rPr>
          <w:rFonts w:ascii="Arial" w:cs="Arial" w:eastAsia="Arial" w:hAnsi="Arial"/>
          <w:sz w:val="14"/>
          <w:szCs w:val="14"/>
          <w:color w:val="auto"/>
        </w:rPr>
      </w:pPr>
    </w:p>
    <w:p>
      <w:pPr>
        <w:ind w:left="460" w:hanging="353"/>
        <w:spacing w:after="0"/>
        <w:tabs>
          <w:tab w:leader="none" w:pos="4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Net interest margin is calculated as the annual net interest income, on a fully tax-equivalent basis, divided by average interest-earning assets.</w:t>
      </w:r>
    </w:p>
    <w:p>
      <w:pPr>
        <w:spacing w:after="0" w:line="109" w:lineRule="exact"/>
        <w:rPr>
          <w:rFonts w:ascii="Arial" w:cs="Arial" w:eastAsia="Arial" w:hAnsi="Arial"/>
          <w:sz w:val="14"/>
          <w:szCs w:val="14"/>
          <w:color w:val="auto"/>
        </w:rPr>
      </w:pPr>
    </w:p>
    <w:p>
      <w:pPr>
        <w:ind w:left="460" w:hanging="353"/>
        <w:spacing w:after="0"/>
        <w:tabs>
          <w:tab w:leader="none" w:pos="4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efficiency ratio is calculated by dividing noninterest expense by the sum of net interest income on a tax-equivalent basis and noninterest income.</w:t>
      </w:r>
    </w:p>
    <w:p>
      <w:pPr>
        <w:spacing w:after="0" w:line="120" w:lineRule="exact"/>
        <w:rPr>
          <w:rFonts w:ascii="Arial" w:cs="Arial" w:eastAsia="Arial" w:hAnsi="Arial"/>
          <w:sz w:val="13"/>
          <w:szCs w:val="13"/>
          <w:color w:val="auto"/>
        </w:rPr>
      </w:pPr>
    </w:p>
    <w:p>
      <w:pPr>
        <w:ind w:left="460" w:right="160" w:hanging="353"/>
        <w:spacing w:after="0" w:line="273" w:lineRule="auto"/>
        <w:tabs>
          <w:tab w:leader="none" w:pos="4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Core deposits include deposits obtained directly from depositors and exclude time deposits in excess of $250,000, deposits obtained from listing services, and brokered deposits obtained through an intermediary.</w:t>
      </w:r>
    </w:p>
    <w:p>
      <w:pPr>
        <w:spacing w:after="0" w:line="65" w:lineRule="exact"/>
        <w:rPr>
          <w:rFonts w:ascii="Arial" w:cs="Arial" w:eastAsia="Arial" w:hAnsi="Arial"/>
          <w:sz w:val="14"/>
          <w:szCs w:val="14"/>
          <w:color w:val="auto"/>
        </w:rPr>
      </w:pPr>
    </w:p>
    <w:p>
      <w:pPr>
        <w:ind w:left="460" w:hanging="353"/>
        <w:spacing w:after="0"/>
        <w:tabs>
          <w:tab w:leader="none" w:pos="4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Nonperforming assets consist of nonperforming loans plus OREO.</w:t>
      </w:r>
    </w:p>
    <w:p>
      <w:pPr>
        <w:spacing w:after="0" w:line="109" w:lineRule="exact"/>
        <w:rPr>
          <w:rFonts w:ascii="Arial" w:cs="Arial" w:eastAsia="Arial" w:hAnsi="Arial"/>
          <w:sz w:val="14"/>
          <w:szCs w:val="14"/>
          <w:color w:val="auto"/>
        </w:rPr>
      </w:pPr>
    </w:p>
    <w:p>
      <w:pPr>
        <w:ind w:left="460" w:hanging="353"/>
        <w:spacing w:after="0"/>
        <w:tabs>
          <w:tab w:leader="none" w:pos="4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Nonperforming loans include nonaccrual loans and loans past due 90 days or more.</w:t>
      </w:r>
    </w:p>
    <w:p>
      <w:pPr>
        <w:spacing w:after="0" w:line="200" w:lineRule="exact"/>
        <w:rPr>
          <w:sz w:val="20"/>
          <w:szCs w:val="20"/>
          <w:color w:val="auto"/>
        </w:rPr>
      </w:pPr>
    </w:p>
    <w:p>
      <w:pPr>
        <w:spacing w:after="0" w:line="2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right="180" w:firstLine="360"/>
        <w:spacing w:after="0" w:line="257" w:lineRule="auto"/>
        <w:rPr>
          <w:sz w:val="20"/>
          <w:szCs w:val="20"/>
          <w:color w:val="auto"/>
        </w:rPr>
      </w:pPr>
      <w:r>
        <w:rPr>
          <w:rFonts w:ascii="Arial" w:cs="Arial" w:eastAsia="Arial" w:hAnsi="Arial"/>
          <w:sz w:val="18"/>
          <w:szCs w:val="18"/>
          <w:i w:val="1"/>
          <w:iCs w:val="1"/>
          <w:color w:val="auto"/>
        </w:rPr>
        <w:t>Investing in our common stock involves a high degree of risk. Before you decide to invest, you should carefully consider the risks described below, together with all other information included in this prospectus. We believe the risks described below are the risks that are material to us. Any of the following risks, as well as risks that we do not know or currently deem immaterial, could have a material adverse effect on our business, financial condition, results of operations and growth prospects. In that case, you could experience a partial or complete loss of your investment.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Market</w:t>
      </w:r>
    </w:p>
    <w:p>
      <w:pPr>
        <w:spacing w:after="0" w:line="108"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b w:val="1"/>
          <w:bCs w:val="1"/>
          <w:i w:val="1"/>
          <w:iCs w:val="1"/>
          <w:color w:val="auto"/>
        </w:rPr>
        <w:t>Our business has been and may continue to be adversely affected by current conditions in the financial markets and economic conditions generally.</w:t>
      </w:r>
    </w:p>
    <w:p>
      <w:pPr>
        <w:spacing w:after="0" w:line="75" w:lineRule="exact"/>
        <w:rPr>
          <w:sz w:val="20"/>
          <w:szCs w:val="20"/>
          <w:color w:val="auto"/>
        </w:rPr>
      </w:pPr>
    </w:p>
    <w:p>
      <w:pPr>
        <w:ind w:right="20" w:firstLine="360"/>
        <w:spacing w:after="0" w:line="268" w:lineRule="auto"/>
        <w:rPr>
          <w:sz w:val="20"/>
          <w:szCs w:val="20"/>
          <w:color w:val="auto"/>
        </w:rPr>
      </w:pPr>
      <w:r>
        <w:rPr>
          <w:rFonts w:ascii="Arial" w:cs="Arial" w:eastAsia="Arial" w:hAnsi="Arial"/>
          <w:sz w:val="17"/>
          <w:szCs w:val="17"/>
          <w:color w:val="auto"/>
        </w:rPr>
        <w:t>Our business and operations, which primarily consist of lending money to customers in the form of loans, borrowing money from customers in the form of deposits and investing in securities, are sensitive to general business and economic conditions in the U.S. Uncertainty about the federal fiscal policymaking process, and the medium and long-term fiscal outlook of the federal government and U.S. economy, is a concern for businesses, consumers and investors in the U.S. In addition, economic conditions in foreign countries, including global political hostilities, U.S. and foreign tariff policies and uncertainty over the stability of the euro currency, could affect the stability of global financial markets, which could hinder domestic economic growth. The current economic environment is characterized by interest rates at historically low levels, which impacts our ability to attract deposits and to generate attractive earnings through our investment portfolio. Our business is also significantly affected by monetary and related policies of the U.S. government and its agencies. Rising short term interest rates also may negatively affect the ability of our borrowers to repay their indebtedness subjecting us to potential loan losses. Current monetary policy has led to rising short term interest rates and a flattening, or at times even inverted, yield curve which affects our core business of intermediation of short term funding into longer term assets, impacting our ability to generate attractive returns. Changes in any of these policies are influenced by macroeconomic conditions and other factors that are beyond our control. Adverse economic conditions and government policy responses to such conditions could have a material adverse effect on our business, financial condition, results of operations and prospects. All of these factors are detrimental to our business, and the interplay between these factors can be complex and unpredictable.</w:t>
      </w:r>
    </w:p>
    <w:p>
      <w:pPr>
        <w:spacing w:after="0" w:line="167" w:lineRule="exact"/>
        <w:rPr>
          <w:sz w:val="20"/>
          <w:szCs w:val="20"/>
          <w:color w:val="auto"/>
        </w:rPr>
      </w:pPr>
    </w:p>
    <w:p>
      <w:pPr>
        <w:ind w:right="340"/>
        <w:spacing w:after="0" w:line="307" w:lineRule="auto"/>
        <w:rPr>
          <w:sz w:val="20"/>
          <w:szCs w:val="20"/>
          <w:color w:val="auto"/>
        </w:rPr>
      </w:pPr>
      <w:r>
        <w:rPr>
          <w:rFonts w:ascii="Arial" w:cs="Arial" w:eastAsia="Arial" w:hAnsi="Arial"/>
          <w:sz w:val="16"/>
          <w:szCs w:val="16"/>
          <w:b w:val="1"/>
          <w:bCs w:val="1"/>
          <w:i w:val="1"/>
          <w:iCs w:val="1"/>
          <w:color w:val="auto"/>
        </w:rPr>
        <w:t>We may grow through mergers or acquisitions, a strategy which may not be successful or, if successful, may produce risks in successfully integrating and managing the merged companies or acquisitions and may dilute our shareholders.</w:t>
      </w:r>
    </w:p>
    <w:p>
      <w:pPr>
        <w:spacing w:after="0" w:line="29"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As part of our growth strategy, we may pursue mergers and acquisitions of banks and nonbank financial services companies within or outside our principal market areas. We regularly identify and explore specific acquisition opportunities as part of our ongoing business practices, including our acquisition of an online mortgage platform and staff from an Overland Park, Kansas-based mortgage company at the end of November 2018. However, we have no current arrangements, understandings, or agreements to make any material acquisitions. We face significant competition from numerous other financial services institutions, many of which will have greater financial resources or more liquid securities than we do, when considering acquisition opportunities. Accordingly, attractive acquisition opportunities may not be available to us. There can be no assurance that we will be successful in identifying or completing any future acquisitions.</w:t>
      </w:r>
    </w:p>
    <w:p>
      <w:pPr>
        <w:spacing w:after="0" w:line="7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Mergers and acquisitions involve numerous risks, any of which could harm our business, including:</w:t>
      </w:r>
    </w:p>
    <w:p>
      <w:pPr>
        <w:spacing w:after="0" w:line="117" w:lineRule="exact"/>
        <w:rPr>
          <w:sz w:val="20"/>
          <w:szCs w:val="20"/>
          <w:color w:val="auto"/>
        </w:rPr>
      </w:pPr>
    </w:p>
    <w:p>
      <w:pPr>
        <w:ind w:left="700" w:right="140" w:hanging="356"/>
        <w:spacing w:after="0" w:line="342" w:lineRule="auto"/>
        <w:tabs>
          <w:tab w:leader="none" w:pos="7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difficulties in integrating the operations, management, products and services, technologies, existing contracts, accounting processes and personnel of the target and realizing the anticipated synergies of the combined businesses;</w:t>
      </w:r>
    </w:p>
    <w:p>
      <w:pPr>
        <w:spacing w:after="0" w:line="15" w:lineRule="exact"/>
        <w:rPr>
          <w:rFonts w:ascii="Arial" w:cs="Arial" w:eastAsia="Arial" w:hAnsi="Arial"/>
          <w:sz w:val="16"/>
          <w:szCs w:val="16"/>
          <w:color w:val="auto"/>
        </w:rPr>
      </w:pPr>
    </w:p>
    <w:p>
      <w:pPr>
        <w:ind w:left="700" w:hanging="35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supporting and transitioning customers of the target;</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existing operations;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assumption of nonperforming loans;</w:t>
      </w:r>
    </w:p>
    <w:p>
      <w:pPr>
        <w:spacing w:after="0" w:line="117" w:lineRule="exact"/>
        <w:rPr>
          <w:rFonts w:ascii="Arial" w:cs="Arial" w:eastAsia="Arial" w:hAnsi="Arial"/>
          <w:sz w:val="18"/>
          <w:szCs w:val="18"/>
          <w:color w:val="auto"/>
        </w:rPr>
      </w:pPr>
    </w:p>
    <w:p>
      <w:pPr>
        <w:ind w:left="700" w:right="80" w:hanging="356"/>
        <w:spacing w:after="0" w:line="277"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price we pay or other resources that we devote may exceed the value we realize, or the value we could have realized if we had allocated the purchase price or other resources to another opportunity;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hanging="35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entering new markets or areas in which we have limited or no experience;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loss of key personnel and customers from either our business or the target’s business;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assumption of unanticipated problems or latent liabilities of the target;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inability to generate sufficient revenue to offset acquisition costs.</w:t>
      </w:r>
    </w:p>
    <w:p>
      <w:pPr>
        <w:spacing w:after="0" w:line="117"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Mergers and acquisitions also frequently result in the recording of goodwill and other intangible assets, which are subject to potential impairments in the future and that could harm our financial results. In addition, if we finance acquisitions by issuing convertible debt or equity securities, our existing shareholders may be diluted, which could negatively affect the market price of our common stock.</w:t>
      </w:r>
    </w:p>
    <w:p>
      <w:pPr>
        <w:spacing w:after="0" w:line="79"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As a result, if we fail to properly evaluate mergers, acquisitions or investments, we may not achieve the anticipated benefits of any such merger or acquisition, and we may incur costs in excess of what we anticipate. The failure to successfully evaluate and execute mergers, acquisitions or investments or otherwise adequately address these risks could materially harm our business, financial condition and results of operations.</w:t>
      </w:r>
    </w:p>
    <w:p>
      <w:pPr>
        <w:spacing w:after="0" w:line="173"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b w:val="1"/>
          <w:bCs w:val="1"/>
          <w:i w:val="1"/>
          <w:iCs w:val="1"/>
          <w:color w:val="auto"/>
        </w:rPr>
        <w:t>If we fail to implement our business strategy, our financial performance and our growth could be materially and adversely affected.</w:t>
      </w:r>
    </w:p>
    <w:p>
      <w:pPr>
        <w:spacing w:after="0" w:line="75"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Our future financial performance and success are dependent in large part upon our ability to implement our business plan successfully. If we are unable to do so, our long-term growth and profitability may be adversely affected. Even if we are able to implement some or all of the initiatives of our business plan successfully, our operating results may not improve to the extent we anticipate, or at all. Implementation of our strategic plan could also be affected by a number of factors beyond our control, such as increased competition, legal developments, government regulation, general economic conditions or increased operating costs or expenses. In addition, to the extent we have misjudged the nature and extent of industry trends or our competition, we may have difficulty in achieving our strategic objectives. Any failure to implement our business strategy successfully may adversely affect our business, financial condition and results of operations. In addition, we may decide to alter or discontinue certain aspects of our business strategy at any time.</w:t>
      </w:r>
    </w:p>
    <w:p>
      <w:pPr>
        <w:spacing w:after="0" w:line="168" w:lineRule="exact"/>
        <w:rPr>
          <w:sz w:val="20"/>
          <w:szCs w:val="20"/>
          <w:color w:val="auto"/>
        </w:rPr>
      </w:pPr>
    </w:p>
    <w:p>
      <w:pPr>
        <w:ind w:right="600"/>
        <w:spacing w:after="0" w:line="246" w:lineRule="auto"/>
        <w:rPr>
          <w:sz w:val="20"/>
          <w:szCs w:val="20"/>
          <w:color w:val="auto"/>
        </w:rPr>
      </w:pPr>
      <w:r>
        <w:rPr>
          <w:rFonts w:ascii="Arial" w:cs="Arial" w:eastAsia="Arial" w:hAnsi="Arial"/>
          <w:sz w:val="18"/>
          <w:szCs w:val="18"/>
          <w:b w:val="1"/>
          <w:bCs w:val="1"/>
          <w:i w:val="1"/>
          <w:iCs w:val="1"/>
          <w:color w:val="auto"/>
        </w:rPr>
        <w:t>We may not be able to manage the risks associated with our anticipated growth and potential expansion through de novo branching.</w:t>
      </w:r>
    </w:p>
    <w:p>
      <w:pPr>
        <w:spacing w:after="0" w:line="75" w:lineRule="exact"/>
        <w:rPr>
          <w:sz w:val="20"/>
          <w:szCs w:val="20"/>
          <w:color w:val="auto"/>
        </w:rPr>
      </w:pPr>
    </w:p>
    <w:p>
      <w:pPr>
        <w:ind w:right="40" w:firstLine="360"/>
        <w:spacing w:after="0" w:line="290" w:lineRule="auto"/>
        <w:rPr>
          <w:sz w:val="20"/>
          <w:szCs w:val="20"/>
          <w:color w:val="auto"/>
        </w:rPr>
      </w:pPr>
      <w:r>
        <w:rPr>
          <w:rFonts w:ascii="Arial" w:cs="Arial" w:eastAsia="Arial" w:hAnsi="Arial"/>
          <w:sz w:val="16"/>
          <w:szCs w:val="16"/>
          <w:color w:val="auto"/>
        </w:rPr>
        <w:t>Our business strategy includes evaluating potential strategic opportunities which includes potentially growing through de novo branching. De novo branching carries with it certain potential risks, including significant startup costs and anticipated initial operating losses; an inability to gain regulatory approval; an inability to secure the services of qualified senior management to operate the de novo banking location and successfully integrate and promote our corporate culture; poor market reception for de novo banking locations established in markets where we do not have a preexisting reputation; challenges posed by local economic conditions; challenges associated with securing attractive locations at a reasonable cost; and the additional strain on management resources and internal systems and controls. Failure to adequately manage the risks associated with our anticipated growth through de novo branching could have an adverse effect on our business,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adequately measure and limit our credit risk, which could lead to unexpected losses.</w:t>
      </w:r>
    </w:p>
    <w:p>
      <w:pPr>
        <w:spacing w:after="0" w:line="117"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As a lender, we are exposed to the risk that our loan customers may not repay their loans according to the terms of these loans and the collateral securing the payment of these loans may be insufficient to fully compensate us for the outstanding balance of the loan plus the costs to dispose of the collateral. We may experience significant loan losses, which could have a material adverse effect on our operating results and financial condition. Management makes various assumptions and judgments about the collectability of our loan portfolio, including the diversification by industry of our commercial loan portfolio, the amount of nonperforming loans and related collateral, the volume, growth and composition of our loan portfolio, the effects on the loan portfolio of current economic indicators and their probable impact on borrowers and the evaluation of our loan portfolio through our internal loan review process and other relevant factors.</w:t>
      </w:r>
    </w:p>
    <w:p>
      <w:pPr>
        <w:spacing w:after="0" w:line="71" w:lineRule="exact"/>
        <w:rPr>
          <w:sz w:val="20"/>
          <w:szCs w:val="20"/>
          <w:color w:val="auto"/>
        </w:rPr>
      </w:pPr>
    </w:p>
    <w:p>
      <w:pPr>
        <w:ind w:right="300" w:firstLine="360"/>
        <w:spacing w:after="0" w:line="277" w:lineRule="auto"/>
        <w:rPr>
          <w:sz w:val="20"/>
          <w:szCs w:val="20"/>
          <w:color w:val="auto"/>
        </w:rPr>
      </w:pPr>
      <w:r>
        <w:rPr>
          <w:rFonts w:ascii="Arial" w:cs="Arial" w:eastAsia="Arial" w:hAnsi="Arial"/>
          <w:sz w:val="18"/>
          <w:szCs w:val="18"/>
          <w:color w:val="auto"/>
        </w:rPr>
        <w:t>Accordingly, we maintain an allowance for loan losses that represents management’s judgment of probable losses and risks inherent in our loan portfolio. At December 31, 2018, we had on a consolidated basis an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allowance for loan losses of $23.1 million based on our overall evaluation of the risks of our loan portfolio, which represents approximately 1.18% of our total loans. The allowance for loan losses reflected an increase of $1.7 million over our allowance as of December 31, 2017.</w:t>
      </w:r>
    </w:p>
    <w:p>
      <w:pPr>
        <w:spacing w:after="0" w:line="73" w:lineRule="exact"/>
        <w:rPr>
          <w:sz w:val="20"/>
          <w:szCs w:val="20"/>
          <w:color w:val="auto"/>
        </w:rPr>
      </w:pPr>
    </w:p>
    <w:p>
      <w:pPr>
        <w:ind w:right="60" w:firstLine="360"/>
        <w:spacing w:after="0" w:line="270" w:lineRule="auto"/>
        <w:rPr>
          <w:sz w:val="20"/>
          <w:szCs w:val="20"/>
          <w:color w:val="auto"/>
        </w:rPr>
      </w:pPr>
      <w:r>
        <w:rPr>
          <w:rFonts w:ascii="Arial" w:cs="Arial" w:eastAsia="Arial" w:hAnsi="Arial"/>
          <w:sz w:val="17"/>
          <w:szCs w:val="17"/>
          <w:color w:val="auto"/>
        </w:rPr>
        <w:t>There is no precise method of predicting loan losses, and therefore, we always face the risk that charge offs in future periods will exceed our allowance for loan losses and that additional increases in the allowance for loan losses will be required. The level of the allowance for loan losses reflects our management’s continuing evaluation of specific credit risks; loan loss experience; current loan portfolio quality; present economic, political and regulatory conditions; industry concentrations; and other unidentified losses inherent in the Bank’s current loan portfolio. The determination of the appropriate level of the allowance for loan losses inherently involves a high degree of subjectivity and judgment and requires the Bank to make significant estimates of current credit risks and future trends. Changes in economic conditions affecting borrowers, increases in our nonperforming loans, new information regarding existing loans, identification of additional problem loans and other factors, both within and outside of the Bank’s control, may require an increase in the allowance for loan losses.</w:t>
      </w:r>
    </w:p>
    <w:p>
      <w:pPr>
        <w:spacing w:after="0" w:line="74"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If real estate markets or the economy in general deteriorate, the Bank may experience increased delinquencies and credit losses. The allowance for loan losses may not be sufficient to cover actual loan-related losses. Additionally, banking regulators may require the Bank to increase its allowance for loan losses in the future, which could have a negative effect on the Bank’s financial condition and results of operations. Additions to the allowance for loan losses will result in a decrease in net earnings and capital and could hinder our ability to grow our assets.</w:t>
      </w:r>
    </w:p>
    <w:p>
      <w:pPr>
        <w:spacing w:after="0" w:line="188"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b w:val="1"/>
          <w:bCs w:val="1"/>
          <w:i w:val="1"/>
          <w:iCs w:val="1"/>
          <w:color w:val="auto"/>
        </w:rPr>
        <w:t>A new accounting standard will result in a significant change in how we recognize credit losses and may result in material increases to our allowance for loan losses.</w:t>
      </w:r>
    </w:p>
    <w:p>
      <w:pPr>
        <w:spacing w:after="0" w:line="61"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The Financial Accounting Standards Board has adopted a new accounting standard referred to as Current Expected Credit Loss, or CECL. As we are an emerging growth company and intend to take advantage of the extended transition period for complying with new or revised financial accounting standards under the JOBS Act, CECL will be effective for the Company and the Bank for our first fiscal quarter after December 15, 2021. This standard will require financial institutions to determine periodic estimates of lifetime expected credit losses on loans, and recognize the expected credit losses as allowances for loan losses. This will change the current method of providing allowances for loan losses that are probable, which would likely require us to increase our allowance for loan losses, and to greatly increase the types of data we would need to collect and review to determine the appropriate level of the allowance for loan losses. In anticipation of the adoption of CECL, we have incurred, and will likely continue to incur, significant additional expense to comply with the new standard.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Many of our loans are to commercial borrowers, which have a higher degree of risk than other types of loans.</w:t>
      </w:r>
    </w:p>
    <w:p>
      <w:pPr>
        <w:spacing w:after="0" w:line="117" w:lineRule="exact"/>
        <w:rPr>
          <w:sz w:val="20"/>
          <w:szCs w:val="20"/>
          <w:color w:val="auto"/>
        </w:rPr>
      </w:pPr>
    </w:p>
    <w:p>
      <w:pPr>
        <w:ind w:right="80" w:firstLine="360"/>
        <w:spacing w:after="0" w:line="290" w:lineRule="auto"/>
        <w:rPr>
          <w:sz w:val="20"/>
          <w:szCs w:val="20"/>
          <w:color w:val="auto"/>
        </w:rPr>
      </w:pPr>
      <w:r>
        <w:rPr>
          <w:rFonts w:ascii="Arial" w:cs="Arial" w:eastAsia="Arial" w:hAnsi="Arial"/>
          <w:sz w:val="16"/>
          <w:szCs w:val="16"/>
          <w:color w:val="auto"/>
        </w:rPr>
        <w:t>As of December 31, 2018, we had approximately $1.3 billion of loans to commercial borrowers, which include approximately $887.4 million in loans secured by real estate to those commercial borrowers. Loans to commercial borrowers represent approximately 68.9% of total loans. Loans to commercial borrowers are often larger and involve greater risks than other types of lending. Because payments on these loans are often dependent on the successful operation or development of the property or business involved, their repayment is more sensitive than other types of loans to adverse conditions in the real estate market or the general economy. In general, these loans are collateralized by real estate and general business assets, including, among other things, accounts receivable, inventory and equipment and are typically backed by a personal guaranty of the borrower or principal. The collateral securing such may decline in value more rapidly than we anticipate, exposing us to increased credit risk.</w:t>
      </w:r>
    </w:p>
    <w:p>
      <w:pPr>
        <w:spacing w:after="0" w:line="58"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Accordingly, a downturn in the real estate market and economy could heighten our risk related to commercial loans, particularly commercial real estate loans. Unlike residential mortgage loans, which generally are made on the basis of the borrowers’ ability to make repayment from their employment and other income and which are secured by real property whose value tends to be more easily ascertainable, commercial loans typically are made on the basis of the borrowers’ ability to make repayment from the cash flow of the commercial venture. If the cash flow from business operations is reduced, the borrowers’ ability to repay the loan may be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impaired. As a result of the larger average size of each commercial loan as compared with other loans such as residential loans, as well as the collateral which is generally less readily marketable, losses incurred on a small number of commercial loans could have a material adverse impact on our financial condition and results of operations.</w:t>
      </w:r>
    </w:p>
    <w:p>
      <w:pPr>
        <w:spacing w:after="0" w:line="168" w:lineRule="exact"/>
        <w:rPr>
          <w:sz w:val="20"/>
          <w:szCs w:val="20"/>
          <w:color w:val="auto"/>
        </w:rPr>
      </w:pPr>
    </w:p>
    <w:p>
      <w:pPr>
        <w:ind w:right="180"/>
        <w:spacing w:after="0" w:line="343" w:lineRule="auto"/>
        <w:rPr>
          <w:sz w:val="20"/>
          <w:szCs w:val="20"/>
          <w:color w:val="auto"/>
        </w:rPr>
      </w:pPr>
      <w:r>
        <w:rPr>
          <w:rFonts w:ascii="Arial" w:cs="Arial" w:eastAsia="Arial" w:hAnsi="Arial"/>
          <w:sz w:val="15"/>
          <w:szCs w:val="15"/>
          <w:b w:val="1"/>
          <w:bCs w:val="1"/>
          <w:i w:val="1"/>
          <w:iCs w:val="1"/>
          <w:color w:val="auto"/>
        </w:rPr>
        <w:t>Because a portion of our loan portfolio is comprised of real estate loans, negative changes in the economy affecting real estate values and liquidity could impair the value of collateral securing our real estate loans and result in loan and other losses.</w:t>
      </w:r>
    </w:p>
    <w:p>
      <w:pPr>
        <w:spacing w:after="0" w:line="7"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As of December 31, 2018, approximately 64.9% of our loan portfolio was comprised of loans with real estate as a primary component of collateral. Adverse developments affecting real estate values, particularly in our markets, could increase the credit risk associated with our real estate loan portfolio. Real estate values may experience periods of fluctuation, and the market value of real estate can fluctuate significantly in a short period of time. Adverse changes affecting real estate values and the liquidity of real estate in one or more of our markets could increase the credit risk associated with our loan portfolio, and could result in losses that adversely affect credit quality, financial condition and results of operation. Negative changes in the economy affecting real estate values and liquidity in our market areas could significantly impair the value of property pledged as collateral on loans and affect our ability to sell the collateral upon foreclosure without a loss or additional losses. Collateral may have to be sold for less than the outstanding balance of the loan, which could result in losses on such loans. Such declines and losses could have a material adverse impact on our business, results of operations and growth prospects. If real estate values decline, it is also more likely that we would be required to increase our allowance for loan losses, which could adversely affect our business, financial condition and results of operations.</w:t>
      </w:r>
    </w:p>
    <w:p>
      <w:pPr>
        <w:spacing w:after="0" w:line="166"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b w:val="1"/>
          <w:bCs w:val="1"/>
          <w:i w:val="1"/>
          <w:iCs w:val="1"/>
          <w:color w:val="auto"/>
        </w:rPr>
        <w:t>Appraisals and other valuation techniques we use in evaluating and monitoring loans secured by real property, other real estate owned and repossessed personal property may not accurately describe the net value of the asset.</w:t>
      </w:r>
    </w:p>
    <w:p>
      <w:pPr>
        <w:spacing w:after="0" w:line="52" w:lineRule="exact"/>
        <w:rPr>
          <w:sz w:val="20"/>
          <w:szCs w:val="20"/>
          <w:color w:val="auto"/>
        </w:rPr>
      </w:pPr>
    </w:p>
    <w:p>
      <w:pPr>
        <w:ind w:firstLine="360"/>
        <w:spacing w:after="0" w:line="289" w:lineRule="auto"/>
        <w:rPr>
          <w:sz w:val="20"/>
          <w:szCs w:val="20"/>
          <w:color w:val="auto"/>
        </w:rPr>
      </w:pPr>
      <w:r>
        <w:rPr>
          <w:rFonts w:ascii="Arial" w:cs="Arial" w:eastAsia="Arial" w:hAnsi="Arial"/>
          <w:sz w:val="16"/>
          <w:szCs w:val="16"/>
          <w:color w:val="auto"/>
        </w:rPr>
        <w:t>In considering whether to make a loan secured by real property, we generally require an appraisal of the property. However, an appraisal is only an estimate of the value of the property at the time the appraisal is made, and, as real estate values may change significantly in value in relatively short periods of time (especially in periods of heightened economic uncertainty), this estimate may not accurately describe the net value of the real property collateral after the loan is made. As a result, we may not be able to realize the full amount of any remaining indebtedness if we foreclose on and sell the relevant property. In addition, we rely on appraisals and other valuation techniques to establish the value of our other real estate owned, or OREO, and personal property that we acquire through foreclosure proceedings and to determine certain loan impairments. If any of these valuations are inaccurate, our consolidated financial statements may not reflect the correct value of our OREO, and our allowance for loan losses may not reflect accurate loan impairments. This could have an adverse effect on our business, financial condition or results of operations.</w:t>
      </w:r>
    </w:p>
    <w:p>
      <w:pPr>
        <w:spacing w:after="0" w:line="153"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b w:val="1"/>
          <w:bCs w:val="1"/>
          <w:i w:val="1"/>
          <w:iCs w:val="1"/>
          <w:color w:val="auto"/>
        </w:rPr>
        <w:t>Our commercial real estate loan portfolio exposes us to risks that may be greater than the risks related to our other mortgage loans.</w:t>
      </w:r>
    </w:p>
    <w:p>
      <w:pPr>
        <w:spacing w:after="0" w:line="75" w:lineRule="exact"/>
        <w:rPr>
          <w:sz w:val="20"/>
          <w:szCs w:val="20"/>
          <w:color w:val="auto"/>
        </w:rPr>
      </w:pPr>
    </w:p>
    <w:p>
      <w:pPr>
        <w:ind w:right="40" w:firstLine="360"/>
        <w:spacing w:after="0" w:line="268" w:lineRule="auto"/>
        <w:rPr>
          <w:sz w:val="20"/>
          <w:szCs w:val="20"/>
          <w:color w:val="auto"/>
        </w:rPr>
      </w:pPr>
      <w:r>
        <w:rPr>
          <w:rFonts w:ascii="Arial" w:cs="Arial" w:eastAsia="Arial" w:hAnsi="Arial"/>
          <w:sz w:val="17"/>
          <w:szCs w:val="17"/>
          <w:color w:val="auto"/>
        </w:rPr>
        <w:t>Our loan portfolio includes non-owner-occupied commercial real estate loans for individuals and businesses for various purposes, which are secured by commercial properties, as well as real estate construction and development loans. As of December 31, 2018, our non-owner-occupied commercial real estate loans totaled $612.8 million, or 31.3%, of our total loan portfolio. These loans typically involve repayment dependent upon income generated, or expected to be generated, by the property securing the loan in amounts sufficient to cover operating expenses and debt service, which may be adversely affected by changes in the economy or local market conditions. These loans expose us to greater credit risk than loans secured by residential real estate because the collateral securing these loans typically cannot be liquidated as easily as residential real estate because there are fewer potential purchasers of the collateral. Additionally, non-owner-occupied commercial real estate loans generally involve relatively large balances to single borrowers or related groups of borrowers. Accordingly, charge-offs on non-owner-occupied commercial real estate loans may be larger on a per loan basis than those incurred with our residential or consumer loan portfolios. Unexpected deterioration in the credit quality of our commercial real estate loan portfolio would require us to increase our provision for loan losses, which would reduce our profitability, and could materially adversely affect our business, financial condition and results of operations.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portfolio of indirect dealer lending exposes us to increased credit risks.</w:t>
      </w:r>
    </w:p>
    <w:p>
      <w:pPr>
        <w:spacing w:after="0" w:line="117" w:lineRule="exact"/>
        <w:rPr>
          <w:sz w:val="20"/>
          <w:szCs w:val="20"/>
          <w:color w:val="auto"/>
        </w:rPr>
      </w:pPr>
    </w:p>
    <w:p>
      <w:pPr>
        <w:ind w:right="20" w:firstLine="360"/>
        <w:spacing w:after="0" w:line="289" w:lineRule="auto"/>
        <w:rPr>
          <w:sz w:val="20"/>
          <w:szCs w:val="20"/>
          <w:color w:val="auto"/>
        </w:rPr>
      </w:pPr>
      <w:r>
        <w:rPr>
          <w:rFonts w:ascii="Arial" w:cs="Arial" w:eastAsia="Arial" w:hAnsi="Arial"/>
          <w:sz w:val="16"/>
          <w:szCs w:val="16"/>
          <w:color w:val="auto"/>
        </w:rPr>
        <w:t>At December 31, 2018, $195.0 million, or 10.0% of our total loan portfolio, consisted of indirect dealer loans, originated through automobile dealers for the purchase of new or used automobiles, as well as recreational vehicles, boats, and personal watercraft. We serve customers that cover a range of creditworthiness and the required terms and rates are reflective of those risk profiles. Auto loans are inherently risky as they are often secured by assets that may be difficult to locate and can depreciate rapidly. In some cases, repossessed collateral for a defaulted auto loan may not provide an adequate source of repayment for the outstanding loan and the remaining deficiency may not warrant further substantial collection efforts against the borrower. Auto loan collections depend on the borrower’s continuing financial stability, and therefore, are more likely to be adversely affected by job loss, divorce, illness, or personal bankruptcy. Additional risk elements associated with indirect lending include the limited personal contact with the borrower as a result of indirect lending through non-bank channels, namely automobile dealers.</w:t>
      </w:r>
    </w:p>
    <w:p>
      <w:pPr>
        <w:spacing w:after="0" w:line="153"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b w:val="1"/>
          <w:bCs w:val="1"/>
          <w:i w:val="1"/>
          <w:iCs w:val="1"/>
          <w:color w:val="auto"/>
        </w:rPr>
        <w:t>The small to medium-sized businesses that we lend to may have fewer resources to weather adverse business conditions, which may impair their ability to repay a loan, and such impairment could adversely affect our results of operations and financial condition.</w:t>
      </w:r>
    </w:p>
    <w:p>
      <w:pPr>
        <w:spacing w:after="0" w:line="81" w:lineRule="exact"/>
        <w:rPr>
          <w:sz w:val="20"/>
          <w:szCs w:val="20"/>
          <w:color w:val="auto"/>
        </w:rPr>
      </w:pPr>
    </w:p>
    <w:p>
      <w:pPr>
        <w:ind w:firstLine="360"/>
        <w:spacing w:after="0" w:line="288" w:lineRule="auto"/>
        <w:rPr>
          <w:sz w:val="20"/>
          <w:szCs w:val="20"/>
          <w:color w:val="auto"/>
        </w:rPr>
      </w:pPr>
      <w:r>
        <w:rPr>
          <w:rFonts w:ascii="Arial" w:cs="Arial" w:eastAsia="Arial" w:hAnsi="Arial"/>
          <w:sz w:val="16"/>
          <w:szCs w:val="16"/>
          <w:color w:val="auto"/>
        </w:rPr>
        <w:t>Our business development and marketing strategies primarily result in us serving the banking and financial services needs of small- to medium-sized businesses. These businesses generally have fewer financial resources in terms of capital or borrowing capacity than larger entities, frequently have smaller market shares than their competition, may be more vulnerable to economic downturns, often need substantial additional capital to expand or compete and may experience substantial volatility in operating results, any of which may impair a borrower’s ability to repay a loan. In addition, the success of a small- to medium-sized business often depends on the management skills, talents and efforts of one or two people or a small group of people, and the death, disability or resignation of one or more of these people could have a material adverse impact on the business and its ability to repay its loans. If general economic conditions negatively impact Texas, New Mexico or the specific markets in these states in which we operate and small to medium-sized businesses are adversely affected or our borrowers are otherwise affected by adverse business conditions, our business, financial condition and results of operations could be adversely affected.</w:t>
      </w:r>
    </w:p>
    <w:p>
      <w:pPr>
        <w:spacing w:after="0" w:line="156" w:lineRule="exact"/>
        <w:rPr>
          <w:sz w:val="20"/>
          <w:szCs w:val="20"/>
          <w:color w:val="auto"/>
        </w:rPr>
      </w:pPr>
    </w:p>
    <w:p>
      <w:pPr>
        <w:jc w:val="center"/>
        <w:ind w:right="240"/>
        <w:spacing w:after="0"/>
        <w:rPr>
          <w:sz w:val="20"/>
          <w:szCs w:val="20"/>
          <w:color w:val="auto"/>
        </w:rPr>
      </w:pPr>
      <w:r>
        <w:rPr>
          <w:rFonts w:ascii="Arial" w:cs="Arial" w:eastAsia="Arial" w:hAnsi="Arial"/>
          <w:sz w:val="15"/>
          <w:szCs w:val="15"/>
          <w:b w:val="1"/>
          <w:bCs w:val="1"/>
          <w:i w:val="1"/>
          <w:iCs w:val="1"/>
          <w:color w:val="auto"/>
        </w:rPr>
        <w:t>Agricultural lending and volatility in commodity prices may adversely affect our financial condition and results of operations.</w:t>
      </w:r>
    </w:p>
    <w:p>
      <w:pPr>
        <w:spacing w:after="0" w:line="138" w:lineRule="exact"/>
        <w:rPr>
          <w:sz w:val="20"/>
          <w:szCs w:val="20"/>
          <w:color w:val="auto"/>
        </w:rPr>
      </w:pPr>
    </w:p>
    <w:p>
      <w:pPr>
        <w:ind w:right="40" w:firstLine="360"/>
        <w:spacing w:after="0" w:line="285" w:lineRule="auto"/>
        <w:rPr>
          <w:sz w:val="20"/>
          <w:szCs w:val="20"/>
          <w:color w:val="auto"/>
        </w:rPr>
      </w:pPr>
      <w:r>
        <w:rPr>
          <w:rFonts w:ascii="Arial" w:cs="Arial" w:eastAsia="Arial" w:hAnsi="Arial"/>
          <w:sz w:val="16"/>
          <w:szCs w:val="16"/>
          <w:color w:val="auto"/>
        </w:rPr>
        <w:t>At December 31, 2018, agricultural loans were $150.7 million, or 7.7% of our total loan portfolio. Agricultural lending involves a greater degree of risk and typically involves higher principal amounts than many other types of loans. Repayment is dependent upon the successful operation of the business, which is greatly dependent on many things outside the control of either us or the borrowers. These factors include adverse weather conditions that prevent the planting of a crops or limit crop yields (such as hail, drought, fires and floods), loss of livestock due to disease or other factors, declines in market prices for agricultural products (both domestically and internationally) and the impact of government regulations (including changes in price supports, subsidies and environmental regulations). Volatility in commodity prices could adversely impact the ability of borrowers in these industries to perform under the terms of their borrowing arrangements with us, and as a result, a severe and prolonged decline in commodity prices may have a material adverse effect our financial condition and results of operations. It is also difficult to project future commodity prices as they are dependent upon many different factors beyond our control. In addition, many farms are dependent on a limited number of key individuals whose injury or death may significantly affect the successful operation of the farm. Consequently, agricultural loans may involve a greater degree of risk than other types of loans, particularly in the case of loans that are unsecured or secured by rapidly depreciating assets such as farm equipment (some of which is highly specialized with a limited or no market for resale), or assets such as livestock or crops. In such cases, any repossessed collateral for a defaulted agricultural operating loan my not provide an adequate source of repayment of the outstanding loan balance as a result of the greater likelihood of damage, loss or depreciation or because the assessed value of the collateral exceeds the eventual realization value.</w:t>
      </w:r>
    </w:p>
    <w:p>
      <w:pPr>
        <w:spacing w:after="0" w:line="164"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b w:val="1"/>
          <w:bCs w:val="1"/>
          <w:i w:val="1"/>
          <w:iCs w:val="1"/>
          <w:color w:val="auto"/>
        </w:rPr>
        <w:t>We generate noninterest income through the sale of crop insurance products, and a termination of or substantial changes to the Federal crop insurance program would adversely impact our revenues from such business</w:t>
      </w:r>
    </w:p>
    <w:p>
      <w:pPr>
        <w:spacing w:after="0" w:line="52" w:lineRule="exact"/>
        <w:rPr>
          <w:sz w:val="20"/>
          <w:szCs w:val="20"/>
          <w:color w:val="auto"/>
        </w:rPr>
      </w:pPr>
    </w:p>
    <w:p>
      <w:pPr>
        <w:ind w:right="400" w:firstLine="360"/>
        <w:spacing w:after="0" w:line="277" w:lineRule="auto"/>
        <w:rPr>
          <w:sz w:val="20"/>
          <w:szCs w:val="20"/>
          <w:color w:val="auto"/>
        </w:rPr>
      </w:pPr>
      <w:r>
        <w:rPr>
          <w:rFonts w:ascii="Arial" w:cs="Arial" w:eastAsia="Arial" w:hAnsi="Arial"/>
          <w:sz w:val="18"/>
          <w:szCs w:val="18"/>
          <w:color w:val="auto"/>
        </w:rPr>
        <w:t>Through the Federal Crop Insurance Corporation, the federal government subsidizes insurance companies by assuming an increasingly higher portion of losses incurred by farmers as a result of weather-related and other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perils as well as commodity price fluctuations. The federal government also subsidizes the premium cost to farmers for multi-peril crop yield and revenue insurance. Without this risk assumption, losses incurred by insurers would be higher, increasing the premium on such insurance, and without the premium subsidy, the number of farmers purchasing multi-peril crop insurance would decline significantly. Periodically, members of the United States Congress propose to significantly reduce the government’s involvement in the federal crop insurance program in an effort to reduce government spending. If legislation is adopted to reduce the amount of risk the government assumes, reduce the amount of insurance premium subsidies provided to farmers or otherwise change the coverage provided under multi-peril crop insurance policies, purchases of multi-peril crop insurance could experience a significant decline nationwide and in our market areas. For the year ended December 31, 2018, the Bank had approximately $6.9 million in noninterest income attributable to sales of crop insurance.</w:t>
      </w:r>
    </w:p>
    <w:p>
      <w:pPr>
        <w:spacing w:after="0" w:line="168" w:lineRule="exact"/>
        <w:rPr>
          <w:sz w:val="20"/>
          <w:szCs w:val="20"/>
          <w:color w:val="auto"/>
        </w:rPr>
      </w:pPr>
    </w:p>
    <w:p>
      <w:pPr>
        <w:ind w:right="20"/>
        <w:spacing w:after="0" w:line="343" w:lineRule="auto"/>
        <w:rPr>
          <w:sz w:val="20"/>
          <w:szCs w:val="20"/>
          <w:color w:val="auto"/>
        </w:rPr>
      </w:pPr>
      <w:r>
        <w:rPr>
          <w:rFonts w:ascii="Arial" w:cs="Arial" w:eastAsia="Arial" w:hAnsi="Arial"/>
          <w:sz w:val="15"/>
          <w:szCs w:val="15"/>
          <w:b w:val="1"/>
          <w:bCs w:val="1"/>
          <w:i w:val="1"/>
          <w:iCs w:val="1"/>
          <w:color w:val="auto"/>
        </w:rPr>
        <w:t>We intend to grow our energy loan portfolio, and sustained low oil prices, volatility in oil prices and downturns in the energy industry, including in Texas, could lead to increased credit losses in our energy portfolio and weaker demand for energy lending.</w:t>
      </w:r>
    </w:p>
    <w:p>
      <w:pPr>
        <w:spacing w:after="0" w:line="7" w:lineRule="exact"/>
        <w:rPr>
          <w:sz w:val="20"/>
          <w:szCs w:val="20"/>
          <w:color w:val="auto"/>
        </w:rPr>
      </w:pPr>
    </w:p>
    <w:p>
      <w:pPr>
        <w:ind w:firstLine="360"/>
        <w:spacing w:after="0" w:line="268" w:lineRule="auto"/>
        <w:rPr>
          <w:sz w:val="20"/>
          <w:szCs w:val="20"/>
          <w:color w:val="auto"/>
        </w:rPr>
      </w:pPr>
      <w:r>
        <w:rPr>
          <w:rFonts w:ascii="Arial" w:cs="Arial" w:eastAsia="Arial" w:hAnsi="Arial"/>
          <w:sz w:val="17"/>
          <w:szCs w:val="17"/>
          <w:color w:val="auto"/>
        </w:rPr>
        <w:t>Although our energy loan portfolio is relatively small, the energy industry is a significant sector in our markets in Texas, and we intend to increase our energy lending. A downturn or lack of growth in the energy industry and energy-related business, including sustained low oil prices or the failure of oil prices to rise in the future, could adversely affect our business, financial condition and results of operations. Oil and gas prices declined significantly during 2018. The full impact to the U.S. economy, and to banks in general, of these decreases and the overall oil and gas price volatility is yet to be determined. As of December 31, 2018, our energy loans, which include loans to exploration and production companies, midstream companies and oilfield service companies, totaled $30.9 million, or 1.6% of gross loans held for investment, as compared to $39.6 million, or 2.2% of gross loans held for investment as of December 31, 2017. In addition to our direct exposure to energy loans, we also have indirect exposure to energy prices, as some of our non-energy customers’ businesses are directly affected by volatility with the oil and gas industry and energy prices. Prolonged or further pricing pressure on oil and gas could lead to increased credit stress in our energy portfolio, increased losses associated with our energy portfolio, increased utilization of our contractual obligations to extend credit and weaker demand for energy lending. Such a decline or general uncertainty resulting from continued volatility could have other adverse impacts, such as job losses in industries tied to energy, increased spending habits, lower borrowing needs, higher transaction deposit balances or a number of other effects that are difficult to isolate or quantify, particularly in states with significant dependence on the energy industry like Texas and New Mexico, all of which could have an adverse effect on our business, financial condition and results of operations.</w:t>
      </w:r>
    </w:p>
    <w:p>
      <w:pPr>
        <w:spacing w:after="0" w:line="167" w:lineRule="exact"/>
        <w:rPr>
          <w:sz w:val="20"/>
          <w:szCs w:val="20"/>
          <w:color w:val="auto"/>
        </w:rPr>
      </w:pPr>
    </w:p>
    <w:p>
      <w:pPr>
        <w:ind w:right="780"/>
        <w:spacing w:after="0" w:line="307" w:lineRule="auto"/>
        <w:rPr>
          <w:sz w:val="20"/>
          <w:szCs w:val="20"/>
          <w:color w:val="auto"/>
        </w:rPr>
      </w:pPr>
      <w:r>
        <w:rPr>
          <w:rFonts w:ascii="Arial" w:cs="Arial" w:eastAsia="Arial" w:hAnsi="Arial"/>
          <w:sz w:val="16"/>
          <w:szCs w:val="16"/>
          <w:b w:val="1"/>
          <w:bCs w:val="1"/>
          <w:i w:val="1"/>
          <w:iCs w:val="1"/>
          <w:color w:val="auto"/>
        </w:rPr>
        <w:t>Changes in U.S. trade policies and other factors beyond the Company’s control, including the imposition of tariffs and retaliatory tariffs, may adversely impact our business, financial condition and results of operations.</w:t>
      </w:r>
    </w:p>
    <w:p>
      <w:pPr>
        <w:spacing w:after="0" w:line="29" w:lineRule="exact"/>
        <w:rPr>
          <w:sz w:val="20"/>
          <w:szCs w:val="20"/>
          <w:color w:val="auto"/>
        </w:rPr>
      </w:pPr>
    </w:p>
    <w:p>
      <w:pPr>
        <w:ind w:firstLine="360"/>
        <w:spacing w:after="0" w:line="289" w:lineRule="auto"/>
        <w:rPr>
          <w:sz w:val="20"/>
          <w:szCs w:val="20"/>
          <w:color w:val="auto"/>
        </w:rPr>
      </w:pPr>
      <w:r>
        <w:rPr>
          <w:rFonts w:ascii="Arial" w:cs="Arial" w:eastAsia="Arial" w:hAnsi="Arial"/>
          <w:sz w:val="16"/>
          <w:szCs w:val="16"/>
          <w:color w:val="auto"/>
        </w:rPr>
        <w:t>Following the U.S. presidential election in 2016, there has been discussion and dialogue regarding potential changes to U.S. trade policies, legislation, treaties and tariffs, including trade policies and tariffs affecting other countries, including China, the European Union, Canada and Mexico and retaliatory tariffs by such countries. Tariffs and retaliatory tariffs have been imposed, and additional tariffs and retaliation tariffs have been proposed. Such tariffs, retaliatory tariffs or other trade restrictions on products and materials that our customers import or export, including among others, cotton, could impact the prices of our customers’ products, which could reduce demand for such products, reduce our customers’ margins, and adversely impact their revenues, financial results and ability to service their debt. In addition, to the extent changes in the political environment have a negative impact on us or on the markets in which we operate our business, results of operations and financial condition could be materially and adversely impacted in the future. However, a de minimis amount of collateral securing our loans is located outside of the U.S.</w:t>
      </w:r>
    </w:p>
    <w:p>
      <w:pPr>
        <w:spacing w:after="0" w:line="59"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It remains unclear what the U.S. administration or foreign governments will or will not do with respect to tariffs already imposed, additional tariffs that may be imposed, or international trade agreements and policies. On October 1, 2018, the United States, Canada and Mexico agreed to a new trade deal to replace the North American Free Trade Agreement, which is subject to congressional approval which is not expected until 2019 and various components of the agreement are not effective until 2020. The full impact of this agreement on us, our customers and on the economic conditions in our markets is currently unknown. A trade war or other governmental action related to tariffs or international trade agreements or policies has the potential to negatively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impact our and/or our customers’ costs, demand for our customers’ products, and/or the U.S. economy or certain sectors thereof and, thus, adversely impact our business, financial condition and results of operations.</w:t>
      </w:r>
    </w:p>
    <w:p>
      <w:pPr>
        <w:spacing w:after="0" w:line="157"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b w:val="1"/>
          <w:bCs w:val="1"/>
          <w:i w:val="1"/>
          <w:iCs w:val="1"/>
          <w:color w:val="auto"/>
        </w:rPr>
        <w:t>The Bank’s profitability and liquidity may be adversely affected by deterioration in the credit quality of, or defaults by, third parties who owe it money.</w:t>
      </w:r>
    </w:p>
    <w:p>
      <w:pPr>
        <w:spacing w:after="0" w:line="75" w:lineRule="exact"/>
        <w:rPr>
          <w:sz w:val="20"/>
          <w:szCs w:val="20"/>
          <w:color w:val="auto"/>
        </w:rPr>
      </w:pPr>
    </w:p>
    <w:p>
      <w:pPr>
        <w:ind w:right="40" w:firstLine="360"/>
        <w:spacing w:after="0" w:line="291" w:lineRule="auto"/>
        <w:rPr>
          <w:sz w:val="20"/>
          <w:szCs w:val="20"/>
          <w:color w:val="auto"/>
        </w:rPr>
      </w:pPr>
      <w:r>
        <w:rPr>
          <w:rFonts w:ascii="Arial" w:cs="Arial" w:eastAsia="Arial" w:hAnsi="Arial"/>
          <w:sz w:val="16"/>
          <w:szCs w:val="16"/>
          <w:color w:val="auto"/>
        </w:rPr>
        <w:t>The Bank is exposed to the risk that third parties that owe it money will not perform their obligations. These parties may default on their obligations to the Banks due to bankruptcy, lack of liquidity, operational failure or other reasons. The bank’s rights against third parties may not be enforceable in all circumstances. In addition, deterioration in the credit quality of third parties whose securities or obligations the Bank holds could result in losses and/or adversely affect the Bank’s ability to use those securities or obligations for liquidity purposes. The bank relies on representations of potential borrowers and/or guarantors as to the accuracy and completeness of certain financial information. The bank’s financial condition and results of operations could be negatively impacted if the financial statements or other information that the Bank relies upon is materially misleading.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amount of nonperforming assets may increase and can take significant time and resources to resolve.</w:t>
      </w:r>
    </w:p>
    <w:p>
      <w:pPr>
        <w:spacing w:after="0" w:line="117" w:lineRule="exact"/>
        <w:rPr>
          <w:sz w:val="20"/>
          <w:szCs w:val="20"/>
          <w:color w:val="auto"/>
        </w:rPr>
      </w:pPr>
    </w:p>
    <w:p>
      <w:pPr>
        <w:ind w:right="20" w:firstLine="360"/>
        <w:spacing w:after="0" w:line="287" w:lineRule="auto"/>
        <w:rPr>
          <w:sz w:val="20"/>
          <w:szCs w:val="20"/>
          <w:color w:val="auto"/>
        </w:rPr>
      </w:pPr>
      <w:r>
        <w:rPr>
          <w:rFonts w:ascii="Arial" w:cs="Arial" w:eastAsia="Arial" w:hAnsi="Arial"/>
          <w:sz w:val="16"/>
          <w:szCs w:val="16"/>
          <w:color w:val="auto"/>
        </w:rPr>
        <w:t>Nonperforming assets adversely affect our net income in various ways. We generally do not record interest income on nonperforming loans, thereby adversely affecting our income and increasing our loan administration costs. When we take collateral in foreclosures and similar proceedings, we are required to mark the related asset to the then fair market value of the collateral, which may ultimately result in a loss. An increase in the level of nonperforming assets increases our risk profile and may impact the capital levels our regulators believe are appropriate in light of the ensuing risk profile. While we reduce problem assets through loan workouts, restructurings and otherwise, decreases in the value of the underlying collateral, or in these borrowers’ performance or financial condition, whether or not due to economic and market conditions beyond our control, could adversely affect our business, results of operations and financial condition. In addition, the resolution of nonperforming assets requires significant commitments of time from management, which may materially and adversely impact their ability to perform their other responsibilities. There can be no assurance that we will not experience future increases in nonperforming assets. At December 31, 2018, the Bank had a total of $9.2 million of nonperforming assets (defined as nonperforming loans, which include nonaccrual loans and loans past due 90 days or more, plus OREO), compared with $16.7 million of nonperforming loans at December 31, 2017.</w:t>
      </w:r>
    </w:p>
    <w:p>
      <w:pPr>
        <w:spacing w:after="0" w:line="61"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At December 31, 2018, the Bank had $2.3 million in OREO, compared to $2.8 million as of December 31, 2017. If the amount of OREO increases, the Bank’s losses and the costs and expenses to maintain the real estate likewise increase. Any increase in losses and maintenance costs and expenses due to banks may have material adverse effects on the Bank’s business, financial condition and results of operations. Such effects may be particularly pronounced in a market of reduced real estate values and excess inventory, which may make the disposition of OREO properties more difficult, increase maintenance costs and expenses and reduce our ultimate realization from any OREO sales.</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properties that we own and certain foreclosed real estate assets could subject us to environmental risks and associated costs.</w:t>
      </w:r>
    </w:p>
    <w:p>
      <w:pPr>
        <w:spacing w:after="0" w:line="138" w:lineRule="exact"/>
        <w:rPr>
          <w:sz w:val="20"/>
          <w:szCs w:val="20"/>
          <w:color w:val="auto"/>
        </w:rPr>
      </w:pPr>
    </w:p>
    <w:p>
      <w:pPr>
        <w:ind w:right="20" w:firstLine="360"/>
        <w:spacing w:after="0" w:line="287" w:lineRule="auto"/>
        <w:rPr>
          <w:sz w:val="20"/>
          <w:szCs w:val="20"/>
          <w:color w:val="auto"/>
        </w:rPr>
      </w:pPr>
      <w:r>
        <w:rPr>
          <w:rFonts w:ascii="Arial" w:cs="Arial" w:eastAsia="Arial" w:hAnsi="Arial"/>
          <w:sz w:val="16"/>
          <w:szCs w:val="16"/>
          <w:color w:val="auto"/>
        </w:rPr>
        <w:t>There is a risk that hazardous substances or wastes, contaminants, pollutants or other environmentally restricted substances could be discovered on our properties or our foreclosed assets (particularly in the case of real estate loans). In this event, we might be required to remove the substances from the affected properties or to engage in abatement procedures at our cost and expense. Besides being directly liable under certain federal and state statutes for our own conduct, we may also be held liable under certain circumstances for actions of borrowers or other third parties on property that secures our loans. Potential environmental liability could include the cost of remediation and also damages for any injuries caused to third parties. We cannot assure you that the cost of removal or abatement would not substantially exceed the value of the affected properties or the loans secured by those properties, that we would have adequate remedies against the prior owners or other responsible parties or that we would be able to resell the affected properties either before or after completion of any such removal or abatement procedures. If material environmental problems are discovered before foreclosure, we generally will not foreclose on the related collateral or will transfer ownership of the loan to a subsidiary. It should be noted, however, that the transfer of the property or loans to a subsidiary may not protect us from environmental liability. Furthermore, despite these actions on our part, the value of the property as collateral will</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generally be substantially reduced and, as a result, we may suffer a loss upon collection of the loan. Currently, we are not, and the Company is not, a party to any pending legal proceeding under any environmental statute, nor are we aware of any instances that may give rise to such liability.</w:t>
      </w:r>
    </w:p>
    <w:p>
      <w:pPr>
        <w:spacing w:after="0" w:line="168" w:lineRule="exact"/>
        <w:rPr>
          <w:sz w:val="20"/>
          <w:szCs w:val="20"/>
          <w:color w:val="auto"/>
        </w:rPr>
      </w:pPr>
    </w:p>
    <w:p>
      <w:pPr>
        <w:spacing w:after="0" w:line="276" w:lineRule="auto"/>
        <w:rPr>
          <w:sz w:val="20"/>
          <w:szCs w:val="20"/>
          <w:color w:val="auto"/>
        </w:rPr>
      </w:pPr>
      <w:r>
        <w:rPr>
          <w:rFonts w:ascii="Arial" w:cs="Arial" w:eastAsia="Arial" w:hAnsi="Arial"/>
          <w:sz w:val="16"/>
          <w:szCs w:val="16"/>
          <w:b w:val="1"/>
          <w:bCs w:val="1"/>
          <w:i w:val="1"/>
          <w:iCs w:val="1"/>
          <w:color w:val="auto"/>
        </w:rPr>
        <w:t>Our accounting policies and methods are fundamental to how we report our financial condition and results of operations and we use estimates in determining the fair value of certain of our assets, which estimates may prove to be imprecise and result in significant changes in valuation which could affect our, and thus the Company’s, shareholders’ equity.</w:t>
      </w:r>
    </w:p>
    <w:p>
      <w:pPr>
        <w:spacing w:after="0" w:line="54"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A portion of our assets are carried on the balance sheet at fair value, including investment securities. Generally, for assets that are reported at fair value, we use quoted market prices or have third parties analyze our holdings and assign a market value. We rely on the analysis provided by our service providers. However, different valuations could be derived if our service providers used different financial models or assumptions.</w:t>
      </w:r>
    </w:p>
    <w:p>
      <w:pPr>
        <w:spacing w:after="0" w:line="79"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As it relates to our investment securities portfolio, declines in the fair value of individual available-for-sale securities below their cost that are other-than-temporary would be included in earnings as realized losses. In estimating other-than-temporary impairment losses, management of the Company considers (i) whether there is intent to sell securities prior to recovery and/or maturity; (ii) whether it is more likely than not that securities will have to be sold prior to recovery and/or maturity; and (iii) whether there is a credit loss component to the impairment. An economic downturn could result in losses, as determined under our accounting methodologies that may materially and adversely affect our business, financial condition, results of operations and future prospects.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fair value of our investment securities can fluctuate due to factors outside of our control.</w:t>
      </w:r>
    </w:p>
    <w:p>
      <w:pPr>
        <w:spacing w:after="0" w:line="117"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color w:val="auto"/>
        </w:rPr>
        <w:t>As of December 31, 2018, the fair value of our portfolio of available-for-sale investment securities was approximately $338.2 million, which included a net unrealized loss of approximately $2.8 million. Factors beyond our control can significantly influence the fair value of securities in our portfolio and can cause potential adverse changes to the fair value of these securities. These factors include, but are not limited to, rating agency actions in respect of the securities, defaults by the issuer or with respect to the underlying securities, and changes in market interest rates and continued instability in the capital markets. Any of these factors, among others, could cause other-than-temporary impairments and realized or unrealized losses in future periods and declines in other comprehensive income, which could have a material adverse effect on our business, results of operations, financial condition and future prospects. The process for determining whether impairment of a security is other-than-temporary often requires complex, subjective judgments about whether there has been a significant deterioration in the financial condition of the issuer, whether management has the intent or ability to hold a security for a period of time sufficient to allow for any anticipated recovery in fair value, the future financial performance and liquidity of the issuer and any collateral underlying the security, and other relevant factors.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largest loan relationships make up a material percentage of our total loan portfolio.</w:t>
      </w:r>
    </w:p>
    <w:p>
      <w:pPr>
        <w:spacing w:after="0" w:line="117" w:lineRule="exact"/>
        <w:rPr>
          <w:sz w:val="20"/>
          <w:szCs w:val="20"/>
          <w:color w:val="auto"/>
        </w:rPr>
      </w:pPr>
    </w:p>
    <w:p>
      <w:pPr>
        <w:ind w:firstLine="360"/>
        <w:spacing w:after="0" w:line="289" w:lineRule="auto"/>
        <w:rPr>
          <w:sz w:val="20"/>
          <w:szCs w:val="20"/>
          <w:color w:val="auto"/>
        </w:rPr>
      </w:pPr>
      <w:r>
        <w:rPr>
          <w:rFonts w:ascii="Arial" w:cs="Arial" w:eastAsia="Arial" w:hAnsi="Arial"/>
          <w:sz w:val="16"/>
          <w:szCs w:val="16"/>
          <w:color w:val="auto"/>
        </w:rPr>
        <w:t>As of December 31, 2018, our 20 largest borrowing relationships ranged from approximately $15.5 million to $31.0 million (including unfunded commitments) and totaled approximately $419.8 million in total commitments (representing, in the aggregate, 18.2% of our total outstanding commitments as of December 31, 2018). Each of the loans associated with these relationships has been underwritten in accordance with our underwriting policies and limits. Along with other risks inherent in these loans, such as the deterioration of the underlying businesses or property securing these loans, this concentration of borrowers presents a risk that, if one or more of these relationships were to become delinquent or suffer default, we could be exposed to material losses. The allowance for loan losses may not be adequate to cover losses associated with any of these relationships, and any loss or increase in the allowance could negatively affect our earnings and capital. Even if these loans are adequately collateralized, an increase in classified assets could harm our reputation with our regulators and inhibit our ability to execute our business plan.</w:t>
      </w:r>
    </w:p>
    <w:p>
      <w:pPr>
        <w:spacing w:after="0" w:line="153" w:lineRule="exact"/>
        <w:rPr>
          <w:sz w:val="20"/>
          <w:szCs w:val="20"/>
          <w:color w:val="auto"/>
        </w:rPr>
      </w:pPr>
    </w:p>
    <w:p>
      <w:pPr>
        <w:ind w:right="120"/>
        <w:spacing w:after="0" w:line="307" w:lineRule="auto"/>
        <w:rPr>
          <w:sz w:val="20"/>
          <w:szCs w:val="20"/>
          <w:color w:val="auto"/>
        </w:rPr>
      </w:pPr>
      <w:r>
        <w:rPr>
          <w:rFonts w:ascii="Arial" w:cs="Arial" w:eastAsia="Arial" w:hAnsi="Arial"/>
          <w:sz w:val="16"/>
          <w:szCs w:val="16"/>
          <w:b w:val="1"/>
          <w:bCs w:val="1"/>
          <w:i w:val="1"/>
          <w:iCs w:val="1"/>
          <w:color w:val="auto"/>
        </w:rPr>
        <w:t>Our largest deposit relationships currently make up a material percentage of our deposits and the withdrawal of deposits by our largest depositors could force us to fund our business through more expensive and less stable sources.</w:t>
      </w:r>
    </w:p>
    <w:p>
      <w:pPr>
        <w:spacing w:after="0" w:line="29" w:lineRule="exact"/>
        <w:rPr>
          <w:sz w:val="20"/>
          <w:szCs w:val="20"/>
          <w:color w:val="auto"/>
        </w:rPr>
      </w:pPr>
    </w:p>
    <w:p>
      <w:pPr>
        <w:ind w:right="220" w:firstLine="360"/>
        <w:spacing w:after="0" w:line="264" w:lineRule="auto"/>
        <w:rPr>
          <w:sz w:val="20"/>
          <w:szCs w:val="20"/>
          <w:color w:val="auto"/>
        </w:rPr>
      </w:pPr>
      <w:r>
        <w:rPr>
          <w:rFonts w:ascii="Arial" w:cs="Arial" w:eastAsia="Arial" w:hAnsi="Arial"/>
          <w:sz w:val="18"/>
          <w:szCs w:val="18"/>
          <w:color w:val="auto"/>
        </w:rPr>
        <w:t>At December 31, 2018, our 20 largest deposit relationships accounted for approximately 20.4% of our total deposits. Withdrawals of deposits by any one of our largest depositors or by one of our related customer groups could force us to rely more heavily on other potentially more expensive and less stable sources of funding for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business and withdrawal demands, adversely affecting our net interest margin and results of operations. Additionally, such circumstances could require us to raise deposit rates in an attempt to attract new deposits, which could adversely affect our results of operations. Under applicable regulations, if the Bank were no longer “well capitalized,” the Bank would not be able to accept brokered deposits without the approval of the FDIC.</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Public funds deposits are an important source of funds for us and a reduced level of those deposits may hurt our profits.</w:t>
      </w:r>
    </w:p>
    <w:p>
      <w:pPr>
        <w:spacing w:after="0" w:line="127"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Public funds deposits are a significant source of funds for our lending and investment activities. At December 31, 2018, $295.4 million, or 13.0% of our total deposits, consisted of public funds deposits from local government entities, primarily domiciled in the state of Texas, such as townships, school districts, hospital districts, sheriff departments and other municipalities, which are collateralized by letters of credit from the FHLB and investment securities. Given our use of these high-average balance public funds deposits as a source of funds, our inability to retain such funds could adversely affect our liquidity. Further, our public funds deposits are primarily interest-bearing transaction accounts and are therefore more sensitive to interest rate risks. If we are forced to pay higher rates on our public funds accounts to retain those funds, or if we are unable to retain such funds and we are forced to resort to other sources of funds for our lending and investment activities, such as borrowings from the FHLB, the interest expense associated with these other funding sources may be higher than the rates we are currently paying on our public funds deposits, which could adversely affect our net income.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deposits for funding, which can be adversely affected by local and general economic conditions.</w:t>
      </w:r>
    </w:p>
    <w:p>
      <w:pPr>
        <w:spacing w:after="0" w:line="117" w:lineRule="exact"/>
        <w:rPr>
          <w:sz w:val="20"/>
          <w:szCs w:val="20"/>
          <w:color w:val="auto"/>
        </w:rPr>
      </w:pPr>
    </w:p>
    <w:p>
      <w:pPr>
        <w:ind w:right="40" w:firstLine="360"/>
        <w:spacing w:after="0" w:line="273" w:lineRule="auto"/>
        <w:rPr>
          <w:sz w:val="20"/>
          <w:szCs w:val="20"/>
          <w:color w:val="auto"/>
        </w:rPr>
      </w:pPr>
      <w:r>
        <w:rPr>
          <w:rFonts w:ascii="Arial" w:cs="Arial" w:eastAsia="Arial" w:hAnsi="Arial"/>
          <w:sz w:val="17"/>
          <w:szCs w:val="17"/>
          <w:color w:val="auto"/>
        </w:rPr>
        <w:t>As of December 31, 2018, $2.0 billion, or 86.3% of our deposits, consisted of demand, statement savings, money market, and NOW accounts. The $311.5 million remaining balance are time deposits, of which 52.4% are due to mature within one year. Based on our experience, we believe that our demand, statement savings, money market deposit accounts and commercial demand accounts are relatively stable sources of funds. Our ability to attract and maintain deposits, as well as our cost of funds, has been, and will continue to be, significantly affected by market and general economic conditions. If we increase interest rates paid to retain deposits, our earnings may be adversely affected.</w:t>
      </w:r>
    </w:p>
    <w:p>
      <w:pPr>
        <w:spacing w:after="0" w:line="165"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b w:val="1"/>
          <w:bCs w:val="1"/>
          <w:i w:val="1"/>
          <w:iCs w:val="1"/>
          <w:color w:val="auto"/>
        </w:rPr>
        <w:t>Liquidity risk could impair our ability to fund operations and meet our obligations as they become due and could jeopardize our financial condition.</w:t>
      </w:r>
    </w:p>
    <w:p>
      <w:pPr>
        <w:spacing w:after="0" w:line="75" w:lineRule="exact"/>
        <w:rPr>
          <w:sz w:val="20"/>
          <w:szCs w:val="20"/>
          <w:color w:val="auto"/>
        </w:rPr>
      </w:pPr>
    </w:p>
    <w:p>
      <w:pPr>
        <w:ind w:right="20" w:firstLine="360"/>
        <w:spacing w:after="0" w:line="268" w:lineRule="auto"/>
        <w:rPr>
          <w:sz w:val="20"/>
          <w:szCs w:val="20"/>
          <w:color w:val="auto"/>
        </w:rPr>
      </w:pPr>
      <w:r>
        <w:rPr>
          <w:rFonts w:ascii="Arial" w:cs="Arial" w:eastAsia="Arial" w:hAnsi="Arial"/>
          <w:sz w:val="17"/>
          <w:szCs w:val="17"/>
          <w:color w:val="auto"/>
        </w:rPr>
        <w:t>Liquidity is essential to the business of the Bank. Liquidity risk is the potential that the Bank will be unable to meet its obligations as they come due because of an inability to liquidate assets or obtain adequate funding. An inability to raise funds through deposits, borrowings, the sale of loans and other sources could have a substantial negative effect on liquidity. The Bank’s access to funding sources in amounts adequate to finance its activities or on acceptable terms could be impaired by factors that affect our organization specifically or the financial services industry or economy in general. Factors that could detrimentally impact access to liquidity sources include a decrease in the level of the Bank’s business activity as a result of a downturn in the markets in which its loans are concentrated or adverse regulatory actions against the Bank. Market conditions or other events could also negatively affect the level or cost of funding, affecting the Bank’s ongoing ability to accommodate liability maturities and deposit withdrawals, meet contractual obligations and fund asset growth and new business transactions at a reasonable cost, in a timely manner and without adverse consequences. Although management has implemented strategies to maintain sufficient and diverse sources of funding to accommodate planned as well as unanticipated changes in assets and liabilities under both normal and adverse conditions, any substantial, unexpected and/or prolonged change in the level or cost of liquidity could have a material adverse effect on our financial condition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Customers could pursue alternatives to bank deposits, causing us to lose a relatively inexpensive source of funding.</w:t>
      </w:r>
    </w:p>
    <w:p>
      <w:pPr>
        <w:spacing w:after="0" w:line="115" w:lineRule="exact"/>
        <w:rPr>
          <w:sz w:val="20"/>
          <w:szCs w:val="20"/>
          <w:color w:val="auto"/>
        </w:rPr>
      </w:pPr>
    </w:p>
    <w:p>
      <w:pPr>
        <w:ind w:right="140" w:firstLine="360"/>
        <w:spacing w:after="0" w:line="255" w:lineRule="auto"/>
        <w:rPr>
          <w:sz w:val="20"/>
          <w:szCs w:val="20"/>
          <w:color w:val="auto"/>
        </w:rPr>
      </w:pPr>
      <w:r>
        <w:rPr>
          <w:rFonts w:ascii="Arial" w:cs="Arial" w:eastAsia="Arial" w:hAnsi="Arial"/>
          <w:sz w:val="18"/>
          <w:szCs w:val="18"/>
          <w:color w:val="auto"/>
        </w:rPr>
        <w:t>Checking and savings account balances and other forms of deposits can decrease when our deposit customers perceive alternative investments, such as the stock market, other non-depository investments or higher yielding deposits, as providing superior expected returns. Technology and other changes has made it more convenient for bank customers to transfer funds into alternative investments or other deposit accounts, including products offered by other financial institutions or non-bank service providers. Future increases in short-term interest rates could increase such transfers of deposits to higher yielding deposits or other investments either with</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us or with external providers. In addition, our level of deposits may be affected by lack of consumer confidence in financial institutions, which have caused fewer depositors to be willing to maintain deposits that are not fully insured by the FDIC. Depositors may withdraw certain deposits from the Bank and place them in other institutions or invest uninsured funds in investments perceived as being more secure, such as securities issued by the U.S. Treasury. These consumer preferences may force us to pay higher interest rates or reduce fees to retain certain deposits and may constrain liquidity as we seek to meet funding needs caused by reduced deposit levels.</w:t>
      </w:r>
    </w:p>
    <w:p>
      <w:pPr>
        <w:spacing w:after="0" w:line="85" w:lineRule="exact"/>
        <w:rPr>
          <w:sz w:val="20"/>
          <w:szCs w:val="20"/>
          <w:color w:val="auto"/>
        </w:rPr>
      </w:pPr>
    </w:p>
    <w:p>
      <w:pPr>
        <w:ind w:right="60" w:firstLine="360"/>
        <w:spacing w:after="0" w:line="312" w:lineRule="auto"/>
        <w:rPr>
          <w:sz w:val="20"/>
          <w:szCs w:val="20"/>
          <w:color w:val="auto"/>
        </w:rPr>
      </w:pPr>
      <w:r>
        <w:rPr>
          <w:rFonts w:ascii="Arial" w:cs="Arial" w:eastAsia="Arial" w:hAnsi="Arial"/>
          <w:sz w:val="16"/>
          <w:szCs w:val="16"/>
          <w:color w:val="auto"/>
        </w:rPr>
        <w:t>As interest rates rise from historically low levels in recent years, our deposits may not be as stable or as interest rate insensitive as similar deposits may have been in the past, and if the recovery of the U.S. economy continues, some existing or prospective deposit customers of banks generally, including the Bank, may be inclined to pursue other investment alternatives.</w:t>
      </w:r>
    </w:p>
    <w:p>
      <w:pPr>
        <w:spacing w:after="0" w:line="39"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Efforts and initiatives we undertake to retain and increase deposits, including deposit pricing, can increase our costs. When bank customers move money out of bank deposits in favor of alternative investments or into higher yielding deposits, we can lose a relatively inexpensive source of funds, increasing our funding cost. As our assets grow, we may face increasing pressure to seek new deposits through expanded channels from new customers at favorable pricing, further increasing our costs.</w:t>
      </w:r>
    </w:p>
    <w:p>
      <w:pPr>
        <w:spacing w:after="0" w:line="141"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b w:val="1"/>
          <w:bCs w:val="1"/>
          <w:i w:val="1"/>
          <w:iCs w:val="1"/>
          <w:color w:val="auto"/>
        </w:rPr>
        <w:t>We continually encounter technological changes which could result in us having fewer resources than many of our competitors to continue to invest in technological improvements.</w:t>
      </w:r>
    </w:p>
    <w:p>
      <w:pPr>
        <w:spacing w:after="0" w:line="75"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The financial services industry is continually undergoing rapid technological change with frequent introductions of new technology-driven products and services. Many of our competitors have substantially greater resources to invest in technological improvements. We may not be able to effectively or timely implement new technology-driven products and services or be successful in marketing these products and services to our customers and clients. Failure to successfully keep pace with technological change affecting the financial services industry could have a material adverse impact on our business, financial condition, results of operations or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Consumers may decide not to use banks to complete their financial transactions.</w:t>
      </w:r>
    </w:p>
    <w:p>
      <w:pPr>
        <w:spacing w:after="0" w:line="117" w:lineRule="exact"/>
        <w:rPr>
          <w:sz w:val="20"/>
          <w:szCs w:val="20"/>
          <w:color w:val="auto"/>
        </w:rPr>
      </w:pPr>
    </w:p>
    <w:p>
      <w:pPr>
        <w:ind w:right="60" w:firstLine="360"/>
        <w:spacing w:after="0" w:line="272" w:lineRule="auto"/>
        <w:rPr>
          <w:sz w:val="20"/>
          <w:szCs w:val="20"/>
          <w:color w:val="auto"/>
        </w:rPr>
      </w:pPr>
      <w:r>
        <w:rPr>
          <w:rFonts w:ascii="Arial" w:cs="Arial" w:eastAsia="Arial" w:hAnsi="Arial"/>
          <w:sz w:val="17"/>
          <w:szCs w:val="17"/>
          <w:color w:val="auto"/>
        </w:rPr>
        <w:t>Technology and other changes are allowing parties to complete financial transactions through alternative methods that historically have involved banks. For example, consumers can now maintain funds that would have historically been held as bank deposits in brokerage accounts, mutual funds or general-purpose reloadable prepaid cards. Consumers can also complete transactions such as paying bills and/or transferring funds directly without the assistance of banks. The process of eliminating banks as intermediaries, known as “disintermediation,” could result in the loss of fee income, as well as the loss of customer deposits and the related income generated from those deposits. The loss of these revenue streams and the lower cost of deposits as a source of funds could have a material adverse effect on our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profitability is vulnerable to interest rate fluctuations.</w:t>
      </w:r>
    </w:p>
    <w:p>
      <w:pPr>
        <w:spacing w:after="0" w:line="117" w:lineRule="exact"/>
        <w:rPr>
          <w:sz w:val="20"/>
          <w:szCs w:val="20"/>
          <w:color w:val="auto"/>
        </w:rPr>
      </w:pPr>
    </w:p>
    <w:p>
      <w:pPr>
        <w:ind w:right="160" w:firstLine="360"/>
        <w:spacing w:after="0" w:line="273" w:lineRule="auto"/>
        <w:rPr>
          <w:sz w:val="20"/>
          <w:szCs w:val="20"/>
          <w:color w:val="auto"/>
        </w:rPr>
      </w:pPr>
      <w:r>
        <w:rPr>
          <w:rFonts w:ascii="Arial" w:cs="Arial" w:eastAsia="Arial" w:hAnsi="Arial"/>
          <w:sz w:val="17"/>
          <w:szCs w:val="17"/>
          <w:color w:val="auto"/>
        </w:rPr>
        <w:t>Our profitability, like that of most financial institutions, is dependent to a large extent on our net interest income, which is the difference between our interest income on interest-earning assets, such as loans and investment securities, and our interest expense on interest-bearing liabilities, such as deposits and borrowings. When interest-bearing liabilities mature or re-price more quickly than interest-earning assets in a given period, a significant increase in market interest rates could adversely affect net interest income. Conversely, when interest-earning assets mature or re-price more quickly than interest-bearing liabilities, falling interest rates could result in a decrease in net interest income.</w:t>
      </w:r>
    </w:p>
    <w:p>
      <w:pPr>
        <w:spacing w:after="0" w:line="70" w:lineRule="exact"/>
        <w:rPr>
          <w:sz w:val="20"/>
          <w:szCs w:val="20"/>
          <w:color w:val="auto"/>
        </w:rPr>
      </w:pPr>
    </w:p>
    <w:p>
      <w:pPr>
        <w:ind w:right="40" w:firstLine="360"/>
        <w:spacing w:after="0" w:line="291" w:lineRule="auto"/>
        <w:rPr>
          <w:sz w:val="20"/>
          <w:szCs w:val="20"/>
          <w:color w:val="auto"/>
        </w:rPr>
      </w:pPr>
      <w:r>
        <w:rPr>
          <w:rFonts w:ascii="Arial" w:cs="Arial" w:eastAsia="Arial" w:hAnsi="Arial"/>
          <w:sz w:val="16"/>
          <w:szCs w:val="16"/>
          <w:color w:val="auto"/>
        </w:rPr>
        <w:t>In periods of increasing interest rates, loan originations may decline, and our borrowers may experience greater difficulties meeting their obligations, depending on the performance of the overall economy, which may adversely affect income from these lending activities. In such periods, originations of mortgage loans may also decrease, resulting in fewer loans that are available to be sold to investors. This could result in decreased interest income, decreased mortgage revenues and corresponding decreases in non-interest income from projected levels. In addition, during periods of reduced loan demand, results of operations may be adversely affected to the extent that we would be unable to reduce mortgage-related noninterest expenses commensurately with the decline in mortgage loan origination activity. Increases in interest rates could also adversely affect the market value of our fixed income assets.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120" w:firstLine="360"/>
        <w:spacing w:after="0" w:line="264" w:lineRule="auto"/>
        <w:rPr>
          <w:sz w:val="20"/>
          <w:szCs w:val="20"/>
          <w:color w:val="auto"/>
        </w:rPr>
      </w:pPr>
      <w:r>
        <w:rPr>
          <w:rFonts w:ascii="Arial" w:cs="Arial" w:eastAsia="Arial" w:hAnsi="Arial"/>
          <w:sz w:val="18"/>
          <w:szCs w:val="18"/>
          <w:color w:val="auto"/>
        </w:rPr>
        <w:t>We cannot predict fluctuations of market interest rates, which are affected by, among other factors, changes in inflation rates, levels of business activity, unemployment levels, monetary and fiscal policies of the United States and its agencies, particularly the Federal Reserve, money supply and domestic and foreign financial markets.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adversely impacted by an economic downturn or a natural disaster affecting one or more of our market areas.</w:t>
      </w:r>
    </w:p>
    <w:p>
      <w:pPr>
        <w:spacing w:after="0" w:line="127" w:lineRule="exact"/>
        <w:rPr>
          <w:sz w:val="20"/>
          <w:szCs w:val="20"/>
          <w:color w:val="auto"/>
        </w:rPr>
      </w:pPr>
    </w:p>
    <w:p>
      <w:pPr>
        <w:ind w:right="40" w:firstLine="360"/>
        <w:spacing w:after="0" w:line="271" w:lineRule="auto"/>
        <w:rPr>
          <w:sz w:val="20"/>
          <w:szCs w:val="20"/>
          <w:color w:val="auto"/>
        </w:rPr>
      </w:pPr>
      <w:r>
        <w:rPr>
          <w:rFonts w:ascii="Arial" w:cs="Arial" w:eastAsia="Arial" w:hAnsi="Arial"/>
          <w:sz w:val="17"/>
          <w:szCs w:val="17"/>
          <w:color w:val="auto"/>
        </w:rPr>
        <w:t>Because most of our business activities are conducted in Texas and New Mexico and most of our credit exposure is there, we are at risk from adverse economic, political or business developments, including a downturn in real estate values, agricultural activities, the oil and gas industry and natural hazards such as floods, ice storms and tornadoes that affect Texas and New Mexico. Although our customers’ business and financial interests may extend well beyond these market areas, adverse conditions that affect these market areas could reduce our growth rate, affect the ability of our customers to repay their loans, affect the value of collateral underlying loans, impact our ability to attract deposits, and generally affect our financial conditions and results of operations. Because of our geographic concentration, we may be less able than other regional or national financial institutions to diversify our credit risks across multiple markets.</w:t>
      </w:r>
    </w:p>
    <w:p>
      <w:pPr>
        <w:spacing w:after="0" w:line="165"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b w:val="1"/>
          <w:bCs w:val="1"/>
          <w:i w:val="1"/>
          <w:iCs w:val="1"/>
          <w:color w:val="auto"/>
        </w:rPr>
        <w:t>The borrowing needs of our customers may increase, especially during a challenging economic environment, which could result in increased borrowing against our contractual obligations to extend credit.</w:t>
      </w:r>
    </w:p>
    <w:p>
      <w:pPr>
        <w:spacing w:after="0" w:line="75" w:lineRule="exact"/>
        <w:rPr>
          <w:sz w:val="20"/>
          <w:szCs w:val="20"/>
          <w:color w:val="auto"/>
        </w:rPr>
      </w:pPr>
    </w:p>
    <w:p>
      <w:pPr>
        <w:ind w:right="40" w:firstLine="360"/>
        <w:spacing w:after="0" w:line="288" w:lineRule="auto"/>
        <w:rPr>
          <w:sz w:val="20"/>
          <w:szCs w:val="20"/>
          <w:color w:val="auto"/>
        </w:rPr>
      </w:pPr>
      <w:r>
        <w:rPr>
          <w:rFonts w:ascii="Arial" w:cs="Arial" w:eastAsia="Arial" w:hAnsi="Arial"/>
          <w:sz w:val="16"/>
          <w:szCs w:val="16"/>
          <w:color w:val="auto"/>
        </w:rPr>
        <w:t>A commitment to extend credit is a formal agreement to lend funds to a customer as long as there is no violation of any condition established under the agreement. The actual borrowing needs of our customers under these credit commitments have historically been lower than the contractual amount of the commitments. A significant portion of these commitments expire without being drawn upon. Because of the credit profile of our customers, we typically have a substantial amount of total unfunded credit commitments, which is not reflected on our balance sheet. As of December 31, 2018, we had $346.2 million in unfunded credit commitments to our customers. Actual borrowing needs of our customers may exceed our expectations, especially during a challenging economic environment when our customers’ companies may be more dependent on our credit commitments due to the lack of available credit elsewhere, the increasing costs of credit, or the limited availability of financings from venture firms. This could adversely affect our liquidity, which could impair our ability to fund operations and meet obligations as they become due and could have a material adverse effect on our business, financial condition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originations have decreased due to a slowdown in refinance activity, and this trend may continue.</w:t>
      </w:r>
    </w:p>
    <w:p>
      <w:pPr>
        <w:spacing w:after="0" w:line="117"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Mortgage revenues, which are primarily recognized from the sale in the secondary market of mortgage loans, are a source of noninterest income for the Bank and a contributor to the Bank’s net income. Mortgage revenues for the year ended December 31, 2018 were $21.4 million. As the result of the low level of market interest rates that existed for the past several years, demand for loans to refinance existing mortgages has remained strong. However, recent increases in market interest rates have lessened this demand. If market interest rates were to further increase, there will be fewer opportunities for financial institutions to originate loans to refinance existing mortgages. If mortgage originations decrease, projected mortgage revenues and noninterest income will decrease.</w:t>
      </w:r>
    </w:p>
    <w:p>
      <w:pPr>
        <w:spacing w:after="0" w:line="176" w:lineRule="exact"/>
        <w:rPr>
          <w:sz w:val="20"/>
          <w:szCs w:val="20"/>
          <w:color w:val="auto"/>
        </w:rPr>
      </w:pPr>
    </w:p>
    <w:p>
      <w:pPr>
        <w:ind w:right="640"/>
        <w:spacing w:after="0" w:line="246" w:lineRule="auto"/>
        <w:rPr>
          <w:sz w:val="20"/>
          <w:szCs w:val="20"/>
          <w:color w:val="auto"/>
        </w:rPr>
      </w:pPr>
      <w:r>
        <w:rPr>
          <w:rFonts w:ascii="Arial" w:cs="Arial" w:eastAsia="Arial" w:hAnsi="Arial"/>
          <w:sz w:val="18"/>
          <w:szCs w:val="18"/>
          <w:b w:val="1"/>
          <w:bCs w:val="1"/>
          <w:i w:val="1"/>
          <w:iCs w:val="1"/>
          <w:color w:val="auto"/>
        </w:rPr>
        <w:t>Secondary mortgage market conditions could have a material impact on our ability to resell originated mortgages on the secondary market.</w:t>
      </w:r>
    </w:p>
    <w:p>
      <w:pPr>
        <w:spacing w:after="0" w:line="75"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In addition to being affected by interest rates, the secondary mortgage markets are also subject to investor demand for residential mortgage loans and increased investor yield requirements for those loans. These conditions may fluctuate or even worsen in the future. A reduction in our ability to resell mortgages that we originate on the secondary market would reduce our noninterest income from such sales and may increase our credit risk by causing us to retain mortgage loans that we would otherwise sell. As a result, a prolonged period of secondary market illiquidity may result in a reduction in our mortgage origination volumes which, in turn, could have a material adverse effect on our financial condition and results of operation from our mortgage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required to repurchase mortgage loans in some circumstances, which could diminish our liquidity.</w:t>
      </w:r>
    </w:p>
    <w:p>
      <w:pPr>
        <w:spacing w:after="0" w:line="117" w:lineRule="exact"/>
        <w:rPr>
          <w:sz w:val="20"/>
          <w:szCs w:val="20"/>
          <w:color w:val="auto"/>
        </w:rPr>
      </w:pPr>
    </w:p>
    <w:p>
      <w:pPr>
        <w:ind w:right="660" w:firstLine="360"/>
        <w:spacing w:after="0" w:line="277" w:lineRule="auto"/>
        <w:rPr>
          <w:sz w:val="20"/>
          <w:szCs w:val="20"/>
          <w:color w:val="auto"/>
        </w:rPr>
      </w:pPr>
      <w:r>
        <w:rPr>
          <w:rFonts w:ascii="Arial" w:cs="Arial" w:eastAsia="Arial" w:hAnsi="Arial"/>
          <w:sz w:val="18"/>
          <w:szCs w:val="18"/>
          <w:color w:val="auto"/>
        </w:rPr>
        <w:t>Historically, we have originated mortgage loans for sale in the secondary market. When mortgage loans are sold in the secondary market, we are required to make customary representations and warranties to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purchasers about the mortgage loans and the manner in which they were originated. The mortgage loan sale agreements require us to repurchase or substitute mortgage loans or indemnify buyers against losses, in the event we breach these representations and warranties. In addition, we may be required to repurchase mortgage loans as a result of early payment default of the borrower on a mortgage loan. With respect to loans that are originated by us through our broker or correspondents, the remedies available against the originating broker or correspondent, if any, may not be as broad as the remedies available to a purchaser of mortgage loans against us or the originating broker or correspondent, if any, may not have the financial capacity to perform remedies that otherwise may be available. Therefore, if a purchaser enforces their remedies against us, we may not be able to recover losses from the originating broker or correspondent. If repurchase and indemnity demands increase and such demands are valid claims, it could diminish our liquidity, which could have an adverse effect on our business,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value of our mortgage servicing rights can be volatile.</w:t>
      </w:r>
    </w:p>
    <w:p>
      <w:pPr>
        <w:spacing w:after="0" w:line="117" w:lineRule="exact"/>
        <w:rPr>
          <w:sz w:val="20"/>
          <w:szCs w:val="20"/>
          <w:color w:val="auto"/>
        </w:rPr>
      </w:pPr>
    </w:p>
    <w:p>
      <w:pPr>
        <w:ind w:right="100" w:firstLine="360"/>
        <w:spacing w:after="0" w:line="297" w:lineRule="auto"/>
        <w:rPr>
          <w:sz w:val="20"/>
          <w:szCs w:val="20"/>
          <w:color w:val="auto"/>
        </w:rPr>
      </w:pPr>
      <w:r>
        <w:rPr>
          <w:rFonts w:ascii="Arial" w:cs="Arial" w:eastAsia="Arial" w:hAnsi="Arial"/>
          <w:sz w:val="16"/>
          <w:szCs w:val="16"/>
          <w:color w:val="auto"/>
        </w:rPr>
        <w:t>We sell in the secondary market residential mortgage loans that we originate, which provides a meaningful portion of our non-interest income in the form of gains on the sale of mortgage loans. We also earn revenue from fees we receive for servicing mortgage loans. As a result of our mortgage servicing business, we have a growing portfolio of mortgage servicing rights. A mortgage servicing right is the right to service a mortgage loan—collect principal, interest, and escrow amounts—for a fee. We acquire mortgage servicing rights when we keep the servicing rights in connection with the sale of loans we have originated.</w:t>
      </w:r>
    </w:p>
    <w:p>
      <w:pPr>
        <w:spacing w:after="0" w:line="50" w:lineRule="exact"/>
        <w:rPr>
          <w:sz w:val="20"/>
          <w:szCs w:val="20"/>
          <w:color w:val="auto"/>
        </w:rPr>
      </w:pPr>
    </w:p>
    <w:p>
      <w:pPr>
        <w:ind w:right="20" w:firstLine="360"/>
        <w:spacing w:after="0" w:line="289" w:lineRule="auto"/>
        <w:rPr>
          <w:sz w:val="20"/>
          <w:szCs w:val="20"/>
          <w:color w:val="auto"/>
        </w:rPr>
      </w:pPr>
      <w:r>
        <w:rPr>
          <w:rFonts w:ascii="Arial" w:cs="Arial" w:eastAsia="Arial" w:hAnsi="Arial"/>
          <w:sz w:val="16"/>
          <w:szCs w:val="16"/>
          <w:color w:val="auto"/>
        </w:rPr>
        <w:t>Changes in interest rates may impact our mortgage servicing revenues, which could negatively impact our non-interest income. When rates rise, net revenue from our mortgage servicing activities can increase due to slower prepayments. When rates fall, the value of our mortgage servicing rights usually tends to decline as a result of a higher volume of prepayments, resulting in a decline in our net revenue. It is possible that, because of economic conditions and/or a weak or deteriorating housing market, even if interest rates were to fall or remain low, mortgage originations may also fall or any increase in mortgage originations may not be enough to offset the decrease in the mortgage servicing rights value caused by the lower rates. Because the value of our mortgage servicing rights is capitalized on our balance sheet and evaluated on a quarterly basis, any significant decline in value could adversely affect our income, our capital ratios or require us to raise additional capital, which may not be available on favorable terms. We had $1.3 million of mortgage servicing rights as of December 31,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risk management framework may not be effective in mitigating risks or losses to us.</w:t>
      </w:r>
    </w:p>
    <w:p>
      <w:pPr>
        <w:spacing w:after="0" w:line="117" w:lineRule="exact"/>
        <w:rPr>
          <w:sz w:val="20"/>
          <w:szCs w:val="20"/>
          <w:color w:val="auto"/>
        </w:rPr>
      </w:pPr>
    </w:p>
    <w:p>
      <w:pPr>
        <w:ind w:right="120" w:firstLine="360"/>
        <w:spacing w:after="0" w:line="255" w:lineRule="auto"/>
        <w:rPr>
          <w:sz w:val="20"/>
          <w:szCs w:val="20"/>
          <w:color w:val="auto"/>
        </w:rPr>
      </w:pPr>
      <w:r>
        <w:rPr>
          <w:rFonts w:ascii="Arial" w:cs="Arial" w:eastAsia="Arial" w:hAnsi="Arial"/>
          <w:sz w:val="18"/>
          <w:szCs w:val="18"/>
          <w:color w:val="auto"/>
        </w:rPr>
        <w:t>Our risk management framework is comprised of various processes, systems and strategies, and is designed to manage the types of risks to which we are subject, including credit, market, liquidity, interest rate, operational, reputation, business and compliance risks. Our framework also includes financial or other modeling methodologies that involve management assumptions and judgment. Our risk management framework may not be effective under all circumstances and may not adequately mitigate risk or loss to us. If our risk management framework is not effective, we could suffer unexpected losses and our business, financial condition, results of operations or growth prospects could be materially and adversely affected. We may also be subject to potentially adverse regulatory consequences.</w:t>
      </w:r>
    </w:p>
    <w:p>
      <w:pPr>
        <w:spacing w:after="0" w:line="176" w:lineRule="exact"/>
        <w:rPr>
          <w:sz w:val="20"/>
          <w:szCs w:val="20"/>
          <w:color w:val="auto"/>
        </w:rPr>
      </w:pPr>
    </w:p>
    <w:p>
      <w:pPr>
        <w:ind w:right="560"/>
        <w:spacing w:after="0" w:line="343" w:lineRule="auto"/>
        <w:rPr>
          <w:sz w:val="20"/>
          <w:szCs w:val="20"/>
          <w:color w:val="auto"/>
        </w:rPr>
      </w:pPr>
      <w:r>
        <w:rPr>
          <w:rFonts w:ascii="Arial" w:cs="Arial" w:eastAsia="Arial" w:hAnsi="Arial"/>
          <w:sz w:val="15"/>
          <w:szCs w:val="15"/>
          <w:b w:val="1"/>
          <w:bCs w:val="1"/>
          <w:i w:val="1"/>
          <w:iCs w:val="1"/>
          <w:color w:val="auto"/>
        </w:rPr>
        <w:t>We are dependent on the use of data and modeling in our management’s decision-making and faulty data or modeling approaches could negatively impact our decision-making ability or possibly subject us to regulatory scrutiny in the future.</w:t>
      </w:r>
    </w:p>
    <w:p>
      <w:pPr>
        <w:spacing w:after="0" w:line="7" w:lineRule="exact"/>
        <w:rPr>
          <w:sz w:val="20"/>
          <w:szCs w:val="20"/>
          <w:color w:val="auto"/>
        </w:rPr>
      </w:pPr>
    </w:p>
    <w:p>
      <w:pPr>
        <w:ind w:right="40" w:firstLine="360"/>
        <w:spacing w:after="0" w:line="273" w:lineRule="auto"/>
        <w:rPr>
          <w:sz w:val="20"/>
          <w:szCs w:val="20"/>
          <w:color w:val="auto"/>
        </w:rPr>
      </w:pPr>
      <w:r>
        <w:rPr>
          <w:rFonts w:ascii="Arial" w:cs="Arial" w:eastAsia="Arial" w:hAnsi="Arial"/>
          <w:sz w:val="17"/>
          <w:szCs w:val="17"/>
          <w:color w:val="auto"/>
        </w:rPr>
        <w:t>The use of statistical and quantitative models and other quantitative analyses is endemic to bank decision-making, and the employment of such analyses is becoming increasingly widespread in our operations. Stress testing, interest rate sensitivity analysis, and the identification of possible violations of anti-money laundering regulations are all examples of areas in which we are dependent on models and the data that underlies them. The use of statistical and quantitative models is also becoming more prevalent in regulatory compliance. We currently utilize stress testing for capital, credit and liquidity purposes and anticipate that model-derived testing may become more extensively implemented by regulators in the future.</w:t>
      </w:r>
    </w:p>
    <w:p>
      <w:pPr>
        <w:spacing w:after="0" w:line="70" w:lineRule="exact"/>
        <w:rPr>
          <w:sz w:val="20"/>
          <w:szCs w:val="20"/>
          <w:color w:val="auto"/>
        </w:rPr>
      </w:pPr>
    </w:p>
    <w:p>
      <w:pPr>
        <w:ind w:right="200" w:firstLine="360"/>
        <w:spacing w:after="0" w:line="264" w:lineRule="auto"/>
        <w:rPr>
          <w:sz w:val="20"/>
          <w:szCs w:val="20"/>
          <w:color w:val="auto"/>
        </w:rPr>
      </w:pPr>
      <w:r>
        <w:rPr>
          <w:rFonts w:ascii="Arial" w:cs="Arial" w:eastAsia="Arial" w:hAnsi="Arial"/>
          <w:sz w:val="18"/>
          <w:szCs w:val="18"/>
          <w:color w:val="auto"/>
        </w:rPr>
        <w:t>We anticipate data-based modeling will penetrate further into bank decision-making, particularly risk management efforts, as the capacities developed to meet stress testing requirements are able to be employed more widely and in differing applications. While we believe these quantitative techniques and approaches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improve our decision-making, they also create the possibility that faulty data or flawed quantitative approaches could negatively impact our decision-making ability or result in adverse regulatory scrutiny. Secondarily, because of the complexity inherent in these approaches, misunderstanding or misuse of their outputs could similarly result in suboptimal decision-making. We seek to mitigate this risk by increasingly performing back-testing to analyze the accuracy of these techniques and approaches.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investment performance, fiduciary and asset servicing risks associated with our trust operations.</w:t>
      </w:r>
    </w:p>
    <w:p>
      <w:pPr>
        <w:spacing w:after="0" w:line="117" w:lineRule="exact"/>
        <w:rPr>
          <w:sz w:val="20"/>
          <w:szCs w:val="20"/>
          <w:color w:val="auto"/>
        </w:rPr>
      </w:pPr>
    </w:p>
    <w:p>
      <w:pPr>
        <w:ind w:right="120" w:firstLine="360"/>
        <w:spacing w:after="0" w:line="293" w:lineRule="auto"/>
        <w:rPr>
          <w:sz w:val="20"/>
          <w:szCs w:val="20"/>
          <w:color w:val="auto"/>
        </w:rPr>
      </w:pPr>
      <w:r>
        <w:rPr>
          <w:rFonts w:ascii="Arial" w:cs="Arial" w:eastAsia="Arial" w:hAnsi="Arial"/>
          <w:sz w:val="16"/>
          <w:szCs w:val="16"/>
          <w:color w:val="auto"/>
        </w:rPr>
        <w:t>Our investment management, fiduciary and asset servicing businesses are significant to the business of the Company. Generating returns that satisfy clients in a variety of asset classes is important to maintaining existing business and attracting new business. Managing or servicing assets with reasonable prudence in accordance with the terms of governing documents and applicable laws is also important to client satisfaction. Failure to do so can generate liability, as can failure to manage the differing interests often involved in the exercise of fiduciary responsibilities or the failure to manage these risks adequately, all of which could adversely affect our business, financial condition, results of operations and/or future prospects.</w:t>
      </w:r>
    </w:p>
    <w:p>
      <w:pPr>
        <w:spacing w:after="0" w:line="151"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b w:val="1"/>
          <w:bCs w:val="1"/>
          <w:i w:val="1"/>
          <w:iCs w:val="1"/>
          <w:color w:val="auto"/>
        </w:rPr>
        <w:t>Our revenues, earnings and prospects with respect to the Investment Center at City Bank could be adversely affected if the securities markets decline.</w:t>
      </w:r>
    </w:p>
    <w:p>
      <w:pPr>
        <w:spacing w:after="0" w:line="75" w:lineRule="exact"/>
        <w:rPr>
          <w:sz w:val="20"/>
          <w:szCs w:val="20"/>
          <w:color w:val="auto"/>
        </w:rPr>
      </w:pPr>
    </w:p>
    <w:p>
      <w:pPr>
        <w:ind w:right="100" w:firstLine="360"/>
        <w:spacing w:after="0" w:line="270" w:lineRule="auto"/>
        <w:rPr>
          <w:sz w:val="20"/>
          <w:szCs w:val="20"/>
          <w:color w:val="auto"/>
        </w:rPr>
      </w:pPr>
      <w:r>
        <w:rPr>
          <w:rFonts w:ascii="Arial" w:cs="Arial" w:eastAsia="Arial" w:hAnsi="Arial"/>
          <w:sz w:val="17"/>
          <w:szCs w:val="17"/>
          <w:color w:val="auto"/>
        </w:rPr>
        <w:t>Our results of operations related to the Investment Center at City Bank are affected by certain economic factors, including the level of the securities markets. If we experience adverse market conditions such as those experienced from 2008 to 2011, lack of investor confidence could result in investors further withdrawing from the markets, decreasing their rate of investment or reducing the amount of assets under management, any of which could adversely affect our revenues, earnings and growth prospects to a greater extent. Because our investment management fees are based on the value of assets under management at the Investment Center at City Bank, a decline in the value of these assets, including by virtue of a decline in the securities markets, adversely affects our revenues and earnings. In addition, a decline in the market value of these assets could cause our clients to withdraw funds in favor of investments they perceive as offering greater opportunity or lower risk, which could also negatively impact our revenues and earnings. The combination of adverse markets reducing sales and investment management fees could compound on each other and materially affect earnings.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lines of business or new products and services may subject us to additional risks.</w:t>
      </w:r>
    </w:p>
    <w:p>
      <w:pPr>
        <w:spacing w:after="0" w:line="117"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From time to time, we may implement or may acquire new lines of business or offer new products and services within existing lines of business. There are substantial risks and uncertainties associated with these efforts, particularly in instances where the markets are not fully developed. In developing and marketing new lines of business and new products and services, we may invest significant time and resources. We may not achieve target timetables for the introduction and development of new lines of business and new products or services and price and profitability targets may not prove feasible. External factors, such as regulatory compliance obligations, competitive alternatives and shifting market preferences, may also impact the successful implementation of a new line of business or a new product or service. Furthermore, any new line of business or new product or service could have a significant impact on the effectiveness of our system of internal controls. Failure to successfully manage these risks in the development and implementation of new lines of business or new products or services could have a material adverse effect on our business, results of operations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historical growth rate and performance may not be indicative of our future growth or financial results.</w:t>
      </w:r>
    </w:p>
    <w:p>
      <w:pPr>
        <w:spacing w:after="0" w:line="117"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We may not be able to sustain our past rate of growth or grow our business at all. We have benefited from the recent low interest rate environment, which has provided us with high net interest margins which we use to grow our business. Higher rates may compress our margins and may impact our ability to grow. Consequently, our past results of operations will not necessarily be indicative of our future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need to raise additional capital in the future, but sufficient capital may not be available when it is needed.</w:t>
      </w:r>
    </w:p>
    <w:p>
      <w:pPr>
        <w:spacing w:after="0" w:line="115" w:lineRule="exact"/>
        <w:rPr>
          <w:sz w:val="20"/>
          <w:szCs w:val="20"/>
          <w:color w:val="auto"/>
        </w:rPr>
      </w:pPr>
    </w:p>
    <w:p>
      <w:pPr>
        <w:jc w:val="both"/>
        <w:ind w:right="200" w:firstLine="360"/>
        <w:spacing w:after="0" w:line="264" w:lineRule="auto"/>
        <w:rPr>
          <w:sz w:val="20"/>
          <w:szCs w:val="20"/>
          <w:color w:val="auto"/>
        </w:rPr>
      </w:pPr>
      <w:r>
        <w:rPr>
          <w:rFonts w:ascii="Arial" w:cs="Arial" w:eastAsia="Arial" w:hAnsi="Arial"/>
          <w:sz w:val="18"/>
          <w:szCs w:val="18"/>
          <w:color w:val="auto"/>
        </w:rPr>
        <w:t>We may need to raise additional capital in the future to provide us with sufficient capital resources and liquidity to meet our commitments and business needs, particularly if our asset quality or earnings were to deteriorate significantly. Our ability to raise additional capital, if needed, will depend on, among other things,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conditions in the capital and financial markets at that time, which are outside of our control, and our financial performance. Economic conditions or a loss of confidence in financial institutions may increase our cost of funding and limit access to certain customary sources of capital, including depositors, other financial institution borrowings and borrowings from the discount window of the Federal Reserve. An inability to raise additional capital/liquidity on acceptable terms when needed could have a material adverse effect on our financial condition, results of operations and liquidity.</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cybersecurity risks associated with our internet-based systems and online commerce security.</w:t>
      </w:r>
    </w:p>
    <w:p>
      <w:pPr>
        <w:spacing w:after="0" w:line="115"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Third party or internal systems and networks may fail to operate properly or become disabled due to deliberate attacks or unintentional events. Our operations are vulnerable to disruptions from human error, natural disasters, power loss, computer viruses, spam attacks, denial of service attacks, unauthorized access and other unforeseen events. Undiscovered data corruption could render our customer information inaccurate. These events may obstruct our ability to provide services and process transactions. While we believe we are in compliance with all applicable privacy and data security laws, an incident could put our customer confidential information at risk.</w:t>
      </w:r>
    </w:p>
    <w:p>
      <w:pPr>
        <w:spacing w:after="0" w:line="85" w:lineRule="exact"/>
        <w:rPr>
          <w:sz w:val="20"/>
          <w:szCs w:val="20"/>
          <w:color w:val="auto"/>
        </w:rPr>
      </w:pPr>
    </w:p>
    <w:p>
      <w:pPr>
        <w:ind w:right="100" w:firstLine="360"/>
        <w:spacing w:after="0" w:line="312" w:lineRule="auto"/>
        <w:rPr>
          <w:sz w:val="20"/>
          <w:szCs w:val="20"/>
          <w:color w:val="auto"/>
        </w:rPr>
      </w:pPr>
      <w:r>
        <w:rPr>
          <w:rFonts w:ascii="Arial" w:cs="Arial" w:eastAsia="Arial" w:hAnsi="Arial"/>
          <w:sz w:val="16"/>
          <w:szCs w:val="16"/>
          <w:color w:val="auto"/>
        </w:rPr>
        <w:t>Although we have not experienced a cyber-incident which has been successful in compromising our data or systems, we can never be certain that all of our systems are entirely free from vulnerability to breaches of security or other technological difficulties or failures. We monitor and modify, as necessary, our protective measures in response to the perpetual evolution of cyber threats.</w:t>
      </w:r>
    </w:p>
    <w:p>
      <w:pPr>
        <w:spacing w:after="0" w:line="39" w:lineRule="exact"/>
        <w:rPr>
          <w:sz w:val="20"/>
          <w:szCs w:val="20"/>
          <w:color w:val="auto"/>
        </w:rPr>
      </w:pPr>
    </w:p>
    <w:p>
      <w:pPr>
        <w:ind w:right="20" w:firstLine="360"/>
        <w:spacing w:after="0" w:line="273" w:lineRule="auto"/>
        <w:rPr>
          <w:sz w:val="20"/>
          <w:szCs w:val="20"/>
          <w:color w:val="auto"/>
        </w:rPr>
      </w:pPr>
      <w:r>
        <w:rPr>
          <w:rFonts w:ascii="Arial" w:cs="Arial" w:eastAsia="Arial" w:hAnsi="Arial"/>
          <w:sz w:val="17"/>
          <w:szCs w:val="17"/>
          <w:color w:val="auto"/>
        </w:rPr>
        <w:t>A breach in the security of any of our information systems, or other cyber incident, could have an adverse impact on, among other things, our revenue, ability to attract and maintain customers and business reputation. In addition, as a result of any breach, we could incur higher costs to conduct our business, to increase protection or related to remediation. Furthermore, our customers could terminate their accounts with us because of a cyber-incident which occurred on their own system or with that of an unrelated third party, which is outside of our control. In addition, a security breach could also subject us to additional regulatory scrutiny and expose us to civil litigation and possible financial liability.</w:t>
      </w:r>
    </w:p>
    <w:p>
      <w:pPr>
        <w:spacing w:after="0" w:line="165" w:lineRule="exact"/>
        <w:rPr>
          <w:sz w:val="20"/>
          <w:szCs w:val="20"/>
          <w:color w:val="auto"/>
        </w:rPr>
      </w:pPr>
    </w:p>
    <w:p>
      <w:pPr>
        <w:ind w:right="240"/>
        <w:spacing w:after="0" w:line="343" w:lineRule="auto"/>
        <w:rPr>
          <w:sz w:val="20"/>
          <w:szCs w:val="20"/>
          <w:color w:val="auto"/>
        </w:rPr>
      </w:pPr>
      <w:r>
        <w:rPr>
          <w:rFonts w:ascii="Arial" w:cs="Arial" w:eastAsia="Arial" w:hAnsi="Arial"/>
          <w:sz w:val="15"/>
          <w:szCs w:val="15"/>
          <w:b w:val="1"/>
          <w:bCs w:val="1"/>
          <w:i w:val="1"/>
          <w:iCs w:val="1"/>
          <w:color w:val="auto"/>
        </w:rPr>
        <w:t>We depend on third party providers, and these providers may be unable to deliver, or refuse to deliver, necessary technological and customer services support for our systems in a timely manner at prices, quality levels, and volumes acceptable to us.</w:t>
      </w:r>
    </w:p>
    <w:p>
      <w:pPr>
        <w:spacing w:after="0" w:line="7" w:lineRule="exact"/>
        <w:rPr>
          <w:sz w:val="20"/>
          <w:szCs w:val="20"/>
          <w:color w:val="auto"/>
        </w:rPr>
      </w:pPr>
    </w:p>
    <w:p>
      <w:pPr>
        <w:ind w:right="60" w:firstLine="360"/>
        <w:spacing w:after="0" w:line="287" w:lineRule="auto"/>
        <w:rPr>
          <w:sz w:val="20"/>
          <w:szCs w:val="20"/>
          <w:color w:val="auto"/>
        </w:rPr>
      </w:pPr>
      <w:r>
        <w:rPr>
          <w:rFonts w:ascii="Arial" w:cs="Arial" w:eastAsia="Arial" w:hAnsi="Arial"/>
          <w:sz w:val="16"/>
          <w:szCs w:val="16"/>
          <w:color w:val="auto"/>
        </w:rPr>
        <w:t>We outsource check processing, check imaging, electronic bill payment, statement rendering, internal audit, cybersecurity, IT management, and other services to third party vendors. While we believe that such providers will be able to continue to supply us with these essential services, they may be unable to do so in the short term or at prices or costs that are favorable to us, or at all. In addition, our agreements with each service provider are generally cancelable without cause by either party upon specified notice periods. If one of our third party service providers terminates its agreement with us and we are unable to replace it with another service provider, our operations may be interrupted. In particular, while we believe that we would be able to secure alternate providers for most of this essential technological and customer services support in a relatively short time frame, qualifying alternate providers or developing our own replacement technology services may be time consuming, costly, and may force us to change our services offered. If an interruption were to continue for a significant period of time, our earnings could decrease, we could experience losses, and we could lose customers. In addition, we are obligated to exercise comprehensive risk management and oversight of third party providers involving critical activities, including through the adoption of risk management processes commensurate with the level of risk and complexity of our third party providers.</w:t>
      </w:r>
    </w:p>
    <w:p>
      <w:pPr>
        <w:spacing w:after="0" w:line="155"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b w:val="1"/>
          <w:bCs w:val="1"/>
          <w:i w:val="1"/>
          <w:iCs w:val="1"/>
          <w:color w:val="auto"/>
        </w:rPr>
        <w:t>We are subject to certain operating risks related to employee error and customer, employee and third party misconduct, which could harm our reputation and business.</w:t>
      </w:r>
    </w:p>
    <w:p>
      <w:pPr>
        <w:spacing w:after="0" w:line="75"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Employee error or employee and customer misconduct could subject us to financial losses or regulatory sanctions and seriously harm our reputation. Misconduct by our employees could include hiding unauthorized activities from us, improper or unauthorized activities on behalf of our customers or improper use of confidential information. It is not always possible to prevent employee error or misconduct, and the precautions we take to prevent and detect this activity may not be effective in all cases. Because the nature of the financial services business involves a high volume of transactions, certain errors may be repeated or compounded before they are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discovered and successfully rectified. Our necessary dependence upon processing systems to record and process transactions and our large transaction volume may further increase the risk that employee errors, tampering or manipulation of those systems will result in losses that are difficult to detect. Employee error or misconduct could also subject us to financial claims. If our internal control systems fail to prevent or detect an occurrence, or if any resulting loss is not insured, exceeds applicable insurance limits or if insurance coverage is denied or not available, it could have a material adverse effect on our business,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the accuracy and completeness of information about customers and counterparties.</w:t>
      </w:r>
    </w:p>
    <w:p>
      <w:pPr>
        <w:spacing w:after="0" w:line="117"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In deciding whether to extend credit or enter into other transactions with customers and counterparties, we rely on information furnished to us by or on behalf of customers and counterparties, including financial statements and other financial information. We also rely on representations of customers and counterparties as to the accuracy and completeness of that information and, with respect to financial statements, on reports of independent auditors. While we have a practice of seeking to independently verify some of the customer information that we use in deciding whether to extend credit or to agree to a loan modification, including employment, assets, income and credit score, not all customer information is independently verified, and if any of the information that is independently verified (or any other information considered in the loan review process) is misrepresented and such misrepresentation is not detected prior to loan funding, the value of the loan may be significantly lower than expected. Whether a misrepresentation is made by the applicant, another third party or one of our employees, we generally bear the risk of loss associated with the misrepresentation. We may not detect all misrepresented information in our approval process. Any such misrepresented information could adversely affect our business, financial condition and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Fraudulent activity could damage our reputation, disrupt our businesses, increase our costs and cause losses.</w:t>
      </w:r>
    </w:p>
    <w:p>
      <w:pPr>
        <w:spacing w:after="0" w:line="117" w:lineRule="exact"/>
        <w:rPr>
          <w:sz w:val="20"/>
          <w:szCs w:val="20"/>
          <w:color w:val="auto"/>
        </w:rPr>
      </w:pPr>
    </w:p>
    <w:p>
      <w:pPr>
        <w:ind w:right="120" w:firstLine="360"/>
        <w:spacing w:after="0" w:line="255" w:lineRule="auto"/>
        <w:rPr>
          <w:sz w:val="20"/>
          <w:szCs w:val="20"/>
          <w:color w:val="auto"/>
        </w:rPr>
      </w:pPr>
      <w:r>
        <w:rPr>
          <w:rFonts w:ascii="Arial" w:cs="Arial" w:eastAsia="Arial" w:hAnsi="Arial"/>
          <w:sz w:val="18"/>
          <w:szCs w:val="18"/>
          <w:color w:val="auto"/>
        </w:rPr>
        <w:t>As a financial institution, we are inherently exposed to operational risk in the form of theft and other fraudulent activity by employees, customers and other third parties targeting us and our customers or data. Such activity may take many forms, including check fraud, electronic fraud, wire fraud, phishing, social engineering and other dishonest acts. Although the Company devotes substantial resources to maintaining effective policies and internal controls to identify and prevent such incidents, given the increasing sophistication of possible perpetrators, the Company may experience financial losses or reputational harm as a result of fraud.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rely heavily on our management team and the unexpected loss of key officers may adversely affect our operations.</w:t>
      </w:r>
    </w:p>
    <w:p>
      <w:pPr>
        <w:spacing w:after="0" w:line="127" w:lineRule="exact"/>
        <w:rPr>
          <w:sz w:val="20"/>
          <w:szCs w:val="20"/>
          <w:color w:val="auto"/>
        </w:rPr>
      </w:pPr>
    </w:p>
    <w:p>
      <w:pPr>
        <w:ind w:right="100" w:firstLine="360"/>
        <w:spacing w:after="0" w:line="254" w:lineRule="auto"/>
        <w:rPr>
          <w:sz w:val="20"/>
          <w:szCs w:val="20"/>
          <w:color w:val="auto"/>
        </w:rPr>
      </w:pPr>
      <w:r>
        <w:rPr>
          <w:rFonts w:ascii="Arial" w:cs="Arial" w:eastAsia="Arial" w:hAnsi="Arial"/>
          <w:sz w:val="18"/>
          <w:szCs w:val="18"/>
          <w:color w:val="auto"/>
        </w:rPr>
        <w:t>Our success has been and will continue to be greatly influenced by our ability to retain the services of existing senior management and, as we expand, to attract and retain qualified additional senior and middle management. Our senior executive officers have had, and will continue to have, a significant role in the development and management of our business. The loss of services of any of our executive officers could have an adverse effect on our business and financial results. Accordingly, should we lose the services of any of the executive officers, our Board of Directors may have to search outside of the Bank for a qualified permanent replacement. This search may be prolonged and we cannot assure you that we will be able to locate and hire a qualified replacement. If any of our executive officers leave their respective positions, our business, financial condition, results of operations and future prospects may suffer.</w:t>
      </w:r>
    </w:p>
    <w:p>
      <w:pPr>
        <w:spacing w:after="0" w:line="84"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We also depend upon the experience of the other officers of the Bank, the managers of our banking facilities and on their relationships with the communities they serve. We may not be able to retain our current personnel or attract additional qualified key persons as needed.</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attract or retain key banking employees which could adversely impact our business and operations.</w:t>
      </w:r>
    </w:p>
    <w:p>
      <w:pPr>
        <w:spacing w:after="0" w:line="127" w:lineRule="exact"/>
        <w:rPr>
          <w:sz w:val="20"/>
          <w:szCs w:val="20"/>
          <w:color w:val="auto"/>
        </w:rPr>
      </w:pPr>
    </w:p>
    <w:p>
      <w:pPr>
        <w:ind w:right="220" w:firstLine="360"/>
        <w:spacing w:after="0" w:line="297" w:lineRule="auto"/>
        <w:rPr>
          <w:sz w:val="20"/>
          <w:szCs w:val="20"/>
          <w:color w:val="auto"/>
        </w:rPr>
      </w:pPr>
      <w:r>
        <w:rPr>
          <w:rFonts w:ascii="Arial" w:cs="Arial" w:eastAsia="Arial" w:hAnsi="Arial"/>
          <w:sz w:val="16"/>
          <w:szCs w:val="16"/>
          <w:color w:val="auto"/>
        </w:rPr>
        <w:t>We expect future success to be driven in large part by the relationships maintained with our customers by our executives and senior lending officers. Our future successes and profitability are substantially dependent upon the management and banking abilities of our senior executives. We strive to attract and retain key banking professionals, management and staff. Competition to attract the best professionals in the industry can be intense, which will limit our ability to hire new professionals. Banking-related revenues and net income could be adversely affected in the event of the unexpected loss of key personnel.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from other financial intermediaries may adversely affect our profitability.</w:t>
      </w:r>
    </w:p>
    <w:p>
      <w:pPr>
        <w:spacing w:after="0" w:line="117" w:lineRule="exact"/>
        <w:rPr>
          <w:sz w:val="20"/>
          <w:szCs w:val="20"/>
          <w:color w:val="auto"/>
        </w:rPr>
      </w:pPr>
    </w:p>
    <w:p>
      <w:pPr>
        <w:ind w:right="120" w:firstLine="360"/>
        <w:spacing w:after="0" w:line="290" w:lineRule="auto"/>
        <w:rPr>
          <w:sz w:val="20"/>
          <w:szCs w:val="20"/>
          <w:color w:val="auto"/>
        </w:rPr>
      </w:pPr>
      <w:r>
        <w:rPr>
          <w:rFonts w:ascii="Arial" w:cs="Arial" w:eastAsia="Arial" w:hAnsi="Arial"/>
          <w:sz w:val="16"/>
          <w:szCs w:val="16"/>
          <w:color w:val="auto"/>
        </w:rPr>
        <w:t>We face substantial competition in originating loans and in attracting deposits. The competition in originating loans comes principally from other U.S. banks, mortgage banking companies, consumer finance companies, credit unions, insurance companies and other institutional lenders and purchasers of loans. We will encounter greater competition as we expand our operations. A number of institutions with which we compete have significantly greater assets, capital and other resources. Increased competition could require us to increase the rates we pay on deposits or lower the rates we offer on loans, which could adversely affect our profitability. Also, many of our non-bank competitors have fewer regulatory constraints and may have lower cost structures. We expect competition to intensify due to financial institution consolidation; legislative, regulatory and technological changes; and the emergence of alternative banking sources. This competition may limit our future growth and earnings prospects.</w:t>
      </w:r>
    </w:p>
    <w:p>
      <w:pPr>
        <w:spacing w:after="0" w:line="153" w:lineRule="exact"/>
        <w:rPr>
          <w:sz w:val="20"/>
          <w:szCs w:val="20"/>
          <w:color w:val="auto"/>
        </w:rPr>
      </w:pPr>
    </w:p>
    <w:p>
      <w:pPr>
        <w:ind w:right="40"/>
        <w:spacing w:after="0" w:line="307" w:lineRule="auto"/>
        <w:rPr>
          <w:sz w:val="20"/>
          <w:szCs w:val="20"/>
          <w:color w:val="auto"/>
        </w:rPr>
      </w:pPr>
      <w:r>
        <w:rPr>
          <w:rFonts w:ascii="Arial" w:cs="Arial" w:eastAsia="Arial" w:hAnsi="Arial"/>
          <w:sz w:val="16"/>
          <w:szCs w:val="16"/>
          <w:b w:val="1"/>
          <w:bCs w:val="1"/>
          <w:i w:val="1"/>
          <w:iCs w:val="1"/>
          <w:color w:val="auto"/>
        </w:rPr>
        <w:t>We may incur substantial costs and other negative effects due to litigation, investigations or similar matters, or adverse facts and developments related thereto, could materially affect our business, operating results and financial condition.</w:t>
      </w:r>
    </w:p>
    <w:p>
      <w:pPr>
        <w:spacing w:after="0" w:line="29" w:lineRule="exact"/>
        <w:rPr>
          <w:sz w:val="20"/>
          <w:szCs w:val="20"/>
          <w:color w:val="auto"/>
        </w:rPr>
      </w:pPr>
    </w:p>
    <w:p>
      <w:pPr>
        <w:ind w:right="100" w:firstLine="360"/>
        <w:spacing w:after="0" w:line="289" w:lineRule="auto"/>
        <w:rPr>
          <w:sz w:val="20"/>
          <w:szCs w:val="20"/>
          <w:color w:val="auto"/>
        </w:rPr>
      </w:pPr>
      <w:r>
        <w:rPr>
          <w:rFonts w:ascii="Arial" w:cs="Arial" w:eastAsia="Arial" w:hAnsi="Arial"/>
          <w:sz w:val="16"/>
          <w:szCs w:val="16"/>
          <w:color w:val="auto"/>
        </w:rPr>
        <w:t>We may be involved from time to time in a variety of litigation, investigations or similar matters arising out of our business. See “Business—Litigation” for further discussion of current litigation between the Bank and a townhome association and an owner of a townhome. It is inherently difficult to assess the outcome of these matters, and we may not prevail in proceedings or litigation. Our insurance may not cover all claims that may be asserted against us and indemnification rights to which we are entitled may not be honored, and any claims asserted against us, regardless of merit or eventual outcome, may harm our reputation. Should the ultimate judgments or settlements in any litigation or investigation significantly exceed our insurance coverage, they could have a material adverse effect on our business, financial condition and results of operations. In addition, premiums for insurance covering the financial and banking sectors are rising. We may not be able to obtain appropriate types or levels of insurance in the future, nor may we be able to obtain adequate replacement policies with acceptable terms or at historic rates, if at all.</w:t>
      </w:r>
    </w:p>
    <w:p>
      <w:pPr>
        <w:spacing w:after="0" w:line="153"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b w:val="1"/>
          <w:bCs w:val="1"/>
          <w:i w:val="1"/>
          <w:iCs w:val="1"/>
          <w:color w:val="auto"/>
        </w:rPr>
        <w:t>The accuracy of our financial statements and related disclosures could be affected if the judgments, assumptions or estimates used in our critical accounting policies are inaccurate.</w:t>
      </w:r>
    </w:p>
    <w:p>
      <w:pPr>
        <w:spacing w:after="0" w:line="75"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The preparation of financial statements and related disclosures in conformity with the accounting principles generally accepted in the United States, or GAAP, requires us to make judgments, assumptions and estimates that affect the amounts reported in our consolidated financial statements and accompanying notes. Our critical accounting policies, which are included in the section captioned “Management’s Discussion and Analysis of Financial Condition and Results of Operations” in this prospectus, describe those significant accounting policies and methods used in the preparation of our consolidated financial statements that we consider “critical” because they require judgments, assumptions and estimates that materially affect our consolidated financial statements and related disclosures. As a result, if future events or regulatory views concerning such analysis differ significantly from the judgments, assumptions and estimates in our critical accounting policies, those events or assumptions could have a material impact on our consolidated financial statements and related disclosures, in each case resulting in our need to revise or restate prior period financial statements, cause damage to our reputation and the price of our common stock and adversely affect our business, financial condition and results of operations.</w:t>
      </w:r>
    </w:p>
    <w:p>
      <w:pPr>
        <w:spacing w:after="0" w:line="169" w:lineRule="exact"/>
        <w:rPr>
          <w:sz w:val="20"/>
          <w:szCs w:val="20"/>
          <w:color w:val="auto"/>
        </w:rPr>
      </w:pPr>
    </w:p>
    <w:p>
      <w:pPr>
        <w:ind w:right="560"/>
        <w:spacing w:after="0" w:line="231" w:lineRule="auto"/>
        <w:rPr>
          <w:sz w:val="20"/>
          <w:szCs w:val="20"/>
          <w:color w:val="auto"/>
        </w:rPr>
      </w:pPr>
      <w:r>
        <w:rPr>
          <w:rFonts w:ascii="Arial" w:cs="Arial" w:eastAsia="Arial" w:hAnsi="Arial"/>
          <w:sz w:val="18"/>
          <w:szCs w:val="18"/>
          <w:b w:val="1"/>
          <w:bCs w:val="1"/>
          <w:i w:val="1"/>
          <w:iCs w:val="1"/>
          <w:color w:val="auto"/>
        </w:rPr>
        <w:t>If we fail to maintain effective internal control over financial reporting, we may not be able to report our financial results accurately and timely, in which case our business may be harmed, investors may lose confidence in the accuracy and completeness of our financial reports, we could be subject to regulatory penalties and the price of our common stock may decline.</w:t>
      </w:r>
    </w:p>
    <w:p>
      <w:pPr>
        <w:spacing w:after="0" w:line="81"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and for evaluating and reporting on that system of internal control. Our internal control over financial reporting is a process designed to provide reasonable assurance regarding the reliability of financial reporting and the preparation of financial statements for external purposes in accordance with GAAP. As a public company, we will be required to comply with the Sarbanes-Oxley Act and other rules that govern public companies. In particular, we will be required to certify our compliance with Section 404(a) of the Sarbanes-Oxley Act beginning with our second annual report on Form 10-K, which will require us to furnish annually a report by management on the effectiveness of our internal control over financial reporting. In addition, unless we remain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an emerging growth company and elect additional transitional relief available to emerging growth companies, our independent registered public accounting firm may be required to report on the effectiveness of our internal control over financial reporting beginning as of that second annual report on Form 10-K.</w:t>
      </w:r>
    </w:p>
    <w:p>
      <w:pPr>
        <w:spacing w:after="0" w:line="73" w:lineRule="exact"/>
        <w:rPr>
          <w:sz w:val="20"/>
          <w:szCs w:val="20"/>
          <w:color w:val="auto"/>
        </w:rPr>
      </w:pPr>
    </w:p>
    <w:p>
      <w:pPr>
        <w:ind w:right="80" w:firstLine="360"/>
        <w:spacing w:after="0" w:line="276" w:lineRule="auto"/>
        <w:rPr>
          <w:sz w:val="20"/>
          <w:szCs w:val="20"/>
          <w:color w:val="auto"/>
        </w:rPr>
      </w:pPr>
      <w:r>
        <w:rPr>
          <w:rFonts w:ascii="Arial" w:cs="Arial" w:eastAsia="Arial" w:hAnsi="Arial"/>
          <w:sz w:val="17"/>
          <w:szCs w:val="17"/>
          <w:color w:val="auto"/>
        </w:rPr>
        <w:t>We will continue to periodically test and update, as necessary, our internal control systems, including our financial reporting controls. Our actions, however, may not be sufficient to result in an effective internal control environment, and any future failure to maintain effective internal control over financial reporting could impair the reliability of our financial statements which in turn could harm our business, impair investor confidence in the accuracy and completeness of our financial reports and our access to the capital markets, cause the price of our common stock to decline and subject us to regulatory penalties.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Negative public opinion could damage our reputation and adversely impact our earnings.</w:t>
      </w:r>
    </w:p>
    <w:p>
      <w:pPr>
        <w:spacing w:after="0" w:line="117" w:lineRule="exact"/>
        <w:rPr>
          <w:sz w:val="20"/>
          <w:szCs w:val="20"/>
          <w:color w:val="auto"/>
        </w:rPr>
      </w:pPr>
    </w:p>
    <w:p>
      <w:pPr>
        <w:ind w:right="120" w:firstLine="360"/>
        <w:spacing w:after="0" w:line="293" w:lineRule="auto"/>
        <w:rPr>
          <w:sz w:val="20"/>
          <w:szCs w:val="20"/>
          <w:color w:val="auto"/>
        </w:rPr>
      </w:pPr>
      <w:r>
        <w:rPr>
          <w:rFonts w:ascii="Arial" w:cs="Arial" w:eastAsia="Arial" w:hAnsi="Arial"/>
          <w:sz w:val="16"/>
          <w:szCs w:val="16"/>
          <w:color w:val="auto"/>
        </w:rPr>
        <w:t>Reputation risk, or the risk to our business, earnings and capital from negative public opinion is inherent in our business. Negative public opinion can result from our actual or alleged conduct in any number of activities, including lending practices, corporate governance and acquisitions, and from actions taken by government regulators and community organizations in response to those activities. Negative public opinion can adversely affect our ability to keep and attract customers and employees and can expose us to litigation and regulatory action and adversely affect our results of operations. Although we take steps to minimize reputational risk in dealing with our customers and communities, this risk will always be present given the nature of our business.</w:t>
      </w:r>
    </w:p>
    <w:p>
      <w:pPr>
        <w:spacing w:after="0" w:line="15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b w:val="1"/>
          <w:bCs w:val="1"/>
          <w:i w:val="1"/>
          <w:iCs w:val="1"/>
          <w:color w:val="auto"/>
        </w:rPr>
        <w:t>If third parties infringe upon our intellectual property or if we were to infringe upon the intellectual property of third parties, we may expend significant resources enforcing or defending our rights or suffer competitive injury.</w:t>
      </w:r>
    </w:p>
    <w:p>
      <w:pPr>
        <w:spacing w:after="0" w:line="52" w:lineRule="exact"/>
        <w:rPr>
          <w:sz w:val="20"/>
          <w:szCs w:val="20"/>
          <w:color w:val="auto"/>
        </w:rPr>
      </w:pPr>
    </w:p>
    <w:p>
      <w:pPr>
        <w:jc w:val="both"/>
        <w:ind w:right="100" w:firstLine="360"/>
        <w:spacing w:after="0" w:line="288" w:lineRule="auto"/>
        <w:rPr>
          <w:sz w:val="20"/>
          <w:szCs w:val="20"/>
          <w:color w:val="auto"/>
        </w:rPr>
      </w:pPr>
      <w:r>
        <w:rPr>
          <w:rFonts w:ascii="Arial" w:cs="Arial" w:eastAsia="Arial" w:hAnsi="Arial"/>
          <w:sz w:val="16"/>
          <w:szCs w:val="16"/>
          <w:color w:val="auto"/>
        </w:rPr>
        <w:t>We rely on a combination of copyright, trademark, trade secret laws and confidentiality provisions to establish and protect our proprietary rights. If we fail to successfully maintain, protect and enforce our intellectual property rights, our competitive position could suffer. Similarly, if we were to infringe on the intellectual property rights of others, our competitive position could suffer.</w:t>
      </w:r>
    </w:p>
    <w:p>
      <w:pPr>
        <w:spacing w:after="0" w:line="267" w:lineRule="auto"/>
        <w:rPr>
          <w:sz w:val="20"/>
          <w:szCs w:val="20"/>
          <w:color w:val="auto"/>
        </w:rPr>
      </w:pPr>
      <w:r>
        <w:rPr>
          <w:rFonts w:ascii="Arial" w:cs="Arial" w:eastAsia="Arial" w:hAnsi="Arial"/>
          <w:sz w:val="17"/>
          <w:szCs w:val="17"/>
          <w:color w:val="auto"/>
        </w:rPr>
        <w:t>Third parties may challenge, invalidate, circumvent, infringe or misappropriate our intellectual property, or such intellectual property may not be sufficient to permit us to take advantage of current market trends or otherwise to provide competitive advantages, which could result in costly redesign efforts, discontinuance of certain product or service offerings or other competitive harm. We may also be required to spend significant resources to monitor and police our intellectual property rights. Others, including our competitors, may independently develop similar technology, duplicate our products or services or design around our intellectual property, and in such cases we may not be able to assert our intellectual property rights against such parties. Further, our contractual arrangements may not effectively prevent disclosure of our confidential information or provide an adequate remedy in the event of unauthorized disclosure of our confidential or proprietary information. We may have to litigate to enforce or determine the scope and enforceability of our intellectual property rights, trade secrets and know-how, which could be time-consuming and expensive, could cause a diversion of resources and may not prove successful. The loss of intellectual property protection or the inability to obtain rights with respect to third party intellectual property could harm our business and ability to compete. In addition, because of the rapid pace of technological change in our industry, aspects of our business and our products and services rely on technologies developed or licensed by third parties, and we may not be able to obtain or continue to obtain licenses and technologies from these third parties on reasonable terms or at all.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by the soundness of other financial institutions.</w:t>
      </w:r>
    </w:p>
    <w:p>
      <w:pPr>
        <w:spacing w:after="0" w:line="117" w:lineRule="exact"/>
        <w:rPr>
          <w:sz w:val="20"/>
          <w:szCs w:val="20"/>
          <w:color w:val="auto"/>
        </w:rPr>
      </w:pPr>
    </w:p>
    <w:p>
      <w:pPr>
        <w:ind w:right="20" w:firstLine="360"/>
        <w:spacing w:after="0" w:line="253" w:lineRule="auto"/>
        <w:rPr>
          <w:sz w:val="20"/>
          <w:szCs w:val="20"/>
          <w:color w:val="auto"/>
        </w:rPr>
      </w:pPr>
      <w:r>
        <w:rPr>
          <w:rFonts w:ascii="Arial" w:cs="Arial" w:eastAsia="Arial" w:hAnsi="Arial"/>
          <w:sz w:val="18"/>
          <w:szCs w:val="18"/>
          <w:color w:val="auto"/>
        </w:rPr>
        <w:t>Our ability to engage in routine funding transactions could be adversely affected by the actions and commercial soundness of other financial institutions. Financial services companies are interrelated as a result of trading, clearing, counterparty, and other relationships. We have exposure to different industries and counterparties, and through transactions with counterparties in the financial services industry, including broker-dealers, commercial banks, investment banks, and other financial intermediaries. In addition, we participate in loans originated by other institutions, and we participate in syndicated transactions (including shared national credits) in which other lenders serve as the lead bank. As a result, defaults by, declines in the financial condition of, or even rumors or questions about, one or more financial institutions, financial service companies or the financial services industry generally, may lead to market-wide liquidity, asset quality or other problems and could lead to losses or defaults by us or by other institutions. These problems, losses or defaults could have an adverse effect on our business, financial condition and results of operations.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b w:val="1"/>
          <w:bCs w:val="1"/>
          <w:i w:val="1"/>
          <w:iCs w:val="1"/>
          <w:color w:val="auto"/>
        </w:rPr>
        <w:t>Until May 31, 2018, our Company was an S Corporation, and claims of taxing authorities related to our prior status as an S Corporation could harm us.</w:t>
      </w:r>
    </w:p>
    <w:p>
      <w:pPr>
        <w:spacing w:after="0" w:line="61" w:lineRule="exact"/>
        <w:rPr>
          <w:sz w:val="20"/>
          <w:szCs w:val="20"/>
          <w:color w:val="auto"/>
        </w:rPr>
      </w:pPr>
    </w:p>
    <w:p>
      <w:pPr>
        <w:ind w:firstLine="360"/>
        <w:spacing w:after="0" w:line="290" w:lineRule="auto"/>
        <w:rPr>
          <w:sz w:val="20"/>
          <w:szCs w:val="20"/>
          <w:color w:val="auto"/>
        </w:rPr>
      </w:pPr>
      <w:r>
        <w:rPr>
          <w:rFonts w:ascii="Arial" w:cs="Arial" w:eastAsia="Arial" w:hAnsi="Arial"/>
          <w:sz w:val="16"/>
          <w:szCs w:val="16"/>
          <w:color w:val="auto"/>
        </w:rPr>
        <w:t>Until May 31, 2018, our Company was an S Corporation. Effective May 31, 2018, the Company revoked its S Corporation election and the Company became taxed as a C Corporation under the provisions of Sections 301 to 385 of the Code (which treat the corporation as an entity that is subject to an entity level U.S. federal income tax). If the unaudited, open tax years in which we were an S Corporation are audited by the Internal Revenue Service, or IRS, and we are determined not to have qualified for, or to have violated, our S Corporation status, we likely would be obligated to pay corporate level tax, plus interest and possible penalties, with respect to those open tax years. This could result in tax liability with respect to all of the income we reported for periods when we believed we properly were treated as an S Corporation not subject to entity level taxation. Any such claims could result in additional costs to us and could have a material adverse effect on our results of operations and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Regulatory Environment</w:t>
      </w:r>
    </w:p>
    <w:p>
      <w:pPr>
        <w:spacing w:after="0" w:line="108"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b w:val="1"/>
          <w:bCs w:val="1"/>
          <w:i w:val="1"/>
          <w:iCs w:val="1"/>
          <w:color w:val="auto"/>
        </w:rPr>
        <w:t>We are subject to extensive regulation, which increases the cost and expense of compliance and could limit or restrict our activities, which in turn may adversely impact our earnings and ability to grow.</w:t>
      </w:r>
    </w:p>
    <w:p>
      <w:pPr>
        <w:spacing w:after="0" w:line="75"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We operate in a highly regulated environment and are subject to regulation, supervision and examination by a number of governmental regulatory agencies, including the Federal Reserve, the Texas Department of Banking, or TDB, and the FDIC. Regulations adopted by these agencies, which are generally intended to provide protection for depositors, customers and the Deposit Insurance Fund of the FDIC, or the DIF, rather than for the benefit of shareholders, govern a comprehensive range of matters relating to ownership and control of our shares, our acquisition of other companies and businesses, permissible activities for us to engage in, maintenance of adequate capital levels, dividend payments and other aspects of our operations.</w:t>
      </w:r>
    </w:p>
    <w:p>
      <w:pPr>
        <w:spacing w:after="0" w:line="70" w:lineRule="exact"/>
        <w:rPr>
          <w:sz w:val="20"/>
          <w:szCs w:val="20"/>
          <w:color w:val="auto"/>
        </w:rPr>
      </w:pPr>
    </w:p>
    <w:p>
      <w:pPr>
        <w:ind w:right="20" w:firstLine="360"/>
        <w:spacing w:after="0" w:line="286" w:lineRule="auto"/>
        <w:rPr>
          <w:sz w:val="20"/>
          <w:szCs w:val="20"/>
          <w:color w:val="auto"/>
        </w:rPr>
      </w:pPr>
      <w:r>
        <w:rPr>
          <w:rFonts w:ascii="Arial" w:cs="Arial" w:eastAsia="Arial" w:hAnsi="Arial"/>
          <w:sz w:val="16"/>
          <w:szCs w:val="16"/>
          <w:color w:val="auto"/>
        </w:rPr>
        <w:t>In 2010 and 2011, in response to the financial crisis and recession that began in 2008, significant regulatory and legislative changes resulted in broad reform and increased regulation affecting financial institutions. The Dodd-Frank and Wall Street Consumer Protection Act, or Dodd-Frank Act, has created a significant shift in the way financial institutions operate. The Dodd-Frank Act also created the Consumer Financial Protection Bureau, or CFPB, to implement consumer protection and fair lending laws, a function that was formerly performed by the depository institution regulators. The Dodd-Frank Act contains various provisions designed to enhance the regulation of depository institutions and prevent the recurrence of a financial crisis such as that which occurred in 2008 and 2009. The Dodd-Frank Act has had and may continue to have a material impact on our operations, particularly through increased regulatory burden and compliance costs. On May 24, 2018, the Economic Growth, Regulatory Relief, and Consumer Protection Act, or the EGRRCPA, became law. Among other things, the EGRRCPA changes certain of the regulatory requirements of the Dodd-Frank Act and includes provisions intended to relieve the regulatory burden on community banks. We cannot currently predict the impact of this legislation on us. Any future legislative changes could have a material impact on our profitability, the value of assets held for investment or the value of collateral for loans. Future legislative changes could also require changes to business practices and potentially expose us to additional costs, liabilities, enforcement action and reputational risk.</w:t>
      </w:r>
    </w:p>
    <w:p>
      <w:pPr>
        <w:spacing w:after="0" w:line="67"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These bank regulators possess broad authority to prevent or remedy unsafe or unsound practices or violations of law. Following examinations, we may be required, among other things, to change our asset valuations or the amounts of required loan loss allowances or to restrict our operations, as well as increase our capital levels, which could adversely affect our results of operations. The laws and regulations applicable to the banking industry could change at any time and we cannot predict the effects of these changes on our business, profitability or growth strategy. Increased regulation could increase our cost of compliance and adversely affect profitability. Moreover, certain of these regulations contain significant punitive sanctions for violations, including monetary penalties and limitations on a bank’s ability to implement components of its business plan, such as expansion through mergers and acquisitions or the opening of new branch offices. In addition, changes in regulatory requirements may add costs associated with compliance efforts. Furthermore, government policy and regulation, particularly as implemented through the Federal Reserve, significantly affect credit conditions. Negative developments in the financial industry and the impact of new legislation and regulation in response to those developments could negatively impact our business operations and adversely impact our financial performance.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i w:val="1"/>
          <w:iCs w:val="1"/>
          <w:color w:val="auto"/>
        </w:rPr>
        <w:t>We are subject to commercial real estate lending guidance issued by the federal banking regulators that impacts our operations and capital requirements.</w:t>
      </w:r>
    </w:p>
    <w:p>
      <w:pPr>
        <w:spacing w:after="0" w:line="61"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color w:val="auto"/>
        </w:rPr>
        <w:t>The federal bank regulators have issued final guidance regarding concentrations in commercial real estate lending directed at institutions that have concentrations of acquisition, development, and construction, or ADC, loans and non-owner occupied commercial real estate loans within their lending portfolios. In general, the guidance establishes the following supervisory criteria as preliminary indications of possible concentration risk: (1) the institution’s total ADC loans represent 100% or more of total capital; or (2) total non-owner occupied commercial real estate loans represent 300% or more of total capital, and such loans have increased by 50% or more during the prior 36-month period. This guidance suggests that institutions whose commercial real estate loans exceed these guidelines should implement heightened risk management practices appropriate to their concentration risk and may be required to maintain higher capital ratios than institutions with lower concentrations in commercial real estate lending. Our ADC loans comprise 75.3% of the Bank’s capital, and our non-owner occupied commercial real estate loans comprise 208.0% of the Bank’s capital. Over the prior 36 months, our non-owner occupied commercial real estate loans have increased 15.5%. Although we are below the concentrations set forth in the guidance, we cannot guarantee that any risk management practices we implement will be effective to prevent losses relating to our commercial real estate portfolio. Management has implemented controls to monitor the Bank’s commercial real estate lending concentrations, but we cannot predict the extent to which this guidance will impact our operations or capital requirements.</w:t>
      </w:r>
    </w:p>
    <w:p>
      <w:pPr>
        <w:spacing w:after="0" w:line="391"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b w:val="1"/>
          <w:bCs w:val="1"/>
          <w:i w:val="1"/>
          <w:iCs w:val="1"/>
          <w:color w:val="auto"/>
        </w:rPr>
        <w:t>Legislative and regulatory actions taken now or in the future may increase our costs and impact our business, governance structure, financial condition or results of operations. Proposed legislative and regulatory actions, including changes to financial regulation, may not occur on the timeframe that is expected, or at all, which could result in additional uncertainty for our business.</w:t>
      </w:r>
    </w:p>
    <w:p>
      <w:pPr>
        <w:spacing w:after="0" w:line="80" w:lineRule="exact"/>
        <w:rPr>
          <w:sz w:val="20"/>
          <w:szCs w:val="20"/>
          <w:color w:val="auto"/>
        </w:rPr>
      </w:pPr>
    </w:p>
    <w:p>
      <w:pPr>
        <w:ind w:right="200" w:firstLine="360"/>
        <w:spacing w:after="0" w:line="273" w:lineRule="auto"/>
        <w:rPr>
          <w:sz w:val="20"/>
          <w:szCs w:val="20"/>
          <w:color w:val="auto"/>
        </w:rPr>
      </w:pPr>
      <w:r>
        <w:rPr>
          <w:rFonts w:ascii="Arial" w:cs="Arial" w:eastAsia="Arial" w:hAnsi="Arial"/>
          <w:sz w:val="17"/>
          <w:szCs w:val="17"/>
          <w:color w:val="auto"/>
        </w:rPr>
        <w:t>We are subject to extensive regulation by multiple regulatory bodies. These regulations may affect the manner and terms of delivery of our services. If we do not comply with governmental regulations, we may be subject to fines, penalties, lawsuits or material restrictions on our businesses which may adversely affect our business operations. Changes in these regulations can significantly affect the services that we provide as well as our costs of compliance with such regulations. In addition, adverse publicity and damage to our reputation arising from the failure or perceived failure to comply with legal, regulatory or contractual requirements could affect our ability to attract and retain customers.</w:t>
      </w:r>
    </w:p>
    <w:p>
      <w:pPr>
        <w:spacing w:after="0" w:line="70" w:lineRule="exact"/>
        <w:rPr>
          <w:sz w:val="20"/>
          <w:szCs w:val="20"/>
          <w:color w:val="auto"/>
        </w:rPr>
      </w:pPr>
    </w:p>
    <w:p>
      <w:pPr>
        <w:ind w:right="100" w:firstLine="360"/>
        <w:spacing w:after="0" w:line="268" w:lineRule="auto"/>
        <w:rPr>
          <w:sz w:val="20"/>
          <w:szCs w:val="20"/>
          <w:color w:val="auto"/>
        </w:rPr>
      </w:pPr>
      <w:r>
        <w:rPr>
          <w:rFonts w:ascii="Arial" w:cs="Arial" w:eastAsia="Arial" w:hAnsi="Arial"/>
          <w:sz w:val="17"/>
          <w:szCs w:val="17"/>
          <w:color w:val="auto"/>
        </w:rPr>
        <w:t>Current and past economic conditions, particularly in the financial markets, have resulted in government regulatory agencies and political bodies placing increased focus and scrutiny on the financial services industry. For example, the Dodd-Frank Act significantly changed the regulation of financial institutions and the financial services industry. In addition, new proposals for legislation continue to be introduced in the U.S. Congress that could further substantially increase regulation of the financial services industry, impose restrictions on the operations and general ability of firms within the industry to conduct business consistent with historical practices, including in the areas of compensation, interest rates, financial product offerings and disclosures, and have an effect on bankruptcy proceedings with respect to consumer residential real estate mortgages, among other things. Federal and state regulatory agencies also frequently adopt changes to their regulations or change the manner in which existing regulations are applied. President Donald Trump issued an executive order directing the review of existing financial regulations. The Trump administration has also indicated in public statements that the Dodd-Frank Act will be under scrutiny and that some of its provisions and the rules promulgated thereunder may be revised, repealed or amended. In May 2018, Congress passed the EGRRCPA that provides for certain regulatory relief for community banks, including mortgage lending relief, treatment of reciprocal deposits and capital simplification.</w:t>
      </w:r>
    </w:p>
    <w:p>
      <w:pPr>
        <w:spacing w:after="0" w:line="80"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Certain aspects of current or proposed regulatory or legislative changes, including laws applicable to the financial industry and federal and state taxation, if enacted or adopted, may impact the profitability of our business activities, require more oversight or change certain of our business practices, including the ability to offer new products, obtain financing, attract deposits, make loans and achieve satisfactory interest spreads, and could expose us to additional costs, including increased compliance costs. These changes also may require us to invest significant management attention and resources to make any necessary changes to operations to comply,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and could have a material adverse effect on our business, financial condition and results of operations. In addition, any proposed legislative or regulatory changes, including those that could benefit our business, financial condition and results of operations, may not occur on the timeframe that is proposed, or at all, which could result in additional uncertainty for our business.</w:t>
      </w:r>
    </w:p>
    <w:p>
      <w:pPr>
        <w:spacing w:after="0" w:line="133" w:lineRule="exact"/>
        <w:rPr>
          <w:sz w:val="20"/>
          <w:szCs w:val="20"/>
          <w:color w:val="auto"/>
        </w:rPr>
      </w:pPr>
    </w:p>
    <w:p>
      <w:pPr>
        <w:ind w:right="600"/>
        <w:spacing w:after="0" w:line="246" w:lineRule="auto"/>
        <w:rPr>
          <w:sz w:val="20"/>
          <w:szCs w:val="20"/>
          <w:color w:val="auto"/>
        </w:rPr>
      </w:pPr>
      <w:r>
        <w:rPr>
          <w:rFonts w:ascii="Arial" w:cs="Arial" w:eastAsia="Arial" w:hAnsi="Arial"/>
          <w:sz w:val="18"/>
          <w:szCs w:val="18"/>
          <w:b w:val="1"/>
          <w:bCs w:val="1"/>
          <w:i w:val="1"/>
          <w:iCs w:val="1"/>
          <w:color w:val="auto"/>
        </w:rPr>
        <w:t>Many of our new activities and expansion plans require regulatory approvals, and failure to obtain them may restrict our growth.</w:t>
      </w:r>
    </w:p>
    <w:p>
      <w:pPr>
        <w:spacing w:after="0" w:line="75"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As part of our growth strategy, we may expand our business by pursuing strategic acquisitions of financial institutions and other complementary businesses. Generally, we must receive federal regulatory approval before we can acquire an FDIC-insured depository institution or related business. In determining whether to approve a proposed acquisition, federal banking regulators will consider, among other factors, the effect of the acquisition on competition, our financial condition, our future prospects and the impact of the proposal on U.S. financial stability. The regulators also review current and projected capital ratios, the competence, experience and integrity of management and its record of compliance with laws and regulations, the convenience and needs of the communities to be served (including the acquiring institution’s record of compliance under the Community Reinvestment Act, or the CRA) and the effectiveness of the acquiring institution in combating money laundering activities. Such regulatory approvals may not be granted on terms that are acceptable to us, or at all. We may also be required to sell banking locations as a condition to receiving regulatory approval, which condition may not be acceptable to us or, if acceptable to us, may reduce the benefit of any acquisition.</w:t>
      </w:r>
    </w:p>
    <w:p>
      <w:pPr>
        <w:spacing w:after="0" w:line="75" w:lineRule="exact"/>
        <w:rPr>
          <w:sz w:val="20"/>
          <w:szCs w:val="20"/>
          <w:color w:val="auto"/>
        </w:rPr>
      </w:pPr>
    </w:p>
    <w:p>
      <w:pPr>
        <w:ind w:right="60" w:firstLine="360"/>
        <w:spacing w:after="0" w:line="279" w:lineRule="auto"/>
        <w:rPr>
          <w:sz w:val="20"/>
          <w:szCs w:val="20"/>
          <w:color w:val="auto"/>
        </w:rPr>
      </w:pPr>
      <w:r>
        <w:rPr>
          <w:rFonts w:ascii="Arial" w:cs="Arial" w:eastAsia="Arial" w:hAnsi="Arial"/>
          <w:sz w:val="17"/>
          <w:szCs w:val="17"/>
          <w:color w:val="auto"/>
        </w:rPr>
        <w:t>In addition to the acquisition of existing financial institutions, as opportunities arise, we may continue de novo branching as a part of our expansion strategy. De novo branching and acquisitions carry with them numerous risks, including the inability to obtain all required regulatory approvals. The failure to obtain these regulatory approvals for potential future strategic acquisitions and de novo banking locations could impact our business plans and restrict our growth.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Federal Reserve may require the Company to commit capital resources to support the Bank.</w:t>
      </w:r>
    </w:p>
    <w:p>
      <w:pPr>
        <w:spacing w:after="0" w:line="117" w:lineRule="exact"/>
        <w:rPr>
          <w:sz w:val="20"/>
          <w:szCs w:val="20"/>
          <w:color w:val="auto"/>
        </w:rPr>
      </w:pPr>
    </w:p>
    <w:p>
      <w:pPr>
        <w:ind w:right="40" w:firstLine="360"/>
        <w:spacing w:after="0" w:line="270" w:lineRule="auto"/>
        <w:rPr>
          <w:sz w:val="20"/>
          <w:szCs w:val="20"/>
          <w:color w:val="auto"/>
        </w:rPr>
      </w:pPr>
      <w:r>
        <w:rPr>
          <w:rFonts w:ascii="Arial" w:cs="Arial" w:eastAsia="Arial" w:hAnsi="Arial"/>
          <w:sz w:val="17"/>
          <w:szCs w:val="17"/>
          <w:color w:val="auto"/>
        </w:rPr>
        <w:t>As a matter of policy, the Federal Reserve expects a bank holding company to act as a source of financial and managerial strength to a subsidiary bank and to commit resources to support such subsidiary bank. The Dodd-Frank Act codified the Federal Reserve’s policy on serving as a source of financial strength. Under the “source of strength” doctrine, the Federal Reserve may require a bank holding company to make capital injections into a troubled subsidiary bank and may charge the Bank holding company with engaging in unsafe and unsound practices for failing to commit resources to such a subsidiary bank. A capital injection may be required at times when the holding company may not have the resources to provide and therefore may be required to borrow the funds or raise capital. Any loans by a holding company to its subsidiary bank are subordinate in right of payment to deposits and to certain other indebtedness of such subsidiary bank. In the event of a bank holding company’s bankruptcy, the bankruptcy trustee will assume any commitment by the holding company to a federal bank regulatory agency to maintain the capital of a subsidiary bank.</w:t>
      </w:r>
    </w:p>
    <w:p>
      <w:pPr>
        <w:spacing w:after="0" w:line="70"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color w:val="auto"/>
        </w:rPr>
        <w:t>Moreover, bankruptcy law provides that claims based on any such commitment will be entitled to a priority of payment over the claims of the institution’s general unsecured creditors, including the holders of its note obligations. Thus, any borrowing by the Company in order to make the required capital injection becomes more difficult and expensive and will adversely impact the Company’s financial condition, results of operations and/or future prospects.</w:t>
      </w:r>
    </w:p>
    <w:p>
      <w:pPr>
        <w:spacing w:after="0" w:line="173"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b w:val="1"/>
          <w:bCs w:val="1"/>
          <w:i w:val="1"/>
          <w:iCs w:val="1"/>
          <w:color w:val="auto"/>
        </w:rPr>
        <w:t>As a regulated entity, we and the Bank must maintain certain required levels of regulatory capital that may limit our and the Bank’s operations and potential growth.</w:t>
      </w:r>
    </w:p>
    <w:p>
      <w:pPr>
        <w:spacing w:after="0" w:line="75"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We and the Bank are subject to various regulatory capital requirements administered by the FDIC and the Federal Reserve, respectively. Failure to meet minimum capital requirements can initiate certain mandatory, and possibly additional discretionary actions by regulators that, if undertaken, could have a direct material effect on our financial statements and the Company’s consolidated financial statements. Under capital adequacy guidelines and the regulatory framework for prompt corrective action, we must meet specific capital guidelines that involve quantitative measures of our assets, liabilities and certain off-balance sheet commitments as calculated under these regulations.</w:t>
      </w:r>
    </w:p>
    <w:p>
      <w:pPr>
        <w:spacing w:after="0" w:line="85" w:lineRule="exact"/>
        <w:rPr>
          <w:sz w:val="20"/>
          <w:szCs w:val="20"/>
          <w:color w:val="auto"/>
        </w:rPr>
      </w:pPr>
    </w:p>
    <w:p>
      <w:pPr>
        <w:ind w:right="300" w:firstLine="360"/>
        <w:spacing w:after="0" w:line="277" w:lineRule="auto"/>
        <w:rPr>
          <w:sz w:val="20"/>
          <w:szCs w:val="20"/>
          <w:color w:val="auto"/>
        </w:rPr>
      </w:pPr>
      <w:r>
        <w:rPr>
          <w:rFonts w:ascii="Arial" w:cs="Arial" w:eastAsia="Arial" w:hAnsi="Arial"/>
          <w:sz w:val="18"/>
          <w:szCs w:val="18"/>
          <w:color w:val="auto"/>
        </w:rPr>
        <w:t>Quantitative measures established by regulation to ensure capital adequacy require the Bank to maintain minimum amounts and defined ratios of total and tier 1 capital to risk-weighted assets and of tier 1 capital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auto"/>
        </w:rPr>
        <w:t>adjusted total assets, also known as the leverage ratio. As of December 31, 2018, we exceeded the amounts required to be well-capitalized with respect to all three required capital ratios. As of December 31, 2018, the Bank’s common equity tier 1, tier 1 leverage, tier 1 risk-based capital and total risk-based capital ratios were 12.50%, 10.05%, 12.50% and 13.58%, respectively.</w:t>
      </w:r>
    </w:p>
    <w:p>
      <w:pPr>
        <w:spacing w:after="0" w:line="39" w:lineRule="exact"/>
        <w:rPr>
          <w:sz w:val="20"/>
          <w:szCs w:val="20"/>
          <w:color w:val="auto"/>
        </w:rPr>
      </w:pPr>
    </w:p>
    <w:p>
      <w:pPr>
        <w:ind w:right="140" w:firstLine="360"/>
        <w:spacing w:after="0" w:line="273" w:lineRule="auto"/>
        <w:rPr>
          <w:sz w:val="20"/>
          <w:szCs w:val="20"/>
          <w:color w:val="auto"/>
        </w:rPr>
      </w:pPr>
      <w:r>
        <w:rPr>
          <w:rFonts w:ascii="Arial" w:cs="Arial" w:eastAsia="Arial" w:hAnsi="Arial"/>
          <w:sz w:val="17"/>
          <w:szCs w:val="17"/>
          <w:color w:val="auto"/>
        </w:rPr>
        <w:t>Many factors affect the calculation of our risk-based assets and our ability to maintain the level of capital required to achieve acceptable capital ratios. For example, changes in risk weightings of assets relative to capital and other factors may combine to increase the amount of risk-weighted assets in the tier 1 risk-based capital ratio and the total risk-based capital ratio. Any increases in our risk-weighted assets will require a corresponding increase in our capital to maintain the applicable ratios. In addition, recognized loan losses in excess of amounts reserved for such losses, loan impairments, impairment losses on securities and other factors will decrease our capital, thereby reducing the level of the applicable ratios.</w:t>
      </w:r>
    </w:p>
    <w:p>
      <w:pPr>
        <w:spacing w:after="0" w:line="70"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The federal banking regulators released a proposed rulemaking on November 21, 2018 that could, if enacted, provide certain banks and their holding companies with the option to substitute compliance with a community bank leverage ratio framework in lieu of the existing capital requirements. The Company will continue to monitor this rulemaking. If and when the rulemaking goes into effect, the Company and the Bank will consider whether it would be possible and advantageous at that time to substitute compliance with a community bank leverage ratio framework in lieu of the existing capital requirements. In any case, the prompt corrective action framework would still apply to the Bank. See “Supervision and Regulation—Regulatory Capital Requirements.”</w:t>
      </w:r>
    </w:p>
    <w:p>
      <w:pPr>
        <w:spacing w:after="0" w:line="57" w:lineRule="exact"/>
        <w:rPr>
          <w:sz w:val="20"/>
          <w:szCs w:val="20"/>
          <w:color w:val="auto"/>
        </w:rPr>
      </w:pPr>
    </w:p>
    <w:p>
      <w:pPr>
        <w:ind w:right="80" w:firstLine="360"/>
        <w:spacing w:after="0" w:line="273" w:lineRule="auto"/>
        <w:rPr>
          <w:sz w:val="20"/>
          <w:szCs w:val="20"/>
          <w:color w:val="auto"/>
        </w:rPr>
      </w:pPr>
      <w:r>
        <w:rPr>
          <w:rFonts w:ascii="Arial" w:cs="Arial" w:eastAsia="Arial" w:hAnsi="Arial"/>
          <w:sz w:val="17"/>
          <w:szCs w:val="17"/>
          <w:color w:val="auto"/>
        </w:rPr>
        <w:t>Our failure to remain well-capitalized for bank regulatory purposes, either under the existing capital requirements or under the proposed community bank leverage ratio framework, if applicable, could affect customer confidence, our ability to grow, our costs of funds and FDIC insurance costs, our ability to pay dividends to the Company and the Company’s ability to pay dividends on its common stock, the Company’s ability to make acquisitions and on our and the Company’s business, results of operations and financial condition. Under regulatory rules, if we cease to be a well-capitalized institution for bank regulatory purposes, the interest rates that we pay on deposits and our ability to accept brokered deposits may be restricted.</w:t>
      </w:r>
    </w:p>
    <w:p>
      <w:pPr>
        <w:spacing w:after="0" w:line="178"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b w:val="1"/>
          <w:bCs w:val="1"/>
          <w:i w:val="1"/>
          <w:iCs w:val="1"/>
          <w:color w:val="auto"/>
        </w:rPr>
        <w:t>Bank regulatory agencies periodically examine our business, including compliance with laws and regulations, and our failure to comply with any supervisory actions to which we become subject as a result of such examinations could materially and adversely affect us.</w:t>
      </w:r>
    </w:p>
    <w:p>
      <w:pPr>
        <w:spacing w:after="0" w:line="74" w:lineRule="exact"/>
        <w:rPr>
          <w:sz w:val="20"/>
          <w:szCs w:val="20"/>
          <w:color w:val="auto"/>
        </w:rPr>
      </w:pPr>
    </w:p>
    <w:p>
      <w:pPr>
        <w:ind w:right="20" w:firstLine="360"/>
        <w:spacing w:after="0" w:line="287" w:lineRule="auto"/>
        <w:rPr>
          <w:sz w:val="20"/>
          <w:szCs w:val="20"/>
          <w:color w:val="auto"/>
        </w:rPr>
      </w:pPr>
      <w:r>
        <w:rPr>
          <w:rFonts w:ascii="Arial" w:cs="Arial" w:eastAsia="Arial" w:hAnsi="Arial"/>
          <w:sz w:val="16"/>
          <w:szCs w:val="16"/>
          <w:color w:val="auto"/>
        </w:rPr>
        <w:t>Our regulators periodically examine our business, including our compliance with laws and regulations. Accommodating such examinations may require management to reallocate resources, which could otherwise be used in the day-to-day operation of other aspects of our business. If, as a result of an examination, a banking agency were to determine that our financial condition, capital resources, asset quality, earnings prospects, management, liquidity or other aspects of our operations had become unsatisfactory, or that we were, or our management was, in violation of any law or regulation, they may take a number of different remedial actions as they deem appropriate. These actions include the power to enjoin “unsafe or unsound” practices, to require affirmative action to correct any conditions resulting from any violation or practice, to issue an administrative order that can be judicially enforced, to direct an increase in our capital, to restrict our growth, to assess civil money penalties against us, our officers or directors, to fine or remove officers and directors and, if it is concluded that such conditions cannot be corrected or there is an imminent risk of loss to depositors, to terminate the Bank’s FDIC deposit insurance and place the Bank into receivership or conservatorship. Any regulatory action against us could have an adverse effect on our business, financial condition and results of operations.</w:t>
      </w:r>
    </w:p>
    <w:p>
      <w:pPr>
        <w:spacing w:after="0" w:line="173"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b w:val="1"/>
          <w:bCs w:val="1"/>
          <w:i w:val="1"/>
          <w:iCs w:val="1"/>
          <w:color w:val="auto"/>
        </w:rPr>
        <w:t>If we fail to maintain sufficient capital under regulatory requirements, whether due to losses, an inability to raise additional capital or otherwise, that failure could adversely affect our financial condition, liquidity and results of operations, as well as our ability to maintain regulatory compliance.</w:t>
      </w:r>
    </w:p>
    <w:p>
      <w:pPr>
        <w:spacing w:after="0" w:line="74" w:lineRule="exact"/>
        <w:rPr>
          <w:sz w:val="20"/>
          <w:szCs w:val="20"/>
          <w:color w:val="auto"/>
        </w:rPr>
      </w:pPr>
    </w:p>
    <w:p>
      <w:pPr>
        <w:ind w:right="400" w:firstLine="360"/>
        <w:spacing w:after="0" w:line="259" w:lineRule="auto"/>
        <w:rPr>
          <w:sz w:val="20"/>
          <w:szCs w:val="20"/>
          <w:color w:val="auto"/>
        </w:rPr>
      </w:pPr>
      <w:r>
        <w:rPr>
          <w:rFonts w:ascii="Arial" w:cs="Arial" w:eastAsia="Arial" w:hAnsi="Arial"/>
          <w:sz w:val="18"/>
          <w:szCs w:val="18"/>
          <w:color w:val="auto"/>
        </w:rPr>
        <w:t>We must meet regulatory capital requirements and maintain sufficient liquidity. The Company’s ability to raise additional capital, when and if needed to support the Bank, will depend on conditions in the capital markets, economic conditions and a number of other factors, including investor preferences regarding the banking industry and market condition and governmental activities, many of which are outside the Company’s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control, and on the Company’s financial condition and performance. Accordingly, the Company may not be able to raise additional capital if needed or on terms acceptable to the Company. If we fail to meet these capital and other regulatory requirements, our financial condition, liquidity and results of operations could be materially and adversely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Monetary policy and other economic factors could affect our profitability adversely.</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factors will affect the demand for loans and our ability to attract deposits:</w:t>
      </w:r>
    </w:p>
    <w:p>
      <w:pPr>
        <w:spacing w:after="0" w:line="117" w:lineRule="exact"/>
        <w:rPr>
          <w:sz w:val="20"/>
          <w:szCs w:val="20"/>
          <w:color w:val="auto"/>
        </w:rPr>
      </w:pPr>
    </w:p>
    <w:p>
      <w:pPr>
        <w:ind w:left="700" w:hanging="35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governmental economic and monetary policies;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Code, and banking and credit regulations;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national, state and local economic growth rates;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employment rates;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population trends.</w:t>
      </w:r>
    </w:p>
    <w:p>
      <w:pPr>
        <w:spacing w:after="0" w:line="117"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Our success depends in significant part upon our ability to maintain a sufficient net interest margin between the rates of interest we receive on loans and other investments and the rates we pay out on deposits and other liabilities. The monetary and economic factors listed above, and the need to pay rates sufficient to attract deposits, may adversely affect our ability to maintain an interest margin sufficient to result in operating profits.</w:t>
      </w:r>
    </w:p>
    <w:p>
      <w:pPr>
        <w:spacing w:after="0" w:line="173"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b w:val="1"/>
          <w:bCs w:val="1"/>
          <w:i w:val="1"/>
          <w:iCs w:val="1"/>
          <w:color w:val="auto"/>
        </w:rPr>
        <w:t>Failure to maintain and implement adequate programs to combat money laundering and terrorist financing could have serious reputational consequences for us.</w:t>
      </w:r>
    </w:p>
    <w:p>
      <w:pPr>
        <w:spacing w:after="0" w:line="75"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The Bank Secrecy Act, or BSA, the USA PATRIOT Act and other laws and regulations require financial institutions, among other duties, to institute and maintain effective anti-money laundering programs and file suspicious activity and currency transaction reports as appropriate. The federal Financial Crimes Enforcement Network, established by the U.S. Treasury to administer the BSA, is authorized to impose significant civil money penalties for violations of those requirements and has recently engaged in coordinated enforcement efforts with the individual federal bank regulators, as well as the U.S. Department of Justice, Drug Enforcement Administration and Internal Revenue Service. There is also increased scrutiny of compliance with the rules enforced by the OFAC. Federal and state bank regulators also have begun to focus on compliance with BSA and anti-money laundering regulations. If our policies, procedures and systems are deemed deficient, we could be subject to liability, including fines and regulatory actions such as restrictions on our ability to pay dividends and the necessity to obtain regulatory approvals to proceed with certain aspects of our business plan, which could negatively impact our business, financial condition and results of operations. Failure to maintain and implement adequate programs to combat money laundering and terrorist financing could also have serious reputational consequences for us.</w:t>
      </w:r>
    </w:p>
    <w:p>
      <w:pPr>
        <w:spacing w:after="0" w:line="166"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b w:val="1"/>
          <w:bCs w:val="1"/>
          <w:i w:val="1"/>
          <w:iCs w:val="1"/>
          <w:color w:val="auto"/>
        </w:rPr>
        <w:t>Regulations relating to privacy, information security and data protection could increase our costs, affect or limit how we collect and use personal information and adversely affect our business opportunities.</w:t>
      </w:r>
    </w:p>
    <w:p>
      <w:pPr>
        <w:spacing w:after="0" w:line="75" w:lineRule="exact"/>
        <w:rPr>
          <w:sz w:val="20"/>
          <w:szCs w:val="20"/>
          <w:color w:val="auto"/>
        </w:rPr>
      </w:pPr>
    </w:p>
    <w:p>
      <w:pPr>
        <w:ind w:right="20" w:firstLine="360"/>
        <w:spacing w:after="0" w:line="286" w:lineRule="auto"/>
        <w:rPr>
          <w:sz w:val="20"/>
          <w:szCs w:val="20"/>
          <w:color w:val="auto"/>
        </w:rPr>
      </w:pPr>
      <w:r>
        <w:rPr>
          <w:rFonts w:ascii="Arial" w:cs="Arial" w:eastAsia="Arial" w:hAnsi="Arial"/>
          <w:sz w:val="16"/>
          <w:szCs w:val="16"/>
          <w:color w:val="auto"/>
        </w:rPr>
        <w:t>We are subject to various privacy, information security and data protection laws, including requirements concerning security breach notification, and we could be negatively impacted by these laws. For example, our business is subject to the Gramm-Leach-Bliley Act which, among other things: (i) imposes certain limitations on our ability to share non-public personal information about our customers with non-affiliated third parties; (ii) requires that we provide certain disclosures to customers about our information collection, sharing and security practices and afford customers the right to “opt out” of any information sharing by us with non-affiliated third parties (with certain exceptions) and (iii) requires we develop, implement and maintain a written comprehensive information security program containing safeguards appropriate based on our size and complexity, the nature and scope of our activities and the sensitivity of customer information we process, as well as plans for responding to data security breaches. Various state and federal banking regulators and states have also enacted data security breach notification requirements with varying levels of individual, consumer, regulatory or law enforcement notification in certain circumstances in the event of a security breach. Moreover, legislators and regulators in the United States are increasingly adopting or revising privacy, information security and data protection laws that potentially could have a significant impact on our current and planned privacy, data protection and information security-related practices, our collection, use, sharing, retention and safeguarding of</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360"/>
        <w:spacing w:after="0" w:line="312" w:lineRule="auto"/>
        <w:rPr>
          <w:sz w:val="20"/>
          <w:szCs w:val="20"/>
          <w:color w:val="auto"/>
        </w:rPr>
      </w:pPr>
      <w:r>
        <w:rPr>
          <w:rFonts w:ascii="Arial" w:cs="Arial" w:eastAsia="Arial" w:hAnsi="Arial"/>
          <w:sz w:val="16"/>
          <w:szCs w:val="16"/>
          <w:color w:val="auto"/>
        </w:rPr>
        <w:t>consumer or employee information, and some of our current or planned business activities. This could also increase our costs of compliance and business operations and could reduce income from certain business initiatives. This includes increased privacy-related enforcement activity at the federal level by the Federal Trade Commission, as well as at the state level.</w:t>
      </w:r>
    </w:p>
    <w:p>
      <w:pPr>
        <w:spacing w:after="0" w:line="39" w:lineRule="exact"/>
        <w:rPr>
          <w:sz w:val="20"/>
          <w:szCs w:val="20"/>
          <w:color w:val="auto"/>
        </w:rPr>
      </w:pPr>
    </w:p>
    <w:p>
      <w:pPr>
        <w:ind w:right="140" w:firstLine="360"/>
        <w:spacing w:after="0" w:line="293" w:lineRule="auto"/>
        <w:rPr>
          <w:sz w:val="20"/>
          <w:szCs w:val="20"/>
          <w:color w:val="auto"/>
        </w:rPr>
      </w:pPr>
      <w:r>
        <w:rPr>
          <w:rFonts w:ascii="Arial" w:cs="Arial" w:eastAsia="Arial" w:hAnsi="Arial"/>
          <w:sz w:val="16"/>
          <w:szCs w:val="16"/>
          <w:color w:val="auto"/>
        </w:rPr>
        <w:t>Compliance with current or future privacy, data protection and information security laws (including those regarding security breach notification) affecting customer or employee data to which we are subject could result in higher compliance and technology costs and could restrict our ability to provide certain products and services, which could have a material adverse effect on our business, financial conditions or results of operations. Our failure to comply with privacy, data protection and information security laws could result in potentially significant regulatory or governmental investigations or actions, litigation, fines, sanctions and damage to our reputation, which could have a material adverse effect on our business, financial condition or results of operations.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increased risk under the terms of the CRA, as we accept additional deposits in new geographic markets.</w:t>
      </w:r>
    </w:p>
    <w:p>
      <w:pPr>
        <w:spacing w:after="0" w:line="115" w:lineRule="exact"/>
        <w:rPr>
          <w:sz w:val="20"/>
          <w:szCs w:val="20"/>
          <w:color w:val="auto"/>
        </w:rPr>
      </w:pPr>
    </w:p>
    <w:p>
      <w:pPr>
        <w:ind w:right="20" w:firstLine="360"/>
        <w:spacing w:after="0" w:line="273" w:lineRule="auto"/>
        <w:rPr>
          <w:sz w:val="20"/>
          <w:szCs w:val="20"/>
          <w:color w:val="auto"/>
        </w:rPr>
      </w:pPr>
      <w:r>
        <w:rPr>
          <w:rFonts w:ascii="Arial" w:cs="Arial" w:eastAsia="Arial" w:hAnsi="Arial"/>
          <w:sz w:val="17"/>
          <w:szCs w:val="17"/>
          <w:color w:val="auto"/>
        </w:rPr>
        <w:t>Under the terms of the CRA, each appropriate federal bank regulatory agency is required, in connection with its examination of a bank, to assess such bank’s record in assessing and meeting the credit needs of the communities served by that bank, including low- and moderate-income neighborhoods. During these examinations, the regulatory agency rates such bank’s compliance with the CRA as “Outstanding,” “Satisfactory,” “Needs to Improve” or “Substantial Noncompliance.” The regulatory agency’s assessment of the institution’s record is part of the regulatory agency’s consideration of applications to acquire, merge or consolidate with another banking institution or its holding company, or to open or relocate a branch office.</w:t>
      </w:r>
    </w:p>
    <w:p>
      <w:pPr>
        <w:spacing w:after="0" w:line="7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As we accept additional deposits in new geographic markets, we will be required to maintain an acceptable CRA rating.</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Maintaining an acceptable CRA rating may become more difficult as our deposits increase across new geographic markets.</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certain restrictions related to interstate banking and branching, including restrictions on interstate deposits.</w:t>
      </w:r>
    </w:p>
    <w:p>
      <w:pPr>
        <w:spacing w:after="0" w:line="138"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color w:val="auto"/>
        </w:rPr>
        <w:t>The Riegle-Neal Interstate Banking and Branching Efficiency Act of 1994, or Interstate Act, together with the Dodd-Frank Act, relaxed prior interstate branching restrictions under federal law by permitting, subject to regulatory approval, commercial banks to establish branches in states where the laws permit banks chartered in such states to establish branches. As discussed in this prospectus, the Bank operates branches in Texas and New Mexico. Federal banking agency regulations prohibit banks from using their interstate branches primarily for deposit production, and the federal banking agencies have implemented a loan-to-deposit ratio screen to ensure compliance with this prohibition, the purpose of which is to ensure that interstate branches do not take deposits from a community without the bank reasonably helping to meet the credit needs of that community.</w:t>
      </w:r>
    </w:p>
    <w:p>
      <w:pPr>
        <w:spacing w:after="0" w:line="59" w:lineRule="exact"/>
        <w:rPr>
          <w:sz w:val="20"/>
          <w:szCs w:val="20"/>
          <w:color w:val="auto"/>
        </w:rPr>
      </w:pPr>
    </w:p>
    <w:p>
      <w:pPr>
        <w:ind w:right="120" w:firstLine="360"/>
        <w:spacing w:after="0" w:line="293" w:lineRule="auto"/>
        <w:rPr>
          <w:sz w:val="20"/>
          <w:szCs w:val="20"/>
          <w:color w:val="auto"/>
        </w:rPr>
      </w:pPr>
      <w:r>
        <w:rPr>
          <w:rFonts w:ascii="Arial" w:cs="Arial" w:eastAsia="Arial" w:hAnsi="Arial"/>
          <w:sz w:val="16"/>
          <w:szCs w:val="16"/>
          <w:color w:val="auto"/>
        </w:rPr>
        <w:t>The prohibition on establishing interstate branches for the purpose of deposit production, and the corresponding regulatory loan-to-deposit restrictions, could limit our ability to establish branches outside of Texas. We believe that the Bank’s operations are in compliance with the Interstate Act. In addition, we believe that the Bank is reasonably helping to meet the credit needs of the communities served by the Bank’s New Mexico branches. If, however, the FDIC were to determine that the Bank is not reasonably helping to meet the credit needs of the communities served by the Bank’s New Mexico branches, then the FDIC could require the Bank’s New Mexico branches to be closed or not permit the Bank to open new branches in New Mexico.</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federal and state fair lending laws, and failure to comply with these laws could lead to material penalties.</w:t>
      </w:r>
    </w:p>
    <w:p>
      <w:pPr>
        <w:spacing w:after="0" w:line="127" w:lineRule="exact"/>
        <w:rPr>
          <w:sz w:val="20"/>
          <w:szCs w:val="20"/>
          <w:color w:val="auto"/>
        </w:rPr>
      </w:pPr>
    </w:p>
    <w:p>
      <w:pPr>
        <w:ind w:right="120" w:firstLine="360"/>
        <w:spacing w:after="0" w:line="279" w:lineRule="auto"/>
        <w:rPr>
          <w:sz w:val="20"/>
          <w:szCs w:val="20"/>
          <w:color w:val="auto"/>
        </w:rPr>
      </w:pPr>
      <w:r>
        <w:rPr>
          <w:rFonts w:ascii="Arial" w:cs="Arial" w:eastAsia="Arial" w:hAnsi="Arial"/>
          <w:sz w:val="17"/>
          <w:szCs w:val="17"/>
          <w:color w:val="auto"/>
        </w:rPr>
        <w:t>Federal and state fair lending laws and regulations, such as the Equal Credit Opportunity Act, or ECOA, and the Fair Housing Act, or FHA, impose nondiscriminatory lending requirements on financial institutions. The Department of Justice, CFPB and other federal and state agencies are responsible for enforcing these laws and regulations. Private parties may also have the ability to challenge an institution’s performance under fair lending laws in private class action litigation.</w:t>
      </w:r>
    </w:p>
    <w:p>
      <w:pPr>
        <w:spacing w:after="0" w:line="63"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A successful challenge to our performance under the fair lending laws and regulations could adversely impact our rating under the CRA and result in a wide variety of sanctions, including the required payment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damages and civil money penalties, injunctive relief, imposition of restrictions on merger and acquisition activity and restrictions on expansion activity, which could negatively impact our reputation, business, financial condition and results of operations.</w:t>
      </w:r>
    </w:p>
    <w:p>
      <w:pPr>
        <w:spacing w:after="0" w:line="110"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b w:val="1"/>
          <w:bCs w:val="1"/>
          <w:i w:val="1"/>
          <w:iCs w:val="1"/>
          <w:color w:val="auto"/>
        </w:rPr>
        <w:t>We may be subject to liability for potential violations of predatory lending laws, which could adversely impact our results of operations, financial condition and business.</w:t>
      </w:r>
    </w:p>
    <w:p>
      <w:pPr>
        <w:spacing w:after="0" w:line="75" w:lineRule="exact"/>
        <w:rPr>
          <w:sz w:val="20"/>
          <w:szCs w:val="20"/>
          <w:color w:val="auto"/>
        </w:rPr>
      </w:pPr>
    </w:p>
    <w:p>
      <w:pPr>
        <w:ind w:firstLine="360"/>
        <w:spacing w:after="0" w:line="288" w:lineRule="auto"/>
        <w:rPr>
          <w:sz w:val="20"/>
          <w:szCs w:val="20"/>
          <w:color w:val="auto"/>
        </w:rPr>
      </w:pPr>
      <w:r>
        <w:rPr>
          <w:rFonts w:ascii="Arial" w:cs="Arial" w:eastAsia="Arial" w:hAnsi="Arial"/>
          <w:sz w:val="16"/>
          <w:szCs w:val="16"/>
          <w:color w:val="auto"/>
        </w:rPr>
        <w:t>Various U.S. federal, state and local laws have been enacted that are designed to discourage predatory lending practices. The U.S. Home Ownership and Equity Protection Act of 1994, or HOEPA, prohibits inclusion of certain provisions in mortgages that have interest rates or origination costs in excess of prescribed levels and requires that borrowers be given certain disclosures prior to origination. Some states have enacted, or may enact, similar laws or regulations, which in some cases impose restrictions and requirements greater than those in HOEPA. In addition, under the anti-predatory lending laws of some states, the origination of certain mortgages, including loans that are not classified as “high-cost” loans under applicable law, must satisfy a net tangible benefit test with respect to the related borrower. Such tests may be highly subjective and open to interpretation. As a result, a court may determine that a home mortgage, for example, does not meet the test even if the related originator reasonably believed that the test was satisfied. If any of our mortgages are found to have been originated in violation of predatory or abusive lending laws, we could incur losses, which could adversely impact our results of operations, financial condition and business.</w:t>
      </w:r>
    </w:p>
    <w:p>
      <w:pPr>
        <w:spacing w:after="0" w:line="156"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b w:val="1"/>
          <w:bCs w:val="1"/>
          <w:i w:val="1"/>
          <w:iCs w:val="1"/>
          <w:color w:val="auto"/>
        </w:rPr>
        <w:t>Regulatory agencies and consumer advocacy groups have asserted claims that the practices of lenders and loan servicers result in a disparate impact on protected classes.</w:t>
      </w:r>
    </w:p>
    <w:p>
      <w:pPr>
        <w:spacing w:after="0" w:line="75" w:lineRule="exact"/>
        <w:rPr>
          <w:sz w:val="20"/>
          <w:szCs w:val="20"/>
          <w:color w:val="auto"/>
        </w:rPr>
      </w:pPr>
    </w:p>
    <w:p>
      <w:pPr>
        <w:ind w:right="100" w:firstLine="360"/>
        <w:spacing w:after="0" w:line="255" w:lineRule="auto"/>
        <w:rPr>
          <w:sz w:val="20"/>
          <w:szCs w:val="20"/>
          <w:color w:val="auto"/>
        </w:rPr>
      </w:pPr>
      <w:r>
        <w:rPr>
          <w:rFonts w:ascii="Arial" w:cs="Arial" w:eastAsia="Arial" w:hAnsi="Arial"/>
          <w:sz w:val="18"/>
          <w:szCs w:val="18"/>
          <w:color w:val="auto"/>
        </w:rPr>
        <w:t>Antidiscrimination statutes, such as FHA and ECOA, prohibit creditors from discriminating against loan applicants and borrowers based on certain characteristics, such as race, religion and national origin. Various federal regulatory agencies and departments, including the DOJ and the CFPB, have taken the position that these laws apply not only to intentional discrimination, but also to neutral practices that have a disparate impact on a group that shares a characteristic that a creditor may not consider in making credit decisions protected classes (i.e., creditor or servicing practices that have a disproportionate negative affect on a protected class of individuals).</w:t>
      </w:r>
    </w:p>
    <w:p>
      <w:pPr>
        <w:spacing w:after="0" w:line="85"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color w:val="auto"/>
        </w:rPr>
        <w:t>These regulatory agencies, as well as consumer advocacy groups and plaintiffs’ attorneys, have focused greater attention on “disparate impact” claims. The U.S. Supreme Court has confirmed that the “disparate impact” theory applies to cases brought under FHA, while emphasizing that a causal relationship must be shown between a specific policy of the defendant and a discriminatory result that is not justified by a legitimate objective of the defendant. Although it is still unclear whether the theory applies under ECOA, regulatory agencies and private plaintiffs may continue to apply it to both FHA and ECOA in the context of mortgage lending and servicing. To the extent that the “disparate impact” theory continues to apply, we are faced with significant administrative burdens in attempting to comply and potential liability for failures to comply.</w:t>
      </w:r>
    </w:p>
    <w:p>
      <w:pPr>
        <w:spacing w:after="0" w:line="70" w:lineRule="exact"/>
        <w:rPr>
          <w:sz w:val="20"/>
          <w:szCs w:val="20"/>
          <w:color w:val="auto"/>
        </w:rPr>
      </w:pPr>
    </w:p>
    <w:p>
      <w:pPr>
        <w:ind w:right="200" w:firstLine="360"/>
        <w:spacing w:after="0" w:line="277" w:lineRule="auto"/>
        <w:rPr>
          <w:sz w:val="20"/>
          <w:szCs w:val="20"/>
          <w:color w:val="auto"/>
        </w:rPr>
      </w:pPr>
      <w:r>
        <w:rPr>
          <w:rFonts w:ascii="Arial" w:cs="Arial" w:eastAsia="Arial" w:hAnsi="Arial"/>
          <w:sz w:val="18"/>
          <w:szCs w:val="18"/>
          <w:color w:val="auto"/>
        </w:rPr>
        <w:t>In addition to reputational harm, violations of FHA and ECOA can result in actual damages, punitive damages, injunctive or equitable relief, attorneys’ fees and civil money penalties.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an Investment in Our Common Stock</w:t>
      </w:r>
    </w:p>
    <w:p>
      <w:pPr>
        <w:spacing w:after="0" w:line="108"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b w:val="1"/>
          <w:bCs w:val="1"/>
          <w:i w:val="1"/>
          <w:iCs w:val="1"/>
          <w:color w:val="auto"/>
        </w:rPr>
        <w:t>There has been no prior active trading market for our common stock, and we cannot assure you that an active public trading market will develop after the offering; and, even if it does, our share price may trade below the public offering price and be subject to substantial volatility.</w:t>
      </w:r>
    </w:p>
    <w:p>
      <w:pPr>
        <w:spacing w:after="0" w:line="81"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There has been no public market for our common stock prior to this offering. We cannot predict the extent to which investor interest in our Company will lead to the development of an active trading market on the NASDAQ Global Select Market or otherwise, or how liquid that market may become, especially if few stock analysts follow our stock or issue research reports concerning our business. In addition, more than 50% of our outstanding shares will be restricted from trading for a period of 180 days after the date of this prospectus, resulting in a limited number of our shares available to be traded in the public market. If an active trading market does not develop, you may have difficulty selling any shares that you buy in this offering. Neither the underwriters nor any other market maker in our common stock will be obligated to make a market in our shares, and any such market making may be discontinued at any time in the sole discretion of each market maker. The initial public offering price for our common stock has been determined through negotiations between us, the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selling shareholder and the underwriters and may not be indicative of prices that will prevail in the open market following this offering. Consequently, you may not be able to sell your shares of common stock at or above the public offering price or at any other price or at the time that you would like to sell. An inactive market may also impair our ability to raise capital by selling our common stock and may impair our ability to expand our business by using our common stock as consideration in an acquisition.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could be volatile following this offering.</w:t>
      </w:r>
    </w:p>
    <w:p>
      <w:pPr>
        <w:spacing w:after="0" w:line="117"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Even if a market develops for our common stock after the offering, the market price of our common stock may be volatile and could be subject to wide fluctuations in price in response to various factors, some of which are beyond our control. These factors include, among other things:</w:t>
      </w:r>
    </w:p>
    <w:p>
      <w:pPr>
        <w:spacing w:after="0" w:line="73" w:lineRule="exact"/>
        <w:rPr>
          <w:sz w:val="20"/>
          <w:szCs w:val="20"/>
          <w:color w:val="auto"/>
        </w:rPr>
      </w:pPr>
    </w:p>
    <w:p>
      <w:pPr>
        <w:ind w:left="700" w:hanging="35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actual or anticipated variations in our quarterly or annual results of operations;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recommendations by securities analysts;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us;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news reports relating to trends, concerns and other issues in the financial services industry generally;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conditions in the banking industry such as credit quality and monetary policies;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perceptions in the marketplace regarding us or our competitors;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in the stock price and operating results of our competitors;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domestic and international economic factors unrelated to our performance;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general market conditions and, in particular, developments related to market conditions for the financial services industry;</w:t>
      </w:r>
    </w:p>
    <w:p>
      <w:pPr>
        <w:spacing w:after="0" w:line="140" w:lineRule="exact"/>
        <w:rPr>
          <w:rFonts w:ascii="Arial" w:cs="Arial" w:eastAsia="Arial" w:hAnsi="Arial"/>
          <w:sz w:val="16"/>
          <w:szCs w:val="16"/>
          <w:color w:val="auto"/>
        </w:rPr>
      </w:pPr>
    </w:p>
    <w:p>
      <w:pPr>
        <w:ind w:left="700" w:hanging="35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new technology used, or services offered, by competitors;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government regulations.</w:t>
      </w:r>
    </w:p>
    <w:p>
      <w:pPr>
        <w:spacing w:after="0" w:line="117" w:lineRule="exact"/>
        <w:rPr>
          <w:sz w:val="20"/>
          <w:szCs w:val="20"/>
          <w:color w:val="auto"/>
        </w:rPr>
      </w:pPr>
    </w:p>
    <w:p>
      <w:pPr>
        <w:ind w:right="240" w:firstLine="360"/>
        <w:spacing w:after="0" w:line="259" w:lineRule="auto"/>
        <w:rPr>
          <w:sz w:val="20"/>
          <w:szCs w:val="20"/>
          <w:color w:val="auto"/>
        </w:rPr>
      </w:pPr>
      <w:r>
        <w:rPr>
          <w:rFonts w:ascii="Arial" w:cs="Arial" w:eastAsia="Arial" w:hAnsi="Arial"/>
          <w:sz w:val="18"/>
          <w:szCs w:val="18"/>
          <w:color w:val="auto"/>
        </w:rPr>
        <w:t>In addition, if the market for stocks in our industry, or the stock market in general, experiences a loss of investor confidence, the trading price of our common stock could decline for reasons unrelated to our business, financial condition or results of operations. If any of the foregoing occurs, it could cause our stock price to fall and may expose us to lawsuits that, even if unsuccessful, could be costly to defend and be a distraction to management.</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will have broad discretion as to the use of the net proceeds from this offering, and we may not use the proceeds effectively.</w:t>
      </w:r>
    </w:p>
    <w:p>
      <w:pPr>
        <w:spacing w:after="0" w:line="138" w:lineRule="exact"/>
        <w:rPr>
          <w:sz w:val="20"/>
          <w:szCs w:val="20"/>
          <w:color w:val="auto"/>
        </w:rPr>
      </w:pPr>
    </w:p>
    <w:p>
      <w:pPr>
        <w:ind w:right="20" w:firstLine="360"/>
        <w:spacing w:after="0" w:line="291" w:lineRule="auto"/>
        <w:rPr>
          <w:sz w:val="20"/>
          <w:szCs w:val="20"/>
          <w:color w:val="auto"/>
        </w:rPr>
      </w:pPr>
      <w:r>
        <w:rPr>
          <w:rFonts w:ascii="Arial" w:cs="Arial" w:eastAsia="Arial" w:hAnsi="Arial"/>
          <w:sz w:val="16"/>
          <w:szCs w:val="16"/>
          <w:color w:val="auto"/>
        </w:rPr>
        <w:t>We are not required to apply any portion of the net proceeds of this offering for any particular purpose. Accordingly, our management will have broad discretion as to the application of the net proceeds of this offering and could use them for purposes other than those contemplated at the time of this offering. Our shareholders may not agree with the manner in which our management chooses to allocate and spend the net proceeds. A portion of the proceeds may be used to provide additional capital as a cushion against minimum regulatory capital requirements, which may reduce our return on equity as opposed to if such proceeds were used for further growth. Moreover, our management may use the net proceeds for corporate purposes that may not increase our market value or profitability. We cannot predict whether the proceeds from this offering will be invested to yield a favorable return.</w:t>
      </w:r>
    </w:p>
    <w:p>
      <w:pPr>
        <w:spacing w:after="0" w:line="154"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b w:val="1"/>
          <w:bCs w:val="1"/>
          <w:i w:val="1"/>
          <w:iCs w:val="1"/>
          <w:color w:val="auto"/>
        </w:rPr>
        <w:t>The obligations associated with being a public company will require significant resources and management attention, which will increase our costs of operations and may divert focus from our business operations.</w:t>
      </w:r>
    </w:p>
    <w:p>
      <w:pPr>
        <w:spacing w:after="0" w:line="75" w:lineRule="exact"/>
        <w:rPr>
          <w:sz w:val="20"/>
          <w:szCs w:val="20"/>
          <w:color w:val="auto"/>
        </w:rPr>
      </w:pPr>
    </w:p>
    <w:p>
      <w:pPr>
        <w:ind w:right="100" w:firstLine="360"/>
        <w:spacing w:after="0" w:line="255" w:lineRule="auto"/>
        <w:rPr>
          <w:sz w:val="20"/>
          <w:szCs w:val="20"/>
          <w:color w:val="auto"/>
        </w:rPr>
      </w:pPr>
      <w:r>
        <w:rPr>
          <w:rFonts w:ascii="Arial" w:cs="Arial" w:eastAsia="Arial" w:hAnsi="Arial"/>
          <w:sz w:val="18"/>
          <w:szCs w:val="18"/>
          <w:color w:val="auto"/>
        </w:rPr>
        <w:t>As a public company, we will face increased legal, accounting, administrative and other costs and expenses that we have not incurred as a private company, particularly after we no longer qualify as an emerging growth company. After the completion of this offering, we will be subject to the reporting requirements of the Exchange Act, which requires that we file annual, quarterly and current reports with respect to our business and financial condition and proxy and other information statements, and the rules and regulations implemented by the Securities and Exchange Commission, or the SEC, the Sarbanes-Oxley Act, the Dodd-Frank Act, the Public</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Company Accounting Oversight Board and the NASDAQ Global Select Market, each of which imposes additional reporting and other obligations on public companies. As a public company, compliance with these reporting requirements and other SEC and the NASDAQ Global Select Market rules will make certain operating activities more time-consuming, and we will also incur significant new legal, accounting, insurance and other expenses. Furthermore, the need to establish the corporate infrastructure demanded of a public company may divert management’s attention from implementing our operating strategy, which could prevent us from successfully implementing our strategic initiatives and improving our results of operations. We have made, and will continue to make, changes to our internal controls and procedures for financial reporting and accounting systems to meet our reporting obligations as a public company. However, we cannot predict or estimate the amount of additional costs we may incur in order to comply with these requirements. We anticipate that these costs will materially increase our general and administrative expenses and such increases will reduce our profitability.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analysts may not initiate or continue coverage on us.</w:t>
      </w:r>
    </w:p>
    <w:p>
      <w:pPr>
        <w:spacing w:after="0" w:line="117"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analysts publish about us and our business. We do not have any control over these securities analysts, and they may not cover us. If one or more of these analysts cease to cover us or fail to publish regular reports on us, we could lose visibility in the financial markets, which could cause the price or trading volume of our common stock to decline. If we are covered by securities analysts and are the subject of an unfavorable report, the price of our common stock may decline.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will experience immediate dilution in the book value of the shares you purchase in this offering.</w:t>
      </w:r>
    </w:p>
    <w:p>
      <w:pPr>
        <w:spacing w:after="0" w:line="117"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Investors purchasing common stock in this offering will pay more for their shares than the amount paid by existing shareholders who acquired shares prior to this offering. You will incur immediate dilution of approximately $3.71 per share if you purchase common stock in this offering, representing the difference between the assumed initial public offering price of $18.50 per share, the midpoint of the price range set forth on the cover page of this prospectus, and our adjusted tangible book value per share after giving effect to this offering.</w:t>
      </w:r>
    </w:p>
    <w:p>
      <w:pPr>
        <w:spacing w:after="0" w:line="175"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b w:val="1"/>
          <w:bCs w:val="1"/>
          <w:i w:val="1"/>
          <w:iCs w:val="1"/>
          <w:color w:val="auto"/>
        </w:rPr>
        <w:t>Shares of certain shareholders may be sold into the public market in the near future. This could cause the market price of our common stock to drop significantly.</w:t>
      </w:r>
    </w:p>
    <w:p>
      <w:pPr>
        <w:spacing w:after="0" w:line="75"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color w:val="auto"/>
        </w:rPr>
        <w:t>In connection with this offering, we, our directors, our executive officers and certain of our principal shareholders have each agreed to enter into lock-up agreements that restrict the sale of their holdings of our common stock for a period of 180 days after the date of this prospectus, subject to an extension in certain circumstances. When these lock-up agreements expire, these shares and the shares underlying any options held by these individuals will become eligible for sale, in some cases subject only to the volume, manner of sale and notice requirements of Rule 144 under the Securities Act of 1933, as amended, or the Securities Act. In addition, we estimate that immediately following this offering, approximately 27.8% of our outstanding common stock (or 27.0% if the underwriters exercise in full their option to purchase additional shares) will be beneficially owned by our principal shareholders, executive officers and directors. The substantial amount of common stock that is owned by and issuable to certain of our principal shareholders, executive officers and directors may adversely affect our share price, our share price volatility and the development of an active and liquid trading market. The sale of these shares could impair our ability to raise capital through the sale of additional equity securities.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equity issuances could result in dilution, which could cause the price of our shares of common stock to decline.</w:t>
      </w:r>
    </w:p>
    <w:p>
      <w:pPr>
        <w:spacing w:after="0" w:line="127" w:lineRule="exact"/>
        <w:rPr>
          <w:sz w:val="20"/>
          <w:szCs w:val="20"/>
          <w:color w:val="auto"/>
        </w:rPr>
      </w:pPr>
    </w:p>
    <w:p>
      <w:pPr>
        <w:ind w:right="60" w:firstLine="360"/>
        <w:spacing w:after="0" w:line="291" w:lineRule="auto"/>
        <w:rPr>
          <w:sz w:val="20"/>
          <w:szCs w:val="20"/>
          <w:color w:val="auto"/>
        </w:rPr>
      </w:pPr>
      <w:r>
        <w:rPr>
          <w:rFonts w:ascii="Arial" w:cs="Arial" w:eastAsia="Arial" w:hAnsi="Arial"/>
          <w:sz w:val="16"/>
          <w:szCs w:val="16"/>
          <w:color w:val="auto"/>
        </w:rPr>
        <w:t>We are generally not restricted from issuing additional shares of common stock, up to the 30,000,000 shares of voting common stock and 1,000,000 shares of preferred stock authorized in our certificate of formation. In addition, effective March 20, 2019, in connection with this offering, our board of directors approved for Cory T. Newsom, our President, a stock-settled restricted stock unit award having a fair market value of $1,000,000 on the date of grant and incentive stock options covering 10,342 shares of common stock. Both equity awards vest over a 4-year period. See “Executive Compensation—Employment Agreement with Cory T. Newsom” for a further discussion of these awards. We may issue additional shares of our common stock in the future pursuant to current or future equity compensation plans, upon conversions of preferred stock or debt, upon exercise of</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warrants or in connection with future acquisitions or financings. If we choose to raise capital by selling shares of our common stock, or securities convertible into shares of our common stock, for any reason, the issuance could have a dilutive effect on the holders of our common stock and could have a material negative effect on the market price of our common stock.</w:t>
      </w:r>
    </w:p>
    <w:p>
      <w:pPr>
        <w:spacing w:after="0" w:line="152"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b w:val="1"/>
          <w:bCs w:val="1"/>
          <w:i w:val="1"/>
          <w:iCs w:val="1"/>
          <w:color w:val="auto"/>
        </w:rPr>
        <w:t>We may issue shares of preferred stock in the future, which could make it difficult for another company to acquire us or could otherwise adversely affect holders of our common stock.</w:t>
      </w:r>
    </w:p>
    <w:p>
      <w:pPr>
        <w:spacing w:after="0" w:line="75" w:lineRule="exact"/>
        <w:rPr>
          <w:sz w:val="20"/>
          <w:szCs w:val="20"/>
          <w:color w:val="auto"/>
        </w:rPr>
      </w:pPr>
    </w:p>
    <w:p>
      <w:pPr>
        <w:ind w:right="80" w:firstLine="360"/>
        <w:spacing w:after="0" w:line="291" w:lineRule="auto"/>
        <w:rPr>
          <w:sz w:val="20"/>
          <w:szCs w:val="20"/>
          <w:color w:val="auto"/>
        </w:rPr>
      </w:pPr>
      <w:r>
        <w:rPr>
          <w:rFonts w:ascii="Arial" w:cs="Arial" w:eastAsia="Arial" w:hAnsi="Arial"/>
          <w:sz w:val="16"/>
          <w:szCs w:val="16"/>
          <w:color w:val="auto"/>
        </w:rPr>
        <w:t>Although there are currently no shares of our preferred stock outstanding, our certificate of formation authorizes us to issue up to 1,000,000 shares of one or more series of preferred stock. The board of directors has the power to set the terms of any series of preferred stock that may be issued, including voting rights, conversion rights, preferences over our voting common stock with respect to dividends or in the event of a dissolution, liquidation or winding up and other terms. If we issue preferred stock in the future that has preference over our common stock with respect to payment of dividends or upon our liquidation, dissolution or winding up, or if we issue preferred stock with voting rights that dilute the voting power of our common stock, the rights of the holders of our common stock or the market price of our common stock could be adversely affected.</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board of directors, executive officers and principal shareholders have significant control over our business.</w:t>
      </w:r>
    </w:p>
    <w:p>
      <w:pPr>
        <w:spacing w:after="0" w:line="115" w:lineRule="exact"/>
        <w:rPr>
          <w:sz w:val="20"/>
          <w:szCs w:val="20"/>
          <w:color w:val="auto"/>
        </w:rPr>
      </w:pPr>
    </w:p>
    <w:p>
      <w:pPr>
        <w:ind w:right="40" w:firstLine="360"/>
        <w:spacing w:after="0" w:line="287" w:lineRule="auto"/>
        <w:rPr>
          <w:sz w:val="20"/>
          <w:szCs w:val="20"/>
          <w:color w:val="auto"/>
        </w:rPr>
      </w:pPr>
      <w:r>
        <w:rPr>
          <w:rFonts w:ascii="Arial" w:cs="Arial" w:eastAsia="Arial" w:hAnsi="Arial"/>
          <w:sz w:val="16"/>
          <w:szCs w:val="16"/>
          <w:color w:val="auto"/>
        </w:rPr>
        <w:t>As of April 12, 2019, our directors, executive officers and principal shareholders beneficially owned an aggregate of 5,632,896 shares of our common stock, or approximately 37.2% of our issued and outstanding shares of common stock. Following the completion of this offering, that same group will beneficially own in the aggregate approximately 27.8% of our outstanding common stock (or 27.0% if the underwriters exercise in full their option to purchase additional shares), excluding any shares that may be purchased in this offering by our directors and executive officers through the directed share program described in “Underwriting—Directed Share Program.” Consequently, our directors, executive officers and principal shareholders will be able to significantly affect our affairs and policies, including the outcome of the election of directors and the potential outcome of other matters submitted to a vote of our shareholders, such as mergers, the sale of substantially all of our assets and other extraordinary corporate matters. This influence may also have the effect of delaying or preventing changes of control or changes in management, or limiting the ability of our other shareholders to approve transactions that they may deem to be in the best interests of our Company. The interests of these insiders could conflict with the interests of our other shareholders, including you.</w:t>
      </w:r>
    </w:p>
    <w:p>
      <w:pPr>
        <w:spacing w:after="0" w:line="65"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color w:val="auto"/>
        </w:rPr>
        <w:t>In addition, pursuant to a separate Board Representation Agreement, dated March 7, 2019, between the Company and James C. Henry, for so long as Mr. Henry or his spouse, or a lineal descendant of the Henrys, or an entity formed for their benefit, holds in aggregate 5.0% or more of our outstanding shares of common stock, the Company must nominate their representative to serve on the board of directors of each of the Company and the Bank, subject to any required regulatory and shareholder approvals. We do not expect the governance rights under the Board Representation Agreement to terminate in connection with this offering. See “Certain Relationships and Related Party Transactions—Board Representation Agreement” for additional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limited the circumstances in which our directors will be liable for monetary damages.</w:t>
      </w:r>
    </w:p>
    <w:p>
      <w:pPr>
        <w:spacing w:after="0" w:line="117"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We have included in our certificate of formation a provision to eliminate the liability of directors for monetary damages to the maximum extent permitted by Texas law. The effect of this provision will be to reduce the situations in which we or our shareholders will be able to seek monetary damages from our directors.</w:t>
      </w:r>
    </w:p>
    <w:p>
      <w:pPr>
        <w:spacing w:after="0" w:line="73"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Our certificate of formation also has a provision providing for indemnification of our directors and executive officers and advancement of expenses to the fullest extent permitted or required by Texas law, including circumstances in which indemnification is otherwise discretionary. We have also entered into agreements with our officers and directors in which we similarly agree to provide indemnification that is otherwise discretionary. Such indemnification may be available for liabilities arising in connection with this offering.</w:t>
      </w:r>
    </w:p>
    <w:p>
      <w:pPr>
        <w:spacing w:after="0" w:line="175"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b w:val="1"/>
          <w:bCs w:val="1"/>
          <w:i w:val="1"/>
          <w:iCs w:val="1"/>
          <w:color w:val="auto"/>
        </w:rPr>
        <w:t>Our bylaws have an exclusive forum provision, which could limit a shareholder’s ability to obtain a favorable judicial forum for disputes with us or our directors, officers or other employees.</w:t>
      </w:r>
    </w:p>
    <w:p>
      <w:pPr>
        <w:spacing w:after="0" w:line="75" w:lineRule="exact"/>
        <w:rPr>
          <w:sz w:val="20"/>
          <w:szCs w:val="20"/>
          <w:color w:val="auto"/>
        </w:rPr>
      </w:pPr>
    </w:p>
    <w:p>
      <w:pPr>
        <w:ind w:right="80" w:firstLine="360"/>
        <w:spacing w:after="0" w:line="264" w:lineRule="auto"/>
        <w:rPr>
          <w:sz w:val="20"/>
          <w:szCs w:val="20"/>
          <w:color w:val="auto"/>
        </w:rPr>
      </w:pPr>
      <w:r>
        <w:rPr>
          <w:rFonts w:ascii="Arial" w:cs="Arial" w:eastAsia="Arial" w:hAnsi="Arial"/>
          <w:sz w:val="18"/>
          <w:szCs w:val="18"/>
          <w:color w:val="auto"/>
        </w:rPr>
        <w:t>Our bylaws have an exclusive forum provision providing that, unless we consent in writing to an alternative forum, the United States District Court for the Northern District of Texas, Lubbock Division, or in the event that such court lacks jurisdiction to hear the action, the District Courts of the County of Lubbock, Texas, are the sole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and exclusive forum for (i) any derivative action or proceeding brought on behalf of the Company, (ii) any action asserting a claim for breach of a fiduciary duty owed by any director, officer, employee or agent of the Company to the Company or the Company’s shareholders, (iii) any action asserting a claim arising pursuant to any provision of the Texas Business Organizations Code, or TBOC, the certificate of formation or the bylaws or (iv) any action asserting a claim governed by the internal affairs doctrine, in each case subject to said courts having personal jurisdiction over the indispensable parties named as defendants therein. Section 27 of the Exchange Act creates exclusive federal jurisdiction over all suits brought to enforce any duty or liability created by the Exchange Act, and Section 22 of the Securities Act creates concurrent jurisdiction for federal and state courts over all suits brought to enforce any duty or liability created by the Securities Act or the rules and regulations thereunder. Our bylaws do not expressly provide that the United States District Court for the Northern District of Texas, Lubbock Division, or in the event that such court lacks jurisdiction to hear the action, the District Courts of the County of Lubbock, Texas, are the sole and exclusive forum for claims that arise under the Securities Act, the Exchange Act, or other federal securities laws. We believe that the exclusive forum provision applies to claims arising under the Securities Act, but there is uncertainty as to whether a court would enforce such provision in this context. Shareholders will not be deemed to have waived the Company’s compliance with the federal securities laws and the rules and regulations thereunder. Any person purchasing or otherwise acquiring any interest in any shares of our capital stock will be deemed to have notice of and to have consented to this provision of our bylaws. The exclusive forum provision may limit a shareholder’s ability to bring a claim in a judicial forum that it finds favorable for disputes with us or our directors, officers or other employees, which may discourage such lawsuits. Alternatively, if a court were to find the exclusive forum provision to be inapplicable or unenforceable in an action, we may incur additional costs associated with resolving such action in other jurisdictions, which could have a material adverse effect on our business, financial condition, results of operations and growth prospects.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dividend policy may change without notice, and our future ability to pay dividends is subject to restrictions.</w:t>
      </w:r>
    </w:p>
    <w:p>
      <w:pPr>
        <w:spacing w:after="0" w:line="115" w:lineRule="exact"/>
        <w:rPr>
          <w:sz w:val="20"/>
          <w:szCs w:val="20"/>
          <w:color w:val="auto"/>
        </w:rPr>
      </w:pPr>
    </w:p>
    <w:p>
      <w:pPr>
        <w:ind w:right="200" w:firstLine="360"/>
        <w:spacing w:after="0" w:line="272" w:lineRule="auto"/>
        <w:rPr>
          <w:sz w:val="20"/>
          <w:szCs w:val="20"/>
          <w:color w:val="auto"/>
        </w:rPr>
      </w:pPr>
      <w:r>
        <w:rPr>
          <w:rFonts w:ascii="Arial" w:cs="Arial" w:eastAsia="Arial" w:hAnsi="Arial"/>
          <w:sz w:val="17"/>
          <w:szCs w:val="17"/>
          <w:color w:val="auto"/>
        </w:rPr>
        <w:t>Holders of our common stock are entitled to receive only such cash dividends as our board of directors may declare out of funds legally available for such payments. Any declaration and payment of dividends on our common stock will depend upon our earnings and financial condition, liquidity and capital requirements, the general economic and regulatory climate, our ability to service any equity or debt obligations senior to our common stock and other factors deemed relevant by our board of directors. Furthermore, consistent with our strategic plans, growth initiatives, capital availability, projected liquidity needs and other factors, we have made, and will continue to make, capital management decisions and policies that could adversely affect the amount of dividends, if any, paid to our common shareholders.</w:t>
      </w:r>
    </w:p>
    <w:p>
      <w:pPr>
        <w:spacing w:after="0" w:line="70"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The Federal Reserve has indicated that bank holding companies should carefully review their dividend policy in relation to the organization’s overall asset quality, current and prospective earnings and level, composition and quality of capital. The guidance provides that we inform and consult with the Federal Reserve prior to declaring and paying a dividend that exceeds earnings for the period for which the dividend is being paid or that could result in an adverse change to our capital structure, including interest on any debt obligations.</w:t>
      </w:r>
    </w:p>
    <w:p>
      <w:pPr>
        <w:spacing w:after="0" w:line="80"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If required payments on our debt obligations are not made, or dividends on any preferred stock we may issue are not paid, we will be prohibited from paying dividends on our common stock.</w:t>
      </w:r>
    </w:p>
    <w:p>
      <w:pPr>
        <w:spacing w:after="0" w:line="157"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b w:val="1"/>
          <w:bCs w:val="1"/>
          <w:i w:val="1"/>
          <w:iCs w:val="1"/>
          <w:color w:val="auto"/>
        </w:rPr>
        <w:t>We are a bank holding company and our only source of cash, other than further issuances of securities, is distributions from the Bank.</w:t>
      </w:r>
    </w:p>
    <w:p>
      <w:pPr>
        <w:spacing w:after="0" w:line="75" w:lineRule="exact"/>
        <w:rPr>
          <w:sz w:val="20"/>
          <w:szCs w:val="20"/>
          <w:color w:val="auto"/>
        </w:rPr>
      </w:pPr>
    </w:p>
    <w:p>
      <w:pPr>
        <w:ind w:right="100" w:firstLine="360"/>
        <w:spacing w:after="0" w:line="272" w:lineRule="auto"/>
        <w:rPr>
          <w:sz w:val="20"/>
          <w:szCs w:val="20"/>
          <w:color w:val="auto"/>
        </w:rPr>
      </w:pPr>
      <w:r>
        <w:rPr>
          <w:rFonts w:ascii="Arial" w:cs="Arial" w:eastAsia="Arial" w:hAnsi="Arial"/>
          <w:sz w:val="17"/>
          <w:szCs w:val="17"/>
          <w:color w:val="auto"/>
        </w:rPr>
        <w:t>We are a bank holding company with no material activities other than activities incidental to holding the common stock of the Bank. Our principal source of funds to pay distributions on our common stock and service any of our obligations, other than further issuances of securities, would be dividends received from the Bank. Furthermore, the Bank is not obligated to pay dividends to us, and any dividends paid to us would depend on the earnings or financial condition of the Bank and various business considerations. As is the case with all financial institutions, the profitability of the Bank is subject to the fluctuating cost and availability of money, changes in interest rates and in economic conditions in general. In addition, various federal and state statutes limit the amount of dividends that the Bank may pay to the Company without regulatory approval.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i w:val="1"/>
          <w:iCs w:val="1"/>
          <w:color w:val="auto"/>
        </w:rPr>
        <w:t>We are an “emerging growth company,” and the reduced reporting requirements applicable to emerging growth companies may make our common stock less attractive to investors.</w:t>
      </w:r>
    </w:p>
    <w:p>
      <w:pPr>
        <w:spacing w:after="0" w:line="61" w:lineRule="exact"/>
        <w:rPr>
          <w:sz w:val="20"/>
          <w:szCs w:val="20"/>
          <w:color w:val="auto"/>
        </w:rPr>
      </w:pPr>
    </w:p>
    <w:p>
      <w:pPr>
        <w:ind w:right="40" w:firstLine="360"/>
        <w:spacing w:after="0" w:line="287" w:lineRule="auto"/>
        <w:rPr>
          <w:sz w:val="20"/>
          <w:szCs w:val="20"/>
          <w:color w:val="auto"/>
        </w:rPr>
      </w:pPr>
      <w:r>
        <w:rPr>
          <w:rFonts w:ascii="Arial" w:cs="Arial" w:eastAsia="Arial" w:hAnsi="Arial"/>
          <w:sz w:val="16"/>
          <w:szCs w:val="16"/>
          <w:color w:val="auto"/>
        </w:rPr>
        <w:t>We are an “emerging growth company,” as defined in the JOBS Act. For as long as we continue to be an emerging growth company, we may take advantage of reduced regulatory and reporting requirements that are otherwise generally applicable to public companies. These include, without limitation, not being required to comply with the auditor attestation requirements of Section 404(b) of the Sarbanes-Oxley Act, reduced financial reporting requirements, reduced disclosure obligations regarding executive compensation in our periodic reports and proxy statements and exemptions from the requirements of holding non-binding advisory votes on executive compensation and shareholder approval of any golden parachute payments not previously approved. The JOBS Act also permits an “emerging growth company” such as us to take advantage of an extended transition period to comply with new or revised accounting standards applicable to public companies. We have elected to, and expect to continue to, take advantage of certain of these and other exemptions until we are no longer an emerging growth company. Further, the JOBS Act allows us to present only two years of audited financial statements and only two years of related management’s discussion and analysis of financial condition and results of operations and provide less than five years of selected financial data in this prospectus.</w:t>
      </w:r>
    </w:p>
    <w:p>
      <w:pPr>
        <w:spacing w:after="0" w:line="65" w:lineRule="exact"/>
        <w:rPr>
          <w:sz w:val="20"/>
          <w:szCs w:val="20"/>
          <w:color w:val="auto"/>
        </w:rPr>
      </w:pPr>
    </w:p>
    <w:p>
      <w:pPr>
        <w:ind w:right="40" w:firstLine="360"/>
        <w:spacing w:after="0" w:line="293" w:lineRule="auto"/>
        <w:rPr>
          <w:sz w:val="20"/>
          <w:szCs w:val="20"/>
          <w:color w:val="auto"/>
        </w:rPr>
      </w:pPr>
      <w:r>
        <w:rPr>
          <w:rFonts w:ascii="Arial" w:cs="Arial" w:eastAsia="Arial" w:hAnsi="Arial"/>
          <w:sz w:val="16"/>
          <w:szCs w:val="16"/>
          <w:color w:val="auto"/>
        </w:rPr>
        <w:t>We may take advantage of these provisions for up to five years, unless we earlier cease to be an emerging growth company, which would occur if our annual gross revenues exceed $1.07 billion, if we issue more than $1.0 billion in non-convertible debt in a three-year period or if we become a “large accelerated filer,” in which case we would no longer be an emerging growth company as of the following December 31. We cannot predict if investors will find our common stock less attractive because we may rely on these exemptions, or if we choose to rely on additional exemptions in the future. If some investors find our common stock less attractive as a result, there may be a less active trading market for our common stock and our share price may be more volatile.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investment in our common stock is not an insured deposit and is subject to risk of loss.</w:t>
      </w:r>
    </w:p>
    <w:p>
      <w:pPr>
        <w:spacing w:after="0" w:line="117" w:lineRule="exact"/>
        <w:rPr>
          <w:sz w:val="20"/>
          <w:szCs w:val="20"/>
          <w:color w:val="auto"/>
        </w:rPr>
      </w:pPr>
    </w:p>
    <w:p>
      <w:pPr>
        <w:ind w:firstLine="360"/>
        <w:spacing w:after="0" w:line="279" w:lineRule="auto"/>
        <w:rPr>
          <w:sz w:val="20"/>
          <w:szCs w:val="20"/>
          <w:color w:val="auto"/>
        </w:rPr>
      </w:pPr>
      <w:r>
        <w:rPr>
          <w:rFonts w:ascii="Arial" w:cs="Arial" w:eastAsia="Arial" w:hAnsi="Arial"/>
          <w:sz w:val="17"/>
          <w:szCs w:val="17"/>
          <w:color w:val="auto"/>
        </w:rPr>
        <w:t>Your investment in our common stock will not be a bank deposit and, therefore, will not be insured against loss or guaranteed by the FDIC, any deposit insurance fund or by any other public or private entity. Investment in our common stock is inherently risky for the reasons described herein, and is subject to similar market forces that may affect the price of common stock in any other company. As a result, if you acquire our common stock, you could lose some or all of your investment.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jc w:val="both"/>
        <w:ind w:right="100" w:firstLine="360"/>
        <w:spacing w:after="0" w:line="285" w:lineRule="auto"/>
        <w:rPr>
          <w:sz w:val="20"/>
          <w:szCs w:val="20"/>
          <w:color w:val="auto"/>
        </w:rPr>
      </w:pPr>
      <w:r>
        <w:rPr>
          <w:rFonts w:ascii="Arial" w:cs="Arial" w:eastAsia="Arial" w:hAnsi="Arial"/>
          <w:sz w:val="16"/>
          <w:szCs w:val="16"/>
          <w:color w:val="auto"/>
        </w:rPr>
        <w:t>This prospectus contains forward-looking statements.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“strive,” “projection,” “goal,” “target,” “outlook,” “aim,” “would,” “annualized” and “outlook,” or the negative version of those words or other comparable words or phrases of a future or forward-looking nature.</w:t>
      </w:r>
    </w:p>
    <w:p>
      <w:pPr>
        <w:spacing w:after="0" w:line="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56" w:lineRule="exact"/>
        <w:rPr>
          <w:sz w:val="20"/>
          <w:szCs w:val="20"/>
          <w:color w:val="auto"/>
        </w:rPr>
      </w:pPr>
    </w:p>
    <w:p>
      <w:pPr>
        <w:ind w:right="480" w:firstLine="360"/>
        <w:spacing w:after="0" w:line="277" w:lineRule="auto"/>
        <w:rPr>
          <w:sz w:val="20"/>
          <w:szCs w:val="20"/>
          <w:color w:val="auto"/>
        </w:rPr>
      </w:pPr>
      <w:r>
        <w:rPr>
          <w:rFonts w:ascii="Arial" w:cs="Arial" w:eastAsia="Arial" w:hAnsi="Arial"/>
          <w:sz w:val="18"/>
          <w:szCs w:val="18"/>
          <w:color w:val="auto"/>
        </w:rPr>
        <w:t>There are or will be important factors that could cause our actual results to differ materially from those indicated in these forward-looking statements, including, but not limited to, the following:</w:t>
      </w:r>
    </w:p>
    <w:p>
      <w:pPr>
        <w:spacing w:after="0" w:line="62" w:lineRule="exact"/>
        <w:rPr>
          <w:sz w:val="20"/>
          <w:szCs w:val="20"/>
          <w:color w:val="auto"/>
        </w:rPr>
      </w:pPr>
    </w:p>
    <w:p>
      <w:pPr>
        <w:ind w:left="700" w:right="80" w:hanging="356"/>
        <w:spacing w:after="0" w:line="277"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effectively execute our expansion strategy and manage our growth, including identifying and consummating suitable acquisitions;</w:t>
      </w:r>
    </w:p>
    <w:p>
      <w:pPr>
        <w:spacing w:after="0" w:line="62" w:lineRule="exact"/>
        <w:rPr>
          <w:rFonts w:ascii="Arial" w:cs="Arial" w:eastAsia="Arial" w:hAnsi="Arial"/>
          <w:sz w:val="18"/>
          <w:szCs w:val="18"/>
          <w:color w:val="auto"/>
        </w:rPr>
      </w:pPr>
    </w:p>
    <w:p>
      <w:pPr>
        <w:ind w:left="700" w:right="560" w:hanging="356"/>
        <w:spacing w:after="0" w:line="277"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business and economic conditions, particularly those affecting our market areas, as well as the concentration of our business in such market areas;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high concentrations of loans secured by real estate located in our market areas;</w:t>
      </w:r>
    </w:p>
    <w:p>
      <w:pPr>
        <w:spacing w:after="0" w:line="117" w:lineRule="exact"/>
        <w:rPr>
          <w:rFonts w:ascii="Arial" w:cs="Arial" w:eastAsia="Arial" w:hAnsi="Arial"/>
          <w:sz w:val="18"/>
          <w:szCs w:val="18"/>
          <w:color w:val="auto"/>
        </w:rPr>
      </w:pPr>
    </w:p>
    <w:p>
      <w:pPr>
        <w:ind w:left="700" w:right="260" w:hanging="356"/>
        <w:spacing w:after="0" w:line="277"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associated with our commercial loan portfolio, including the risk for deterioration in value of the general business assets that secure such loans;</w:t>
      </w:r>
    </w:p>
    <w:p>
      <w:pPr>
        <w:spacing w:after="0" w:line="62" w:lineRule="exact"/>
        <w:rPr>
          <w:rFonts w:ascii="Arial" w:cs="Arial" w:eastAsia="Arial" w:hAnsi="Arial"/>
          <w:sz w:val="18"/>
          <w:szCs w:val="18"/>
          <w:color w:val="auto"/>
        </w:rPr>
      </w:pPr>
    </w:p>
    <w:p>
      <w:pPr>
        <w:ind w:left="700" w:right="100" w:hanging="356"/>
        <w:spacing w:after="0" w:line="277"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changes in the prices, values and sales volumes of commercial and residential real estate securing our real estate loans;</w:t>
      </w:r>
    </w:p>
    <w:p>
      <w:pPr>
        <w:spacing w:after="0" w:line="62" w:lineRule="exact"/>
        <w:rPr>
          <w:rFonts w:ascii="Arial" w:cs="Arial" w:eastAsia="Arial" w:hAnsi="Arial"/>
          <w:sz w:val="18"/>
          <w:szCs w:val="18"/>
          <w:color w:val="auto"/>
        </w:rPr>
      </w:pPr>
    </w:p>
    <w:p>
      <w:pPr>
        <w:ind w:left="700" w:hanging="356"/>
        <w:spacing w:after="0" w:line="277"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associated with our agricultural loan portfolio, including the heightened sensitivity to weather conditions, commodity prices, and other factors generally outside the borrowers and our control;</w:t>
      </w:r>
    </w:p>
    <w:p>
      <w:pPr>
        <w:spacing w:after="0" w:line="62" w:lineRule="exact"/>
        <w:rPr>
          <w:rFonts w:ascii="Arial" w:cs="Arial" w:eastAsia="Arial" w:hAnsi="Arial"/>
          <w:sz w:val="18"/>
          <w:szCs w:val="18"/>
          <w:color w:val="auto"/>
        </w:rPr>
      </w:pPr>
    </w:p>
    <w:p>
      <w:pPr>
        <w:ind w:left="700" w:right="300" w:hanging="356"/>
        <w:spacing w:after="0" w:line="277"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associated with the sale of crop insurance products, including termination of or substantial changes to the Federal crop insurance program;</w:t>
      </w:r>
    </w:p>
    <w:p>
      <w:pPr>
        <w:spacing w:after="0" w:line="62" w:lineRule="exact"/>
        <w:rPr>
          <w:rFonts w:ascii="Arial" w:cs="Arial" w:eastAsia="Arial" w:hAnsi="Arial"/>
          <w:sz w:val="18"/>
          <w:szCs w:val="18"/>
          <w:color w:val="auto"/>
        </w:rPr>
      </w:pPr>
    </w:p>
    <w:p>
      <w:pPr>
        <w:ind w:left="700" w:right="240" w:hanging="356"/>
        <w:spacing w:after="0" w:line="277"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related to the significant amount of credit that we have extended to a limited number of borrowers and in a limited geographic area;</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public funds deposits comprising a relatively high percentage of our deposits;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maintain our reputation;</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successfully manage our credit risk and the sufficiency of our allowance;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attract, hire and retain qualified management personnel;</w:t>
      </w:r>
    </w:p>
    <w:p>
      <w:pPr>
        <w:spacing w:after="0" w:line="117" w:lineRule="exact"/>
        <w:rPr>
          <w:rFonts w:ascii="Arial" w:cs="Arial" w:eastAsia="Arial" w:hAnsi="Arial"/>
          <w:sz w:val="18"/>
          <w:szCs w:val="18"/>
          <w:color w:val="auto"/>
        </w:rPr>
      </w:pPr>
    </w:p>
    <w:p>
      <w:pPr>
        <w:ind w:left="700" w:right="220" w:hanging="356"/>
        <w:spacing w:after="0" w:line="277"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dependence on our management team, including our ability to retain executive officers and key employees and their customer and community relationships;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interest rate fluctuations, which could have an adverse effect on our profitability;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competition from banks, credit unions and other financial services providers;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keep pace with technological change or difficulties when implementing new technologies;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system failures, service denials, cyber-attacks and security breaches;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maintain effective internal control over financial reporting;</w:t>
      </w:r>
    </w:p>
    <w:p>
      <w:pPr>
        <w:spacing w:after="0" w:line="117" w:lineRule="exact"/>
        <w:rPr>
          <w:rFonts w:ascii="Arial" w:cs="Arial" w:eastAsia="Arial" w:hAnsi="Arial"/>
          <w:sz w:val="18"/>
          <w:szCs w:val="18"/>
          <w:color w:val="auto"/>
        </w:rPr>
      </w:pPr>
    </w:p>
    <w:p>
      <w:pPr>
        <w:ind w:left="700" w:right="580" w:hanging="356"/>
        <w:spacing w:after="0" w:line="277"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employee error, fraudulent activity by employees or customers and inaccurate or incomplete information about our customers and counterparties;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right="20" w:hanging="356"/>
        <w:spacing w:after="0" w:line="277"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capital requirements imposed by banking regulators, which may require us to raise capital at a time when capital is not available on favorable terms or at all;</w:t>
      </w:r>
    </w:p>
    <w:p>
      <w:pPr>
        <w:spacing w:after="0" w:line="62" w:lineRule="exact"/>
        <w:rPr>
          <w:rFonts w:ascii="Arial" w:cs="Arial" w:eastAsia="Arial" w:hAnsi="Arial"/>
          <w:sz w:val="18"/>
          <w:szCs w:val="18"/>
          <w:color w:val="auto"/>
        </w:rPr>
      </w:pPr>
    </w:p>
    <w:p>
      <w:pPr>
        <w:ind w:left="700" w:right="160" w:hanging="356"/>
        <w:spacing w:after="0" w:line="277"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maintain adequate liquidity and to raise necessary capital to fund our acquisition strategy and operations or to meet increased minimum regulatory capital levels;</w:t>
      </w:r>
    </w:p>
    <w:p>
      <w:pPr>
        <w:spacing w:after="0" w:line="62" w:lineRule="exact"/>
        <w:rPr>
          <w:rFonts w:ascii="Arial" w:cs="Arial" w:eastAsia="Arial" w:hAnsi="Arial"/>
          <w:sz w:val="18"/>
          <w:szCs w:val="18"/>
          <w:color w:val="auto"/>
        </w:rPr>
      </w:pPr>
    </w:p>
    <w:p>
      <w:pPr>
        <w:ind w:left="700" w:right="280" w:hanging="356"/>
        <w:spacing w:after="0" w:line="277"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costs and effects of litigation, investigations or similar matters to which we may be subject, including any effect on our reputation;</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severe weather, acts of god, acts of war or terrorism;</w:t>
      </w:r>
    </w:p>
    <w:p>
      <w:pPr>
        <w:spacing w:after="0" w:line="117" w:lineRule="exact"/>
        <w:rPr>
          <w:rFonts w:ascii="Arial" w:cs="Arial" w:eastAsia="Arial" w:hAnsi="Arial"/>
          <w:sz w:val="18"/>
          <w:szCs w:val="18"/>
          <w:color w:val="auto"/>
        </w:rPr>
      </w:pPr>
    </w:p>
    <w:p>
      <w:pPr>
        <w:ind w:left="700" w:right="40" w:hanging="356"/>
        <w:spacing w:after="0" w:line="277"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compliance with governmental and regulatory requirements, including the Dodd-Frank Act and others relating to banking, consumer protection, securities and tax matters;</w:t>
      </w:r>
    </w:p>
    <w:p>
      <w:pPr>
        <w:spacing w:after="0" w:line="62" w:lineRule="exact"/>
        <w:rPr>
          <w:rFonts w:ascii="Arial" w:cs="Arial" w:eastAsia="Arial" w:hAnsi="Arial"/>
          <w:sz w:val="18"/>
          <w:szCs w:val="18"/>
          <w:color w:val="auto"/>
        </w:rPr>
      </w:pPr>
    </w:p>
    <w:p>
      <w:pPr>
        <w:ind w:left="700" w:right="200" w:hanging="356"/>
        <w:spacing w:after="0" w:line="264"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laws, rules, regulations, interpretations or policies relating to financial institutions, accounting, tax, trade, monetary and fiscal matters, including the policies of the Federal Reserve and as a result of initiatives of the Trump administration; and</w:t>
      </w:r>
    </w:p>
    <w:p>
      <w:pPr>
        <w:spacing w:after="0" w:line="73"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other factors that are discussed in the section entitled “Risk Factors,” beginning on page </w:t>
      </w:r>
      <w:hyperlink w:anchor="page21">
        <w:r>
          <w:rPr>
            <w:rFonts w:ascii="Arial" w:cs="Arial" w:eastAsia="Arial" w:hAnsi="Arial"/>
            <w:sz w:val="18"/>
            <w:szCs w:val="18"/>
            <w:u w:val="single" w:color="auto"/>
            <w:color w:val="0000EE"/>
          </w:rPr>
          <w:t>14</w:t>
        </w:r>
      </w:hyperlink>
      <w:r>
        <w:rPr>
          <w:rFonts w:ascii="Arial" w:cs="Arial" w:eastAsia="Arial" w:hAnsi="Arial"/>
          <w:sz w:val="18"/>
          <w:szCs w:val="18"/>
          <w:color w:val="auto"/>
        </w:rPr>
        <w:t>.</w:t>
      </w:r>
    </w:p>
    <w:p>
      <w:pPr>
        <w:spacing w:after="0" w:line="117"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The foregoing factors should not be construed as exhaustive and should be read together with the other cautionary statements included in this prospectus. Because of these risks and other uncertainties, our actual future results, performance or achievements, or industry results, may be materially different from the results indicated by the forward-looking statements in this prospectus. In addition, our past results of operations are not necessarily indicative of our future results. Accordingly, you should not rely on any forward-looking statements, which represent our beliefs, assumptions and estimates only as of the dates on which such forward-looking statements were made. Any forward-looking statement speaks only as of the date on which it is made, and we do not undertake any obligation to update or review any forward-looking statement, whether as a result of new information, future developments or otherwise, except as required by law.</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right="40" w:firstLine="360"/>
        <w:spacing w:after="0" w:line="297" w:lineRule="auto"/>
        <w:rPr>
          <w:sz w:val="20"/>
          <w:szCs w:val="20"/>
          <w:color w:val="auto"/>
        </w:rPr>
      </w:pPr>
      <w:r>
        <w:rPr>
          <w:rFonts w:ascii="Arial" w:cs="Arial" w:eastAsia="Arial" w:hAnsi="Arial"/>
          <w:sz w:val="16"/>
          <w:szCs w:val="16"/>
          <w:color w:val="auto"/>
        </w:rPr>
        <w:t>We estimate that the net proceeds to us from this offering, after deducting underwriting discounts and estimated offering expenses, will be approximately $45.6 million, based on an assumed public offering price of $18.50 per share (the midpoint of the price range set forth on the cover page of this prospectus). Each $1.00 increase or decrease in the assumed public offering price of $18.50 per share would increase or decrease the net proceeds to us from this offering by approximately $2.5 million. We will not receive any proceeds from the sale of shares of our common stock by the selling shareholder.</w:t>
      </w:r>
    </w:p>
    <w:p>
      <w:pPr>
        <w:spacing w:after="0" w:line="50"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We intend to use the net proceeds to us from this offering, which we estimate to be approximately $45.6 million (after deducting underwriting discounts and the estimated offering expenses) to support future growth of our business, including through strategic acquisitions and organic growth, and for general corporate purposes.</w:t>
      </w:r>
    </w:p>
    <w:p>
      <w:pPr>
        <w:spacing w:after="0" w:line="73"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Our management will retain broad discretion to allocate the net proceeds of this offering. The precise amounts and timing of our use of the proceeds will depend upon market conditions and other factors.</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00"/>
          </w:cols>
          <w:pgMar w:left="1180" w:top="279" w:right="1319" w:bottom="1440" w:gutter="0" w:footer="0" w:header="0"/>
        </w:sectPr>
      </w:pPr>
    </w:p>
    <w:bookmarkStart w:id="52" w:name="page53"/>
    <w:bookmarkEnd w:id="52"/>
    <w:p>
      <w:pPr>
        <w:ind w:left="7"/>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CAPITALIZATION</w:t>
      </w:r>
    </w:p>
    <w:p>
      <w:pPr>
        <w:spacing w:after="0" w:line="108" w:lineRule="exact"/>
        <w:rPr>
          <w:sz w:val="20"/>
          <w:szCs w:val="20"/>
          <w:color w:val="auto"/>
        </w:rPr>
      </w:pPr>
    </w:p>
    <w:p>
      <w:pPr>
        <w:ind w:left="367"/>
        <w:spacing w:after="0"/>
        <w:rPr>
          <w:sz w:val="20"/>
          <w:szCs w:val="20"/>
          <w:color w:val="auto"/>
        </w:rPr>
      </w:pPr>
      <w:r>
        <w:rPr>
          <w:rFonts w:ascii="Arial" w:cs="Arial" w:eastAsia="Arial" w:hAnsi="Arial"/>
          <w:sz w:val="17"/>
          <w:szCs w:val="17"/>
          <w:color w:val="auto"/>
        </w:rPr>
        <w:t>The following table shows the Company’s capitalization, including regulatory capital ratios, on a consolidated basis, as of</w:t>
      </w:r>
    </w:p>
    <w:p>
      <w:pPr>
        <w:spacing w:after="0" w:line="10" w:lineRule="exact"/>
        <w:rPr>
          <w:sz w:val="20"/>
          <w:szCs w:val="20"/>
          <w:color w:val="auto"/>
        </w:rPr>
      </w:pPr>
    </w:p>
    <w:p>
      <w:pPr>
        <w:ind w:left="7"/>
        <w:spacing w:after="0"/>
        <w:rPr>
          <w:sz w:val="20"/>
          <w:szCs w:val="20"/>
          <w:color w:val="auto"/>
        </w:rPr>
      </w:pPr>
      <w:r>
        <w:rPr>
          <w:rFonts w:ascii="Arial" w:cs="Arial" w:eastAsia="Arial" w:hAnsi="Arial"/>
          <w:sz w:val="18"/>
          <w:szCs w:val="18"/>
          <w:color w:val="auto"/>
        </w:rPr>
        <w:t>December 31, 2018 on:</w:t>
      </w:r>
    </w:p>
    <w:p>
      <w:pPr>
        <w:spacing w:after="0" w:line="88" w:lineRule="exact"/>
        <w:rPr>
          <w:sz w:val="20"/>
          <w:szCs w:val="20"/>
          <w:color w:val="auto"/>
        </w:rPr>
      </w:pPr>
    </w:p>
    <w:p>
      <w:pPr>
        <w:ind w:left="707" w:hanging="356"/>
        <w:spacing w:after="0"/>
        <w:tabs>
          <w:tab w:leader="none" w:pos="707"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actual basis; and</w:t>
      </w:r>
    </w:p>
    <w:p>
      <w:pPr>
        <w:spacing w:after="0" w:line="117" w:lineRule="exact"/>
        <w:rPr>
          <w:rFonts w:ascii="Arial" w:cs="Arial" w:eastAsia="Arial" w:hAnsi="Arial"/>
          <w:sz w:val="18"/>
          <w:szCs w:val="18"/>
          <w:color w:val="auto"/>
        </w:rPr>
      </w:pPr>
    </w:p>
    <w:p>
      <w:pPr>
        <w:ind w:left="707" w:hanging="356"/>
        <w:spacing w:after="0"/>
        <w:tabs>
          <w:tab w:leader="none" w:pos="707"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pro forma basis, assuming that the ESOP Repurchase Right Termination occurred as of December 31, 2018; and</w:t>
      </w:r>
    </w:p>
    <w:p>
      <w:pPr>
        <w:spacing w:after="0" w:line="128" w:lineRule="exact"/>
        <w:rPr>
          <w:rFonts w:ascii="Arial" w:cs="Arial" w:eastAsia="Arial" w:hAnsi="Arial"/>
          <w:sz w:val="17"/>
          <w:szCs w:val="17"/>
          <w:color w:val="auto"/>
        </w:rPr>
      </w:pPr>
    </w:p>
    <w:p>
      <w:pPr>
        <w:ind w:left="707" w:right="180" w:hanging="356"/>
        <w:spacing w:after="0" w:line="302" w:lineRule="auto"/>
        <w:tabs>
          <w:tab w:leader="none" w:pos="707"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pro forma as adjusted basis giving effect to the ESOP Repurchase Right Termination and the sale of shares of common stock by us in this offering and the receipt of the net proceeds from the sale of these shares, at an assumed initial public offering price of $18.50 per share, the midpoint of the price range set forth on the cover page of this prospectus, after deducting the underwriting discounts and commissions and estimated offering expenses payable by us.</w:t>
      </w:r>
    </w:p>
    <w:p>
      <w:pPr>
        <w:spacing w:after="0" w:line="33" w:lineRule="exact"/>
        <w:rPr>
          <w:sz w:val="20"/>
          <w:szCs w:val="20"/>
          <w:color w:val="auto"/>
        </w:rPr>
      </w:pPr>
    </w:p>
    <w:p>
      <w:pPr>
        <w:ind w:left="7" w:right="160" w:firstLine="360"/>
        <w:spacing w:after="0" w:line="228" w:lineRule="auto"/>
        <w:rPr>
          <w:sz w:val="20"/>
          <w:szCs w:val="20"/>
          <w:color w:val="auto"/>
        </w:rPr>
      </w:pPr>
      <w:r>
        <w:rPr>
          <w:rFonts w:ascii="Arial" w:cs="Arial" w:eastAsia="Arial" w:hAnsi="Arial"/>
          <w:sz w:val="18"/>
          <w:szCs w:val="18"/>
          <w:color w:val="auto"/>
        </w:rPr>
        <w:t>The “as adjusted” information below is illustrative only, and our capitalization following the closing of this offering will be adjusted based on the actual public offering price and other terms of this offering determined at pricing. You should read the following table in conjunction with the sections titled “Selected Historical Consolidated Financial and Operating Information” and “Management’s Discussion and Analysis of Financial Condition and Results of Operations,” and our consolidated financial statements and related notes appearing elsewhere in this prospectus.</w:t>
      </w:r>
    </w:p>
    <w:p>
      <w:pPr>
        <w:spacing w:after="0" w:line="48" w:lineRule="exact"/>
        <w:rPr>
          <w:sz w:val="20"/>
          <w:szCs w:val="20"/>
          <w:color w:val="auto"/>
        </w:rPr>
      </w:pPr>
    </w:p>
    <w:tbl>
      <w:tblPr>
        <w:tblLayout w:type="fixed"/>
        <w:tblInd w:w="7"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4"/>
                <w:szCs w:val="14"/>
                <w:b w:val="1"/>
                <w:bCs w:val="1"/>
                <w:color w:val="auto"/>
                <w:w w:val="90"/>
              </w:rPr>
              <w:t>As of December 31, 2018</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As Adjusted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Actual</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9"/>
              </w:rPr>
              <w:t>Pro Forma</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for Offering</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40" w:type="dxa"/>
            <w:vAlign w:val="bottom"/>
            <w:gridSpan w:val="8"/>
          </w:tcPr>
          <w:p>
            <w:pPr>
              <w:jc w:val="right"/>
              <w:ind w:right="540"/>
              <w:spacing w:after="0"/>
              <w:rPr>
                <w:sz w:val="20"/>
                <w:szCs w:val="20"/>
                <w:color w:val="auto"/>
              </w:rPr>
            </w:pPr>
            <w:r>
              <w:rPr>
                <w:rFonts w:ascii="Arial" w:cs="Arial" w:eastAsia="Arial" w:hAnsi="Arial"/>
                <w:sz w:val="14"/>
                <w:szCs w:val="14"/>
                <w:b w:val="1"/>
                <w:bCs w:val="1"/>
                <w:color w:val="auto"/>
                <w:w w:val="99"/>
              </w:rPr>
              <w:t>(Dollars in thousands, except per share data)</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Borrowings:</w:t>
            </w:r>
          </w:p>
        </w:tc>
        <w:tc>
          <w:tcPr>
            <w:tcW w:w="22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80" w:type="dxa"/>
            <w:vAlign w:val="bottom"/>
            <w:gridSpan w:val="2"/>
          </w:tcPr>
          <w:p>
            <w:pPr>
              <w:ind w:left="160"/>
              <w:spacing w:after="0"/>
              <w:rPr>
                <w:sz w:val="20"/>
                <w:szCs w:val="20"/>
                <w:color w:val="auto"/>
              </w:rPr>
            </w:pPr>
            <w:r>
              <w:rPr>
                <w:rFonts w:ascii="Arial" w:cs="Arial" w:eastAsia="Arial" w:hAnsi="Arial"/>
                <w:sz w:val="18"/>
                <w:szCs w:val="18"/>
                <w:color w:val="auto"/>
              </w:rPr>
              <w:t>Subordinated debt securities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34,002</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34,002</w:t>
            </w:r>
          </w:p>
        </w:tc>
        <w:tc>
          <w:tcPr>
            <w:tcW w:w="1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34,002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780" w:type="dxa"/>
            <w:vAlign w:val="bottom"/>
            <w:tcBorders>
              <w:right w:val="single" w:sz="8" w:color="CCEEFF"/>
            </w:tcBorders>
            <w:gridSpan w:val="2"/>
            <w:shd w:val="clear" w:color="auto" w:fill="CCEEFF"/>
          </w:tcPr>
          <w:p>
            <w:pPr>
              <w:ind w:left="160"/>
              <w:spacing w:after="0" w:line="249" w:lineRule="exact"/>
              <w:rPr>
                <w:sz w:val="20"/>
                <w:szCs w:val="20"/>
                <w:color w:val="auto"/>
              </w:rPr>
            </w:pPr>
            <w:r>
              <w:rPr>
                <w:rFonts w:ascii="Arial" w:cs="Arial" w:eastAsia="Arial" w:hAnsi="Arial"/>
                <w:sz w:val="17"/>
                <w:szCs w:val="17"/>
                <w:color w:val="auto"/>
              </w:rPr>
              <w:t>Trust preferred securities</w:t>
            </w:r>
            <w:r>
              <w:rPr>
                <w:rFonts w:ascii="Arial" w:cs="Arial" w:eastAsia="Arial" w:hAnsi="Arial"/>
                <w:sz w:val="28"/>
                <w:szCs w:val="28"/>
                <w:color w:val="auto"/>
                <w:vertAlign w:val="superscript"/>
              </w:rPr>
              <w:t>(1)</w:t>
            </w:r>
          </w:p>
        </w:tc>
        <w:tc>
          <w:tcPr>
            <w:tcW w:w="22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42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7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contingent liabilities:</w:t>
            </w:r>
          </w:p>
        </w:tc>
        <w:tc>
          <w:tcPr>
            <w:tcW w:w="22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80" w:type="dxa"/>
            <w:vAlign w:val="bottom"/>
            <w:gridSpan w:val="2"/>
          </w:tcPr>
          <w:p>
            <w:pPr>
              <w:ind w:left="160"/>
              <w:spacing w:after="0"/>
              <w:rPr>
                <w:sz w:val="20"/>
                <w:szCs w:val="20"/>
                <w:color w:val="auto"/>
              </w:rPr>
            </w:pPr>
            <w:r>
              <w:rPr>
                <w:rFonts w:ascii="Arial" w:cs="Arial" w:eastAsia="Arial" w:hAnsi="Arial"/>
                <w:sz w:val="18"/>
                <w:szCs w:val="18"/>
                <w:color w:val="auto"/>
              </w:rPr>
              <w:t>ESOP-owned shares</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58,195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vMerge w:val="restart"/>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436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vMerge w:val="continue"/>
          </w:tcPr>
          <w:p>
            <w:pPr>
              <w:spacing w:after="0"/>
              <w:rPr>
                <w:sz w:val="20"/>
                <w:szCs w:val="20"/>
                <w:color w:val="auto"/>
              </w:rPr>
            </w:pPr>
          </w:p>
        </w:tc>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Shareholders’ equity:</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78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6"/>
              </w:rPr>
              <w:t>Preferred stock, par value $1.00 per share, 1,000,000 shares authorized;</w:t>
            </w:r>
          </w:p>
        </w:tc>
        <w:tc>
          <w:tcPr>
            <w:tcW w:w="220" w:type="dxa"/>
            <w:vAlign w:val="bottom"/>
            <w:shd w:val="clear" w:color="auto" w:fill="CCEEFF"/>
          </w:tcPr>
          <w:p>
            <w:pPr>
              <w:spacing w:after="0"/>
              <w:rPr>
                <w:sz w:val="19"/>
                <w:szCs w:val="19"/>
                <w:color w:val="auto"/>
              </w:rPr>
            </w:pPr>
          </w:p>
        </w:tc>
        <w:tc>
          <w:tcPr>
            <w:tcW w:w="880" w:type="dxa"/>
            <w:vAlign w:val="bottom"/>
            <w:tcBorders>
              <w:right w:val="single" w:sz="8" w:color="CCEEFF"/>
            </w:tcBorders>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78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none issued or outstanding</w:t>
            </w:r>
          </w:p>
        </w:tc>
        <w:tc>
          <w:tcPr>
            <w:tcW w:w="22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80" w:type="dxa"/>
            <w:vAlign w:val="bottom"/>
            <w:gridSpan w:val="2"/>
          </w:tcPr>
          <w:p>
            <w:pPr>
              <w:ind w:left="160"/>
              <w:spacing w:after="0"/>
              <w:rPr>
                <w:sz w:val="20"/>
                <w:szCs w:val="20"/>
                <w:color w:val="auto"/>
              </w:rPr>
            </w:pPr>
            <w:r>
              <w:rPr>
                <w:rFonts w:ascii="Arial" w:cs="Arial" w:eastAsia="Arial" w:hAnsi="Arial"/>
                <w:sz w:val="18"/>
                <w:szCs w:val="18"/>
                <w:color w:val="auto"/>
              </w:rPr>
              <w:t>Common stock, voting, par value $1.00 per share, 30,000,000 shares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ind w:left="340"/>
              <w:spacing w:after="0"/>
              <w:rPr>
                <w:sz w:val="20"/>
                <w:szCs w:val="20"/>
                <w:color w:val="auto"/>
              </w:rPr>
            </w:pPr>
            <w:r>
              <w:rPr>
                <w:rFonts w:ascii="Arial" w:cs="Arial" w:eastAsia="Arial" w:hAnsi="Arial"/>
                <w:sz w:val="18"/>
                <w:szCs w:val="18"/>
                <w:color w:val="auto"/>
              </w:rPr>
              <w:t>authorized; 14,771,520 shares outstanding; 17,471,520 shares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80" w:type="dxa"/>
            <w:vAlign w:val="bottom"/>
            <w:gridSpan w:val="2"/>
          </w:tcPr>
          <w:p>
            <w:pPr>
              <w:ind w:left="340"/>
              <w:spacing w:after="0"/>
              <w:rPr>
                <w:sz w:val="20"/>
                <w:szCs w:val="20"/>
                <w:color w:val="auto"/>
              </w:rPr>
            </w:pPr>
            <w:r>
              <w:rPr>
                <w:rFonts w:ascii="Arial" w:cs="Arial" w:eastAsia="Arial" w:hAnsi="Arial"/>
                <w:sz w:val="18"/>
                <w:szCs w:val="18"/>
                <w:color w:val="auto"/>
              </w:rPr>
              <w:t>outstanding, as adjusted</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14,772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14,772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17,472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8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Additional paid-in-capital</w:t>
            </w:r>
          </w:p>
        </w:tc>
        <w:tc>
          <w:tcPr>
            <w:tcW w:w="22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80,412</w:t>
            </w: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80,412</w:t>
            </w: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123,323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80" w:type="dxa"/>
            <w:vAlign w:val="bottom"/>
            <w:gridSpan w:val="2"/>
          </w:tcPr>
          <w:p>
            <w:pPr>
              <w:ind w:left="16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119,834</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119,834</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119,834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8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78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shareholders’ equity, including ESOP-owned shares</w:t>
            </w: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212,775</w:t>
            </w:r>
          </w:p>
        </w:tc>
        <w:tc>
          <w:tcPr>
            <w:tcW w:w="18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212,775</w:t>
            </w:r>
          </w:p>
        </w:tc>
        <w:tc>
          <w:tcPr>
            <w:tcW w:w="18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258,386</w:t>
            </w: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8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Less: ESOP-owned shares</w:t>
            </w:r>
          </w:p>
        </w:tc>
        <w:tc>
          <w:tcPr>
            <w:tcW w:w="220" w:type="dxa"/>
            <w:vAlign w:val="bottom"/>
            <w:shd w:val="clear" w:color="auto" w:fill="CCEEFF"/>
          </w:tcPr>
          <w:p>
            <w:pPr>
              <w:spacing w:after="0"/>
              <w:rPr>
                <w:sz w:val="20"/>
                <w:szCs w:val="20"/>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(58,195)</w:t>
            </w: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4360" w:type="dxa"/>
            <w:vAlign w:val="bottom"/>
            <w:tcBorders>
              <w:right w:val="single" w:sz="8" w:color="auto"/>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tcBorders>
              <w:right w:val="single" w:sz="8" w:color="CCEEFF"/>
            </w:tcBorders>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800" w:type="dxa"/>
            <w:vAlign w:val="bottom"/>
            <w:gridSpan w:val="3"/>
          </w:tcPr>
          <w:p>
            <w:pPr>
              <w:spacing w:after="0"/>
              <w:rPr>
                <w:sz w:val="20"/>
                <w:szCs w:val="20"/>
                <w:color w:val="auto"/>
              </w:rPr>
            </w:pPr>
            <w:r>
              <w:rPr>
                <w:rFonts w:ascii="Arial" w:cs="Arial" w:eastAsia="Arial" w:hAnsi="Arial"/>
                <w:sz w:val="18"/>
                <w:szCs w:val="18"/>
                <w:b w:val="1"/>
                <w:bCs w:val="1"/>
                <w:color w:val="auto"/>
              </w:rPr>
              <w:t>Total shareholders’ equity, net of ESOP-owned shares</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154,580</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212,775</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258,386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57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capitalization</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233,582</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291,777</w:t>
            </w:r>
          </w:p>
        </w:tc>
        <w:tc>
          <w:tcPr>
            <w:tcW w:w="180" w:type="dxa"/>
            <w:vAlign w:val="bottom"/>
            <w:tcBorders>
              <w:right w:val="single" w:sz="8" w:color="CCEEFF"/>
            </w:tcBorders>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337,388</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420" w:type="dxa"/>
            <w:vAlign w:val="bottom"/>
            <w:tcBorders>
              <w:top w:val="single" w:sz="8" w:color="CCEEFF"/>
            </w:tcBorders>
          </w:tcPr>
          <w:p>
            <w:pPr>
              <w:spacing w:after="0"/>
              <w:rPr>
                <w:sz w:val="21"/>
                <w:szCs w:val="21"/>
                <w:color w:val="auto"/>
              </w:rPr>
            </w:pPr>
          </w:p>
        </w:tc>
        <w:tc>
          <w:tcPr>
            <w:tcW w:w="4360" w:type="dxa"/>
            <w:vAlign w:val="bottom"/>
            <w:tcBorders>
              <w:top w:val="single" w:sz="8" w:color="CCEEFF"/>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7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Capital ratios:</w:t>
            </w:r>
          </w:p>
        </w:tc>
        <w:tc>
          <w:tcPr>
            <w:tcW w:w="22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80" w:type="dxa"/>
            <w:vAlign w:val="bottom"/>
            <w:gridSpan w:val="2"/>
          </w:tcPr>
          <w:p>
            <w:pPr>
              <w:ind w:left="160"/>
              <w:spacing w:after="0"/>
              <w:rPr>
                <w:sz w:val="20"/>
                <w:szCs w:val="20"/>
                <w:color w:val="auto"/>
              </w:rPr>
            </w:pPr>
            <w:r>
              <w:rPr>
                <w:rFonts w:ascii="Arial" w:cs="Arial" w:eastAsia="Arial" w:hAnsi="Arial"/>
                <w:sz w:val="18"/>
                <w:szCs w:val="18"/>
                <w:color w:val="auto"/>
              </w:rPr>
              <w:t>Total shareholders’ equity to total assets</w:t>
            </w:r>
          </w:p>
        </w:tc>
        <w:tc>
          <w:tcPr>
            <w:tcW w:w="220" w:type="dxa"/>
            <w:vAlign w:val="bottom"/>
          </w:tcPr>
          <w:p>
            <w:pPr>
              <w:spacing w:after="0"/>
              <w:rPr>
                <w:sz w:val="20"/>
                <w:szCs w:val="20"/>
                <w:color w:val="auto"/>
              </w:rPr>
            </w:pPr>
          </w:p>
        </w:tc>
        <w:tc>
          <w:tcPr>
            <w:tcW w:w="1060" w:type="dxa"/>
            <w:vAlign w:val="bottom"/>
            <w:gridSpan w:val="2"/>
          </w:tcPr>
          <w:p>
            <w:pPr>
              <w:jc w:val="right"/>
              <w:ind w:right="16"/>
              <w:spacing w:after="0"/>
              <w:rPr>
                <w:sz w:val="20"/>
                <w:szCs w:val="20"/>
                <w:color w:val="auto"/>
              </w:rPr>
            </w:pPr>
            <w:r>
              <w:rPr>
                <w:rFonts w:ascii="Arial" w:cs="Arial" w:eastAsia="Arial" w:hAnsi="Arial"/>
                <w:sz w:val="18"/>
                <w:szCs w:val="18"/>
                <w:color w:val="auto"/>
              </w:rPr>
              <w:t>7.84%</w:t>
            </w:r>
          </w:p>
        </w:tc>
        <w:tc>
          <w:tcPr>
            <w:tcW w:w="1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7.84%</w:t>
            </w:r>
          </w:p>
        </w:tc>
        <w:tc>
          <w:tcPr>
            <w:tcW w:w="16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780" w:type="dxa"/>
            <w:vAlign w:val="bottom"/>
            <w:tcBorders>
              <w:right w:val="single" w:sz="8" w:color="CCEEFF"/>
            </w:tcBorders>
            <w:gridSpan w:val="2"/>
            <w:shd w:val="clear" w:color="auto" w:fill="CCEEFF"/>
          </w:tcPr>
          <w:p>
            <w:pPr>
              <w:ind w:left="160"/>
              <w:spacing w:after="0" w:line="249" w:lineRule="exact"/>
              <w:rPr>
                <w:sz w:val="20"/>
                <w:szCs w:val="20"/>
                <w:color w:val="auto"/>
              </w:rPr>
            </w:pPr>
            <w:r>
              <w:rPr>
                <w:rFonts w:ascii="Arial" w:cs="Arial" w:eastAsia="Arial" w:hAnsi="Arial"/>
                <w:sz w:val="17"/>
                <w:szCs w:val="17"/>
                <w:color w:val="auto"/>
              </w:rPr>
              <w:t>Tangible common equity to tangible assets</w:t>
            </w:r>
            <w:r>
              <w:rPr>
                <w:rFonts w:ascii="Arial" w:cs="Arial" w:eastAsia="Arial" w:hAnsi="Arial"/>
                <w:sz w:val="28"/>
                <w:szCs w:val="28"/>
                <w:color w:val="auto"/>
                <w:vertAlign w:val="superscript"/>
              </w:rPr>
              <w:t>(2)</w:t>
            </w:r>
          </w:p>
        </w:tc>
        <w:tc>
          <w:tcPr>
            <w:tcW w:w="22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80" w:type="dxa"/>
            <w:vAlign w:val="bottom"/>
            <w:gridSpan w:val="2"/>
          </w:tcPr>
          <w:p>
            <w:pPr>
              <w:ind w:left="160"/>
              <w:spacing w:after="0"/>
              <w:rPr>
                <w:sz w:val="20"/>
                <w:szCs w:val="20"/>
                <w:color w:val="auto"/>
              </w:rPr>
            </w:pPr>
            <w:r>
              <w:rPr>
                <w:rFonts w:ascii="Arial" w:cs="Arial" w:eastAsia="Arial" w:hAnsi="Arial"/>
                <w:sz w:val="18"/>
                <w:szCs w:val="18"/>
                <w:color w:val="auto"/>
              </w:rPr>
              <w:t>Common equity tier 1 capital ratio</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9.91</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9.91</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78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Tier 1 leverage ratio</w:t>
            </w:r>
          </w:p>
        </w:tc>
        <w:tc>
          <w:tcPr>
            <w:tcW w:w="22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80" w:type="dxa"/>
            <w:vAlign w:val="bottom"/>
            <w:gridSpan w:val="2"/>
          </w:tcPr>
          <w:p>
            <w:pPr>
              <w:ind w:left="160"/>
              <w:spacing w:after="0"/>
              <w:rPr>
                <w:sz w:val="20"/>
                <w:szCs w:val="20"/>
                <w:color w:val="auto"/>
              </w:rPr>
            </w:pPr>
            <w:r>
              <w:rPr>
                <w:rFonts w:ascii="Arial" w:cs="Arial" w:eastAsia="Arial" w:hAnsi="Arial"/>
                <w:sz w:val="18"/>
                <w:szCs w:val="18"/>
                <w:color w:val="auto"/>
              </w:rPr>
              <w:t>Tier 1 risk-based capital ratio</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11.98</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11.98</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78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risk-based capital ratio</w:t>
            </w:r>
          </w:p>
        </w:tc>
        <w:tc>
          <w:tcPr>
            <w:tcW w:w="22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4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47" w:right="320" w:hanging="347"/>
        <w:spacing w:after="0" w:line="273" w:lineRule="auto"/>
        <w:tabs>
          <w:tab w:leader="none" w:pos="347" w:val="left"/>
        </w:tabs>
        <w:numPr>
          <w:ilvl w:val="0"/>
          <w:numId w:val="27"/>
        </w:numPr>
        <w:rPr>
          <w:rFonts w:ascii="Arial" w:cs="Arial" w:eastAsia="Arial" w:hAnsi="Arial"/>
          <w:sz w:val="14"/>
          <w:szCs w:val="14"/>
          <w:color w:val="auto"/>
        </w:rPr>
      </w:pPr>
      <w:r>
        <w:rPr>
          <w:rFonts w:ascii="Arial" w:cs="Arial" w:eastAsia="Arial" w:hAnsi="Arial"/>
          <w:sz w:val="14"/>
          <w:szCs w:val="14"/>
          <w:color w:val="auto"/>
        </w:rPr>
        <w:t>For purposes of capitalization, trust preferred securities are used rather than junior subordinated deferrable interest debentures which is in accordance with capitalization requirements.</w:t>
      </w:r>
    </w:p>
    <w:p>
      <w:pPr>
        <w:spacing w:after="0" w:line="65" w:lineRule="exact"/>
        <w:rPr>
          <w:rFonts w:ascii="Arial" w:cs="Arial" w:eastAsia="Arial" w:hAnsi="Arial"/>
          <w:sz w:val="14"/>
          <w:szCs w:val="14"/>
          <w:color w:val="auto"/>
        </w:rPr>
      </w:pPr>
    </w:p>
    <w:p>
      <w:pPr>
        <w:jc w:val="both"/>
        <w:ind w:left="347" w:right="80" w:hanging="347"/>
        <w:spacing w:after="0" w:line="257" w:lineRule="auto"/>
        <w:tabs>
          <w:tab w:leader="none" w:pos="347"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Represents a non-GAAP financial measure. We did not have any goodwill or other intangible assets as of the years ended December 31, 2014 to 2018. See our reconciliation of non-GAAP financial measures to their most directly comparable GAAP financial measures under the caption “Management’s Discussion and Analysis of Financial Condition and Results of Operations—Non-GAAP Financial Measures.”</w:t>
      </w:r>
    </w:p>
    <w:p>
      <w:pPr>
        <w:spacing w:after="0" w:line="176"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53" w:name="page54"/>
    <w:bookmarkEnd w:id="53"/>
    <w:p>
      <w:pPr>
        <w:ind w:left="7"/>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DILUTION</w:t>
      </w:r>
    </w:p>
    <w:p>
      <w:pPr>
        <w:spacing w:after="0" w:line="121" w:lineRule="exact"/>
        <w:rPr>
          <w:sz w:val="20"/>
          <w:szCs w:val="20"/>
          <w:color w:val="auto"/>
        </w:rPr>
      </w:pPr>
    </w:p>
    <w:p>
      <w:pPr>
        <w:ind w:left="7" w:right="40" w:firstLine="360"/>
        <w:spacing w:after="0" w:line="272" w:lineRule="auto"/>
        <w:rPr>
          <w:sz w:val="20"/>
          <w:szCs w:val="20"/>
          <w:color w:val="auto"/>
        </w:rPr>
      </w:pPr>
      <w:r>
        <w:rPr>
          <w:rFonts w:ascii="Arial" w:cs="Arial" w:eastAsia="Arial" w:hAnsi="Arial"/>
          <w:sz w:val="17"/>
          <w:szCs w:val="17"/>
          <w:color w:val="auto"/>
        </w:rPr>
        <w:t>If you purchase shares of our common stock in this offering, your ownership interest will be diluted to the extent the public offering price per share exceeds our tangible book value per share immediately following this offering. Tangible book value per share is equal to our total shareholders’ equity less goodwill and other intangible assets, divided by the number of shares of our common stock outstanding at the end of the relevant period. Tangible book value per share is a non-GAAP financial measure. The most directly comparable GAAP financial measure is book value per share. See our reconciliation of non-GAAP financial measures to their most directly comparable GAAP financial measures under the caption “Management’s Discussion and Analysis of Financial Condition and Results of Operations—Non-GAAP Financial Measures.”</w:t>
      </w:r>
    </w:p>
    <w:p>
      <w:pPr>
        <w:spacing w:after="0" w:line="70" w:lineRule="exact"/>
        <w:rPr>
          <w:sz w:val="20"/>
          <w:szCs w:val="20"/>
          <w:color w:val="auto"/>
        </w:rPr>
      </w:pPr>
    </w:p>
    <w:p>
      <w:pPr>
        <w:ind w:left="7" w:right="120" w:firstLine="360"/>
        <w:spacing w:after="0" w:line="272" w:lineRule="auto"/>
        <w:rPr>
          <w:sz w:val="20"/>
          <w:szCs w:val="20"/>
          <w:color w:val="auto"/>
        </w:rPr>
      </w:pPr>
      <w:r>
        <w:rPr>
          <w:rFonts w:ascii="Arial" w:cs="Arial" w:eastAsia="Arial" w:hAnsi="Arial"/>
          <w:sz w:val="17"/>
          <w:szCs w:val="17"/>
          <w:color w:val="auto"/>
        </w:rPr>
        <w:t>After giving effect to the ESOP Repurchase Right Termination and our sale of 2,700,000 shares in this offering at an assumed initial public offering price of $18.50 per share, the midpoint of the price range set forth on the cover page of this prospectus, and after deducting estimated underwriting discounts and offering expenses payable by us, the pro forma tangible book value of our common stock as of December 31, 2018 would have been approximately $258.4 million, or $14.79 per share. Therefore, under those assumptions this offering would result in an immediate increase of $0.39 in the tangible book value to our existing shareholders and immediate dilution of $3.71 in the tangible book value per share to investors purchasing shares in this offering, or approximately 20.1% of the public offering price of $18.50 per share.</w:t>
      </w:r>
    </w:p>
    <w:p>
      <w:pPr>
        <w:spacing w:after="0" w:line="70" w:lineRule="exact"/>
        <w:rPr>
          <w:sz w:val="20"/>
          <w:szCs w:val="20"/>
          <w:color w:val="auto"/>
        </w:rPr>
      </w:pPr>
    </w:p>
    <w:tbl>
      <w:tblPr>
        <w:tblLayout w:type="fixed"/>
        <w:tblInd w:w="7"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The following table illustrates this per share dilution.</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858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Assumed public offering price per share</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18.50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580" w:type="dxa"/>
            <w:vAlign w:val="bottom"/>
          </w:tcPr>
          <w:p>
            <w:pPr>
              <w:ind w:left="160"/>
              <w:spacing w:after="0"/>
              <w:rPr>
                <w:sz w:val="20"/>
                <w:szCs w:val="20"/>
                <w:color w:val="auto"/>
              </w:rPr>
            </w:pPr>
            <w:r>
              <w:rPr>
                <w:rFonts w:ascii="Arial" w:cs="Arial" w:eastAsia="Arial" w:hAnsi="Arial"/>
                <w:sz w:val="18"/>
                <w:szCs w:val="18"/>
                <w:color w:val="auto"/>
                <w:w w:val="91"/>
              </w:rPr>
              <w:t>Tangible book value per share at December 31, 2018 after giving effect to the ESOP Repurchase Right Termination</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14.40</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tangible book value per share attributable to this offering</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As adjusted tangible book value per share after this offering and the ESOP Repurchase Right Termination</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Dilution in tangible book value per share to new investors</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7" w:right="40" w:firstLine="360"/>
        <w:spacing w:after="0" w:line="289" w:lineRule="auto"/>
        <w:rPr>
          <w:sz w:val="20"/>
          <w:szCs w:val="20"/>
          <w:color w:val="auto"/>
        </w:rPr>
      </w:pPr>
      <w:r>
        <w:rPr>
          <w:rFonts w:ascii="Arial" w:cs="Arial" w:eastAsia="Arial" w:hAnsi="Arial"/>
          <w:sz w:val="16"/>
          <w:szCs w:val="16"/>
          <w:color w:val="auto"/>
        </w:rPr>
        <w:t>A $1.00 increase (or decrease) in the assumed initial public offering price of $18.50 per share, which is the midpoint of the price range set forth on the cover page of this prospectus, would increase (or decrease) the as adjusted tangible book value per share after this offering by approximately $0.14, and dilution in tangible book value per share to new investors by approximately $0.86, assuming that the number of shares offered by us, as set forth on the cover page of this prospectus, remains the same and after deducting estimated underwriting discounts and commissions and estimated offering expenses payable by us. If the underwriters exercise in full their option to purchase additional shares of common stock from us in this offering, the as adjusted tangible book value after this offering would be $14.86 per share, the increase in net tangible book value to existing shareholders would be $0.46 per share and the dilution to new investors would be $3.64 per share, in each case assuming an initial public offering price of $18.50 per share, which is the midpoint of the price range set forth on the cover page of this prospectus.</w:t>
      </w:r>
    </w:p>
    <w:p>
      <w:pPr>
        <w:spacing w:after="0" w:line="59" w:lineRule="exact"/>
        <w:rPr>
          <w:sz w:val="20"/>
          <w:szCs w:val="20"/>
          <w:color w:val="auto"/>
        </w:rPr>
      </w:pPr>
    </w:p>
    <w:p>
      <w:pPr>
        <w:ind w:left="7" w:right="60" w:firstLine="360"/>
        <w:spacing w:after="0" w:line="257" w:lineRule="auto"/>
        <w:rPr>
          <w:sz w:val="20"/>
          <w:szCs w:val="20"/>
          <w:color w:val="auto"/>
        </w:rPr>
      </w:pPr>
      <w:r>
        <w:rPr>
          <w:rFonts w:ascii="Arial" w:cs="Arial" w:eastAsia="Arial" w:hAnsi="Arial"/>
          <w:sz w:val="18"/>
          <w:szCs w:val="18"/>
          <w:color w:val="auto"/>
        </w:rPr>
        <w:t>The following table summarizes the total consideration paid to us and the average price paid per share by existing shareholders and investors purchasing common stock in this offering. This information is presented on a pro forma basis as of December 31, 2018, after giving effect to our sale of 2,700,000 shares of common stock in this offering, assuming that the underwriters do not exercise their option to purchase additional shares, at an initial public offering price of $18.50 per share, which is the midpoint of the price range on the cover of this prospectus.</w:t>
      </w:r>
    </w:p>
    <w:p>
      <w:pPr>
        <w:spacing w:after="0" w:line="45"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40" w:type="dxa"/>
            <w:vAlign w:val="bottom"/>
            <w:gridSpan w:val="7"/>
            <w:vMerge w:val="restart"/>
          </w:tcPr>
          <w:p>
            <w:pPr>
              <w:ind w:left="260"/>
              <w:spacing w:after="0"/>
              <w:rPr>
                <w:sz w:val="20"/>
                <w:szCs w:val="20"/>
                <w:color w:val="auto"/>
              </w:rPr>
            </w:pPr>
            <w:r>
              <w:rPr>
                <w:rFonts w:ascii="Arial" w:cs="Arial" w:eastAsia="Arial" w:hAnsi="Arial"/>
                <w:sz w:val="14"/>
                <w:szCs w:val="14"/>
                <w:b w:val="1"/>
                <w:bCs w:val="1"/>
                <w:color w:val="auto"/>
              </w:rPr>
              <w:t>Shares Purchased/Issued</w:t>
            </w:r>
          </w:p>
        </w:tc>
        <w:tc>
          <w:tcPr>
            <w:tcW w:w="2040" w:type="dxa"/>
            <w:vAlign w:val="bottom"/>
            <w:gridSpan w:val="8"/>
            <w:vMerge w:val="restart"/>
          </w:tcPr>
          <w:p>
            <w:pPr>
              <w:jc w:val="right"/>
              <w:ind w:right="560"/>
              <w:spacing w:after="0"/>
              <w:rPr>
                <w:sz w:val="20"/>
                <w:szCs w:val="20"/>
                <w:color w:val="auto"/>
              </w:rPr>
            </w:pPr>
            <w:r>
              <w:rPr>
                <w:rFonts w:ascii="Arial" w:cs="Arial" w:eastAsia="Arial" w:hAnsi="Arial"/>
                <w:sz w:val="14"/>
                <w:szCs w:val="14"/>
                <w:b w:val="1"/>
                <w:bCs w:val="1"/>
                <w:color w:val="auto"/>
              </w:rPr>
              <w:t>Total Consideration</w:t>
            </w: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63"/>
        </w:trPr>
        <w:tc>
          <w:tcPr>
            <w:tcW w:w="1440" w:type="dxa"/>
            <w:vAlign w:val="bottom"/>
          </w:tcPr>
          <w:p>
            <w:pPr>
              <w:spacing w:after="0"/>
              <w:rPr>
                <w:sz w:val="5"/>
                <w:szCs w:val="5"/>
                <w:color w:val="auto"/>
              </w:rPr>
            </w:pPr>
          </w:p>
        </w:tc>
        <w:tc>
          <w:tcPr>
            <w:tcW w:w="30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40" w:type="dxa"/>
            <w:vAlign w:val="bottom"/>
            <w:gridSpan w:val="7"/>
            <w:vMerge w:val="continue"/>
          </w:tcPr>
          <w:p>
            <w:pPr>
              <w:spacing w:after="0"/>
              <w:rPr>
                <w:sz w:val="5"/>
                <w:szCs w:val="5"/>
                <w:color w:val="auto"/>
              </w:rPr>
            </w:pPr>
          </w:p>
        </w:tc>
        <w:tc>
          <w:tcPr>
            <w:tcW w:w="2040" w:type="dxa"/>
            <w:vAlign w:val="bottom"/>
            <w:gridSpan w:val="8"/>
            <w:vMerge w:val="continue"/>
          </w:tcPr>
          <w:p>
            <w:pPr>
              <w:spacing w:after="0"/>
              <w:rPr>
                <w:sz w:val="5"/>
                <w:szCs w:val="5"/>
                <w:color w:val="auto"/>
              </w:rPr>
            </w:pPr>
          </w:p>
        </w:tc>
        <w:tc>
          <w:tcPr>
            <w:tcW w:w="7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Price per</w:t>
            </w:r>
          </w:p>
        </w:tc>
        <w:tc>
          <w:tcPr>
            <w:tcW w:w="0" w:type="dxa"/>
            <w:vAlign w:val="bottom"/>
          </w:tcPr>
          <w:p>
            <w:pPr>
              <w:spacing w:after="0"/>
              <w:rPr>
                <w:sz w:val="1"/>
                <w:szCs w:val="1"/>
                <w:color w:val="auto"/>
              </w:rPr>
            </w:pPr>
          </w:p>
        </w:tc>
      </w:tr>
      <w:tr>
        <w:trPr>
          <w:trHeight w:val="79"/>
        </w:trPr>
        <w:tc>
          <w:tcPr>
            <w:tcW w:w="1440" w:type="dxa"/>
            <w:vAlign w:val="bottom"/>
          </w:tcPr>
          <w:p>
            <w:pPr>
              <w:spacing w:after="0"/>
              <w:rPr>
                <w:sz w:val="6"/>
                <w:szCs w:val="6"/>
                <w:color w:val="auto"/>
              </w:rPr>
            </w:pPr>
          </w:p>
        </w:tc>
        <w:tc>
          <w:tcPr>
            <w:tcW w:w="3040" w:type="dxa"/>
            <w:vAlign w:val="bottom"/>
          </w:tcPr>
          <w:p>
            <w:pPr>
              <w:spacing w:after="0"/>
              <w:rPr>
                <w:sz w:val="6"/>
                <w:szCs w:val="6"/>
                <w:color w:val="auto"/>
              </w:rPr>
            </w:pPr>
          </w:p>
        </w:tc>
        <w:tc>
          <w:tcPr>
            <w:tcW w:w="20" w:type="dxa"/>
            <w:vAlign w:val="bottom"/>
          </w:tcPr>
          <w:p>
            <w:pPr>
              <w:spacing w:after="0"/>
              <w:rPr>
                <w:sz w:val="6"/>
                <w:szCs w:val="6"/>
                <w:color w:val="auto"/>
              </w:rPr>
            </w:pPr>
          </w:p>
        </w:tc>
        <w:tc>
          <w:tcPr>
            <w:tcW w:w="114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14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Percent</w:t>
            </w:r>
          </w:p>
        </w:tc>
        <w:tc>
          <w:tcPr>
            <w:tcW w:w="180" w:type="dxa"/>
            <w:vAlign w:val="bottom"/>
            <w:gridSpan w:val="2"/>
          </w:tcPr>
          <w:p>
            <w:pPr>
              <w:spacing w:after="0"/>
              <w:rPr>
                <w:sz w:val="14"/>
                <w:szCs w:val="14"/>
                <w:color w:val="auto"/>
              </w:rPr>
            </w:pPr>
          </w:p>
        </w:tc>
        <w:tc>
          <w:tcPr>
            <w:tcW w:w="9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Percent</w:t>
            </w:r>
          </w:p>
        </w:tc>
        <w:tc>
          <w:tcPr>
            <w:tcW w:w="180" w:type="dxa"/>
            <w:vAlign w:val="bottom"/>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Share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4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140" w:type="dxa"/>
            <w:vAlign w:val="bottom"/>
            <w:gridSpan w:val="14"/>
          </w:tcPr>
          <w:p>
            <w:pPr>
              <w:jc w:val="right"/>
              <w:ind w:right="400"/>
              <w:spacing w:after="0"/>
              <w:rPr>
                <w:sz w:val="20"/>
                <w:szCs w:val="20"/>
                <w:color w:val="auto"/>
              </w:rPr>
            </w:pPr>
            <w:r>
              <w:rPr>
                <w:rFonts w:ascii="Arial" w:cs="Arial" w:eastAsia="Arial" w:hAnsi="Arial"/>
                <w:sz w:val="14"/>
                <w:szCs w:val="14"/>
                <w:b w:val="1"/>
                <w:bCs w:val="1"/>
                <w:color w:val="auto"/>
                <w:w w:val="90"/>
              </w:rPr>
              <w:t>(Dollars in thousands, except per share data)</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Shareholders as of December 31, 2018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14,771,520</w:t>
            </w:r>
          </w:p>
        </w:tc>
        <w:tc>
          <w:tcPr>
            <w:tcW w:w="10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84.5%</w:t>
            </w:r>
          </w:p>
        </w:tc>
        <w:tc>
          <w:tcPr>
            <w:tcW w:w="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6"/>
              </w:rPr>
              <w:t>$ 95,184</w:t>
            </w:r>
            <w:r>
              <w:rPr>
                <w:rFonts w:ascii="Arial" w:cs="Arial" w:eastAsia="Arial" w:hAnsi="Arial"/>
                <w:sz w:val="14"/>
                <w:szCs w:val="14"/>
                <w:color w:val="auto"/>
                <w:w w:val="96"/>
              </w:rPr>
              <w:t>(1)</w:t>
            </w:r>
          </w:p>
        </w:tc>
        <w:tc>
          <w:tcPr>
            <w:tcW w:w="114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65.6% $</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80" w:type="dxa"/>
            <w:vAlign w:val="bottom"/>
            <w:gridSpan w:val="2"/>
          </w:tcPr>
          <w:p>
            <w:pPr>
              <w:spacing w:after="0"/>
              <w:rPr>
                <w:sz w:val="20"/>
                <w:szCs w:val="20"/>
                <w:color w:val="auto"/>
              </w:rPr>
            </w:pPr>
            <w:r>
              <w:rPr>
                <w:rFonts w:ascii="Arial" w:cs="Arial" w:eastAsia="Arial" w:hAnsi="Arial"/>
                <w:sz w:val="18"/>
                <w:szCs w:val="18"/>
                <w:color w:val="auto"/>
              </w:rPr>
              <w:t>New investors in this offering</w:t>
            </w:r>
          </w:p>
        </w:tc>
        <w:tc>
          <w:tcPr>
            <w:tcW w:w="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2,700,000</w:t>
            </w:r>
          </w:p>
        </w:tc>
        <w:tc>
          <w:tcPr>
            <w:tcW w:w="160" w:type="dxa"/>
            <w:vAlign w:val="bottom"/>
          </w:tcPr>
          <w:p>
            <w:pPr>
              <w:spacing w:after="0"/>
              <w:rPr>
                <w:sz w:val="20"/>
                <w:szCs w:val="20"/>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49,950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17,471,520</w:t>
            </w:r>
          </w:p>
        </w:tc>
        <w:tc>
          <w:tcPr>
            <w:tcW w:w="10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145,134</w:t>
            </w:r>
          </w:p>
        </w:tc>
        <w:tc>
          <w:tcPr>
            <w:tcW w:w="200" w:type="dxa"/>
            <w:vAlign w:val="bottom"/>
            <w:shd w:val="clear" w:color="auto" w:fill="CCEEFF"/>
          </w:tcPr>
          <w:p>
            <w:pPr>
              <w:spacing w:after="0"/>
              <w:rPr>
                <w:sz w:val="24"/>
                <w:szCs w:val="24"/>
                <w:color w:val="auto"/>
              </w:rPr>
            </w:pPr>
          </w:p>
        </w:tc>
        <w:tc>
          <w:tcPr>
            <w:tcW w:w="10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440" w:type="dxa"/>
            <w:vAlign w:val="bottom"/>
            <w:tcBorders>
              <w:top w:val="single" w:sz="8" w:color="CCEEFF"/>
              <w:bottom w:val="single" w:sz="8" w:color="auto"/>
            </w:tcBorders>
          </w:tcPr>
          <w:p>
            <w:pPr>
              <w:spacing w:after="0"/>
              <w:rPr>
                <w:sz w:val="15"/>
                <w:szCs w:val="15"/>
                <w:color w:val="auto"/>
              </w:rPr>
            </w:pPr>
          </w:p>
        </w:tc>
        <w:tc>
          <w:tcPr>
            <w:tcW w:w="3040" w:type="dxa"/>
            <w:vAlign w:val="bottom"/>
            <w:tcBorders>
              <w:top w:val="single" w:sz="8" w:color="CCEEFF"/>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47" w:hanging="347"/>
        <w:spacing w:after="0"/>
        <w:tabs>
          <w:tab w:leader="none" w:pos="347" w:val="left"/>
        </w:tabs>
        <w:numPr>
          <w:ilvl w:val="0"/>
          <w:numId w:val="28"/>
        </w:numPr>
        <w:rPr>
          <w:rFonts w:ascii="Arial" w:cs="Arial" w:eastAsia="Arial" w:hAnsi="Arial"/>
          <w:sz w:val="14"/>
          <w:szCs w:val="14"/>
          <w:color w:val="auto"/>
        </w:rPr>
      </w:pPr>
      <w:r>
        <w:rPr>
          <w:rFonts w:ascii="Arial" w:cs="Arial" w:eastAsia="Arial" w:hAnsi="Arial"/>
          <w:sz w:val="14"/>
          <w:szCs w:val="14"/>
          <w:color w:val="auto"/>
        </w:rPr>
        <w:t>Calculated as $14,772,000 in common stock plus $80,412,000 in additional paid-in capital.</w:t>
      </w:r>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20" w:firstLine="360"/>
        <w:spacing w:after="0" w:line="259" w:lineRule="auto"/>
        <w:rPr>
          <w:sz w:val="20"/>
          <w:szCs w:val="20"/>
          <w:color w:val="auto"/>
        </w:rPr>
      </w:pPr>
      <w:r>
        <w:rPr>
          <w:rFonts w:ascii="Arial" w:cs="Arial" w:eastAsia="Arial" w:hAnsi="Arial"/>
          <w:sz w:val="18"/>
          <w:szCs w:val="18"/>
          <w:color w:val="auto"/>
        </w:rPr>
        <w:t>Sales by the selling shareholder in this offering will cause the number of shares held by existing shareholders to be reduced to 14,091,520, or 80.7% of the total number of shares of our common stock outstanding following the completion of this offering, and will increase the number of shares held by new investors to 3,380,000, or 19.3% of the total number of shares outstanding following the completion of this offering.</w:t>
      </w:r>
    </w:p>
    <w:p>
      <w:pPr>
        <w:spacing w:after="0" w:line="79"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After giving effect to the sale of shares in this offering by the selling shareholder and us, if the underwriters’ option to purchase additional shares is exercised in full, our existing shareholders would own approximately 78.4% and our new investors would own approximately 21.6% of the total number of shares of our common stock after this offering.</w:t>
      </w:r>
    </w:p>
    <w:p>
      <w:pPr>
        <w:spacing w:after="0" w:line="73"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The tables above exclude 2,300,000 shares of our common stock reserved for issuance under the 2019 Plan, which was adopted earlier this year. To the extent that we issue shares of our common stock upon the exercise of any options issued under the 2019 Plan, 1,411,342 of which were outstanding as of April 12, 2019, investors participating in this offering will experience further dilution.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OUR COMMON STOCK</w:t>
      </w:r>
    </w:p>
    <w:p>
      <w:pPr>
        <w:spacing w:after="0" w:line="121"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Prior to this offering, our common stock has not been traded on an established public trading market and quotations for our common stock were not reported on any market. As a result, there has been no regular trading market for our common stock. Although our shares may have been sporadically traded in private transactions, the prices at which such transactions occurred may not necessarily reflect the price that would be paid for our common stock in an active market. As of April 12, 2019, there were 120 holders of record of our common stock.</w:t>
      </w:r>
    </w:p>
    <w:p>
      <w:pPr>
        <w:spacing w:after="0" w:line="80"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We anticipate that this offering and the listing of our common stock on the NASDAQ Global Select Market will result in a more active trading market for our common stock. However, we cannot assure you that a liquid trading market for our common stock will develop or be sustained after this offering. You may not be able to sell your shares quickly or at the market price if trading in our common stock is not active. See “Underwriting” for more information regarding our arrangements with the underwriters and the factors considered in setting the initial public offering price.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88"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“Selected Historical Consolidated Financial and Operating Information” and our consolidated financial statements and related notes included elsewhere in this prospectus. This discussion and analysis contains forward-looking statements that involve risks, uncertainties and assumptions. Certain risks, uncertainties and other factors, including but not limited to those set forth under “Cautionary Note Regarding Forward-Looking Statements,” “Risk Factors” and elsewhere in this prospectus, may cause actual results to differ materially from those projected in the forward-looking statements. We assume no obligation to update any of these forward-looking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20" w:firstLine="360"/>
        <w:spacing w:after="0" w:line="255" w:lineRule="auto"/>
        <w:rPr>
          <w:sz w:val="20"/>
          <w:szCs w:val="20"/>
          <w:color w:val="auto"/>
        </w:rPr>
      </w:pPr>
      <w:r>
        <w:rPr>
          <w:rFonts w:ascii="Arial" w:cs="Arial" w:eastAsia="Arial" w:hAnsi="Arial"/>
          <w:sz w:val="18"/>
          <w:szCs w:val="18"/>
          <w:color w:val="auto"/>
        </w:rPr>
        <w:t>We are a bank holding company headquartered in Lubbock, Texas, and our wholly-owned subsidiary, City Bank, is one of the largest independent banks in West Texas. We have additional banking operations in the Dallas-Fort Worth-Arlington and El Paso MSAs, as well as in the Greater Houston, College Station, and Ruidoso and Eastern New Mexico markets. Through City Bank, we provide a wide range of commercial and consumer financial services to small and medium-sized businesses and individuals in our market areas. Our principal business activities include commercial and retail banking, along with insurance, investment, trust and mortgage services.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Subchapter S Corporation Status</w:t>
      </w:r>
    </w:p>
    <w:p>
      <w:pPr>
        <w:spacing w:after="0" w:line="121"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color w:val="auto"/>
        </w:rPr>
        <w:t>Beginning January 1, 1998, the Company elected to be taxed for U.S. federal income tax purposes as an S Corporation under the provisions of Sections 1361 to 1379 of the Internal Revenue Code of 1986, as amended, or the Code. While we were an S Corporation, our net income was not subject to, and we did not pay, U.S. federal income tax, and no provision or liability for U.S. federal income tax was included in our consolidated financial statements. Instead, for U.S. federal income tax purposes our taxable income was “passed through” to our shareholders.</w:t>
      </w:r>
    </w:p>
    <w:p>
      <w:pPr>
        <w:spacing w:after="0" w:line="80" w:lineRule="exact"/>
        <w:rPr>
          <w:sz w:val="20"/>
          <w:szCs w:val="20"/>
          <w:color w:val="auto"/>
        </w:rPr>
      </w:pPr>
    </w:p>
    <w:p>
      <w:pPr>
        <w:ind w:right="300" w:firstLine="360"/>
        <w:spacing w:after="0" w:line="312" w:lineRule="auto"/>
        <w:rPr>
          <w:sz w:val="20"/>
          <w:szCs w:val="20"/>
          <w:color w:val="auto"/>
        </w:rPr>
      </w:pPr>
      <w:r>
        <w:rPr>
          <w:rFonts w:ascii="Arial" w:cs="Arial" w:eastAsia="Arial" w:hAnsi="Arial"/>
          <w:sz w:val="16"/>
          <w:szCs w:val="16"/>
          <w:color w:val="auto"/>
        </w:rPr>
        <w:t>Effective May 31, 2018, the Company revoked its election to be taxed as an S Corporation, we became taxed as a C Corporation under the provisions of Sections 301 to 385 of the Code, and we established a deferred tax asset to reflect the S Corporation revocation. Thus, our net income is now subject to U.S. federal income tax and we bear the liability for those taxes.</w:t>
      </w:r>
    </w:p>
    <w:p>
      <w:pPr>
        <w:spacing w:after="0" w:line="39"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As a result of the revocation of our S Corporation election, the net income and earnings per share data presented in our historical financial statements for the years ended December 31, 2014, 2015, 2016 and 2017, which do not include any provision for federal income taxes, will not be comparable with our historical financial statements for the year ended December 31, 2018, or our future net income and earnings per share, which will be calculated by including a provision for federal income taxes. We had no federal income tax expense for the first five months of 2018. Unless otherwise stated, all information in this prospectus, including consolidated net income, return on average assets, return on average shareholders’ equity and earnings per share, is presented as if we had converted from an S Corporation to a C Corporation at the beginning of each respective period using a statutory tax rate for federal income taxes of 35.0% prior to January 1, 2018 and 21.0% after January 1, 2018.</w:t>
      </w:r>
    </w:p>
    <w:p>
      <w:pPr>
        <w:spacing w:after="0" w:line="71"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While we were an S Corporation, our shareholders were subject to a shareholder agreement that was intended to preserve our S Corporation status, which we amended and restated when we became a C Corporation. At the 2019 annual meeting of shareholders, our shareholders approved the termination of that shareholder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121"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color w:val="auto"/>
        </w:rPr>
        <w:t>We had net income of $20.8 million for the year ended December 31, 2018, compared to net income of $17.6 million for the year ended December 31, 2017. Return on average equity was 9.66% and return on average assets was 0.79% for the year ended December 31, 2018, compared to 8.48% and 0.69%, respectively, for the year ended December 31, 2017. Net income increased by $3.2 million for the year ended December 31, 2018 compared to 2017. This increase was primarily the result of an increase of $7.1 million in net interest income, an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57" w:name="page58"/>
    <w:bookmarkEnd w:id="57"/>
    <w:p>
      <w:pPr>
        <w:ind w:left="7"/>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 w:right="220"/>
        <w:spacing w:after="0" w:line="277" w:lineRule="auto"/>
        <w:rPr>
          <w:sz w:val="20"/>
          <w:szCs w:val="20"/>
          <w:color w:val="auto"/>
        </w:rPr>
      </w:pPr>
      <w:r>
        <w:rPr>
          <w:rFonts w:ascii="Arial" w:cs="Arial" w:eastAsia="Arial" w:hAnsi="Arial"/>
          <w:sz w:val="18"/>
          <w:szCs w:val="18"/>
          <w:color w:val="auto"/>
        </w:rPr>
        <w:t>increase of $4.7 million in noninterest income, and a decrease of $1.6 million in income tax expense, offset by an increase of $2.9 million in the provision for loan losses and an increase of $7.3 million in noninterest expense.</w:t>
      </w:r>
    </w:p>
    <w:p>
      <w:pPr>
        <w:spacing w:after="0" w:line="62" w:lineRule="exact"/>
        <w:rPr>
          <w:sz w:val="20"/>
          <w:szCs w:val="20"/>
          <w:color w:val="auto"/>
        </w:rPr>
      </w:pPr>
    </w:p>
    <w:p>
      <w:pPr>
        <w:ind w:left="7" w:right="20" w:firstLine="360"/>
        <w:spacing w:after="0" w:line="293" w:lineRule="auto"/>
        <w:rPr>
          <w:sz w:val="20"/>
          <w:szCs w:val="20"/>
          <w:color w:val="auto"/>
        </w:rPr>
      </w:pPr>
      <w:r>
        <w:rPr>
          <w:rFonts w:ascii="Arial" w:cs="Arial" w:eastAsia="Arial" w:hAnsi="Arial"/>
          <w:sz w:val="16"/>
          <w:szCs w:val="16"/>
          <w:color w:val="auto"/>
        </w:rPr>
        <w:t>Our total assets increased $139.4 million, or 5.4%, to $2.7 billion at December 31, 2018 as compared to $2.6 billion at December 31, 2017. The increase in total assets was primarily the result of our organic loan growth. Our gross loans held for investment increased $119.0 million, or 6.5%, to $2.0 billion at December 31, 2018, compared to $1.8 billion at December 31, 2017. Our securities portfolio increased $54.1 million, or 19.0%, to $338.2 million at December 31, 2018, compared to $284.1 million at December 31, 2017. Total deposits increased $123.4 million, or 5.7% to $2.3 billion at December 31, 2018, compared to $2.2 billion at December 31, 2017. This increase in deposits was used to help fund our growth in loans held for investment.</w:t>
      </w:r>
    </w:p>
    <w:p>
      <w:pPr>
        <w:spacing w:after="0" w:line="161"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Pro Forma Income Tax Expense and Net Income</w:t>
      </w:r>
    </w:p>
    <w:p>
      <w:pPr>
        <w:spacing w:after="0" w:line="121" w:lineRule="exact"/>
        <w:rPr>
          <w:sz w:val="20"/>
          <w:szCs w:val="20"/>
          <w:color w:val="auto"/>
        </w:rPr>
      </w:pPr>
    </w:p>
    <w:p>
      <w:pPr>
        <w:ind w:left="367"/>
        <w:spacing w:after="0"/>
        <w:rPr>
          <w:sz w:val="20"/>
          <w:szCs w:val="20"/>
          <w:color w:val="auto"/>
        </w:rPr>
      </w:pPr>
      <w:r>
        <w:rPr>
          <w:rFonts w:ascii="Arial" w:cs="Arial" w:eastAsia="Arial" w:hAnsi="Arial"/>
          <w:sz w:val="16"/>
          <w:szCs w:val="16"/>
          <w:color w:val="auto"/>
        </w:rPr>
        <w:t>As a result of our prior status as an S Corporation, we had no U.S. federal income tax expense for the year ended December 31,</w:t>
      </w:r>
    </w:p>
    <w:p>
      <w:pPr>
        <w:spacing w:after="0" w:line="46" w:lineRule="exact"/>
        <w:rPr>
          <w:sz w:val="20"/>
          <w:szCs w:val="20"/>
          <w:color w:val="auto"/>
        </w:rPr>
      </w:pPr>
    </w:p>
    <w:p>
      <w:pPr>
        <w:ind w:left="7"/>
        <w:spacing w:after="0"/>
        <w:rPr>
          <w:sz w:val="20"/>
          <w:szCs w:val="20"/>
          <w:color w:val="auto"/>
        </w:rPr>
      </w:pPr>
      <w:r>
        <w:rPr>
          <w:rFonts w:ascii="Arial" w:cs="Arial" w:eastAsia="Arial" w:hAnsi="Arial"/>
          <w:sz w:val="16"/>
          <w:szCs w:val="16"/>
          <w:color w:val="auto"/>
        </w:rPr>
        <w:t>2017 and the first five months of 2018. The pro forma impact of being taxed as a C Corporation is illustrated in the following table:</w:t>
      </w:r>
    </w:p>
    <w:p>
      <w:pPr>
        <w:spacing w:after="0" w:line="90"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(Dollars in thousands)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 Corporation</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20" w:type="dxa"/>
            <w:vAlign w:val="bottom"/>
            <w:gridSpan w:val="2"/>
          </w:tcPr>
          <w:p>
            <w:pPr>
              <w:ind w:left="160"/>
              <w:spacing w:after="0" w:line="243" w:lineRule="exact"/>
              <w:rPr>
                <w:sz w:val="20"/>
                <w:szCs w:val="20"/>
                <w:color w:val="auto"/>
              </w:rPr>
            </w:pPr>
            <w:r>
              <w:rPr>
                <w:rFonts w:ascii="Arial" w:cs="Arial" w:eastAsia="Arial" w:hAnsi="Arial"/>
                <w:sz w:val="17"/>
                <w:szCs w:val="17"/>
                <w:color w:val="auto"/>
              </w:rPr>
              <w:t>Net income</w:t>
            </w:r>
            <w:r>
              <w:rPr>
                <w:rFonts w:ascii="Arial" w:cs="Arial" w:eastAsia="Arial" w:hAnsi="Arial"/>
                <w:sz w:val="28"/>
                <w:szCs w:val="28"/>
                <w:color w:val="auto"/>
                <w:vertAlign w:val="superscript"/>
              </w:rPr>
              <w:t>(1)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29,290</w:t>
            </w:r>
          </w:p>
        </w:tc>
        <w:tc>
          <w:tcPr>
            <w:tcW w:w="18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23,635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58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vMerge w:val="continue"/>
          </w:tcPr>
          <w:p>
            <w:pPr>
              <w:spacing w:after="0"/>
              <w:rPr>
                <w:sz w:val="20"/>
                <w:szCs w:val="20"/>
                <w:color w:val="auto"/>
              </w:rPr>
            </w:pPr>
          </w:p>
        </w:tc>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Pro forma C Corporation</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220" w:type="dxa"/>
            <w:vAlign w:val="bottom"/>
            <w:gridSpan w:val="2"/>
            <w:shd w:val="clear" w:color="auto" w:fill="CCEEFF"/>
          </w:tcPr>
          <w:p>
            <w:pPr>
              <w:ind w:left="160"/>
              <w:spacing w:after="0" w:line="247" w:lineRule="exact"/>
              <w:rPr>
                <w:sz w:val="20"/>
                <w:szCs w:val="20"/>
                <w:color w:val="auto"/>
              </w:rPr>
            </w:pPr>
            <w:r>
              <w:rPr>
                <w:rFonts w:ascii="Arial" w:cs="Arial" w:eastAsia="Arial" w:hAnsi="Arial"/>
                <w:sz w:val="17"/>
                <w:szCs w:val="17"/>
                <w:color w:val="auto"/>
              </w:rPr>
              <w:t>Combined effective income tax rate</w:t>
            </w:r>
            <w:r>
              <w:rPr>
                <w:rFonts w:ascii="Arial" w:cs="Arial" w:eastAsia="Arial" w:hAnsi="Arial"/>
                <w:sz w:val="28"/>
                <w:szCs w:val="28"/>
                <w:color w:val="auto"/>
                <w:vertAlign w:val="superscript"/>
              </w:rPr>
              <w:t>(2)</w:t>
            </w:r>
          </w:p>
        </w:tc>
        <w:tc>
          <w:tcPr>
            <w:tcW w:w="2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c>
          <w:tcPr>
            <w:tcW w:w="2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20" w:type="dxa"/>
            <w:vAlign w:val="bottom"/>
            <w:gridSpan w:val="2"/>
          </w:tcPr>
          <w:p>
            <w:pPr>
              <w:ind w:left="160"/>
              <w:spacing w:after="0"/>
              <w:rPr>
                <w:sz w:val="20"/>
                <w:szCs w:val="20"/>
                <w:color w:val="auto"/>
              </w:rPr>
            </w:pPr>
            <w:r>
              <w:rPr>
                <w:rFonts w:ascii="Arial" w:cs="Arial" w:eastAsia="Arial" w:hAnsi="Arial"/>
                <w:sz w:val="18"/>
                <w:szCs w:val="18"/>
                <w:color w:val="auto"/>
              </w:rPr>
              <w:t>Income tax provision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4,511</w:t>
            </w:r>
          </w:p>
        </w:tc>
        <w:tc>
          <w:tcPr>
            <w:tcW w:w="18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6,055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20,757</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5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47" w:right="60" w:hanging="347"/>
        <w:spacing w:after="0" w:line="273" w:lineRule="auto"/>
        <w:tabs>
          <w:tab w:leader="none" w:pos="347" w:val="left"/>
        </w:tabs>
        <w:numPr>
          <w:ilvl w:val="0"/>
          <w:numId w:val="29"/>
        </w:numPr>
        <w:rPr>
          <w:rFonts w:ascii="Arial" w:cs="Arial" w:eastAsia="Arial" w:hAnsi="Arial"/>
          <w:sz w:val="14"/>
          <w:szCs w:val="14"/>
          <w:color w:val="auto"/>
        </w:rPr>
      </w:pPr>
      <w:r>
        <w:rPr>
          <w:rFonts w:ascii="Arial" w:cs="Arial" w:eastAsia="Arial" w:hAnsi="Arial"/>
          <w:sz w:val="14"/>
          <w:szCs w:val="14"/>
          <w:color w:val="auto"/>
        </w:rPr>
        <w:t>A portion of our net income in each of these periods was derived from non-taxable investment income, offset by nondeductible expenses. This has the effect of lowering the statutory tax rate.</w:t>
      </w:r>
    </w:p>
    <w:p>
      <w:pPr>
        <w:spacing w:after="0" w:line="65" w:lineRule="exact"/>
        <w:rPr>
          <w:rFonts w:ascii="Arial" w:cs="Arial" w:eastAsia="Arial" w:hAnsi="Arial"/>
          <w:sz w:val="14"/>
          <w:szCs w:val="14"/>
          <w:color w:val="auto"/>
        </w:rPr>
      </w:pPr>
    </w:p>
    <w:p>
      <w:pPr>
        <w:ind w:left="347" w:right="460" w:hanging="347"/>
        <w:spacing w:after="0" w:line="273" w:lineRule="auto"/>
        <w:tabs>
          <w:tab w:leader="none" w:pos="347" w:val="left"/>
        </w:tabs>
        <w:numPr>
          <w:ilvl w:val="0"/>
          <w:numId w:val="29"/>
        </w:numPr>
        <w:rPr>
          <w:rFonts w:ascii="Arial" w:cs="Arial" w:eastAsia="Arial" w:hAnsi="Arial"/>
          <w:sz w:val="14"/>
          <w:szCs w:val="14"/>
          <w:color w:val="auto"/>
        </w:rPr>
      </w:pPr>
      <w:r>
        <w:rPr>
          <w:rFonts w:ascii="Arial" w:cs="Arial" w:eastAsia="Arial" w:hAnsi="Arial"/>
          <w:sz w:val="14"/>
          <w:szCs w:val="14"/>
          <w:color w:val="auto"/>
        </w:rPr>
        <w:t>Based on a statutory federal income tax rate of 21% and 35% for the years ended December 31, 2018 and December 31, 2017, respectively. As our state income taxes are insignificant, they are not reflected in these calculations.</w:t>
      </w:r>
    </w:p>
    <w:p>
      <w:pPr>
        <w:spacing w:after="0" w:line="161"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U.S. Federal Income Tax Expense</w:t>
      </w:r>
    </w:p>
    <w:p>
      <w:pPr>
        <w:spacing w:after="0" w:line="121" w:lineRule="exact"/>
        <w:rPr>
          <w:sz w:val="20"/>
          <w:szCs w:val="20"/>
          <w:color w:val="auto"/>
        </w:rPr>
      </w:pPr>
    </w:p>
    <w:p>
      <w:pPr>
        <w:ind w:left="7" w:right="40" w:firstLine="360"/>
        <w:spacing w:after="0" w:line="259" w:lineRule="auto"/>
        <w:rPr>
          <w:sz w:val="20"/>
          <w:szCs w:val="20"/>
          <w:color w:val="auto"/>
        </w:rPr>
      </w:pPr>
      <w:r>
        <w:rPr>
          <w:rFonts w:ascii="Arial" w:cs="Arial" w:eastAsia="Arial" w:hAnsi="Arial"/>
          <w:sz w:val="18"/>
          <w:szCs w:val="18"/>
          <w:color w:val="auto"/>
        </w:rPr>
        <w:t>Our U.S. federal income tax expense would have been approximately $4.5 million for the year ended December 31, 2018, compared to approximately $6.1 million for the year ended December 31, 2017 with effective tax rates of 17.9% and 25.6%, respectively. The decrease was primarily due to the decrease in the statutory federal income tax rate, offset by the increase in our net income.</w:t>
      </w:r>
    </w:p>
    <w:p>
      <w:pPr>
        <w:spacing w:after="0" w:line="183" w:lineRule="exact"/>
        <w:rPr>
          <w:sz w:val="20"/>
          <w:szCs w:val="20"/>
          <w:color w:val="auto"/>
        </w:rPr>
      </w:pPr>
    </w:p>
    <w:p>
      <w:pPr>
        <w:ind w:left="7" w:right="4080"/>
        <w:spacing w:after="0" w:line="378" w:lineRule="auto"/>
        <w:rPr>
          <w:sz w:val="20"/>
          <w:szCs w:val="20"/>
          <w:color w:val="auto"/>
        </w:rPr>
      </w:pPr>
      <w:r>
        <w:rPr>
          <w:rFonts w:ascii="Arial" w:cs="Arial" w:eastAsia="Arial" w:hAnsi="Arial"/>
          <w:sz w:val="18"/>
          <w:szCs w:val="18"/>
          <w:b w:val="1"/>
          <w:bCs w:val="1"/>
          <w:color w:val="auto"/>
        </w:rPr>
        <w:t xml:space="preserve">Results of Operations for the Years Ended December 31, 2018 and 2017 </w:t>
      </w:r>
      <w:r>
        <w:rPr>
          <w:rFonts w:ascii="Arial" w:cs="Arial" w:eastAsia="Arial" w:hAnsi="Arial"/>
          <w:sz w:val="18"/>
          <w:szCs w:val="18"/>
          <w:b w:val="1"/>
          <w:bCs w:val="1"/>
          <w:i w:val="1"/>
          <w:iCs w:val="1"/>
          <w:color w:val="auto"/>
        </w:rPr>
        <w:t>Net Interest Income</w:t>
      </w:r>
    </w:p>
    <w:p>
      <w:pPr>
        <w:ind w:left="7" w:right="20" w:firstLine="360"/>
        <w:spacing w:after="0" w:line="270" w:lineRule="auto"/>
        <w:rPr>
          <w:sz w:val="20"/>
          <w:szCs w:val="20"/>
          <w:color w:val="auto"/>
        </w:rPr>
      </w:pPr>
      <w:r>
        <w:rPr>
          <w:rFonts w:ascii="Arial" w:cs="Arial" w:eastAsia="Arial" w:hAnsi="Arial"/>
          <w:sz w:val="17"/>
          <w:szCs w:val="17"/>
          <w:color w:val="auto"/>
        </w:rPr>
        <w:t>Net interest income is the principal source of the Company’s net income and represents the difference between interest income (interest and fees earned on assets, primarily loans and investment securities) and interest expense (interest paid on deposits and borrowed funds). We generate interest income from interest-earning assets that we own, including loans and investment securities. We incur interest expense from interest-bearing liabilities, including interest-bearing deposits and other borrowings, notably FHLB advances and subordinated notes. To evaluate net interest income, we measure and monitor (i) yields on our loans and other interest-earning assets, (ii) the costs of our deposits and other funding sources, (iii) our net interest spread and (iv) our net interest margin. Net interest spread is the difference between rates earned on interest-earning assets and rates paid on interest-bearing liabilities. Net interest margin is calculated as the annualized net interest income on a fully tax-equivalent basis divided by average interest-earning assets.</w:t>
      </w:r>
    </w:p>
    <w:p>
      <w:pPr>
        <w:spacing w:after="0" w:line="74" w:lineRule="exact"/>
        <w:rPr>
          <w:sz w:val="20"/>
          <w:szCs w:val="20"/>
          <w:color w:val="auto"/>
        </w:rPr>
      </w:pPr>
    </w:p>
    <w:p>
      <w:pPr>
        <w:ind w:left="7" w:right="40" w:firstLine="360"/>
        <w:spacing w:after="0" w:line="286" w:lineRule="auto"/>
        <w:rPr>
          <w:sz w:val="20"/>
          <w:szCs w:val="20"/>
          <w:color w:val="auto"/>
        </w:rPr>
      </w:pPr>
      <w:r>
        <w:rPr>
          <w:rFonts w:ascii="Arial" w:cs="Arial" w:eastAsia="Arial" w:hAnsi="Arial"/>
          <w:sz w:val="17"/>
          <w:szCs w:val="17"/>
          <w:color w:val="auto"/>
        </w:rPr>
        <w:t>Changes in the market interest rates and interest rates we earn on interest-earning assets or pay on interest-bearing liabilities, as well as the volume and types of interest-earning assets, interest-bearing and noninterest-bearing liabilities, are usually the largest drivers of periodic changes in net interest spread, net interest margin and net interest income.</w:t>
      </w:r>
    </w:p>
    <w:p>
      <w:pPr>
        <w:spacing w:after="0" w:line="166"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58" w:name="page59"/>
    <w:bookmarkEnd w:id="58"/>
    <w:p>
      <w:pPr>
        <w:ind w:left="7"/>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 w:right="20" w:firstLine="360"/>
        <w:spacing w:after="0" w:line="302" w:lineRule="auto"/>
        <w:rPr>
          <w:sz w:val="20"/>
          <w:szCs w:val="20"/>
          <w:color w:val="auto"/>
        </w:rPr>
      </w:pPr>
      <w:r>
        <w:rPr>
          <w:rFonts w:ascii="Arial" w:cs="Arial" w:eastAsia="Arial" w:hAnsi="Arial"/>
          <w:sz w:val="16"/>
          <w:szCs w:val="16"/>
          <w:color w:val="auto"/>
        </w:rPr>
        <w:t>The following table presents, for the periods indicated, information about: (i) weighted average balances, the total dollar amount of interest income from interest-earning assets and the resultant average yields; (ii) average balances, the total dollar amount of interest expense on interest-bearing liabilities and the resultant average rates; (iii) net interest income; (iv) the interest rate spread; and (v) the net interest margin. For purposes of this table, interest income is shown on a fully tax-equivalent basis.</w:t>
      </w:r>
    </w:p>
    <w:p>
      <w:pPr>
        <w:spacing w:after="0" w:line="11"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ind w:right="132"/>
              <w:spacing w:after="0"/>
              <w:rPr>
                <w:sz w:val="20"/>
                <w:szCs w:val="20"/>
                <w:color w:val="auto"/>
              </w:rPr>
            </w:pPr>
            <w:r>
              <w:rPr>
                <w:rFonts w:ascii="Arial" w:cs="Arial" w:eastAsia="Arial" w:hAnsi="Arial"/>
                <w:sz w:val="14"/>
                <w:szCs w:val="14"/>
                <w:b w:val="1"/>
                <w:bCs w:val="1"/>
                <w:color w:val="auto"/>
                <w:w w:val="91"/>
              </w:rPr>
              <w:t>Year Ended December 31,</w:t>
            </w: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ind w:right="152"/>
              <w:spacing w:after="0" w:line="160" w:lineRule="exact"/>
              <w:rPr>
                <w:sz w:val="20"/>
                <w:szCs w:val="20"/>
                <w:color w:val="auto"/>
              </w:rPr>
            </w:pPr>
            <w:r>
              <w:rPr>
                <w:rFonts w:ascii="Arial" w:cs="Arial" w:eastAsia="Arial" w:hAnsi="Arial"/>
                <w:sz w:val="14"/>
                <w:szCs w:val="14"/>
                <w:b w:val="1"/>
                <w:bCs w:val="1"/>
                <w:color w:val="auto"/>
                <w:w w:val="97"/>
              </w:rPr>
              <w:t>Average</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gridSpan w:val="3"/>
          </w:tcPr>
          <w:p>
            <w:pPr>
              <w:jc w:val="center"/>
              <w:ind w:right="160"/>
              <w:spacing w:after="0" w:line="160" w:lineRule="exact"/>
              <w:rPr>
                <w:sz w:val="20"/>
                <w:szCs w:val="20"/>
                <w:color w:val="auto"/>
              </w:rPr>
            </w:pPr>
            <w:r>
              <w:rPr>
                <w:rFonts w:ascii="Arial" w:cs="Arial" w:eastAsia="Arial" w:hAnsi="Arial"/>
                <w:sz w:val="14"/>
                <w:szCs w:val="14"/>
                <w:b w:val="1"/>
                <w:bCs w:val="1"/>
                <w:color w:val="auto"/>
                <w:w w:val="96"/>
              </w:rPr>
              <w:t>Yield/</w:t>
            </w:r>
          </w:p>
        </w:tc>
        <w:tc>
          <w:tcPr>
            <w:tcW w:w="180" w:type="dxa"/>
            <w:vAlign w:val="bottom"/>
          </w:tcPr>
          <w:p>
            <w:pPr>
              <w:spacing w:after="0"/>
              <w:rPr>
                <w:sz w:val="13"/>
                <w:szCs w:val="13"/>
                <w:color w:val="auto"/>
              </w:rPr>
            </w:pPr>
          </w:p>
        </w:tc>
        <w:tc>
          <w:tcPr>
            <w:tcW w:w="780" w:type="dxa"/>
            <w:vAlign w:val="bottom"/>
          </w:tcPr>
          <w:p>
            <w:pPr>
              <w:jc w:val="right"/>
              <w:ind w:right="132"/>
              <w:spacing w:after="0" w:line="160" w:lineRule="exact"/>
              <w:rPr>
                <w:sz w:val="20"/>
                <w:szCs w:val="20"/>
                <w:color w:val="auto"/>
              </w:rPr>
            </w:pPr>
            <w:r>
              <w:rPr>
                <w:rFonts w:ascii="Arial" w:cs="Arial" w:eastAsia="Arial" w:hAnsi="Arial"/>
                <w:sz w:val="14"/>
                <w:szCs w:val="14"/>
                <w:b w:val="1"/>
                <w:bCs w:val="1"/>
                <w:color w:val="auto"/>
                <w:w w:val="97"/>
              </w:rPr>
              <w:t>Average</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center"/>
              <w:ind w:right="40"/>
              <w:spacing w:after="0" w:line="160" w:lineRule="exact"/>
              <w:rPr>
                <w:sz w:val="20"/>
                <w:szCs w:val="20"/>
                <w:color w:val="auto"/>
              </w:rPr>
            </w:pPr>
            <w:r>
              <w:rPr>
                <w:rFonts w:ascii="Arial" w:cs="Arial" w:eastAsia="Arial" w:hAnsi="Arial"/>
                <w:sz w:val="14"/>
                <w:szCs w:val="14"/>
                <w:b w:val="1"/>
                <w:bCs w:val="1"/>
                <w:color w:val="auto"/>
                <w:w w:val="96"/>
              </w:rPr>
              <w:t>Yield/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Balance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4"/>
              </w:rPr>
              <w:t>Interest</w:t>
            </w:r>
          </w:p>
        </w:tc>
        <w:tc>
          <w:tcPr>
            <w:tcW w:w="180" w:type="dxa"/>
            <w:vAlign w:val="bottom"/>
          </w:tcPr>
          <w:p>
            <w:pPr>
              <w:spacing w:after="0"/>
              <w:rPr>
                <w:sz w:val="16"/>
                <w:szCs w:val="16"/>
                <w:color w:val="auto"/>
              </w:rPr>
            </w:pPr>
          </w:p>
        </w:tc>
        <w:tc>
          <w:tcPr>
            <w:tcW w:w="5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Rate</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Balance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4"/>
              </w:rPr>
              <w:t>Interest</w:t>
            </w:r>
          </w:p>
        </w:tc>
        <w:tc>
          <w:tcPr>
            <w:tcW w:w="160" w:type="dxa"/>
            <w:vAlign w:val="bottom"/>
          </w:tcPr>
          <w:p>
            <w:pPr>
              <w:spacing w:after="0"/>
              <w:rPr>
                <w:sz w:val="16"/>
                <w:szCs w:val="16"/>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20" w:type="dxa"/>
            <w:vAlign w:val="bottom"/>
            <w:gridSpan w:val="6"/>
          </w:tcPr>
          <w:p>
            <w:pPr>
              <w:jc w:val="right"/>
              <w:ind w:right="252"/>
              <w:spacing w:after="0"/>
              <w:rPr>
                <w:sz w:val="20"/>
                <w:szCs w:val="20"/>
                <w:color w:val="auto"/>
              </w:rPr>
            </w:pPr>
            <w:r>
              <w:rPr>
                <w:rFonts w:ascii="Arial" w:cs="Arial" w:eastAsia="Arial" w:hAnsi="Arial"/>
                <w:sz w:val="14"/>
                <w:szCs w:val="14"/>
                <w:b w:val="1"/>
                <w:bCs w:val="1"/>
                <w:color w:val="auto"/>
                <w:w w:val="98"/>
              </w:rPr>
              <w:t>(Dollars in thousands)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Interest-earning assets:</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100" w:type="dxa"/>
            <w:vAlign w:val="bottom"/>
            <w:gridSpan w:val="3"/>
            <w:shd w:val="clear" w:color="auto" w:fill="CCEEFF"/>
          </w:tcPr>
          <w:p>
            <w:pPr>
              <w:ind w:left="160"/>
              <w:spacing w:after="0" w:line="249" w:lineRule="exact"/>
              <w:rPr>
                <w:sz w:val="20"/>
                <w:szCs w:val="20"/>
                <w:color w:val="auto"/>
              </w:rPr>
            </w:pPr>
            <w:r>
              <w:rPr>
                <w:rFonts w:ascii="Arial" w:cs="Arial" w:eastAsia="Arial" w:hAnsi="Arial"/>
                <w:sz w:val="17"/>
                <w:szCs w:val="17"/>
                <w:color w:val="auto"/>
              </w:rPr>
              <w:t>Total loans</w:t>
            </w:r>
            <w:r>
              <w:rPr>
                <w:rFonts w:ascii="Arial" w:cs="Arial" w:eastAsia="Arial" w:hAnsi="Arial"/>
                <w:sz w:val="28"/>
                <w:szCs w:val="28"/>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1,921,221</w:t>
            </w:r>
          </w:p>
        </w:tc>
        <w:tc>
          <w:tcPr>
            <w:tcW w:w="3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105,897</w:t>
            </w:r>
          </w:p>
        </w:tc>
        <w:tc>
          <w:tcPr>
            <w:tcW w:w="86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5.51%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1,790,201</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94,505</w:t>
            </w:r>
          </w:p>
        </w:tc>
        <w:tc>
          <w:tcPr>
            <w:tcW w:w="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w w:val="90"/>
              </w:rPr>
              <w:t>5.28%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gridSpan w:val="3"/>
          </w:tcPr>
          <w:p>
            <w:pPr>
              <w:ind w:left="160"/>
              <w:spacing w:after="0"/>
              <w:rPr>
                <w:sz w:val="20"/>
                <w:szCs w:val="20"/>
                <w:color w:val="auto"/>
              </w:rPr>
            </w:pPr>
            <w:r>
              <w:rPr>
                <w:rFonts w:ascii="Arial" w:cs="Arial" w:eastAsia="Arial" w:hAnsi="Arial"/>
                <w:sz w:val="18"/>
                <w:szCs w:val="18"/>
                <w:color w:val="auto"/>
              </w:rPr>
              <w:t>Investment securities – taxable</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209,631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5,392</w:t>
            </w:r>
          </w:p>
        </w:tc>
        <w:tc>
          <w:tcPr>
            <w:tcW w:w="620" w:type="dxa"/>
            <w:vAlign w:val="bottom"/>
            <w:gridSpan w:val="2"/>
          </w:tcPr>
          <w:p>
            <w:pPr>
              <w:ind w:left="300"/>
              <w:spacing w:after="0"/>
              <w:rPr>
                <w:sz w:val="20"/>
                <w:szCs w:val="20"/>
                <w:color w:val="auto"/>
              </w:rPr>
            </w:pPr>
            <w:r>
              <w:rPr>
                <w:rFonts w:ascii="Arial" w:cs="Arial" w:eastAsia="Arial" w:hAnsi="Arial"/>
                <w:sz w:val="18"/>
                <w:szCs w:val="18"/>
                <w:color w:val="auto"/>
                <w:w w:val="85"/>
              </w:rPr>
              <w:t>2.57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133,324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2,435</w:t>
            </w:r>
          </w:p>
        </w:tc>
        <w:tc>
          <w:tcPr>
            <w:tcW w:w="660" w:type="dxa"/>
            <w:vAlign w:val="bottom"/>
            <w:gridSpan w:val="2"/>
          </w:tcPr>
          <w:p>
            <w:pPr>
              <w:ind w:left="280"/>
              <w:spacing w:after="0"/>
              <w:rPr>
                <w:sz w:val="20"/>
                <w:szCs w:val="20"/>
                <w:color w:val="auto"/>
              </w:rPr>
            </w:pPr>
            <w:r>
              <w:rPr>
                <w:rFonts w:ascii="Arial" w:cs="Arial" w:eastAsia="Arial" w:hAnsi="Arial"/>
                <w:sz w:val="18"/>
                <w:szCs w:val="18"/>
                <w:color w:val="auto"/>
                <w:w w:val="96"/>
              </w:rPr>
              <w:t>1.83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1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Investment securities – non-taxable</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101,778</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3,635</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5"/>
              </w:rPr>
              <w:t>3.57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172,368</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7,499</w:t>
            </w:r>
          </w:p>
        </w:tc>
        <w:tc>
          <w:tcPr>
            <w:tcW w:w="660" w:type="dxa"/>
            <w:vAlign w:val="bottom"/>
            <w:tcBorders>
              <w:right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96"/>
              </w:rPr>
              <w:t>4.35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80" w:type="dxa"/>
            <w:vAlign w:val="bottom"/>
            <w:gridSpan w:val="2"/>
          </w:tcPr>
          <w:p>
            <w:pPr>
              <w:ind w:left="160"/>
              <w:spacing w:after="0" w:line="243" w:lineRule="exact"/>
              <w:rPr>
                <w:sz w:val="20"/>
                <w:szCs w:val="20"/>
                <w:color w:val="auto"/>
              </w:rPr>
            </w:pPr>
            <w:r>
              <w:rPr>
                <w:rFonts w:ascii="Arial" w:cs="Arial" w:eastAsia="Arial" w:hAnsi="Arial"/>
                <w:sz w:val="17"/>
                <w:szCs w:val="17"/>
                <w:color w:val="auto"/>
              </w:rPr>
              <w:t xml:space="preserve">Other interest-earning assets </w:t>
            </w:r>
            <w:r>
              <w:rPr>
                <w:rFonts w:ascii="Arial" w:cs="Arial" w:eastAsia="Arial" w:hAnsi="Arial"/>
                <w:sz w:val="28"/>
                <w:szCs w:val="28"/>
                <w:color w:val="auto"/>
                <w:vertAlign w:val="superscript"/>
              </w:rPr>
              <w:t>(2)</w:t>
            </w: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218,777</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4,120</w:t>
            </w:r>
          </w:p>
        </w:tc>
        <w:tc>
          <w:tcPr>
            <w:tcW w:w="180" w:type="dxa"/>
            <w:vAlign w:val="bottom"/>
          </w:tcPr>
          <w:p>
            <w:pPr>
              <w:spacing w:after="0"/>
              <w:rPr>
                <w:sz w:val="21"/>
                <w:szCs w:val="21"/>
                <w:color w:val="auto"/>
              </w:rPr>
            </w:pPr>
          </w:p>
        </w:tc>
        <w:tc>
          <w:tcPr>
            <w:tcW w:w="4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85"/>
              </w:rPr>
              <w:t>1.88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282,124</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3,021</w:t>
            </w:r>
          </w:p>
        </w:tc>
        <w:tc>
          <w:tcPr>
            <w:tcW w:w="160" w:type="dxa"/>
            <w:vAlign w:val="bottom"/>
          </w:tcPr>
          <w:p>
            <w:pPr>
              <w:spacing w:after="0"/>
              <w:rPr>
                <w:sz w:val="21"/>
                <w:szCs w:val="21"/>
                <w:color w:val="auto"/>
              </w:rPr>
            </w:pPr>
          </w:p>
        </w:tc>
        <w:tc>
          <w:tcPr>
            <w:tcW w:w="5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6"/>
              </w:rPr>
              <w:t>1.07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Total interest-earning assets</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2,451,407</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119,044</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5"/>
              </w:rPr>
              <w:t>4.86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2,378,017</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107,460</w:t>
            </w:r>
          </w:p>
        </w:tc>
        <w:tc>
          <w:tcPr>
            <w:tcW w:w="660" w:type="dxa"/>
            <w:vAlign w:val="bottom"/>
            <w:tcBorders>
              <w:right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96"/>
              </w:rPr>
              <w:t>4.52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00" w:type="dxa"/>
            <w:vAlign w:val="bottom"/>
            <w:gridSpan w:val="3"/>
          </w:tcPr>
          <w:p>
            <w:pPr>
              <w:spacing w:after="0"/>
              <w:rPr>
                <w:sz w:val="20"/>
                <w:szCs w:val="20"/>
                <w:color w:val="auto"/>
              </w:rPr>
            </w:pPr>
            <w:r>
              <w:rPr>
                <w:rFonts w:ascii="Arial" w:cs="Arial" w:eastAsia="Arial" w:hAnsi="Arial"/>
                <w:sz w:val="18"/>
                <w:szCs w:val="18"/>
                <w:color w:val="auto"/>
              </w:rPr>
              <w:t>Noninterest-earning assets</w:t>
            </w: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172,489</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170,099</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1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2,623,896</w:t>
            </w:r>
          </w:p>
        </w:tc>
        <w:tc>
          <w:tcPr>
            <w:tcW w:w="1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80" w:type="dxa"/>
            <w:vAlign w:val="bottom"/>
            <w:tcBorders>
              <w:right w:val="single" w:sz="8" w:color="CCEEFF"/>
            </w:tcBorders>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2,548,116</w:t>
            </w:r>
          </w:p>
        </w:tc>
        <w:tc>
          <w:tcPr>
            <w:tcW w:w="1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0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420" w:type="dxa"/>
            <w:vAlign w:val="bottom"/>
            <w:tcBorders>
              <w:top w:val="single" w:sz="8" w:color="CCEEFF"/>
            </w:tcBorders>
          </w:tcPr>
          <w:p>
            <w:pPr>
              <w:spacing w:after="0"/>
              <w:rPr>
                <w:sz w:val="21"/>
                <w:szCs w:val="21"/>
                <w:color w:val="auto"/>
              </w:rPr>
            </w:pPr>
          </w:p>
        </w:tc>
        <w:tc>
          <w:tcPr>
            <w:tcW w:w="2660" w:type="dxa"/>
            <w:vAlign w:val="bottom"/>
            <w:tcBorders>
              <w:top w:val="single" w:sz="8" w:color="CCEEFF"/>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64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4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Interest-bearing liabilities:</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1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NOW, savings and money market deposits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1,394,617</w:t>
            </w:r>
          </w:p>
        </w:tc>
        <w:tc>
          <w:tcPr>
            <w:tcW w:w="3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13,005</w:t>
            </w:r>
          </w:p>
        </w:tc>
        <w:tc>
          <w:tcPr>
            <w:tcW w:w="86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0.93%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1,306,168</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7,655</w:t>
            </w:r>
          </w:p>
        </w:tc>
        <w:tc>
          <w:tcPr>
            <w:tcW w:w="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w w:val="90"/>
              </w:rPr>
              <w:t>0.59%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gridSpan w:val="3"/>
          </w:tcPr>
          <w:p>
            <w:pPr>
              <w:ind w:left="160"/>
              <w:spacing w:after="0"/>
              <w:rPr>
                <w:sz w:val="20"/>
                <w:szCs w:val="20"/>
                <w:color w:val="auto"/>
              </w:rPr>
            </w:pPr>
            <w:r>
              <w:rPr>
                <w:rFonts w:ascii="Arial" w:cs="Arial" w:eastAsia="Arial" w:hAnsi="Arial"/>
                <w:sz w:val="18"/>
                <w:szCs w:val="18"/>
                <w:color w:val="auto"/>
              </w:rPr>
              <w:t>Time deposits</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313,298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4,556</w:t>
            </w:r>
          </w:p>
        </w:tc>
        <w:tc>
          <w:tcPr>
            <w:tcW w:w="620" w:type="dxa"/>
            <w:vAlign w:val="bottom"/>
            <w:gridSpan w:val="2"/>
          </w:tcPr>
          <w:p>
            <w:pPr>
              <w:ind w:left="300"/>
              <w:spacing w:after="0"/>
              <w:rPr>
                <w:sz w:val="20"/>
                <w:szCs w:val="20"/>
                <w:color w:val="auto"/>
              </w:rPr>
            </w:pPr>
            <w:r>
              <w:rPr>
                <w:rFonts w:ascii="Arial" w:cs="Arial" w:eastAsia="Arial" w:hAnsi="Arial"/>
                <w:sz w:val="18"/>
                <w:szCs w:val="18"/>
                <w:color w:val="auto"/>
                <w:w w:val="85"/>
              </w:rPr>
              <w:t>1.45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355,759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4,749</w:t>
            </w:r>
          </w:p>
        </w:tc>
        <w:tc>
          <w:tcPr>
            <w:tcW w:w="660" w:type="dxa"/>
            <w:vAlign w:val="bottom"/>
            <w:gridSpan w:val="2"/>
          </w:tcPr>
          <w:p>
            <w:pPr>
              <w:ind w:left="280"/>
              <w:spacing w:after="0"/>
              <w:rPr>
                <w:sz w:val="20"/>
                <w:szCs w:val="20"/>
                <w:color w:val="auto"/>
              </w:rPr>
            </w:pPr>
            <w:r>
              <w:rPr>
                <w:rFonts w:ascii="Arial" w:cs="Arial" w:eastAsia="Arial" w:hAnsi="Arial"/>
                <w:sz w:val="18"/>
                <w:szCs w:val="18"/>
                <w:color w:val="auto"/>
                <w:w w:val="96"/>
              </w:rPr>
              <w:t>1.33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1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5"/>
              </w:rPr>
              <w:t>1.45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660" w:type="dxa"/>
            <w:vAlign w:val="bottom"/>
            <w:tcBorders>
              <w:right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96"/>
              </w:rPr>
              <w:t>0.77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gridSpan w:val="3"/>
          </w:tcPr>
          <w:p>
            <w:pPr>
              <w:ind w:left="160"/>
              <w:spacing w:after="0"/>
              <w:rPr>
                <w:sz w:val="20"/>
                <w:szCs w:val="20"/>
                <w:color w:val="auto"/>
              </w:rPr>
            </w:pPr>
            <w:r>
              <w:rPr>
                <w:rFonts w:ascii="Arial" w:cs="Arial" w:eastAsia="Arial" w:hAnsi="Arial"/>
                <w:sz w:val="18"/>
                <w:szCs w:val="18"/>
                <w:color w:val="auto"/>
              </w:rPr>
              <w:t>Notes payable &amp; other longer-term borrowings</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95,000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1,786</w:t>
            </w:r>
          </w:p>
        </w:tc>
        <w:tc>
          <w:tcPr>
            <w:tcW w:w="620" w:type="dxa"/>
            <w:vAlign w:val="bottom"/>
            <w:gridSpan w:val="2"/>
          </w:tcPr>
          <w:p>
            <w:pPr>
              <w:ind w:left="300"/>
              <w:spacing w:after="0"/>
              <w:rPr>
                <w:sz w:val="20"/>
                <w:szCs w:val="20"/>
                <w:color w:val="auto"/>
              </w:rPr>
            </w:pPr>
            <w:r>
              <w:rPr>
                <w:rFonts w:ascii="Arial" w:cs="Arial" w:eastAsia="Arial" w:hAnsi="Arial"/>
                <w:sz w:val="18"/>
                <w:szCs w:val="18"/>
                <w:color w:val="auto"/>
                <w:w w:val="85"/>
              </w:rPr>
              <w:t>1.88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95,000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1,056</w:t>
            </w:r>
          </w:p>
        </w:tc>
        <w:tc>
          <w:tcPr>
            <w:tcW w:w="660" w:type="dxa"/>
            <w:vAlign w:val="bottom"/>
            <w:gridSpan w:val="2"/>
          </w:tcPr>
          <w:p>
            <w:pPr>
              <w:ind w:left="280"/>
              <w:spacing w:after="0"/>
              <w:rPr>
                <w:sz w:val="20"/>
                <w:szCs w:val="20"/>
                <w:color w:val="auto"/>
              </w:rPr>
            </w:pPr>
            <w:r>
              <w:rPr>
                <w:rFonts w:ascii="Arial" w:cs="Arial" w:eastAsia="Arial" w:hAnsi="Arial"/>
                <w:sz w:val="18"/>
                <w:szCs w:val="18"/>
                <w:color w:val="auto"/>
                <w:w w:val="96"/>
              </w:rPr>
              <w:t>1.11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1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Subordinated debt securities</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5"/>
              </w:rPr>
              <w:t>4.86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660" w:type="dxa"/>
            <w:vAlign w:val="bottom"/>
            <w:tcBorders>
              <w:right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96"/>
              </w:rPr>
              <w:t>4.69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w w:val="96"/>
              </w:rPr>
              <w:t>Junior subordinated deferrable interest debentures</w:t>
            </w: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46,393</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1,824</w:t>
            </w:r>
          </w:p>
        </w:tc>
        <w:tc>
          <w:tcPr>
            <w:tcW w:w="180" w:type="dxa"/>
            <w:vAlign w:val="bottom"/>
          </w:tcPr>
          <w:p>
            <w:pPr>
              <w:spacing w:after="0"/>
              <w:rPr>
                <w:sz w:val="21"/>
                <w:szCs w:val="21"/>
                <w:color w:val="auto"/>
              </w:rPr>
            </w:pPr>
          </w:p>
        </w:tc>
        <w:tc>
          <w:tcPr>
            <w:tcW w:w="4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85"/>
              </w:rPr>
              <w:t>3.93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46,393</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1,363</w:t>
            </w:r>
          </w:p>
        </w:tc>
        <w:tc>
          <w:tcPr>
            <w:tcW w:w="160" w:type="dxa"/>
            <w:vAlign w:val="bottom"/>
          </w:tcPr>
          <w:p>
            <w:pPr>
              <w:spacing w:after="0"/>
              <w:rPr>
                <w:sz w:val="21"/>
                <w:szCs w:val="21"/>
                <w:color w:val="auto"/>
              </w:rPr>
            </w:pPr>
          </w:p>
        </w:tc>
        <w:tc>
          <w:tcPr>
            <w:tcW w:w="5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6"/>
              </w:rPr>
              <w:t>2.94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 interest-bearing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1,889,171</w:t>
            </w:r>
          </w:p>
        </w:tc>
        <w:tc>
          <w:tcPr>
            <w:tcW w:w="3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22,482</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5"/>
              </w:rPr>
              <w:t>1.19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1,847,001</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15,977</w:t>
            </w:r>
          </w:p>
        </w:tc>
        <w:tc>
          <w:tcPr>
            <w:tcW w:w="660" w:type="dxa"/>
            <w:vAlign w:val="bottom"/>
            <w:tcBorders>
              <w:right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96"/>
              </w:rPr>
              <w:t>0.87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420" w:type="dxa"/>
            <w:vAlign w:val="bottom"/>
            <w:tcBorders>
              <w:top w:val="single" w:sz="8" w:color="CCEEFF"/>
            </w:tcBorders>
          </w:tcPr>
          <w:p>
            <w:pPr>
              <w:spacing w:after="0"/>
              <w:rPr>
                <w:sz w:val="20"/>
                <w:szCs w:val="20"/>
                <w:color w:val="auto"/>
              </w:rPr>
            </w:pPr>
          </w:p>
        </w:tc>
        <w:tc>
          <w:tcPr>
            <w:tcW w:w="266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Noninterest-bearing liabilities:</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gridSpan w:val="3"/>
          </w:tcPr>
          <w:p>
            <w:pPr>
              <w:ind w:left="160"/>
              <w:spacing w:after="0"/>
              <w:rPr>
                <w:sz w:val="20"/>
                <w:szCs w:val="20"/>
                <w:color w:val="auto"/>
              </w:rPr>
            </w:pPr>
            <w:r>
              <w:rPr>
                <w:rFonts w:ascii="Arial" w:cs="Arial" w:eastAsia="Arial" w:hAnsi="Arial"/>
                <w:sz w:val="18"/>
                <w:szCs w:val="18"/>
                <w:color w:val="auto"/>
              </w:rPr>
              <w:t>Noninterest-bearing deposits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487,363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464,518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liabilities</w:t>
            </w: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32,534</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29,273</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gridSpan w:val="3"/>
          </w:tcPr>
          <w:p>
            <w:pPr>
              <w:ind w:left="340"/>
              <w:spacing w:after="0"/>
              <w:rPr>
                <w:sz w:val="20"/>
                <w:szCs w:val="20"/>
                <w:color w:val="auto"/>
              </w:rPr>
            </w:pPr>
            <w:r>
              <w:rPr>
                <w:rFonts w:ascii="Arial" w:cs="Arial" w:eastAsia="Arial" w:hAnsi="Arial"/>
                <w:sz w:val="18"/>
                <w:szCs w:val="18"/>
                <w:color w:val="auto"/>
              </w:rPr>
              <w:t>Total noninterest-bearing liabilities</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519,898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493,791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Shareholders’ equity</w:t>
            </w: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214,828</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207,324</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3"/>
          </w:tcPr>
          <w:p>
            <w:pPr>
              <w:ind w:left="52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2,623,896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2,548,116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6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120" w:type="dxa"/>
            <w:vAlign w:val="bottom"/>
            <w:gridSpan w:val="4"/>
          </w:tcPr>
          <w:p>
            <w:pPr>
              <w:spacing w:after="0"/>
              <w:rPr>
                <w:sz w:val="20"/>
                <w:szCs w:val="20"/>
                <w:color w:val="auto"/>
              </w:rPr>
            </w:pPr>
            <w:r>
              <w:rPr>
                <w:rFonts w:ascii="Arial" w:cs="Arial" w:eastAsia="Arial" w:hAnsi="Arial"/>
                <w:sz w:val="18"/>
                <w:szCs w:val="18"/>
                <w:color w:val="auto"/>
              </w:rPr>
              <w:t>Net interest income</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gridSpan w:val="3"/>
          </w:tcPr>
          <w:p>
            <w:pPr>
              <w:ind w:left="18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96,562</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91,483</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interest spread</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6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3.67%</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w w:val="90"/>
              </w:rPr>
              <w:t>3.65%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26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44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auto"/>
              <w:right w:val="single" w:sz="8" w:color="CCEEFF"/>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120" w:type="dxa"/>
            <w:vAlign w:val="bottom"/>
            <w:gridSpan w:val="4"/>
          </w:tcPr>
          <w:p>
            <w:pPr>
              <w:spacing w:after="0" w:line="230" w:lineRule="exact"/>
              <w:rPr>
                <w:sz w:val="20"/>
                <w:szCs w:val="20"/>
                <w:color w:val="auto"/>
              </w:rPr>
            </w:pPr>
            <w:r>
              <w:rPr>
                <w:rFonts w:ascii="Arial" w:cs="Arial" w:eastAsia="Arial" w:hAnsi="Arial"/>
                <w:sz w:val="16"/>
                <w:szCs w:val="16"/>
                <w:color w:val="auto"/>
              </w:rPr>
              <w:t>Net interest margin</w:t>
            </w:r>
            <w:r>
              <w:rPr>
                <w:rFonts w:ascii="Arial" w:cs="Arial" w:eastAsia="Arial" w:hAnsi="Arial"/>
                <w:sz w:val="26"/>
                <w:szCs w:val="26"/>
                <w:color w:val="auto"/>
                <w:vertAlign w:val="superscript"/>
              </w:rPr>
              <w:t>(3)</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gridSpan w:val="4"/>
          </w:tcPr>
          <w:p>
            <w:pPr>
              <w:ind w:left="300"/>
              <w:spacing w:after="0"/>
              <w:rPr>
                <w:sz w:val="20"/>
                <w:szCs w:val="20"/>
                <w:color w:val="auto"/>
              </w:rPr>
            </w:pPr>
            <w:r>
              <w:rPr>
                <w:rFonts w:ascii="Arial" w:cs="Arial" w:eastAsia="Arial" w:hAnsi="Arial"/>
                <w:sz w:val="18"/>
                <w:szCs w:val="18"/>
                <w:color w:val="auto"/>
              </w:rPr>
              <w:t>3.94%</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gridSpan w:val="3"/>
          </w:tcPr>
          <w:p>
            <w:pPr>
              <w:ind w:left="280"/>
              <w:spacing w:after="0"/>
              <w:rPr>
                <w:sz w:val="20"/>
                <w:szCs w:val="20"/>
                <w:color w:val="auto"/>
              </w:rPr>
            </w:pPr>
            <w:r>
              <w:rPr>
                <w:rFonts w:ascii="Arial" w:cs="Arial" w:eastAsia="Arial" w:hAnsi="Arial"/>
                <w:sz w:val="18"/>
                <w:szCs w:val="18"/>
                <w:color w:val="auto"/>
                <w:w w:val="90"/>
              </w:rPr>
              <w:t>3.85%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2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47" w:hanging="347"/>
        <w:spacing w:after="0"/>
        <w:tabs>
          <w:tab w:leader="none" w:pos="347" w:val="left"/>
        </w:tabs>
        <w:numPr>
          <w:ilvl w:val="0"/>
          <w:numId w:val="30"/>
        </w:numPr>
        <w:rPr>
          <w:rFonts w:ascii="Arial" w:cs="Arial" w:eastAsia="Arial" w:hAnsi="Arial"/>
          <w:sz w:val="14"/>
          <w:szCs w:val="14"/>
          <w:color w:val="auto"/>
        </w:rPr>
      </w:pPr>
      <w:r>
        <w:rPr>
          <w:rFonts w:ascii="Arial" w:cs="Arial" w:eastAsia="Arial" w:hAnsi="Arial"/>
          <w:sz w:val="14"/>
          <w:szCs w:val="14"/>
          <w:color w:val="auto"/>
        </w:rPr>
        <w:t>Average loan balances include nonaccrual loans and loans held for sale.</w:t>
      </w:r>
    </w:p>
    <w:p>
      <w:pPr>
        <w:spacing w:after="0" w:line="109" w:lineRule="exact"/>
        <w:rPr>
          <w:rFonts w:ascii="Arial" w:cs="Arial" w:eastAsia="Arial" w:hAnsi="Arial"/>
          <w:sz w:val="14"/>
          <w:szCs w:val="14"/>
          <w:color w:val="auto"/>
        </w:rPr>
      </w:pPr>
    </w:p>
    <w:p>
      <w:pPr>
        <w:ind w:left="347" w:right="480" w:hanging="347"/>
        <w:spacing w:after="0" w:line="273" w:lineRule="auto"/>
        <w:tabs>
          <w:tab w:leader="none" w:pos="347"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Includes income and average balances for interest-earning deposits at other banks, nonmarketable securities, federal funds sold and other miscellaneous interest-earning assets.</w:t>
      </w:r>
    </w:p>
    <w:p>
      <w:pPr>
        <w:spacing w:after="0" w:line="65" w:lineRule="exact"/>
        <w:rPr>
          <w:rFonts w:ascii="Arial" w:cs="Arial" w:eastAsia="Arial" w:hAnsi="Arial"/>
          <w:sz w:val="14"/>
          <w:szCs w:val="14"/>
          <w:color w:val="auto"/>
        </w:rPr>
      </w:pPr>
    </w:p>
    <w:p>
      <w:pPr>
        <w:ind w:left="347" w:hanging="347"/>
        <w:spacing w:after="0"/>
        <w:tabs>
          <w:tab w:leader="none" w:pos="347" w:val="left"/>
        </w:tabs>
        <w:numPr>
          <w:ilvl w:val="0"/>
          <w:numId w:val="30"/>
        </w:numPr>
        <w:rPr>
          <w:rFonts w:ascii="Arial" w:cs="Arial" w:eastAsia="Arial" w:hAnsi="Arial"/>
          <w:sz w:val="14"/>
          <w:szCs w:val="14"/>
          <w:color w:val="auto"/>
        </w:rPr>
      </w:pPr>
      <w:r>
        <w:rPr>
          <w:rFonts w:ascii="Arial" w:cs="Arial" w:eastAsia="Arial" w:hAnsi="Arial"/>
          <w:sz w:val="14"/>
          <w:szCs w:val="14"/>
          <w:color w:val="auto"/>
        </w:rPr>
        <w:t>Net interest margin is calculated as the annual net interest income, on a fully tax-equivalent basis, divided by average interest-earning assets.</w:t>
      </w:r>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Increases and decreases in interest income and interest expense result from changes in average balances (volume) of interest-earning assets and interest-bearing liabilities, as well as changes in average interest rates. The following tables set forth the effects of changing rates and volumes on our net interest income during the period shown. Information is provided with respect to (i) effects on interest income attributable to changes in volume (change in volume multiplied by prior rate) and (ii) effects on interest income attributable to changes in rate (changes in rate multiplied by prior volume). Change applicable to both volume and rate have been allocated to volume.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6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20" w:type="dxa"/>
            <w:vAlign w:val="bottom"/>
            <w:gridSpan w:val="9"/>
          </w:tcPr>
          <w:p>
            <w:pPr>
              <w:jc w:val="center"/>
              <w:ind w:right="160"/>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gridSpan w:val="5"/>
          </w:tcPr>
          <w:p>
            <w:pPr>
              <w:jc w:val="center"/>
              <w:ind w:left="16"/>
              <w:spacing w:after="0"/>
              <w:rPr>
                <w:sz w:val="20"/>
                <w:szCs w:val="20"/>
                <w:color w:val="auto"/>
              </w:rPr>
            </w:pPr>
            <w:r>
              <w:rPr>
                <w:rFonts w:ascii="Arial" w:cs="Arial" w:eastAsia="Arial" w:hAnsi="Arial"/>
                <w:sz w:val="14"/>
                <w:szCs w:val="14"/>
                <w:b w:val="1"/>
                <w:bCs w:val="1"/>
                <w:color w:val="auto"/>
                <w:w w:val="92"/>
              </w:rPr>
              <w:t>2018 over 2017</w:t>
            </w:r>
          </w:p>
        </w:tc>
        <w:tc>
          <w:tcPr>
            <w:tcW w:w="98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ind w:right="271"/>
              <w:spacing w:after="0"/>
              <w:rPr>
                <w:sz w:val="20"/>
                <w:szCs w:val="20"/>
                <w:color w:val="auto"/>
              </w:rPr>
            </w:pPr>
            <w:r>
              <w:rPr>
                <w:rFonts w:ascii="Arial" w:cs="Arial" w:eastAsia="Arial" w:hAnsi="Arial"/>
                <w:sz w:val="14"/>
                <w:szCs w:val="14"/>
                <w:b w:val="1"/>
                <w:bCs w:val="1"/>
                <w:color w:val="auto"/>
              </w:rPr>
              <w:t>Change due to:</w:t>
            </w:r>
          </w:p>
        </w:tc>
        <w:tc>
          <w:tcPr>
            <w:tcW w:w="18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0"/>
              </w:rPr>
              <w:t>Volume</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8"/>
              </w:rPr>
              <w:t>Rate</w:t>
            </w:r>
          </w:p>
        </w:tc>
        <w:tc>
          <w:tcPr>
            <w:tcW w:w="180" w:type="dxa"/>
            <w:vAlign w:val="bottom"/>
            <w:gridSpan w:val="2"/>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Total Variance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60" w:type="dxa"/>
            <w:vAlign w:val="bottom"/>
            <w:gridSpan w:val="8"/>
          </w:tcPr>
          <w:p>
            <w:pPr>
              <w:jc w:val="center"/>
              <w:ind w:right="820"/>
              <w:spacing w:after="0"/>
              <w:rPr>
                <w:sz w:val="20"/>
                <w:szCs w:val="20"/>
                <w:color w:val="auto"/>
              </w:rPr>
            </w:pPr>
            <w:r>
              <w:rPr>
                <w:rFonts w:ascii="Arial" w:cs="Arial" w:eastAsia="Arial" w:hAnsi="Arial"/>
                <w:sz w:val="14"/>
                <w:szCs w:val="14"/>
                <w:b w:val="1"/>
                <w:bCs w:val="1"/>
                <w:color w:val="auto"/>
                <w:w w:val="91"/>
              </w:rPr>
              <w:t>(Dollars in thousands)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Interest-earning assets:</w:t>
            </w: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gridSpan w:val="2"/>
          </w:tcPr>
          <w:p>
            <w:pPr>
              <w:ind w:left="160"/>
              <w:spacing w:after="0"/>
              <w:rPr>
                <w:sz w:val="20"/>
                <w:szCs w:val="20"/>
                <w:color w:val="auto"/>
              </w:rPr>
            </w:pPr>
            <w:r>
              <w:rPr>
                <w:rFonts w:ascii="Arial" w:cs="Arial" w:eastAsia="Arial" w:hAnsi="Arial"/>
                <w:sz w:val="18"/>
                <w:szCs w:val="18"/>
                <w:color w:val="auto"/>
              </w:rPr>
              <w:t>Loans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6,917</w:t>
            </w: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4,475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11,392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Investment securities – taxable</w:t>
            </w: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gridSpan w:val="2"/>
          </w:tcPr>
          <w:p>
            <w:pPr>
              <w:ind w:left="160"/>
              <w:spacing w:after="0"/>
              <w:rPr>
                <w:sz w:val="20"/>
                <w:szCs w:val="20"/>
                <w:color w:val="auto"/>
              </w:rPr>
            </w:pPr>
            <w:r>
              <w:rPr>
                <w:rFonts w:ascii="Arial" w:cs="Arial" w:eastAsia="Arial" w:hAnsi="Arial"/>
                <w:sz w:val="18"/>
                <w:szCs w:val="18"/>
                <w:color w:val="auto"/>
              </w:rPr>
              <w:t>Investment securities – non-taxable</w:t>
            </w:r>
          </w:p>
        </w:tc>
        <w:tc>
          <w:tcPr>
            <w:tcW w:w="140" w:type="dxa"/>
            <w:vAlign w:val="bottom"/>
          </w:tcPr>
          <w:p>
            <w:pPr>
              <w:spacing w:after="0"/>
              <w:rPr>
                <w:sz w:val="20"/>
                <w:szCs w:val="20"/>
                <w:color w:val="auto"/>
              </w:rPr>
            </w:pPr>
          </w:p>
        </w:tc>
        <w:tc>
          <w:tcPr>
            <w:tcW w:w="820" w:type="dxa"/>
            <w:vAlign w:val="bottom"/>
            <w:gridSpan w:val="2"/>
          </w:tcPr>
          <w:p>
            <w:pPr>
              <w:jc w:val="right"/>
              <w:ind w:right="48"/>
              <w:spacing w:after="0"/>
              <w:rPr>
                <w:sz w:val="20"/>
                <w:szCs w:val="20"/>
                <w:color w:val="auto"/>
              </w:rPr>
            </w:pPr>
            <w:r>
              <w:rPr>
                <w:rFonts w:ascii="Arial" w:cs="Arial" w:eastAsia="Arial" w:hAnsi="Arial"/>
                <w:sz w:val="18"/>
                <w:szCs w:val="18"/>
                <w:color w:val="auto"/>
              </w:rPr>
              <w:t>(3,071)</w:t>
            </w: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(793)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(3,864)</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interest-earning assets</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(678)</w:t>
            </w: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60" w:type="dxa"/>
            <w:vAlign w:val="bottom"/>
            <w:tcBorders>
              <w:top w:val="single" w:sz="8" w:color="CCEEFF"/>
            </w:tcBorders>
          </w:tcPr>
          <w:p>
            <w:pPr>
              <w:ind w:left="340"/>
              <w:spacing w:after="0"/>
              <w:rPr>
                <w:sz w:val="20"/>
                <w:szCs w:val="20"/>
                <w:color w:val="auto"/>
              </w:rPr>
            </w:pPr>
            <w:r>
              <w:rPr>
                <w:rFonts w:ascii="Arial" w:cs="Arial" w:eastAsia="Arial" w:hAnsi="Arial"/>
                <w:sz w:val="18"/>
                <w:szCs w:val="18"/>
                <w:color w:val="auto"/>
              </w:rPr>
              <w:t>Total increase (decrease) in interest income</w:t>
            </w:r>
          </w:p>
        </w:tc>
        <w:tc>
          <w:tcPr>
            <w:tcW w:w="2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4,562</w:t>
            </w:r>
          </w:p>
        </w:tc>
        <w:tc>
          <w:tcPr>
            <w:tcW w:w="160" w:type="dxa"/>
            <w:vAlign w:val="bottom"/>
            <w:tcBorders>
              <w:top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7,022</w:t>
            </w:r>
          </w:p>
        </w:tc>
        <w:tc>
          <w:tcPr>
            <w:tcW w:w="160" w:type="dxa"/>
            <w:vAlign w:val="bottom"/>
            <w:tcBorders>
              <w:top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11,584</w:t>
            </w: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4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 w:type="dxa"/>
            <w:vAlign w:val="bottom"/>
            <w:vMerge w:val="continue"/>
          </w:tcPr>
          <w:p>
            <w:pPr>
              <w:spacing w:after="0"/>
              <w:rPr>
                <w:sz w:val="20"/>
                <w:szCs w:val="20"/>
                <w:color w:val="auto"/>
              </w:rPr>
            </w:pPr>
          </w:p>
        </w:tc>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Interest-bearing liabilities:</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NOW, Savings, MMDAs</w:t>
            </w: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gridSpan w:val="2"/>
          </w:tcPr>
          <w:p>
            <w:pPr>
              <w:ind w:left="160"/>
              <w:spacing w:after="0"/>
              <w:rPr>
                <w:sz w:val="20"/>
                <w:szCs w:val="20"/>
                <w:color w:val="auto"/>
              </w:rPr>
            </w:pPr>
            <w:r>
              <w:rPr>
                <w:rFonts w:ascii="Arial" w:cs="Arial" w:eastAsia="Arial" w:hAnsi="Arial"/>
                <w:sz w:val="18"/>
                <w:szCs w:val="18"/>
                <w:color w:val="auto"/>
              </w:rPr>
              <w:t>Time deposits</w:t>
            </w:r>
          </w:p>
        </w:tc>
        <w:tc>
          <w:tcPr>
            <w:tcW w:w="140" w:type="dxa"/>
            <w:vAlign w:val="bottom"/>
          </w:tcPr>
          <w:p>
            <w:pPr>
              <w:spacing w:after="0"/>
              <w:rPr>
                <w:sz w:val="20"/>
                <w:szCs w:val="20"/>
                <w:color w:val="auto"/>
              </w:rPr>
            </w:pPr>
          </w:p>
        </w:tc>
        <w:tc>
          <w:tcPr>
            <w:tcW w:w="820" w:type="dxa"/>
            <w:vAlign w:val="bottom"/>
            <w:gridSpan w:val="2"/>
          </w:tcPr>
          <w:p>
            <w:pPr>
              <w:jc w:val="right"/>
              <w:ind w:right="48"/>
              <w:spacing w:after="0"/>
              <w:rPr>
                <w:sz w:val="20"/>
                <w:szCs w:val="20"/>
                <w:color w:val="auto"/>
              </w:rPr>
            </w:pPr>
            <w:r>
              <w:rPr>
                <w:rFonts w:ascii="Arial" w:cs="Arial" w:eastAsia="Arial" w:hAnsi="Arial"/>
                <w:sz w:val="18"/>
                <w:szCs w:val="18"/>
                <w:color w:val="auto"/>
              </w:rPr>
              <w:t>(567)</w:t>
            </w: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1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gridSpan w:val="2"/>
          </w:tcPr>
          <w:p>
            <w:pPr>
              <w:ind w:left="160"/>
              <w:spacing w:after="0"/>
              <w:rPr>
                <w:sz w:val="20"/>
                <w:szCs w:val="20"/>
                <w:color w:val="auto"/>
              </w:rPr>
            </w:pPr>
            <w:r>
              <w:rPr>
                <w:rFonts w:ascii="Arial" w:cs="Arial" w:eastAsia="Arial" w:hAnsi="Arial"/>
                <w:sz w:val="18"/>
                <w:szCs w:val="18"/>
                <w:color w:val="auto"/>
              </w:rPr>
              <w:t>Notes payable &amp; other borrowings</w:t>
            </w:r>
          </w:p>
        </w:tc>
        <w:tc>
          <w:tcPr>
            <w:tcW w:w="140" w:type="dxa"/>
            <w:vAlign w:val="bottom"/>
          </w:tcPr>
          <w:p>
            <w:pPr>
              <w:spacing w:after="0"/>
              <w:rPr>
                <w:sz w:val="20"/>
                <w:szCs w:val="20"/>
                <w:color w:val="auto"/>
              </w:rPr>
            </w:pPr>
          </w:p>
        </w:tc>
        <w:tc>
          <w:tcPr>
            <w:tcW w:w="82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730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Subordinated debt securities</w:t>
            </w: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Junior subordinated deferrable interest debentures</w:t>
            </w: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increase (decrease) interest expense:</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6,558</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6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(decrease) in net interest income</w:t>
            </w:r>
          </w:p>
        </w:tc>
        <w:tc>
          <w:tcPr>
            <w:tcW w:w="2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4,615</w:t>
            </w: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5,079</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80" w:firstLine="360"/>
        <w:spacing w:after="0" w:line="284" w:lineRule="auto"/>
        <w:rPr>
          <w:sz w:val="20"/>
          <w:szCs w:val="20"/>
          <w:color w:val="auto"/>
        </w:rPr>
      </w:pPr>
      <w:r>
        <w:rPr>
          <w:rFonts w:ascii="Arial" w:cs="Arial" w:eastAsia="Arial" w:hAnsi="Arial"/>
          <w:sz w:val="16"/>
          <w:szCs w:val="16"/>
          <w:color w:val="auto"/>
        </w:rPr>
        <w:t>Net interest income for the year ended December 31, 2018 was $95.6 million compared to $88.4 million for the year ended December 31, 2017, an increase of $7.1 million, or 8.1%. The increase in net interest income was comprised of a $13.7 million, or 13.1%, increase in interest income offset by a $6.5 million, or 40.7%, increase in interest expense. The growth in interest income was primarily attributable to a $131.0 million, or 7.3%, increase in average loans outstanding for the year ended December 31, 2018, compared to 2017, and by an 0.23% increase in the yield on total loans. The increase in average loans outstanding was primarily due to organic growth in most loan portfolios with the largest increase in the auto loan portion of the consumer sector of our loan portfolio. The $6.5 million increase in interest expense for the year ended December 31, 2018 was primarily related to a</w:t>
      </w:r>
    </w:p>
    <w:p>
      <w:pPr>
        <w:spacing w:after="0" w:line="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0.32% increase in the rate paid on interest-bearing liabilities and an increase of $46.0 million, or 2.8%, in average interest-bearing deposits over the same period in 2017. The increase in average interest-bearing liabilities from 2017 to 2018 was due primarily to an increase in money market accounts of $76.5 million, offset by a decrease in time deposits of $ 42.5 million. Additionally, average noninterest-bearing demand deposits increased to $487.4 million in 2018 from $464.5 million in 2017. For the year ended December 31, 2018, net interest margin and net interest spread were 3.94% and 3.67%, respectively, compared to 3.85% and 3.65% for the same period in 2017, which reflects the increases in interest income discussed above relative to the increases in interest expense.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Loan Losses</w:t>
      </w:r>
    </w:p>
    <w:p>
      <w:pPr>
        <w:spacing w:after="0" w:line="117"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Credit risk is inherent in the business of making loans. We establish an allowance for loan losses through charges to earnings, which are shown in the statements of income as the provision for loan losses. Specifically identifiable and quantifiable known losses are promptly charged off against the allowance. The provision for loan losses is determined by conducting a quarterly evaluation of the adequacy of our allowance for loan losses and charging the shortfall or excess, if any, to the current quarter’s expense. This has the effect of creating variability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0" w:name="page61"/>
    <w:bookmarkEnd w:id="60"/>
    <w:p>
      <w:pPr>
        <w:ind w:left="7"/>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 w:right="340"/>
        <w:spacing w:after="0" w:line="259" w:lineRule="auto"/>
        <w:rPr>
          <w:sz w:val="20"/>
          <w:szCs w:val="20"/>
          <w:color w:val="auto"/>
        </w:rPr>
      </w:pPr>
      <w:r>
        <w:rPr>
          <w:rFonts w:ascii="Arial" w:cs="Arial" w:eastAsia="Arial" w:hAnsi="Arial"/>
          <w:sz w:val="18"/>
          <w:szCs w:val="18"/>
          <w:color w:val="auto"/>
        </w:rPr>
        <w:t>in the amount and frequency of charges to our earnings. The provision for loan losses and level of allowance for each period are dependent upon many factors, including loan growth, net charge offs, changes in the composition of the loan portfolio, delinquencies, management’s assessment of the quality of the loan portfolio, the valuation of problem loans and the general economic conditions in our market areas.</w:t>
      </w:r>
    </w:p>
    <w:p>
      <w:pPr>
        <w:spacing w:after="0" w:line="79" w:lineRule="exact"/>
        <w:rPr>
          <w:sz w:val="20"/>
          <w:szCs w:val="20"/>
          <w:color w:val="auto"/>
        </w:rPr>
      </w:pPr>
    </w:p>
    <w:p>
      <w:pPr>
        <w:ind w:left="7" w:right="120" w:firstLine="360"/>
        <w:spacing w:after="0" w:line="302" w:lineRule="auto"/>
        <w:rPr>
          <w:sz w:val="20"/>
          <w:szCs w:val="20"/>
          <w:color w:val="auto"/>
        </w:rPr>
      </w:pPr>
      <w:r>
        <w:rPr>
          <w:rFonts w:ascii="Arial" w:cs="Arial" w:eastAsia="Arial" w:hAnsi="Arial"/>
          <w:sz w:val="16"/>
          <w:szCs w:val="16"/>
          <w:color w:val="auto"/>
        </w:rPr>
        <w:t>The provision for loan losses for the year ended December 31, 2018 was $6.9 million compared to $4.0 million for the year ended December 31, 2017, and the increase of $2.9 million, or 74.0%, was primarily due to the need to fund the allowance for loan losses after a $3.6 million charge-off on one borrower and an increase in the overall size of the loan portfolio. The allowance for loan losses as a percentage of gross loans was 1.18% at December 31, 2018 and 1.17% at December 31, 2017.</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117" w:lineRule="exact"/>
        <w:rPr>
          <w:sz w:val="20"/>
          <w:szCs w:val="20"/>
          <w:color w:val="auto"/>
        </w:rPr>
      </w:pPr>
    </w:p>
    <w:p>
      <w:pPr>
        <w:ind w:left="7" w:firstLine="360"/>
        <w:spacing w:after="0" w:line="259" w:lineRule="auto"/>
        <w:rPr>
          <w:sz w:val="20"/>
          <w:szCs w:val="20"/>
          <w:color w:val="auto"/>
        </w:rPr>
      </w:pPr>
      <w:r>
        <w:rPr>
          <w:rFonts w:ascii="Arial" w:cs="Arial" w:eastAsia="Arial" w:hAnsi="Arial"/>
          <w:sz w:val="18"/>
          <w:szCs w:val="18"/>
          <w:color w:val="auto"/>
        </w:rPr>
        <w:t>While interest income remains the largest single component of total revenues, noninterest income is an important contributing component. The largest portion of our noninterest income is associated with our mortgage banking activities. Other sources of noninterest income include service charges on deposit accounts, bank card services and interchange fees, and income from insurance activities.</w:t>
      </w:r>
    </w:p>
    <w:p>
      <w:pPr>
        <w:spacing w:after="0" w:line="79" w:lineRule="exact"/>
        <w:rPr>
          <w:sz w:val="20"/>
          <w:szCs w:val="20"/>
          <w:color w:val="auto"/>
        </w:rPr>
      </w:pPr>
    </w:p>
    <w:p>
      <w:pPr>
        <w:ind w:left="7" w:right="200" w:firstLine="360"/>
        <w:spacing w:after="0" w:line="264" w:lineRule="auto"/>
        <w:rPr>
          <w:sz w:val="20"/>
          <w:szCs w:val="20"/>
          <w:color w:val="auto"/>
        </w:rPr>
      </w:pPr>
      <w:r>
        <w:rPr>
          <w:rFonts w:ascii="Arial" w:cs="Arial" w:eastAsia="Arial" w:hAnsi="Arial"/>
          <w:sz w:val="18"/>
          <w:szCs w:val="18"/>
          <w:color w:val="auto"/>
        </w:rPr>
        <w:t>Noninterest income for the year ended December 31, 2018 was $52.1 million compared to $47.4 million for the year ended December 31, 2017, an increase of $4.7 million, or 10.0%. The following table sets forth the major components of our noninterest income for the years ended December 31, 2018 and 2017:</w:t>
      </w:r>
    </w:p>
    <w:p>
      <w:pPr>
        <w:spacing w:after="0" w:line="38"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5"/>
          </w:tcPr>
          <w:p>
            <w:pPr>
              <w:jc w:val="right"/>
              <w:ind w:right="412"/>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144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5"/>
          </w:tcPr>
          <w:p>
            <w:pPr>
              <w:jc w:val="right"/>
              <w:ind w:right="352"/>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144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ind w:left="60"/>
              <w:spacing w:after="0" w:line="160" w:lineRule="exact"/>
              <w:rPr>
                <w:sz w:val="20"/>
                <w:szCs w:val="20"/>
                <w:color w:val="auto"/>
              </w:rPr>
            </w:pPr>
            <w:r>
              <w:rPr>
                <w:rFonts w:ascii="Arial" w:cs="Arial" w:eastAsia="Arial" w:hAnsi="Arial"/>
                <w:sz w:val="14"/>
                <w:szCs w:val="14"/>
                <w:b w:val="1"/>
                <w:bCs w:val="1"/>
                <w:color w:val="auto"/>
              </w:rPr>
              <w:t>Increase</w:t>
            </w:r>
          </w:p>
        </w:tc>
      </w:tr>
      <w:tr>
        <w:trPr>
          <w:trHeight w:val="185"/>
        </w:trPr>
        <w:tc>
          <w:tcPr>
            <w:tcW w:w="144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(decrease)</w:t>
            </w:r>
          </w:p>
        </w:tc>
        <w:tc>
          <w:tcPr>
            <w:tcW w:w="100" w:type="dxa"/>
            <w:vAlign w:val="bottom"/>
          </w:tcPr>
          <w:p>
            <w:pPr>
              <w:spacing w:after="0"/>
              <w:rPr>
                <w:sz w:val="16"/>
                <w:szCs w:val="16"/>
                <w:color w:val="auto"/>
              </w:rPr>
            </w:pPr>
          </w:p>
        </w:tc>
      </w:tr>
      <w:tr>
        <w:trPr>
          <w:trHeight w:val="183"/>
        </w:trPr>
        <w:tc>
          <w:tcPr>
            <w:tcW w:w="144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00" w:type="dxa"/>
            <w:vAlign w:val="bottom"/>
            <w:gridSpan w:val="10"/>
          </w:tcPr>
          <w:p>
            <w:pPr>
              <w:ind w:left="560"/>
              <w:spacing w:after="0"/>
              <w:rPr>
                <w:sz w:val="20"/>
                <w:szCs w:val="20"/>
                <w:color w:val="auto"/>
              </w:rPr>
            </w:pPr>
            <w:r>
              <w:rPr>
                <w:rFonts w:ascii="Arial" w:cs="Arial" w:eastAsia="Arial" w:hAnsi="Arial"/>
                <w:sz w:val="14"/>
                <w:szCs w:val="14"/>
                <w:b w:val="1"/>
                <w:bCs w:val="1"/>
                <w:color w:val="auto"/>
              </w:rPr>
              <w:t>(Dollars in thousands)</w:t>
            </w:r>
          </w:p>
        </w:tc>
      </w:tr>
      <w:tr>
        <w:trPr>
          <w:trHeight w:val="243"/>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6680" w:type="dxa"/>
            <w:vAlign w:val="bottom"/>
            <w:gridSpan w:val="2"/>
          </w:tcPr>
          <w:p>
            <w:pPr>
              <w:ind w:left="180"/>
              <w:spacing w:after="0"/>
              <w:rPr>
                <w:sz w:val="20"/>
                <w:szCs w:val="20"/>
                <w:color w:val="auto"/>
              </w:rPr>
            </w:pPr>
            <w:r>
              <w:rPr>
                <w:rFonts w:ascii="Arial" w:cs="Arial" w:eastAsia="Arial" w:hAnsi="Arial"/>
                <w:sz w:val="18"/>
                <w:szCs w:val="18"/>
                <w:color w:val="auto"/>
              </w:rPr>
              <w:t>Service charges on deposit accounts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7,813</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7,425</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0"/>
                <w:szCs w:val="20"/>
                <w:color w:val="auto"/>
              </w:rPr>
            </w:pPr>
          </w:p>
        </w:tc>
      </w:tr>
      <w:tr>
        <w:trPr>
          <w:trHeight w:val="249"/>
        </w:trPr>
        <w:tc>
          <w:tcPr>
            <w:tcW w:w="6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from insurance activities</w:t>
            </w: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7,128</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00" w:type="dxa"/>
            <w:vAlign w:val="bottom"/>
            <w:shd w:val="clear" w:color="auto" w:fill="CCEEFF"/>
          </w:tcPr>
          <w:p>
            <w:pPr>
              <w:spacing w:after="0"/>
              <w:rPr>
                <w:sz w:val="21"/>
                <w:szCs w:val="21"/>
                <w:color w:val="auto"/>
              </w:rPr>
            </w:pPr>
          </w:p>
        </w:tc>
      </w:tr>
      <w:tr>
        <w:trPr>
          <w:trHeight w:val="237"/>
        </w:trPr>
        <w:tc>
          <w:tcPr>
            <w:tcW w:w="6680" w:type="dxa"/>
            <w:vAlign w:val="bottom"/>
            <w:gridSpan w:val="2"/>
          </w:tcPr>
          <w:p>
            <w:pPr>
              <w:ind w:left="180"/>
              <w:spacing w:after="0"/>
              <w:rPr>
                <w:sz w:val="20"/>
                <w:szCs w:val="20"/>
                <w:color w:val="auto"/>
              </w:rPr>
            </w:pPr>
            <w:r>
              <w:rPr>
                <w:rFonts w:ascii="Arial" w:cs="Arial" w:eastAsia="Arial" w:hAnsi="Arial"/>
                <w:sz w:val="18"/>
                <w:szCs w:val="18"/>
                <w:color w:val="auto"/>
              </w:rPr>
              <w:t>Bank card services and interchange fees</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8,845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7,857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0"/>
                <w:szCs w:val="20"/>
                <w:color w:val="auto"/>
              </w:rPr>
            </w:pPr>
          </w:p>
        </w:tc>
      </w:tr>
      <w:tr>
        <w:trPr>
          <w:trHeight w:val="249"/>
        </w:trPr>
        <w:tc>
          <w:tcPr>
            <w:tcW w:w="6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Mortgage banking activities</w:t>
            </w: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00" w:type="dxa"/>
            <w:vAlign w:val="bottom"/>
            <w:shd w:val="clear" w:color="auto" w:fill="CCEEFF"/>
          </w:tcPr>
          <w:p>
            <w:pPr>
              <w:spacing w:after="0"/>
              <w:rPr>
                <w:sz w:val="21"/>
                <w:szCs w:val="21"/>
                <w:color w:val="auto"/>
              </w:rPr>
            </w:pPr>
          </w:p>
        </w:tc>
      </w:tr>
      <w:tr>
        <w:trPr>
          <w:trHeight w:val="237"/>
        </w:trPr>
        <w:tc>
          <w:tcPr>
            <w:tcW w:w="6680" w:type="dxa"/>
            <w:vAlign w:val="bottom"/>
            <w:gridSpan w:val="2"/>
          </w:tcPr>
          <w:p>
            <w:pPr>
              <w:ind w:left="180"/>
              <w:spacing w:after="0"/>
              <w:rPr>
                <w:sz w:val="20"/>
                <w:szCs w:val="20"/>
                <w:color w:val="auto"/>
              </w:rPr>
            </w:pPr>
            <w:r>
              <w:rPr>
                <w:rFonts w:ascii="Arial" w:cs="Arial" w:eastAsia="Arial" w:hAnsi="Arial"/>
                <w:sz w:val="18"/>
                <w:szCs w:val="18"/>
                <w:color w:val="auto"/>
              </w:rPr>
              <w:t>Investment commissions</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1,779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1,478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0"/>
                <w:szCs w:val="20"/>
                <w:color w:val="auto"/>
              </w:rPr>
            </w:pPr>
          </w:p>
        </w:tc>
      </w:tr>
      <w:tr>
        <w:trPr>
          <w:trHeight w:val="249"/>
        </w:trPr>
        <w:tc>
          <w:tcPr>
            <w:tcW w:w="6680" w:type="dxa"/>
            <w:vAlign w:val="bottom"/>
            <w:tcBorders>
              <w:bottom w:val="single" w:sz="8" w:color="CCEEFF"/>
            </w:tcBorders>
            <w:gridSpan w:val="2"/>
            <w:shd w:val="clear" w:color="auto" w:fill="CCEEFF"/>
          </w:tcPr>
          <w:p>
            <w:pPr>
              <w:ind w:left="180"/>
              <w:spacing w:after="0" w:line="249" w:lineRule="exact"/>
              <w:rPr>
                <w:sz w:val="20"/>
                <w:szCs w:val="20"/>
                <w:color w:val="auto"/>
              </w:rPr>
            </w:pPr>
            <w:r>
              <w:rPr>
                <w:rFonts w:ascii="Arial" w:cs="Arial" w:eastAsia="Arial" w:hAnsi="Arial"/>
                <w:sz w:val="17"/>
                <w:szCs w:val="17"/>
                <w:color w:val="auto"/>
              </w:rPr>
              <w:t>Other income and fees</w:t>
            </w:r>
            <w:r>
              <w:rPr>
                <w:rFonts w:ascii="Arial" w:cs="Arial" w:eastAsia="Arial" w:hAnsi="Arial"/>
                <w:sz w:val="28"/>
                <w:szCs w:val="28"/>
                <w:color w:val="auto"/>
                <w:vertAlign w:val="superscript"/>
              </w:rPr>
              <w:t>(1)</w:t>
            </w:r>
          </w:p>
        </w:tc>
        <w:tc>
          <w:tcPr>
            <w:tcW w:w="1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5,172</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3,816</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23"/>
        </w:trPr>
        <w:tc>
          <w:tcPr>
            <w:tcW w:w="6680" w:type="dxa"/>
            <w:vAlign w:val="bottom"/>
            <w:gridSpan w:val="2"/>
          </w:tcPr>
          <w:p>
            <w:pPr>
              <w:ind w:left="360"/>
              <w:spacing w:after="0"/>
              <w:rPr>
                <w:sz w:val="20"/>
                <w:szCs w:val="20"/>
                <w:color w:val="auto"/>
              </w:rPr>
            </w:pPr>
            <w:r>
              <w:rPr>
                <w:rFonts w:ascii="Arial" w:cs="Arial" w:eastAsia="Arial" w:hAnsi="Arial"/>
                <w:sz w:val="18"/>
                <w:szCs w:val="18"/>
                <w:color w:val="auto"/>
              </w:rPr>
              <w:t>Total noninterest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52,121</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47,389</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4,732</w:t>
            </w:r>
          </w:p>
        </w:tc>
        <w:tc>
          <w:tcPr>
            <w:tcW w:w="100" w:type="dxa"/>
            <w:vAlign w:val="bottom"/>
          </w:tcPr>
          <w:p>
            <w:pPr>
              <w:spacing w:after="0"/>
              <w:rPr>
                <w:sz w:val="19"/>
                <w:szCs w:val="19"/>
                <w:color w:val="auto"/>
              </w:rPr>
            </w:pPr>
          </w:p>
        </w:tc>
      </w:tr>
      <w:tr>
        <w:trPr>
          <w:trHeight w:val="21"/>
        </w:trPr>
        <w:tc>
          <w:tcPr>
            <w:tcW w:w="14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40" w:type="dxa"/>
            <w:vAlign w:val="bottom"/>
            <w:tcBorders>
              <w:bottom w:val="single" w:sz="8" w:color="auto"/>
            </w:tcBorders>
          </w:tcPr>
          <w:p>
            <w:pPr>
              <w:spacing w:after="0"/>
              <w:rPr>
                <w:sz w:val="17"/>
                <w:szCs w:val="17"/>
                <w:color w:val="auto"/>
              </w:rPr>
            </w:pPr>
          </w:p>
        </w:tc>
        <w:tc>
          <w:tcPr>
            <w:tcW w:w="5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103" w:lineRule="exact"/>
        <w:rPr>
          <w:sz w:val="20"/>
          <w:szCs w:val="20"/>
          <w:color w:val="auto"/>
        </w:rPr>
      </w:pPr>
    </w:p>
    <w:p>
      <w:pPr>
        <w:ind w:left="347" w:right="80" w:hanging="347"/>
        <w:spacing w:after="0" w:line="273" w:lineRule="auto"/>
        <w:tabs>
          <w:tab w:leader="none" w:pos="347" w:val="left"/>
        </w:tabs>
        <w:numPr>
          <w:ilvl w:val="0"/>
          <w:numId w:val="31"/>
        </w:numPr>
        <w:rPr>
          <w:rFonts w:ascii="Arial" w:cs="Arial" w:eastAsia="Arial" w:hAnsi="Arial"/>
          <w:sz w:val="14"/>
          <w:szCs w:val="14"/>
          <w:color w:val="auto"/>
        </w:rPr>
      </w:pPr>
      <w:r>
        <w:rPr>
          <w:rFonts w:ascii="Arial" w:cs="Arial" w:eastAsia="Arial" w:hAnsi="Arial"/>
          <w:sz w:val="14"/>
          <w:szCs w:val="14"/>
          <w:color w:val="auto"/>
        </w:rPr>
        <w:t>Other income and fees includes income and fees associated with fiduciary activities, the increase in the cash surrender value of life insurance, safe deposit box rental, check printing, collections, wire transfer and other miscellaneous services.</w:t>
      </w:r>
    </w:p>
    <w:p>
      <w:pPr>
        <w:spacing w:after="0" w:line="57" w:lineRule="exact"/>
        <w:rPr>
          <w:sz w:val="20"/>
          <w:szCs w:val="20"/>
          <w:color w:val="auto"/>
        </w:rPr>
      </w:pPr>
    </w:p>
    <w:p>
      <w:pPr>
        <w:ind w:left="7" w:right="20" w:firstLine="360"/>
        <w:spacing w:after="0" w:line="257" w:lineRule="auto"/>
        <w:rPr>
          <w:sz w:val="20"/>
          <w:szCs w:val="20"/>
          <w:color w:val="auto"/>
        </w:rPr>
      </w:pPr>
      <w:r>
        <w:rPr>
          <w:rFonts w:ascii="Arial" w:cs="Arial" w:eastAsia="Arial" w:hAnsi="Arial"/>
          <w:sz w:val="18"/>
          <w:szCs w:val="18"/>
          <w:color w:val="auto"/>
        </w:rPr>
        <w:t>Income from service charges on deposit accounts include fees for overdraft privilege charges, insufficient funds charges, account analysis service fees on commercial accounts, and monthly account service fees. These fees increased $388,000, or 5.2%, to $7.8 million for the year ended December 31, 2018 from $7.4 million for the year ended December 31, 2017. The increase was primarily a result in raising the fees charged on overdraft privilege and insufficient funds transactions early in the first quarter of 2018.</w:t>
      </w:r>
    </w:p>
    <w:p>
      <w:pPr>
        <w:spacing w:after="0" w:line="80" w:lineRule="exact"/>
        <w:rPr>
          <w:sz w:val="20"/>
          <w:szCs w:val="20"/>
          <w:color w:val="auto"/>
        </w:rPr>
      </w:pPr>
    </w:p>
    <w:p>
      <w:pPr>
        <w:ind w:left="7" w:right="220" w:firstLine="360"/>
        <w:spacing w:after="0" w:line="259" w:lineRule="auto"/>
        <w:rPr>
          <w:sz w:val="20"/>
          <w:szCs w:val="20"/>
          <w:color w:val="auto"/>
        </w:rPr>
      </w:pPr>
      <w:r>
        <w:rPr>
          <w:rFonts w:ascii="Arial" w:cs="Arial" w:eastAsia="Arial" w:hAnsi="Arial"/>
          <w:sz w:val="18"/>
          <w:szCs w:val="18"/>
          <w:color w:val="auto"/>
        </w:rPr>
        <w:t>Income from insurance activities is primarily derived from our insurance agency subsidiary, Windmark Insurance. Insurance income increased $706,000, or 11.0%, to $7.1 million for the year ended December 31, 2018 from $6.4 million for the year ended December 31, 2017. This increase was attributable to an increase in commissions and bonuses for insurance sales due to an expanded customer base during 2018.</w:t>
      </w:r>
    </w:p>
    <w:p>
      <w:pPr>
        <w:spacing w:after="0" w:line="79" w:lineRule="exact"/>
        <w:rPr>
          <w:sz w:val="20"/>
          <w:szCs w:val="20"/>
          <w:color w:val="auto"/>
        </w:rPr>
      </w:pPr>
    </w:p>
    <w:p>
      <w:pPr>
        <w:ind w:left="367"/>
        <w:spacing w:after="0"/>
        <w:rPr>
          <w:sz w:val="20"/>
          <w:szCs w:val="20"/>
          <w:color w:val="auto"/>
        </w:rPr>
      </w:pPr>
      <w:r>
        <w:rPr>
          <w:rFonts w:ascii="Arial" w:cs="Arial" w:eastAsia="Arial" w:hAnsi="Arial"/>
          <w:sz w:val="17"/>
          <w:szCs w:val="17"/>
          <w:color w:val="auto"/>
        </w:rPr>
        <w:t>Income from mortgage banking activities includes gains on the sale of mortgage loans originated for sale in the secondary</w:t>
      </w:r>
    </w:p>
    <w:p>
      <w:pPr>
        <w:spacing w:after="0" w:line="35" w:lineRule="exact"/>
        <w:rPr>
          <w:sz w:val="20"/>
          <w:szCs w:val="20"/>
          <w:color w:val="auto"/>
        </w:rPr>
      </w:pPr>
    </w:p>
    <w:p>
      <w:pPr>
        <w:ind w:left="7"/>
        <w:spacing w:after="0"/>
        <w:rPr>
          <w:sz w:val="20"/>
          <w:szCs w:val="20"/>
          <w:color w:val="auto"/>
        </w:rPr>
      </w:pPr>
      <w:r>
        <w:rPr>
          <w:rFonts w:ascii="Arial" w:cs="Arial" w:eastAsia="Arial" w:hAnsi="Arial"/>
          <w:sz w:val="17"/>
          <w:szCs w:val="17"/>
          <w:color w:val="auto"/>
        </w:rPr>
        <w:t>market, servicing income on mortgages sold with retained servicing, and related mortgage loan service charges. Income from</w:t>
      </w:r>
    </w:p>
    <w:p>
      <w:pPr>
        <w:spacing w:after="0" w:line="21" w:lineRule="exact"/>
        <w:rPr>
          <w:sz w:val="20"/>
          <w:szCs w:val="20"/>
          <w:color w:val="auto"/>
        </w:rPr>
      </w:pPr>
    </w:p>
    <w:p>
      <w:pPr>
        <w:ind w:left="7"/>
        <w:spacing w:after="0"/>
        <w:rPr>
          <w:sz w:val="20"/>
          <w:szCs w:val="20"/>
          <w:color w:val="auto"/>
        </w:rPr>
      </w:pPr>
      <w:r>
        <w:rPr>
          <w:rFonts w:ascii="Arial" w:cs="Arial" w:eastAsia="Arial" w:hAnsi="Arial"/>
          <w:sz w:val="17"/>
          <w:szCs w:val="17"/>
          <w:color w:val="auto"/>
        </w:rPr>
        <w:t>mortgage banking activities increased $993,000, or 4.9%, to $21.4 million for the year ended December 31, 2018 from $20.4</w:t>
      </w:r>
    </w:p>
    <w:p>
      <w:pPr>
        <w:spacing w:after="0" w:line="21" w:lineRule="exact"/>
        <w:rPr>
          <w:sz w:val="20"/>
          <w:szCs w:val="20"/>
          <w:color w:val="auto"/>
        </w:rPr>
      </w:pPr>
    </w:p>
    <w:p>
      <w:pPr>
        <w:ind w:left="7"/>
        <w:spacing w:after="0"/>
        <w:rPr>
          <w:sz w:val="20"/>
          <w:szCs w:val="20"/>
          <w:color w:val="auto"/>
        </w:rPr>
      </w:pPr>
      <w:r>
        <w:rPr>
          <w:rFonts w:ascii="Arial" w:cs="Arial" w:eastAsia="Arial" w:hAnsi="Arial"/>
          <w:sz w:val="17"/>
          <w:szCs w:val="17"/>
          <w:color w:val="auto"/>
        </w:rPr>
        <w:t>million for the year ended December 31, 2017. The increase was due primarily to an increase in net gain on sales of loans of</w:t>
      </w:r>
    </w:p>
    <w:p>
      <w:pPr>
        <w:spacing w:after="0" w:line="21" w:lineRule="exact"/>
        <w:rPr>
          <w:sz w:val="20"/>
          <w:szCs w:val="20"/>
          <w:color w:val="auto"/>
        </w:rPr>
      </w:pPr>
    </w:p>
    <w:p>
      <w:pPr>
        <w:ind w:left="7"/>
        <w:spacing w:after="0"/>
        <w:rPr>
          <w:sz w:val="20"/>
          <w:szCs w:val="20"/>
          <w:color w:val="auto"/>
        </w:rPr>
      </w:pPr>
      <w:r>
        <w:rPr>
          <w:rFonts w:ascii="Arial" w:cs="Arial" w:eastAsia="Arial" w:hAnsi="Arial"/>
          <w:sz w:val="16"/>
          <w:szCs w:val="16"/>
          <w:color w:val="auto"/>
        </w:rPr>
        <w:t>$767,000 from 2017 to 2018 as a result of an increase of $13.2 million in sales of mortgage loans. Production of mortgage loans</w:t>
      </w:r>
    </w:p>
    <w:p>
      <w:pPr>
        <w:spacing w:after="0" w:line="32" w:lineRule="exact"/>
        <w:rPr>
          <w:sz w:val="20"/>
          <w:szCs w:val="20"/>
          <w:color w:val="auto"/>
        </w:rPr>
      </w:pPr>
    </w:p>
    <w:p>
      <w:pPr>
        <w:ind w:left="7"/>
        <w:spacing w:after="0"/>
        <w:rPr>
          <w:sz w:val="20"/>
          <w:szCs w:val="20"/>
          <w:color w:val="auto"/>
        </w:rPr>
      </w:pPr>
      <w:r>
        <w:rPr>
          <w:rFonts w:ascii="Arial" w:cs="Arial" w:eastAsia="Arial" w:hAnsi="Arial"/>
          <w:sz w:val="18"/>
          <w:szCs w:val="18"/>
          <w:color w:val="auto"/>
        </w:rPr>
        <w:t>increased by 3.4% from 2017 to 2018.</w:t>
      </w:r>
    </w:p>
    <w:p>
      <w:pPr>
        <w:spacing w:after="0" w:line="211"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61" w:name="page62"/>
    <w:bookmarkEnd w:id="61"/>
    <w:p>
      <w:pPr>
        <w:ind w:left="7"/>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 w:right="260" w:firstLine="360"/>
        <w:spacing w:after="0" w:line="342" w:lineRule="auto"/>
        <w:rPr>
          <w:sz w:val="20"/>
          <w:szCs w:val="20"/>
          <w:color w:val="auto"/>
        </w:rPr>
      </w:pPr>
      <w:r>
        <w:rPr>
          <w:rFonts w:ascii="Arial" w:cs="Arial" w:eastAsia="Arial" w:hAnsi="Arial"/>
          <w:sz w:val="16"/>
          <w:szCs w:val="16"/>
          <w:color w:val="auto"/>
        </w:rPr>
        <w:t>Other noninterest income increased $1.4 million, or 35.5%, to $5.2 million for the year ended December 31, 2018 from $3.8 million for the year ended December 31, 2017. This increase was primarily due to a gain on sale of securities of $620,000.</w:t>
      </w:r>
    </w:p>
    <w:p>
      <w:pPr>
        <w:spacing w:after="0" w:line="124"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auto"/>
        </w:rPr>
        <w:t>Noninterest Expense</w:t>
      </w:r>
    </w:p>
    <w:p>
      <w:pPr>
        <w:spacing w:after="0" w:line="117" w:lineRule="exact"/>
        <w:rPr>
          <w:sz w:val="20"/>
          <w:szCs w:val="20"/>
          <w:color w:val="auto"/>
        </w:rPr>
      </w:pPr>
    </w:p>
    <w:p>
      <w:pPr>
        <w:ind w:left="367"/>
        <w:spacing w:after="0"/>
        <w:rPr>
          <w:sz w:val="20"/>
          <w:szCs w:val="20"/>
          <w:color w:val="auto"/>
        </w:rPr>
      </w:pPr>
      <w:r>
        <w:rPr>
          <w:rFonts w:ascii="Arial" w:cs="Arial" w:eastAsia="Arial" w:hAnsi="Arial"/>
          <w:sz w:val="16"/>
          <w:szCs w:val="16"/>
          <w:color w:val="auto"/>
        </w:rPr>
        <w:t>Noninterest expense for 2018 was $115.4 million compared to $108.1 million for 2017, an increase of $7.3 million, or 6.7%.</w:t>
      </w:r>
    </w:p>
    <w:p>
      <w:pPr>
        <w:spacing w:after="0" w:line="46" w:lineRule="exact"/>
        <w:rPr>
          <w:sz w:val="20"/>
          <w:szCs w:val="20"/>
          <w:color w:val="auto"/>
        </w:rPr>
      </w:pPr>
    </w:p>
    <w:p>
      <w:pPr>
        <w:ind w:left="7"/>
        <w:spacing w:after="0"/>
        <w:rPr>
          <w:sz w:val="20"/>
          <w:szCs w:val="20"/>
          <w:color w:val="auto"/>
        </w:rPr>
      </w:pPr>
      <w:r>
        <w:rPr>
          <w:rFonts w:ascii="Arial" w:cs="Arial" w:eastAsia="Arial" w:hAnsi="Arial"/>
          <w:sz w:val="16"/>
          <w:szCs w:val="16"/>
          <w:color w:val="auto"/>
        </w:rPr>
        <w:t>The following table sets forth the major components of our noninterest expense for the years ended December 31, 2018 and 2017:</w:t>
      </w:r>
    </w:p>
    <w:p>
      <w:pPr>
        <w:spacing w:after="0" w:line="90"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5"/>
          </w:tcPr>
          <w:p>
            <w:pPr>
              <w:jc w:val="right"/>
              <w:ind w:right="472"/>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144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jc w:val="right"/>
              <w:ind w:right="412"/>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144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200"/>
              <w:spacing w:after="0" w:line="160" w:lineRule="exact"/>
              <w:rPr>
                <w:sz w:val="20"/>
                <w:szCs w:val="20"/>
                <w:color w:val="auto"/>
              </w:rPr>
            </w:pPr>
            <w:r>
              <w:rPr>
                <w:rFonts w:ascii="Arial" w:cs="Arial" w:eastAsia="Arial" w:hAnsi="Arial"/>
                <w:sz w:val="14"/>
                <w:szCs w:val="14"/>
                <w:b w:val="1"/>
                <w:bCs w:val="1"/>
                <w:color w:val="auto"/>
                <w:w w:val="94"/>
              </w:rPr>
              <w:t>Increase</w:t>
            </w:r>
          </w:p>
        </w:tc>
      </w:tr>
      <w:tr>
        <w:trPr>
          <w:trHeight w:val="185"/>
        </w:trPr>
        <w:tc>
          <w:tcPr>
            <w:tcW w:w="144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(decrease)</w:t>
            </w:r>
          </w:p>
        </w:tc>
        <w:tc>
          <w:tcPr>
            <w:tcW w:w="100" w:type="dxa"/>
            <w:vAlign w:val="bottom"/>
          </w:tcPr>
          <w:p>
            <w:pPr>
              <w:spacing w:after="0"/>
              <w:rPr>
                <w:sz w:val="16"/>
                <w:szCs w:val="16"/>
                <w:color w:val="auto"/>
              </w:rPr>
            </w:pPr>
          </w:p>
        </w:tc>
      </w:tr>
      <w:tr>
        <w:trPr>
          <w:trHeight w:val="183"/>
        </w:trPr>
        <w:tc>
          <w:tcPr>
            <w:tcW w:w="144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60" w:type="dxa"/>
            <w:vAlign w:val="bottom"/>
            <w:gridSpan w:val="8"/>
          </w:tcPr>
          <w:p>
            <w:pPr>
              <w:jc w:val="right"/>
              <w:ind w:right="20"/>
              <w:spacing w:after="0"/>
              <w:rPr>
                <w:sz w:val="20"/>
                <w:szCs w:val="20"/>
                <w:color w:val="auto"/>
              </w:rPr>
            </w:pPr>
            <w:r>
              <w:rPr>
                <w:rFonts w:ascii="Arial" w:cs="Arial" w:eastAsia="Arial" w:hAnsi="Arial"/>
                <w:sz w:val="14"/>
                <w:szCs w:val="14"/>
                <w:b w:val="1"/>
                <w:bCs w:val="1"/>
                <w:color w:val="auto"/>
              </w:rPr>
              <w:t>(Dollars in thousands)</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 expense:</w:t>
            </w: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6680" w:type="dxa"/>
            <w:vAlign w:val="bottom"/>
            <w:gridSpan w:val="2"/>
          </w:tcPr>
          <w:p>
            <w:pPr>
              <w:ind w:left="180"/>
              <w:spacing w:after="0"/>
              <w:rPr>
                <w:sz w:val="20"/>
                <w:szCs w:val="20"/>
                <w:color w:val="auto"/>
              </w:rPr>
            </w:pPr>
            <w:r>
              <w:rPr>
                <w:rFonts w:ascii="Arial" w:cs="Arial" w:eastAsia="Arial" w:hAnsi="Arial"/>
                <w:sz w:val="18"/>
                <w:szCs w:val="18"/>
                <w:color w:val="auto"/>
              </w:rPr>
              <w:t>Salaries and employee benefits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71,778</w:t>
            </w:r>
          </w:p>
        </w:tc>
        <w:tc>
          <w:tcPr>
            <w:tcW w:w="3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67,127</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4,651</w:t>
            </w:r>
          </w:p>
        </w:tc>
        <w:tc>
          <w:tcPr>
            <w:tcW w:w="100" w:type="dxa"/>
            <w:vAlign w:val="bottom"/>
          </w:tcPr>
          <w:p>
            <w:pPr>
              <w:spacing w:after="0"/>
              <w:rPr>
                <w:sz w:val="20"/>
                <w:szCs w:val="20"/>
                <w:color w:val="auto"/>
              </w:rPr>
            </w:pPr>
          </w:p>
        </w:tc>
      </w:tr>
      <w:tr>
        <w:trPr>
          <w:trHeight w:val="249"/>
        </w:trPr>
        <w:tc>
          <w:tcPr>
            <w:tcW w:w="6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Occupancy expense, net</w:t>
            </w: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12,988</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CCEEFF"/>
          </w:tcPr>
          <w:p>
            <w:pPr>
              <w:spacing w:after="0"/>
              <w:rPr>
                <w:sz w:val="21"/>
                <w:szCs w:val="21"/>
                <w:color w:val="auto"/>
              </w:rPr>
            </w:pPr>
          </w:p>
        </w:tc>
      </w:tr>
      <w:tr>
        <w:trPr>
          <w:trHeight w:val="237"/>
        </w:trPr>
        <w:tc>
          <w:tcPr>
            <w:tcW w:w="6680" w:type="dxa"/>
            <w:vAlign w:val="bottom"/>
            <w:gridSpan w:val="2"/>
          </w:tcPr>
          <w:p>
            <w:pPr>
              <w:ind w:left="180"/>
              <w:spacing w:after="0"/>
              <w:rPr>
                <w:sz w:val="20"/>
                <w:szCs w:val="20"/>
                <w:color w:val="auto"/>
              </w:rPr>
            </w:pPr>
            <w:r>
              <w:rPr>
                <w:rFonts w:ascii="Arial" w:cs="Arial" w:eastAsia="Arial" w:hAnsi="Arial"/>
                <w:sz w:val="18"/>
                <w:szCs w:val="18"/>
                <w:color w:val="auto"/>
              </w:rPr>
              <w:t>Professional services</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6,734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4,544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2,190</w:t>
            </w:r>
          </w:p>
        </w:tc>
        <w:tc>
          <w:tcPr>
            <w:tcW w:w="100" w:type="dxa"/>
            <w:vAlign w:val="bottom"/>
          </w:tcPr>
          <w:p>
            <w:pPr>
              <w:spacing w:after="0"/>
              <w:rPr>
                <w:sz w:val="20"/>
                <w:szCs w:val="20"/>
                <w:color w:val="auto"/>
              </w:rPr>
            </w:pPr>
          </w:p>
        </w:tc>
      </w:tr>
      <w:tr>
        <w:trPr>
          <w:trHeight w:val="249"/>
        </w:trPr>
        <w:tc>
          <w:tcPr>
            <w:tcW w:w="6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Marketing and development</w:t>
            </w: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1"/>
                <w:szCs w:val="21"/>
                <w:color w:val="auto"/>
              </w:rPr>
            </w:pPr>
          </w:p>
        </w:tc>
      </w:tr>
      <w:tr>
        <w:trPr>
          <w:trHeight w:val="237"/>
        </w:trPr>
        <w:tc>
          <w:tcPr>
            <w:tcW w:w="6680" w:type="dxa"/>
            <w:vAlign w:val="bottom"/>
            <w:gridSpan w:val="2"/>
          </w:tcPr>
          <w:p>
            <w:pPr>
              <w:ind w:left="180"/>
              <w:spacing w:after="0"/>
              <w:rPr>
                <w:sz w:val="20"/>
                <w:szCs w:val="20"/>
                <w:color w:val="auto"/>
              </w:rPr>
            </w:pPr>
            <w:r>
              <w:rPr>
                <w:rFonts w:ascii="Arial" w:cs="Arial" w:eastAsia="Arial" w:hAnsi="Arial"/>
                <w:sz w:val="18"/>
                <w:szCs w:val="18"/>
                <w:color w:val="auto"/>
              </w:rPr>
              <w:t>Bankcard expenses</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2,743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2,298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20"/>
                <w:szCs w:val="20"/>
                <w:color w:val="auto"/>
              </w:rPr>
            </w:pPr>
          </w:p>
        </w:tc>
      </w:tr>
      <w:tr>
        <w:trPr>
          <w:trHeight w:val="249"/>
        </w:trPr>
        <w:tc>
          <w:tcPr>
            <w:tcW w:w="6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Appraisal expenses</w:t>
            </w: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w:t>
            </w:r>
          </w:p>
        </w:tc>
      </w:tr>
      <w:tr>
        <w:trPr>
          <w:trHeight w:val="237"/>
        </w:trPr>
        <w:tc>
          <w:tcPr>
            <w:tcW w:w="6680" w:type="dxa"/>
            <w:vAlign w:val="bottom"/>
            <w:gridSpan w:val="2"/>
          </w:tcPr>
          <w:p>
            <w:pPr>
              <w:ind w:left="180"/>
              <w:spacing w:after="0"/>
              <w:rPr>
                <w:sz w:val="20"/>
                <w:szCs w:val="20"/>
                <w:color w:val="auto"/>
              </w:rPr>
            </w:pPr>
            <w:r>
              <w:rPr>
                <w:rFonts w:ascii="Arial" w:cs="Arial" w:eastAsia="Arial" w:hAnsi="Arial"/>
                <w:sz w:val="18"/>
                <w:szCs w:val="18"/>
                <w:color w:val="auto"/>
              </w:rPr>
              <w:t>IT and data services</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2,233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2,115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r>
      <w:tr>
        <w:trPr>
          <w:trHeight w:val="249"/>
        </w:trPr>
        <w:tc>
          <w:tcPr>
            <w:tcW w:w="6680" w:type="dxa"/>
            <w:vAlign w:val="bottom"/>
            <w:gridSpan w:val="2"/>
            <w:shd w:val="clear" w:color="auto" w:fill="CCEEFF"/>
          </w:tcPr>
          <w:p>
            <w:pPr>
              <w:ind w:left="180"/>
              <w:spacing w:after="0" w:line="249" w:lineRule="exact"/>
              <w:rPr>
                <w:sz w:val="20"/>
                <w:szCs w:val="20"/>
                <w:color w:val="auto"/>
              </w:rPr>
            </w:pPr>
            <w:r>
              <w:rPr>
                <w:rFonts w:ascii="Arial" w:cs="Arial" w:eastAsia="Arial" w:hAnsi="Arial"/>
                <w:sz w:val="17"/>
                <w:szCs w:val="17"/>
                <w:color w:val="auto"/>
              </w:rPr>
              <w:t>Other expenses</w:t>
            </w:r>
            <w:r>
              <w:rPr>
                <w:rFonts w:ascii="Arial" w:cs="Arial" w:eastAsia="Arial" w:hAnsi="Arial"/>
                <w:sz w:val="28"/>
                <w:szCs w:val="28"/>
                <w:color w:val="auto"/>
                <w:vertAlign w:val="superscript"/>
              </w:rPr>
              <w:t>(1)</w:t>
            </w: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(563)</w:t>
            </w:r>
          </w:p>
        </w:tc>
      </w:tr>
      <w:tr>
        <w:trPr>
          <w:trHeight w:val="223"/>
        </w:trPr>
        <w:tc>
          <w:tcPr>
            <w:tcW w:w="6680" w:type="dxa"/>
            <w:vAlign w:val="bottom"/>
            <w:tcBorders>
              <w:top w:val="single" w:sz="8" w:color="CCEEFF"/>
            </w:tcBorders>
            <w:gridSpan w:val="2"/>
          </w:tcPr>
          <w:p>
            <w:pPr>
              <w:ind w:left="360"/>
              <w:spacing w:after="0"/>
              <w:rPr>
                <w:sz w:val="20"/>
                <w:szCs w:val="20"/>
                <w:color w:val="auto"/>
              </w:rPr>
            </w:pPr>
            <w:r>
              <w:rPr>
                <w:rFonts w:ascii="Arial" w:cs="Arial" w:eastAsia="Arial" w:hAnsi="Arial"/>
                <w:sz w:val="18"/>
                <w:szCs w:val="18"/>
                <w:color w:val="auto"/>
              </w:rPr>
              <w:t>Total noninterest expense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115,443</w:t>
            </w:r>
          </w:p>
        </w:tc>
        <w:tc>
          <w:tcPr>
            <w:tcW w:w="160" w:type="dxa"/>
            <w:vAlign w:val="bottom"/>
            <w:tcBorders>
              <w:top w:val="single" w:sz="8" w:color="CCEEFF"/>
            </w:tcBorders>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108,144</w:t>
            </w:r>
          </w:p>
        </w:tc>
        <w:tc>
          <w:tcPr>
            <w:tcW w:w="16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7,299</w:t>
            </w:r>
          </w:p>
        </w:tc>
        <w:tc>
          <w:tcPr>
            <w:tcW w:w="100" w:type="dxa"/>
            <w:vAlign w:val="bottom"/>
            <w:tcBorders>
              <w:top w:val="single" w:sz="8" w:color="CCEEFF"/>
            </w:tcBorders>
          </w:tcPr>
          <w:p>
            <w:pPr>
              <w:spacing w:after="0"/>
              <w:rPr>
                <w:sz w:val="19"/>
                <w:szCs w:val="19"/>
                <w:color w:val="auto"/>
              </w:rPr>
            </w:pPr>
          </w:p>
        </w:tc>
      </w:tr>
      <w:tr>
        <w:trPr>
          <w:trHeight w:val="21"/>
        </w:trPr>
        <w:tc>
          <w:tcPr>
            <w:tcW w:w="14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40" w:type="dxa"/>
            <w:vAlign w:val="bottom"/>
            <w:tcBorders>
              <w:bottom w:val="single" w:sz="8" w:color="auto"/>
            </w:tcBorders>
          </w:tcPr>
          <w:p>
            <w:pPr>
              <w:spacing w:after="0"/>
              <w:rPr>
                <w:sz w:val="17"/>
                <w:szCs w:val="17"/>
                <w:color w:val="auto"/>
              </w:rPr>
            </w:pPr>
          </w:p>
        </w:tc>
        <w:tc>
          <w:tcPr>
            <w:tcW w:w="5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103" w:lineRule="exact"/>
        <w:rPr>
          <w:sz w:val="20"/>
          <w:szCs w:val="20"/>
          <w:color w:val="auto"/>
        </w:rPr>
      </w:pPr>
    </w:p>
    <w:p>
      <w:pPr>
        <w:ind w:left="347" w:hanging="347"/>
        <w:spacing w:after="0"/>
        <w:tabs>
          <w:tab w:leader="none" w:pos="347" w:val="left"/>
        </w:tabs>
        <w:numPr>
          <w:ilvl w:val="0"/>
          <w:numId w:val="32"/>
        </w:numPr>
        <w:rPr>
          <w:rFonts w:ascii="Arial" w:cs="Arial" w:eastAsia="Arial" w:hAnsi="Arial"/>
          <w:sz w:val="14"/>
          <w:szCs w:val="14"/>
          <w:color w:val="auto"/>
        </w:rPr>
      </w:pPr>
      <w:r>
        <w:rPr>
          <w:rFonts w:ascii="Arial" w:cs="Arial" w:eastAsia="Arial" w:hAnsi="Arial"/>
          <w:sz w:val="14"/>
          <w:szCs w:val="14"/>
          <w:color w:val="auto"/>
        </w:rPr>
        <w:t>Other expenses include items such as telephone expenses, postage, courier fees, directors’ fees, and insurance.</w:t>
      </w:r>
    </w:p>
    <w:p>
      <w:pPr>
        <w:spacing w:after="0" w:line="100" w:lineRule="exact"/>
        <w:rPr>
          <w:sz w:val="20"/>
          <w:szCs w:val="20"/>
          <w:color w:val="auto"/>
        </w:rPr>
      </w:pPr>
    </w:p>
    <w:p>
      <w:pPr>
        <w:ind w:left="367"/>
        <w:spacing w:after="0"/>
        <w:rPr>
          <w:sz w:val="20"/>
          <w:szCs w:val="20"/>
          <w:color w:val="auto"/>
        </w:rPr>
      </w:pPr>
      <w:r>
        <w:rPr>
          <w:rFonts w:ascii="Arial" w:cs="Arial" w:eastAsia="Arial" w:hAnsi="Arial"/>
          <w:sz w:val="16"/>
          <w:szCs w:val="16"/>
          <w:color w:val="auto"/>
        </w:rPr>
        <w:t>Salaries and employee benefits include (i) amounts paid to employees for base pay, commissions, incentive compensation, and</w:t>
      </w:r>
    </w:p>
    <w:p>
      <w:pPr>
        <w:spacing w:after="0" w:line="46" w:lineRule="exact"/>
        <w:rPr>
          <w:sz w:val="20"/>
          <w:szCs w:val="20"/>
          <w:color w:val="auto"/>
        </w:rPr>
      </w:pPr>
    </w:p>
    <w:p>
      <w:pPr>
        <w:ind w:left="7"/>
        <w:spacing w:after="0"/>
        <w:rPr>
          <w:sz w:val="20"/>
          <w:szCs w:val="20"/>
          <w:color w:val="auto"/>
        </w:rPr>
      </w:pPr>
      <w:r>
        <w:rPr>
          <w:rFonts w:ascii="Arial" w:cs="Arial" w:eastAsia="Arial" w:hAnsi="Arial"/>
          <w:sz w:val="17"/>
          <w:szCs w:val="17"/>
          <w:color w:val="auto"/>
        </w:rPr>
        <w:t>bonuses, (ii) health and other related insurance paid by the Bank on behalf of our employees, and (iii) the annual cost for any</w:t>
      </w:r>
    </w:p>
    <w:p>
      <w:pPr>
        <w:spacing w:after="0" w:line="21" w:lineRule="exact"/>
        <w:rPr>
          <w:sz w:val="20"/>
          <w:szCs w:val="20"/>
          <w:color w:val="auto"/>
        </w:rPr>
      </w:pPr>
    </w:p>
    <w:p>
      <w:pPr>
        <w:ind w:left="7"/>
        <w:spacing w:after="0"/>
        <w:rPr>
          <w:sz w:val="20"/>
          <w:szCs w:val="20"/>
          <w:color w:val="auto"/>
        </w:rPr>
      </w:pPr>
      <w:r>
        <w:rPr>
          <w:rFonts w:ascii="Arial" w:cs="Arial" w:eastAsia="Arial" w:hAnsi="Arial"/>
          <w:sz w:val="16"/>
          <w:szCs w:val="16"/>
          <w:color w:val="auto"/>
        </w:rPr>
        <w:t>increases in the liability for non-qualified plans maintained for certain key employees. Salaries and employee benefits increased</w:t>
      </w:r>
    </w:p>
    <w:p>
      <w:pPr>
        <w:spacing w:after="0" w:line="32" w:lineRule="exact"/>
        <w:rPr>
          <w:sz w:val="20"/>
          <w:szCs w:val="20"/>
          <w:color w:val="auto"/>
        </w:rPr>
      </w:pPr>
    </w:p>
    <w:p>
      <w:pPr>
        <w:ind w:left="7"/>
        <w:spacing w:after="0"/>
        <w:rPr>
          <w:sz w:val="20"/>
          <w:szCs w:val="20"/>
          <w:color w:val="auto"/>
        </w:rPr>
      </w:pPr>
      <w:r>
        <w:rPr>
          <w:rFonts w:ascii="Arial" w:cs="Arial" w:eastAsia="Arial" w:hAnsi="Arial"/>
          <w:sz w:val="16"/>
          <w:szCs w:val="16"/>
          <w:color w:val="auto"/>
        </w:rPr>
        <w:t>$4.7 million, or 6.9%, from $67.1 million for the year ended December 31, 2017 to $71.8 million for the year ended December 31,</w:t>
      </w:r>
    </w:p>
    <w:p>
      <w:pPr>
        <w:spacing w:after="0" w:line="32" w:lineRule="exact"/>
        <w:rPr>
          <w:sz w:val="20"/>
          <w:szCs w:val="20"/>
          <w:color w:val="auto"/>
        </w:rPr>
      </w:pPr>
    </w:p>
    <w:p>
      <w:pPr>
        <w:ind w:left="7"/>
        <w:spacing w:after="0"/>
        <w:rPr>
          <w:sz w:val="20"/>
          <w:szCs w:val="20"/>
          <w:color w:val="auto"/>
        </w:rPr>
      </w:pPr>
      <w:r>
        <w:rPr>
          <w:rFonts w:ascii="Arial" w:cs="Arial" w:eastAsia="Arial" w:hAnsi="Arial"/>
          <w:sz w:val="16"/>
          <w:szCs w:val="16"/>
          <w:color w:val="auto"/>
        </w:rPr>
        <w:t>2018. The increase was primarily due to an increase in commissions paid of $1.5 million for mortgage originations, broker services,</w:t>
      </w:r>
    </w:p>
    <w:p>
      <w:pPr>
        <w:spacing w:after="0" w:line="32" w:lineRule="exact"/>
        <w:rPr>
          <w:sz w:val="20"/>
          <w:szCs w:val="20"/>
          <w:color w:val="auto"/>
        </w:rPr>
      </w:pPr>
    </w:p>
    <w:p>
      <w:pPr>
        <w:ind w:left="7"/>
        <w:spacing w:after="0"/>
        <w:rPr>
          <w:sz w:val="20"/>
          <w:szCs w:val="20"/>
          <w:color w:val="auto"/>
        </w:rPr>
      </w:pPr>
      <w:r>
        <w:rPr>
          <w:rFonts w:ascii="Arial" w:cs="Arial" w:eastAsia="Arial" w:hAnsi="Arial"/>
          <w:sz w:val="16"/>
          <w:szCs w:val="16"/>
          <w:color w:val="auto"/>
        </w:rPr>
        <w:t>and insurance sales during 2018. Additionally, there was an increase of 36 average full-time equivalent employees as well as salary</w:t>
      </w:r>
    </w:p>
    <w:p>
      <w:pPr>
        <w:spacing w:after="0" w:line="32" w:lineRule="exact"/>
        <w:rPr>
          <w:sz w:val="20"/>
          <w:szCs w:val="20"/>
          <w:color w:val="auto"/>
        </w:rPr>
      </w:pPr>
    </w:p>
    <w:p>
      <w:pPr>
        <w:ind w:left="7"/>
        <w:spacing w:after="0"/>
        <w:rPr>
          <w:sz w:val="20"/>
          <w:szCs w:val="20"/>
          <w:color w:val="auto"/>
        </w:rPr>
      </w:pPr>
      <w:r>
        <w:rPr>
          <w:rFonts w:ascii="Arial" w:cs="Arial" w:eastAsia="Arial" w:hAnsi="Arial"/>
          <w:sz w:val="16"/>
          <w:szCs w:val="16"/>
          <w:color w:val="auto"/>
        </w:rPr>
        <w:t>adjustments during 2018 which caused base salaries to increase $2.4 million in 2018. Further, there was an increase of $1.1 million</w:t>
      </w:r>
    </w:p>
    <w:p>
      <w:pPr>
        <w:spacing w:after="0" w:line="32" w:lineRule="exact"/>
        <w:rPr>
          <w:sz w:val="20"/>
          <w:szCs w:val="20"/>
          <w:color w:val="auto"/>
        </w:rPr>
      </w:pPr>
    </w:p>
    <w:p>
      <w:pPr>
        <w:ind w:left="7"/>
        <w:spacing w:after="0"/>
        <w:rPr>
          <w:sz w:val="20"/>
          <w:szCs w:val="20"/>
          <w:color w:val="auto"/>
        </w:rPr>
      </w:pPr>
      <w:r>
        <w:rPr>
          <w:rFonts w:ascii="Arial" w:cs="Arial" w:eastAsia="Arial" w:hAnsi="Arial"/>
          <w:sz w:val="18"/>
          <w:szCs w:val="18"/>
          <w:color w:val="auto"/>
        </w:rPr>
        <w:t>in employee insurance expense, primarily related to health insurance, during 2018.</w:t>
      </w:r>
    </w:p>
    <w:p>
      <w:pPr>
        <w:spacing w:after="0" w:line="103" w:lineRule="exact"/>
        <w:rPr>
          <w:sz w:val="20"/>
          <w:szCs w:val="20"/>
          <w:color w:val="auto"/>
        </w:rPr>
      </w:pPr>
    </w:p>
    <w:p>
      <w:pPr>
        <w:ind w:left="7" w:right="40" w:firstLine="360"/>
        <w:spacing w:after="0" w:line="293" w:lineRule="auto"/>
        <w:rPr>
          <w:sz w:val="20"/>
          <w:szCs w:val="20"/>
          <w:color w:val="auto"/>
        </w:rPr>
      </w:pPr>
      <w:r>
        <w:rPr>
          <w:rFonts w:ascii="Arial" w:cs="Arial" w:eastAsia="Arial" w:hAnsi="Arial"/>
          <w:sz w:val="16"/>
          <w:szCs w:val="16"/>
          <w:color w:val="auto"/>
        </w:rPr>
        <w:t>Net occupancy expenses are comprised of depreciation on property, premises, equipment and software, rent expense for leased facilities and equipment, maintenance agreements on equipment and software, property taxes, and other expenses related to maintaining owned or leased assets. Net occupancy expense for the year ended December 31, 2018 was $13.6 million compared to $13.0 million for the year ended December 31, 2017, an increase of $583,000, or 4.5%. The increase was primarily attributable to increased software subscriptions and maintenance expenses during 2018 relating to a platform for online mortgage applications, enhanced network and systems security, account monitoring for fraud and compliance, and profitability and data analytics reporting.</w:t>
      </w:r>
    </w:p>
    <w:p>
      <w:pPr>
        <w:spacing w:after="0" w:line="57" w:lineRule="exact"/>
        <w:rPr>
          <w:sz w:val="20"/>
          <w:szCs w:val="20"/>
          <w:color w:val="auto"/>
        </w:rPr>
      </w:pPr>
    </w:p>
    <w:p>
      <w:pPr>
        <w:ind w:left="7" w:right="20" w:firstLine="360"/>
        <w:spacing w:after="0" w:line="276" w:lineRule="auto"/>
        <w:rPr>
          <w:sz w:val="20"/>
          <w:szCs w:val="20"/>
          <w:color w:val="auto"/>
        </w:rPr>
      </w:pPr>
      <w:r>
        <w:rPr>
          <w:rFonts w:ascii="Arial" w:cs="Arial" w:eastAsia="Arial" w:hAnsi="Arial"/>
          <w:sz w:val="17"/>
          <w:szCs w:val="17"/>
          <w:color w:val="auto"/>
        </w:rPr>
        <w:t>Professional services expenses, which include legal fees, audit and accounting fees, and consulting fees, increased $2.2 million in 2018. This increase was primarily due to an additional $1.7 million in legal expenses in 2018. These additional legal expenses were related to the Company’s conversion to a C Corporation, the issuance of new subordinated debt securities, the acquisition of an online mortgage platform and related employees, and preparation for an initial public offering. Other noninterest expense decreased $563,000 in 2018 primarily due to a $491,000 loss on sale of securities in 2017.</w:t>
      </w:r>
    </w:p>
    <w:p>
      <w:pPr>
        <w:spacing w:after="0" w:line="169"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Financial Condition</w:t>
      </w:r>
    </w:p>
    <w:p>
      <w:pPr>
        <w:spacing w:after="0" w:line="121" w:lineRule="exact"/>
        <w:rPr>
          <w:sz w:val="20"/>
          <w:szCs w:val="20"/>
          <w:color w:val="auto"/>
        </w:rPr>
      </w:pPr>
    </w:p>
    <w:p>
      <w:pPr>
        <w:ind w:left="7" w:right="180" w:firstLine="360"/>
        <w:spacing w:after="0" w:line="264" w:lineRule="auto"/>
        <w:rPr>
          <w:sz w:val="20"/>
          <w:szCs w:val="20"/>
          <w:color w:val="auto"/>
        </w:rPr>
      </w:pPr>
      <w:r>
        <w:rPr>
          <w:rFonts w:ascii="Arial" w:cs="Arial" w:eastAsia="Arial" w:hAnsi="Arial"/>
          <w:sz w:val="18"/>
          <w:szCs w:val="18"/>
          <w:color w:val="auto"/>
        </w:rPr>
        <w:t>Total assets increased $139.4 million, or 5.4%, to $2.7 billion at December 31, 2018 as compared to $2.6 billion at December 31, 2017. The increase in total assets was primarily the result of our organic loan growth. Our gross loans held for investment increased $119.0 million, or 6.5%, to $2.0 billion at December 31,</w:t>
      </w:r>
    </w:p>
    <w:p>
      <w:pPr>
        <w:spacing w:after="0" w:line="181"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2018, compared to $1.8 billion at December 31, 2017. Our securities portfolio increased $54.1 million, or 19.0%, to $338.2 million at December 31, 2018, compared to $284.1 million at December 31, 2017. Total deposits increased $123.4 million, or 5.7% to $2.3 billion at December 31, 2018, compared to $2.2 billion at December 31, 2017. This increase in deposits was used to help fund our growth in loans held for investment.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Portfolio</w:t>
      </w:r>
    </w:p>
    <w:p>
      <w:pPr>
        <w:spacing w:after="0" w:line="117"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Our loans represent the largest portion of earning assets, greater than the securities portfolio or any other asset category, and the quality and diversification of the loan portfolio is an important consideration when reviewing the Company’s financial condition. We originate substantially all of the loans in our portfolio, except certain loan participations that are independently underwritten by the Company prior to purchase.</w:t>
      </w:r>
    </w:p>
    <w:p>
      <w:pPr>
        <w:spacing w:after="0" w:line="79" w:lineRule="exact"/>
        <w:rPr>
          <w:sz w:val="20"/>
          <w:szCs w:val="20"/>
          <w:color w:val="auto"/>
        </w:rPr>
      </w:pPr>
    </w:p>
    <w:p>
      <w:pPr>
        <w:ind w:right="320" w:firstLine="360"/>
        <w:spacing w:after="0" w:line="277" w:lineRule="auto"/>
        <w:rPr>
          <w:sz w:val="20"/>
          <w:szCs w:val="20"/>
          <w:color w:val="auto"/>
        </w:rPr>
      </w:pPr>
      <w:r>
        <w:rPr>
          <w:rFonts w:ascii="Arial" w:cs="Arial" w:eastAsia="Arial" w:hAnsi="Arial"/>
          <w:sz w:val="18"/>
          <w:szCs w:val="18"/>
          <w:color w:val="auto"/>
        </w:rPr>
        <w:t>The following table presents the balance and associated percentage of each major category in our gross loan portfolio at the dates indicated: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8"/>
          </w:tcPr>
          <w:p>
            <w:pPr>
              <w:jc w:val="right"/>
              <w:ind w:right="260"/>
              <w:spacing w:after="0"/>
              <w:rPr>
                <w:sz w:val="20"/>
                <w:szCs w:val="20"/>
                <w:color w:val="auto"/>
              </w:rPr>
            </w:pPr>
            <w:r>
              <w:rPr>
                <w:rFonts w:ascii="Arial" w:cs="Arial" w:eastAsia="Arial" w:hAnsi="Arial"/>
                <w:sz w:val="14"/>
                <w:szCs w:val="14"/>
                <w:b w:val="1"/>
                <w:bCs w:val="1"/>
                <w:color w:val="auto"/>
                <w:w w:val="92"/>
              </w:rPr>
              <w:t>As of December 31,</w:t>
            </w: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4"/>
          </w:tcPr>
          <w:p>
            <w:pPr>
              <w:ind w:left="80"/>
              <w:spacing w:after="0" w:line="160"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4"/>
          </w:tcPr>
          <w:p>
            <w:pPr>
              <w:ind w:left="80"/>
              <w:spacing w:after="0" w:line="160"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4"/>
          </w:tcPr>
          <w:p>
            <w:pPr>
              <w:jc w:val="right"/>
              <w:ind w:right="280"/>
              <w:spacing w:after="0" w:line="160"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3"/>
          </w:tcPr>
          <w:p>
            <w:pPr>
              <w:ind w:left="100"/>
              <w:spacing w:after="0" w:line="160"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gridSpan w:val="3"/>
          </w:tcPr>
          <w:p>
            <w:pPr>
              <w:ind w:left="100"/>
              <w:spacing w:after="0" w:line="160"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85"/>
        </w:trPr>
        <w:tc>
          <w:tcPr>
            <w:tcW w:w="1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180" w:type="dxa"/>
            <w:vAlign w:val="bottom"/>
            <w:gridSpan w:val="3"/>
          </w:tcPr>
          <w:p>
            <w:pPr>
              <w:spacing w:after="0"/>
              <w:rPr>
                <w:sz w:val="16"/>
                <w:szCs w:val="16"/>
                <w:color w:val="auto"/>
              </w:rPr>
            </w:pPr>
          </w:p>
        </w:tc>
        <w:tc>
          <w:tcPr>
            <w:tcW w:w="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80" w:type="dxa"/>
            <w:vAlign w:val="bottom"/>
            <w:gridSpan w:val="2"/>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180" w:type="dxa"/>
            <w:vAlign w:val="bottom"/>
            <w:gridSpan w:val="3"/>
          </w:tcPr>
          <w:p>
            <w:pPr>
              <w:spacing w:after="0"/>
              <w:rPr>
                <w:sz w:val="16"/>
                <w:szCs w:val="16"/>
                <w:color w:val="auto"/>
              </w:rPr>
            </w:pPr>
          </w:p>
        </w:tc>
        <w:tc>
          <w:tcPr>
            <w:tcW w:w="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80" w:type="dxa"/>
            <w:vAlign w:val="bottom"/>
            <w:gridSpan w:val="2"/>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180" w:type="dxa"/>
            <w:vAlign w:val="bottom"/>
            <w:gridSpan w:val="3"/>
          </w:tcPr>
          <w:p>
            <w:pPr>
              <w:spacing w:after="0"/>
              <w:rPr>
                <w:sz w:val="16"/>
                <w:szCs w:val="16"/>
                <w:color w:val="auto"/>
              </w:rPr>
            </w:pPr>
          </w:p>
        </w:tc>
        <w:tc>
          <w:tcPr>
            <w:tcW w:w="4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Total</w:t>
            </w:r>
          </w:p>
        </w:tc>
        <w:tc>
          <w:tcPr>
            <w:tcW w:w="180" w:type="dxa"/>
            <w:vAlign w:val="bottom"/>
            <w:gridSpan w:val="2"/>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6"/>
                <w:szCs w:val="16"/>
                <w:color w:val="auto"/>
              </w:rPr>
            </w:pPr>
          </w:p>
        </w:tc>
        <w:tc>
          <w:tcPr>
            <w:tcW w:w="5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180" w:type="dxa"/>
            <w:vAlign w:val="bottom"/>
            <w:gridSpan w:val="3"/>
          </w:tcPr>
          <w:p>
            <w:pPr>
              <w:spacing w:after="0"/>
              <w:rPr>
                <w:sz w:val="16"/>
                <w:szCs w:val="16"/>
                <w:color w:val="auto"/>
              </w:rPr>
            </w:pPr>
          </w:p>
        </w:tc>
        <w:tc>
          <w:tcPr>
            <w:tcW w:w="4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gridSpan w:val="9"/>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Commercial real estate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538,037</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27.5%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506,894</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27.6%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462,495</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27.9%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490,938</w:t>
            </w:r>
          </w:p>
        </w:tc>
        <w:tc>
          <w:tcPr>
            <w:tcW w:w="16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29.3%</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548,755</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0" w:type="dxa"/>
            <w:vAlign w:val="bottom"/>
          </w:tcPr>
          <w:p>
            <w:pPr>
              <w:spacing w:after="0"/>
              <w:rPr>
                <w:sz w:val="1"/>
                <w:szCs w:val="1"/>
                <w:color w:val="auto"/>
              </w:rPr>
            </w:pPr>
          </w:p>
        </w:tc>
      </w:tr>
      <w:tr>
        <w:trPr>
          <w:trHeight w:val="208"/>
        </w:trPr>
        <w:tc>
          <w:tcPr>
            <w:tcW w:w="1720" w:type="dxa"/>
            <w:vAlign w:val="bottom"/>
            <w:gridSpan w:val="2"/>
          </w:tcPr>
          <w:p>
            <w:pPr>
              <w:spacing w:after="0"/>
              <w:rPr>
                <w:sz w:val="20"/>
                <w:szCs w:val="20"/>
                <w:color w:val="auto"/>
              </w:rPr>
            </w:pPr>
            <w:r>
              <w:rPr>
                <w:rFonts w:ascii="Arial" w:cs="Arial" w:eastAsia="Arial" w:hAnsi="Arial"/>
                <w:sz w:val="16"/>
                <w:szCs w:val="16"/>
                <w:color w:val="auto"/>
              </w:rPr>
              <w:t>Commercial –</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20" w:type="dxa"/>
            <w:vAlign w:val="bottom"/>
            <w:gridSpan w:val="2"/>
          </w:tcPr>
          <w:p>
            <w:pPr>
              <w:spacing w:after="0"/>
              <w:rPr>
                <w:sz w:val="20"/>
                <w:szCs w:val="20"/>
                <w:color w:val="auto"/>
              </w:rPr>
            </w:pPr>
            <w:r>
              <w:rPr>
                <w:rFonts w:ascii="Arial" w:cs="Arial" w:eastAsia="Arial" w:hAnsi="Arial"/>
                <w:sz w:val="16"/>
                <w:szCs w:val="16"/>
                <w:color w:val="auto"/>
              </w:rPr>
              <w:t>specialized</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305,022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15.6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329,119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17.9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309,279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18.6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329,561</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19.6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297,215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19.2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Commercial – general</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427,728</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410,057</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395,949</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395,938</w:t>
            </w: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308,506</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720" w:type="dxa"/>
            <w:vAlign w:val="bottom"/>
            <w:gridSpan w:val="2"/>
          </w:tcPr>
          <w:p>
            <w:pPr>
              <w:spacing w:after="0"/>
              <w:rPr>
                <w:sz w:val="20"/>
                <w:szCs w:val="20"/>
                <w:color w:val="auto"/>
              </w:rPr>
            </w:pPr>
            <w:r>
              <w:rPr>
                <w:rFonts w:ascii="Arial" w:cs="Arial" w:eastAsia="Arial" w:hAnsi="Arial"/>
                <w:sz w:val="16"/>
                <w:szCs w:val="16"/>
                <w:color w:val="auto"/>
              </w:rPr>
              <w:t>Consumer:</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1-4 family residential</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346,153</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313,350</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297,944</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291,099</w:t>
            </w: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249,920</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720" w:type="dxa"/>
            <w:vAlign w:val="bottom"/>
            <w:gridSpan w:val="2"/>
          </w:tcPr>
          <w:p>
            <w:pPr>
              <w:ind w:left="180"/>
              <w:spacing w:after="0"/>
              <w:rPr>
                <w:sz w:val="20"/>
                <w:szCs w:val="20"/>
                <w:color w:val="auto"/>
              </w:rPr>
            </w:pPr>
            <w:r>
              <w:rPr>
                <w:rFonts w:ascii="Arial" w:cs="Arial" w:eastAsia="Arial" w:hAnsi="Arial"/>
                <w:sz w:val="16"/>
                <w:szCs w:val="16"/>
                <w:color w:val="auto"/>
              </w:rPr>
              <w:t>Auto loans</w:t>
            </w:r>
          </w:p>
        </w:tc>
        <w:tc>
          <w:tcPr>
            <w:tcW w:w="1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191,647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9.8</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146,622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76,215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4.6</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66,710</w:t>
            </w:r>
          </w:p>
        </w:tc>
        <w:tc>
          <w:tcPr>
            <w:tcW w:w="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61,373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 consumer</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70,209</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66,191</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62,097</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64,057</w:t>
            </w: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58,536</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700" w:type="dxa"/>
            <w:vAlign w:val="bottom"/>
          </w:tcPr>
          <w:p>
            <w:pPr>
              <w:spacing w:after="0"/>
              <w:rPr>
                <w:sz w:val="20"/>
                <w:szCs w:val="20"/>
                <w:color w:val="auto"/>
              </w:rPr>
            </w:pPr>
            <w:r>
              <w:rPr>
                <w:rFonts w:ascii="Arial" w:cs="Arial" w:eastAsia="Arial" w:hAnsi="Arial"/>
                <w:sz w:val="16"/>
                <w:szCs w:val="16"/>
                <w:color w:val="auto"/>
              </w:rPr>
              <w:t>Construction</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78,401</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65,922</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57,207</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41,011</w:t>
            </w: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25,728</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Gross loans</w:t>
            </w: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7"/>
              </w:rPr>
              <w:t>1,957,197</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w w:val="99"/>
              </w:rPr>
              <w:t>100.0%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7"/>
              </w:rPr>
              <w:t>1,838,155</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w w:val="99"/>
              </w:rPr>
              <w:t>100.0%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7"/>
              </w:rPr>
              <w:t>1,661,186</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w w:val="99"/>
              </w:rPr>
              <w:t>100.0%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1,679,314</w:t>
            </w:r>
          </w:p>
        </w:tc>
        <w:tc>
          <w:tcPr>
            <w:tcW w:w="16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1,550,033</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8"/>
        </w:trPr>
        <w:tc>
          <w:tcPr>
            <w:tcW w:w="1720" w:type="dxa"/>
            <w:vAlign w:val="bottom"/>
            <w:gridSpan w:val="2"/>
          </w:tcPr>
          <w:p>
            <w:pPr>
              <w:ind w:left="360"/>
              <w:spacing w:after="0"/>
              <w:rPr>
                <w:sz w:val="20"/>
                <w:szCs w:val="20"/>
                <w:color w:val="auto"/>
              </w:rPr>
            </w:pPr>
            <w:r>
              <w:rPr>
                <w:rFonts w:ascii="Arial" w:cs="Arial" w:eastAsia="Arial" w:hAnsi="Arial"/>
                <w:sz w:val="16"/>
                <w:szCs w:val="16"/>
                <w:color w:val="auto"/>
              </w:rPr>
              <w:t>Allowance for loan</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vMerge w:val="restart"/>
          </w:tcPr>
          <w:p>
            <w:pPr>
              <w:jc w:val="right"/>
              <w:ind w:right="100"/>
              <w:spacing w:after="0"/>
              <w:rPr>
                <w:sz w:val="20"/>
                <w:szCs w:val="20"/>
                <w:color w:val="auto"/>
              </w:rPr>
            </w:pPr>
            <w:r>
              <w:rPr>
                <w:rFonts w:ascii="Arial" w:cs="Arial" w:eastAsia="Arial" w:hAnsi="Arial"/>
                <w:sz w:val="16"/>
                <w:szCs w:val="16"/>
                <w:color w:val="auto"/>
              </w:rPr>
              <w:t>(21,461)</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vMerge w:val="restart"/>
          </w:tcPr>
          <w:p>
            <w:pPr>
              <w:jc w:val="right"/>
              <w:ind w:right="100"/>
              <w:spacing w:after="0"/>
              <w:rPr>
                <w:sz w:val="20"/>
                <w:szCs w:val="20"/>
                <w:color w:val="auto"/>
              </w:rPr>
            </w:pPr>
            <w:r>
              <w:rPr>
                <w:rFonts w:ascii="Arial" w:cs="Arial" w:eastAsia="Arial" w:hAnsi="Arial"/>
                <w:sz w:val="16"/>
                <w:szCs w:val="16"/>
                <w:color w:val="auto"/>
              </w:rPr>
              <w:t>(21,174)</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(24,220)</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vMerge w:val="restart"/>
          </w:tcPr>
          <w:p>
            <w:pPr>
              <w:jc w:val="right"/>
              <w:ind w:right="100"/>
              <w:spacing w:after="0"/>
              <w:rPr>
                <w:sz w:val="20"/>
                <w:szCs w:val="20"/>
                <w:color w:val="auto"/>
              </w:rPr>
            </w:pPr>
            <w:r>
              <w:rPr>
                <w:rFonts w:ascii="Arial" w:cs="Arial" w:eastAsia="Arial" w:hAnsi="Arial"/>
                <w:sz w:val="16"/>
                <w:szCs w:val="16"/>
                <w:color w:val="auto"/>
              </w:rPr>
              <w:t>(27,940)</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720" w:type="dxa"/>
            <w:vAlign w:val="bottom"/>
            <w:gridSpan w:val="2"/>
          </w:tcPr>
          <w:p>
            <w:pPr>
              <w:ind w:left="540"/>
              <w:spacing w:after="0"/>
              <w:rPr>
                <w:sz w:val="20"/>
                <w:szCs w:val="20"/>
                <w:color w:val="auto"/>
              </w:rPr>
            </w:pPr>
            <w:r>
              <w:rPr>
                <w:rFonts w:ascii="Arial" w:cs="Arial" w:eastAsia="Arial" w:hAnsi="Arial"/>
                <w:sz w:val="16"/>
                <w:szCs w:val="16"/>
                <w:color w:val="auto"/>
              </w:rPr>
              <w:t>losses</w:t>
            </w:r>
          </w:p>
        </w:tc>
        <w:tc>
          <w:tcPr>
            <w:tcW w:w="10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6"/>
                <w:szCs w:val="16"/>
                <w:color w:val="auto"/>
              </w:rPr>
              <w:t>(23,126)</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1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loans</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7"/>
              </w:rPr>
              <w:t>1,934,071</w:t>
            </w: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top w:val="single" w:sz="8" w:color="auto"/>
              <w:bottom w:val="single" w:sz="8" w:color="auto"/>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7"/>
              </w:rPr>
              <w:t>1,816,694</w:t>
            </w: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top w:val="single" w:sz="8" w:color="auto"/>
              <w:bottom w:val="single" w:sz="8" w:color="auto"/>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7"/>
              </w:rPr>
              <w:t>1,640,012</w:t>
            </w: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top w:val="single" w:sz="8" w:color="auto"/>
              <w:bottom w:val="single" w:sz="8" w:color="auto"/>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1,655,094</w:t>
            </w:r>
          </w:p>
        </w:tc>
        <w:tc>
          <w:tcPr>
            <w:tcW w:w="1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1,522,093</w:t>
            </w: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0" w:firstLine="360"/>
        <w:spacing w:after="0" w:line="264" w:lineRule="auto"/>
        <w:rPr>
          <w:sz w:val="20"/>
          <w:szCs w:val="20"/>
          <w:color w:val="auto"/>
        </w:rPr>
      </w:pPr>
      <w:r>
        <w:rPr>
          <w:rFonts w:ascii="Arial" w:cs="Arial" w:eastAsia="Arial" w:hAnsi="Arial"/>
          <w:sz w:val="18"/>
          <w:szCs w:val="18"/>
          <w:color w:val="auto"/>
        </w:rPr>
        <w:t>Gross loans increased $119.0 million, or 6.5%, to $2.0 billion at December 31, 2018 as compared to $1.8 billion at December 31, 2017. This increase in our loans was due to growth of $81.8 million occurring in the consumer portfolio and $31.1 million in the commercial real estate portfolio.</w:t>
      </w:r>
    </w:p>
    <w:p>
      <w:pPr>
        <w:spacing w:after="0" w:line="73" w:lineRule="exact"/>
        <w:rPr>
          <w:sz w:val="20"/>
          <w:szCs w:val="20"/>
          <w:color w:val="auto"/>
        </w:rPr>
      </w:pPr>
    </w:p>
    <w:p>
      <w:pPr>
        <w:ind w:right="680" w:firstLine="360"/>
        <w:spacing w:after="0" w:line="277" w:lineRule="auto"/>
        <w:rPr>
          <w:sz w:val="20"/>
          <w:szCs w:val="20"/>
          <w:color w:val="auto"/>
        </w:rPr>
      </w:pPr>
      <w:r>
        <w:rPr>
          <w:rFonts w:ascii="Arial" w:cs="Arial" w:eastAsia="Arial" w:hAnsi="Arial"/>
          <w:sz w:val="18"/>
          <w:szCs w:val="18"/>
          <w:color w:val="auto"/>
        </w:rPr>
        <w:t>The following tables show the contractual maturities of our gross loan portfolio and the distribution between fixed and adjustable interest rate loans at December 31, 2018 and December 31, 2017:</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8"/>
          </w:tcPr>
          <w:p>
            <w:pPr>
              <w:jc w:val="center"/>
              <w:ind w:left="323"/>
              <w:spacing w:after="0"/>
              <w:rPr>
                <w:sz w:val="20"/>
                <w:szCs w:val="20"/>
                <w:color w:val="auto"/>
              </w:rPr>
            </w:pPr>
            <w:r>
              <w:rPr>
                <w:rFonts w:ascii="Arial" w:cs="Arial" w:eastAsia="Arial" w:hAnsi="Arial"/>
                <w:sz w:val="14"/>
                <w:szCs w:val="14"/>
                <w:b w:val="1"/>
                <w:bCs w:val="1"/>
                <w:color w:val="auto"/>
                <w:w w:val="92"/>
              </w:rPr>
              <w:t>As of December 31, 2018</w:t>
            </w:r>
          </w:p>
        </w:tc>
        <w:tc>
          <w:tcPr>
            <w:tcW w:w="6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2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5"/>
          </w:tcPr>
          <w:p>
            <w:pPr>
              <w:jc w:val="right"/>
              <w:ind w:right="221"/>
              <w:spacing w:after="0" w:line="160" w:lineRule="exact"/>
              <w:rPr>
                <w:sz w:val="20"/>
                <w:szCs w:val="20"/>
                <w:color w:val="auto"/>
              </w:rPr>
            </w:pPr>
            <w:r>
              <w:rPr>
                <w:rFonts w:ascii="Arial" w:cs="Arial" w:eastAsia="Arial" w:hAnsi="Arial"/>
                <w:sz w:val="14"/>
                <w:szCs w:val="14"/>
                <w:b w:val="1"/>
                <w:bCs w:val="1"/>
                <w:color w:val="auto"/>
              </w:rPr>
              <w:t>Due after One Year</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5"/>
        </w:trPr>
        <w:tc>
          <w:tcPr>
            <w:tcW w:w="2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Due in One Year or Less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5"/>
          </w:tcPr>
          <w:p>
            <w:pPr>
              <w:jc w:val="right"/>
              <w:ind w:right="201"/>
              <w:spacing w:after="0"/>
              <w:rPr>
                <w:sz w:val="20"/>
                <w:szCs w:val="20"/>
                <w:color w:val="auto"/>
              </w:rPr>
            </w:pPr>
            <w:r>
              <w:rPr>
                <w:rFonts w:ascii="Arial" w:cs="Arial" w:eastAsia="Arial" w:hAnsi="Arial"/>
                <w:sz w:val="14"/>
                <w:szCs w:val="14"/>
                <w:b w:val="1"/>
                <w:bCs w:val="1"/>
                <w:color w:val="auto"/>
              </w:rPr>
              <w:t>Through Five Years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right"/>
              <w:ind w:right="201"/>
              <w:spacing w:after="0"/>
              <w:rPr>
                <w:sz w:val="20"/>
                <w:szCs w:val="20"/>
                <w:color w:val="auto"/>
              </w:rPr>
            </w:pPr>
            <w:r>
              <w:rPr>
                <w:rFonts w:ascii="Arial" w:cs="Arial" w:eastAsia="Arial" w:hAnsi="Arial"/>
                <w:sz w:val="14"/>
                <w:szCs w:val="14"/>
                <w:b w:val="1"/>
                <w:bCs w:val="1"/>
                <w:color w:val="auto"/>
                <w:w w:val="99"/>
              </w:rPr>
              <w:t>Due after Five Years</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2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ind w:left="80"/>
              <w:spacing w:after="0" w:line="160" w:lineRule="exact"/>
              <w:rPr>
                <w:sz w:val="20"/>
                <w:szCs w:val="20"/>
                <w:color w:val="auto"/>
              </w:rPr>
            </w:pPr>
            <w:r>
              <w:rPr>
                <w:rFonts w:ascii="Arial" w:cs="Arial" w:eastAsia="Arial" w:hAnsi="Arial"/>
                <w:sz w:val="14"/>
                <w:szCs w:val="14"/>
                <w:b w:val="1"/>
                <w:bCs w:val="1"/>
                <w:color w:val="auto"/>
              </w:rPr>
              <w:t>Fixed</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60"/>
              <w:spacing w:after="0" w:line="160" w:lineRule="exact"/>
              <w:rPr>
                <w:sz w:val="20"/>
                <w:szCs w:val="20"/>
                <w:color w:val="auto"/>
              </w:rPr>
            </w:pPr>
            <w:r>
              <w:rPr>
                <w:rFonts w:ascii="Arial" w:cs="Arial" w:eastAsia="Arial" w:hAnsi="Arial"/>
                <w:sz w:val="14"/>
                <w:szCs w:val="14"/>
                <w:b w:val="1"/>
                <w:bCs w:val="1"/>
                <w:color w:val="auto"/>
                <w:w w:val="94"/>
              </w:rPr>
              <w:t>Adjustable</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123"/>
              <w:spacing w:after="0" w:line="160" w:lineRule="exact"/>
              <w:rPr>
                <w:sz w:val="20"/>
                <w:szCs w:val="20"/>
                <w:color w:val="auto"/>
              </w:rPr>
            </w:pPr>
            <w:r>
              <w:rPr>
                <w:rFonts w:ascii="Arial" w:cs="Arial" w:eastAsia="Arial" w:hAnsi="Arial"/>
                <w:sz w:val="14"/>
                <w:szCs w:val="14"/>
                <w:b w:val="1"/>
                <w:bCs w:val="1"/>
                <w:color w:val="auto"/>
              </w:rPr>
              <w:t>Fixed</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w w:val="94"/>
              </w:rPr>
              <w:t>Adjustable</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ind w:right="142"/>
              <w:spacing w:after="0" w:line="160" w:lineRule="exact"/>
              <w:rPr>
                <w:sz w:val="20"/>
                <w:szCs w:val="20"/>
                <w:color w:val="auto"/>
              </w:rPr>
            </w:pPr>
            <w:r>
              <w:rPr>
                <w:rFonts w:ascii="Arial" w:cs="Arial" w:eastAsia="Arial" w:hAnsi="Arial"/>
                <w:sz w:val="14"/>
                <w:szCs w:val="14"/>
                <w:b w:val="1"/>
                <w:bCs w:val="1"/>
                <w:color w:val="auto"/>
                <w:w w:val="98"/>
              </w:rPr>
              <w:t>Fixed</w:t>
            </w:r>
          </w:p>
        </w:tc>
        <w:tc>
          <w:tcPr>
            <w:tcW w:w="160" w:type="dxa"/>
            <w:vAlign w:val="bottom"/>
          </w:tcPr>
          <w:p>
            <w:pPr>
              <w:spacing w:after="0"/>
              <w:rPr>
                <w:sz w:val="13"/>
                <w:szCs w:val="13"/>
                <w:color w:val="auto"/>
              </w:rPr>
            </w:pPr>
          </w:p>
        </w:tc>
        <w:tc>
          <w:tcPr>
            <w:tcW w:w="880" w:type="dxa"/>
            <w:vAlign w:val="bottom"/>
            <w:gridSpan w:val="2"/>
          </w:tcPr>
          <w:p>
            <w:pPr>
              <w:jc w:val="right"/>
              <w:ind w:right="21"/>
              <w:spacing w:after="0" w:line="160" w:lineRule="exact"/>
              <w:rPr>
                <w:sz w:val="20"/>
                <w:szCs w:val="20"/>
                <w:color w:val="auto"/>
              </w:rPr>
            </w:pPr>
            <w:r>
              <w:rPr>
                <w:rFonts w:ascii="Arial" w:cs="Arial" w:eastAsia="Arial" w:hAnsi="Arial"/>
                <w:sz w:val="14"/>
                <w:szCs w:val="14"/>
                <w:b w:val="1"/>
                <w:bCs w:val="1"/>
                <w:color w:val="auto"/>
              </w:rPr>
              <w:t>Adjustable</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5"/>
        </w:trPr>
        <w:tc>
          <w:tcPr>
            <w:tcW w:w="2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Rate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Rate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Rate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2"/>
              </w:rPr>
              <w:t>Rate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Rate</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Rate</w:t>
            </w: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r>
      <w:tr>
        <w:trPr>
          <w:trHeight w:val="183"/>
        </w:trPr>
        <w:tc>
          <w:tcPr>
            <w:tcW w:w="2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0" w:type="dxa"/>
            <w:vAlign w:val="bottom"/>
            <w:gridSpan w:val="8"/>
          </w:tcPr>
          <w:p>
            <w:pPr>
              <w:jc w:val="center"/>
              <w:ind w:left="323"/>
              <w:spacing w:after="0"/>
              <w:rPr>
                <w:sz w:val="20"/>
                <w:szCs w:val="20"/>
                <w:color w:val="auto"/>
              </w:rPr>
            </w:pPr>
            <w:r>
              <w:rPr>
                <w:rFonts w:ascii="Arial" w:cs="Arial" w:eastAsia="Arial" w:hAnsi="Arial"/>
                <w:sz w:val="14"/>
                <w:szCs w:val="14"/>
                <w:b w:val="1"/>
                <w:bCs w:val="1"/>
                <w:color w:val="auto"/>
                <w:w w:val="91"/>
              </w:rPr>
              <w:t>(Dollars in thousands)</w:t>
            </w: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2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Commercial real estate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45,345</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34,071</w:t>
            </w:r>
          </w:p>
        </w:tc>
        <w:tc>
          <w:tcPr>
            <w:tcW w:w="2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127,377</w:t>
            </w:r>
          </w:p>
        </w:tc>
        <w:tc>
          <w:tcPr>
            <w:tcW w:w="380" w:type="dxa"/>
            <w:vAlign w:val="bottom"/>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81,068</w:t>
            </w: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8,380</w:t>
            </w:r>
          </w:p>
        </w:tc>
        <w:tc>
          <w:tcPr>
            <w:tcW w:w="36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241,796</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538,037</w:t>
            </w:r>
          </w:p>
        </w:tc>
        <w:tc>
          <w:tcPr>
            <w:tcW w:w="100" w:type="dxa"/>
            <w:vAlign w:val="bottom"/>
            <w:shd w:val="clear" w:color="auto" w:fill="CCEEFF"/>
          </w:tcPr>
          <w:p>
            <w:pPr>
              <w:spacing w:after="0"/>
              <w:rPr>
                <w:sz w:val="19"/>
                <w:szCs w:val="19"/>
                <w:color w:val="auto"/>
              </w:rPr>
            </w:pPr>
          </w:p>
        </w:tc>
      </w:tr>
      <w:tr>
        <w:trPr>
          <w:trHeight w:val="220"/>
        </w:trPr>
        <w:tc>
          <w:tcPr>
            <w:tcW w:w="2280" w:type="dxa"/>
            <w:vAlign w:val="bottom"/>
            <w:gridSpan w:val="2"/>
          </w:tcPr>
          <w:p>
            <w:pPr>
              <w:spacing w:after="0"/>
              <w:rPr>
                <w:sz w:val="20"/>
                <w:szCs w:val="20"/>
                <w:color w:val="auto"/>
              </w:rPr>
            </w:pPr>
            <w:r>
              <w:rPr>
                <w:rFonts w:ascii="Arial" w:cs="Arial" w:eastAsia="Arial" w:hAnsi="Arial"/>
                <w:sz w:val="16"/>
                <w:szCs w:val="16"/>
                <w:color w:val="auto"/>
              </w:rPr>
              <w:t>Commercial - specialized</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13,446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132,050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64,373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31,684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8,166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55,303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305,022</w:t>
            </w:r>
          </w:p>
        </w:tc>
        <w:tc>
          <w:tcPr>
            <w:tcW w:w="100" w:type="dxa"/>
            <w:vAlign w:val="bottom"/>
          </w:tcPr>
          <w:p>
            <w:pPr>
              <w:spacing w:after="0"/>
              <w:rPr>
                <w:sz w:val="19"/>
                <w:szCs w:val="19"/>
                <w:color w:val="auto"/>
              </w:rPr>
            </w:pPr>
          </w:p>
        </w:tc>
      </w:tr>
      <w:tr>
        <w:trPr>
          <w:trHeight w:val="239"/>
        </w:trPr>
        <w:tc>
          <w:tcPr>
            <w:tcW w:w="2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Commercial - general</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27,669</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37,546</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69,210</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63,962</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11,148</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218,193</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427,728</w:t>
            </w:r>
          </w:p>
        </w:tc>
        <w:tc>
          <w:tcPr>
            <w:tcW w:w="100" w:type="dxa"/>
            <w:vAlign w:val="bottom"/>
            <w:shd w:val="clear" w:color="auto" w:fill="CCEEFF"/>
          </w:tcPr>
          <w:p>
            <w:pPr>
              <w:spacing w:after="0"/>
              <w:rPr>
                <w:sz w:val="20"/>
                <w:szCs w:val="20"/>
                <w:color w:val="auto"/>
              </w:rPr>
            </w:pPr>
          </w:p>
        </w:tc>
      </w:tr>
      <w:tr>
        <w:trPr>
          <w:trHeight w:val="220"/>
        </w:trPr>
        <w:tc>
          <w:tcPr>
            <w:tcW w:w="2280" w:type="dxa"/>
            <w:vAlign w:val="bottom"/>
            <w:gridSpan w:val="2"/>
          </w:tcPr>
          <w:p>
            <w:pPr>
              <w:spacing w:after="0"/>
              <w:rPr>
                <w:sz w:val="20"/>
                <w:szCs w:val="20"/>
                <w:color w:val="auto"/>
              </w:rPr>
            </w:pPr>
            <w:r>
              <w:rPr>
                <w:rFonts w:ascii="Arial" w:cs="Arial" w:eastAsia="Arial" w:hAnsi="Arial"/>
                <w:sz w:val="16"/>
                <w:szCs w:val="16"/>
                <w:color w:val="auto"/>
              </w:rPr>
              <w:t>Consumer:</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22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1-4 family residential</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20,772</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9,302</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63,141</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15,455</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163,841</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73,642</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346,153</w:t>
            </w:r>
          </w:p>
        </w:tc>
        <w:tc>
          <w:tcPr>
            <w:tcW w:w="100" w:type="dxa"/>
            <w:vAlign w:val="bottom"/>
            <w:shd w:val="clear" w:color="auto" w:fill="CCEEFF"/>
          </w:tcPr>
          <w:p>
            <w:pPr>
              <w:spacing w:after="0"/>
              <w:rPr>
                <w:sz w:val="20"/>
                <w:szCs w:val="20"/>
                <w:color w:val="auto"/>
              </w:rPr>
            </w:pPr>
          </w:p>
        </w:tc>
      </w:tr>
      <w:tr>
        <w:trPr>
          <w:trHeight w:val="220"/>
        </w:trPr>
        <w:tc>
          <w:tcPr>
            <w:tcW w:w="2280" w:type="dxa"/>
            <w:vAlign w:val="bottom"/>
            <w:gridSpan w:val="2"/>
          </w:tcPr>
          <w:p>
            <w:pPr>
              <w:ind w:left="180"/>
              <w:spacing w:after="0"/>
              <w:rPr>
                <w:sz w:val="20"/>
                <w:szCs w:val="20"/>
                <w:color w:val="auto"/>
              </w:rPr>
            </w:pPr>
            <w:r>
              <w:rPr>
                <w:rFonts w:ascii="Arial" w:cs="Arial" w:eastAsia="Arial" w:hAnsi="Arial"/>
                <w:sz w:val="16"/>
                <w:szCs w:val="16"/>
                <w:color w:val="auto"/>
              </w:rPr>
              <w:t>Auto loans</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1,176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120,008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70,463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191,647</w:t>
            </w:r>
          </w:p>
        </w:tc>
        <w:tc>
          <w:tcPr>
            <w:tcW w:w="100" w:type="dxa"/>
            <w:vAlign w:val="bottom"/>
          </w:tcPr>
          <w:p>
            <w:pPr>
              <w:spacing w:after="0"/>
              <w:rPr>
                <w:sz w:val="19"/>
                <w:szCs w:val="19"/>
                <w:color w:val="auto"/>
              </w:rPr>
            </w:pPr>
          </w:p>
        </w:tc>
      </w:tr>
      <w:tr>
        <w:trPr>
          <w:trHeight w:val="239"/>
        </w:trPr>
        <w:tc>
          <w:tcPr>
            <w:tcW w:w="22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 consumer</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3,399</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1,734</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35,432</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29,377</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70,209</w:t>
            </w:r>
          </w:p>
        </w:tc>
        <w:tc>
          <w:tcPr>
            <w:tcW w:w="100" w:type="dxa"/>
            <w:vAlign w:val="bottom"/>
            <w:shd w:val="clear" w:color="auto" w:fill="CCEEFF"/>
          </w:tcPr>
          <w:p>
            <w:pPr>
              <w:spacing w:after="0"/>
              <w:rPr>
                <w:sz w:val="20"/>
                <w:szCs w:val="20"/>
                <w:color w:val="auto"/>
              </w:rPr>
            </w:pPr>
          </w:p>
        </w:tc>
      </w:tr>
      <w:tr>
        <w:trPr>
          <w:trHeight w:val="227"/>
        </w:trPr>
        <w:tc>
          <w:tcPr>
            <w:tcW w:w="2260" w:type="dxa"/>
            <w:vAlign w:val="bottom"/>
          </w:tcPr>
          <w:p>
            <w:pPr>
              <w:spacing w:after="0"/>
              <w:rPr>
                <w:sz w:val="20"/>
                <w:szCs w:val="20"/>
                <w:color w:val="auto"/>
              </w:rPr>
            </w:pPr>
            <w:r>
              <w:rPr>
                <w:rFonts w:ascii="Arial" w:cs="Arial" w:eastAsia="Arial" w:hAnsi="Arial"/>
                <w:sz w:val="16"/>
                <w:szCs w:val="16"/>
                <w:color w:val="auto"/>
              </w:rPr>
              <w:t>Construction</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30,582</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23,642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6,975</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4,591</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12,611</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78,401</w:t>
            </w:r>
          </w:p>
        </w:tc>
        <w:tc>
          <w:tcPr>
            <w:tcW w:w="100" w:type="dxa"/>
            <w:vAlign w:val="bottom"/>
          </w:tcPr>
          <w:p>
            <w:pPr>
              <w:spacing w:after="0"/>
              <w:rPr>
                <w:sz w:val="19"/>
                <w:szCs w:val="19"/>
                <w:color w:val="auto"/>
              </w:rPr>
            </w:pPr>
          </w:p>
        </w:tc>
      </w:tr>
      <w:tr>
        <w:trPr>
          <w:trHeight w:val="260"/>
        </w:trPr>
        <w:tc>
          <w:tcPr>
            <w:tcW w:w="2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Gross loans</w:t>
            </w:r>
          </w:p>
        </w:tc>
        <w:tc>
          <w:tcPr>
            <w:tcW w:w="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142,389</w:t>
            </w: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238,345</w:t>
            </w: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486,516</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196,887</w:t>
            </w: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291,375</w:t>
            </w: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601,685</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1,957,197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61"/>
        </w:trPr>
        <w:tc>
          <w:tcPr>
            <w:tcW w:w="2280" w:type="dxa"/>
            <w:vAlign w:val="bottom"/>
            <w:gridSpan w:val="3"/>
          </w:tcPr>
          <w:p>
            <w:pPr>
              <w:spacing w:after="0"/>
              <w:rPr>
                <w:rFonts w:ascii="Arial" w:cs="Arial" w:eastAsia="Arial" w:hAnsi="Arial"/>
                <w:sz w:val="14"/>
                <w:szCs w:val="14"/>
                <w:b w:val="1"/>
                <w:bCs w:val="1"/>
                <w:color w:val="0000EE"/>
              </w:rPr>
            </w:pPr>
            <w:hyperlink w:anchor="page4">
              <w:r>
                <w:rPr>
                  <w:rFonts w:ascii="Arial" w:cs="Arial" w:eastAsia="Arial" w:hAnsi="Arial"/>
                  <w:sz w:val="14"/>
                  <w:szCs w:val="14"/>
                  <w:b w:val="1"/>
                  <w:bCs w:val="1"/>
                  <w:color w:val="0000EE"/>
                </w:rPr>
                <w:t>TABLE OF CONTENTS</w:t>
              </w:r>
            </w:hyperlink>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18"/>
        </w:trPr>
        <w:tc>
          <w:tcPr>
            <w:tcW w:w="154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8"/>
          </w:tcPr>
          <w:p>
            <w:pPr>
              <w:jc w:val="center"/>
              <w:ind w:left="323"/>
              <w:spacing w:after="0"/>
              <w:rPr>
                <w:sz w:val="20"/>
                <w:szCs w:val="20"/>
                <w:color w:val="auto"/>
              </w:rPr>
            </w:pPr>
            <w:r>
              <w:rPr>
                <w:rFonts w:ascii="Arial" w:cs="Arial" w:eastAsia="Arial" w:hAnsi="Arial"/>
                <w:sz w:val="14"/>
                <w:szCs w:val="14"/>
                <w:b w:val="1"/>
                <w:bCs w:val="1"/>
                <w:color w:val="auto"/>
                <w:w w:val="92"/>
              </w:rPr>
              <w:t>As of December 31, 2017</w:t>
            </w: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0"/>
        </w:trPr>
        <w:tc>
          <w:tcPr>
            <w:tcW w:w="1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5"/>
          </w:tcPr>
          <w:p>
            <w:pPr>
              <w:jc w:val="right"/>
              <w:ind w:right="221"/>
              <w:spacing w:after="0" w:line="160" w:lineRule="exact"/>
              <w:rPr>
                <w:sz w:val="20"/>
                <w:szCs w:val="20"/>
                <w:color w:val="auto"/>
              </w:rPr>
            </w:pPr>
            <w:r>
              <w:rPr>
                <w:rFonts w:ascii="Arial" w:cs="Arial" w:eastAsia="Arial" w:hAnsi="Arial"/>
                <w:sz w:val="14"/>
                <w:szCs w:val="14"/>
                <w:b w:val="1"/>
                <w:bCs w:val="1"/>
                <w:color w:val="auto"/>
              </w:rPr>
              <w:t>Due after One Year</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5"/>
        </w:trPr>
        <w:tc>
          <w:tcPr>
            <w:tcW w:w="1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Due in One Year or Less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5"/>
          </w:tcPr>
          <w:p>
            <w:pPr>
              <w:jc w:val="right"/>
              <w:ind w:right="201"/>
              <w:spacing w:after="0"/>
              <w:rPr>
                <w:sz w:val="20"/>
                <w:szCs w:val="20"/>
                <w:color w:val="auto"/>
              </w:rPr>
            </w:pPr>
            <w:r>
              <w:rPr>
                <w:rFonts w:ascii="Arial" w:cs="Arial" w:eastAsia="Arial" w:hAnsi="Arial"/>
                <w:sz w:val="14"/>
                <w:szCs w:val="14"/>
                <w:b w:val="1"/>
                <w:bCs w:val="1"/>
                <w:color w:val="auto"/>
              </w:rPr>
              <w:t>Through Five Years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right"/>
              <w:ind w:right="201"/>
              <w:spacing w:after="0"/>
              <w:rPr>
                <w:sz w:val="20"/>
                <w:szCs w:val="20"/>
                <w:color w:val="auto"/>
              </w:rPr>
            </w:pPr>
            <w:r>
              <w:rPr>
                <w:rFonts w:ascii="Arial" w:cs="Arial" w:eastAsia="Arial" w:hAnsi="Arial"/>
                <w:sz w:val="14"/>
                <w:szCs w:val="14"/>
                <w:b w:val="1"/>
                <w:bCs w:val="1"/>
                <w:color w:val="auto"/>
                <w:w w:val="99"/>
              </w:rPr>
              <w:t>Due after Five Years</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1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ind w:left="80"/>
              <w:spacing w:after="0" w:line="160" w:lineRule="exact"/>
              <w:rPr>
                <w:sz w:val="20"/>
                <w:szCs w:val="20"/>
                <w:color w:val="auto"/>
              </w:rPr>
            </w:pPr>
            <w:r>
              <w:rPr>
                <w:rFonts w:ascii="Arial" w:cs="Arial" w:eastAsia="Arial" w:hAnsi="Arial"/>
                <w:sz w:val="14"/>
                <w:szCs w:val="14"/>
                <w:b w:val="1"/>
                <w:bCs w:val="1"/>
                <w:color w:val="auto"/>
              </w:rPr>
              <w:t>Fixed</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60"/>
              <w:spacing w:after="0" w:line="160" w:lineRule="exact"/>
              <w:rPr>
                <w:sz w:val="20"/>
                <w:szCs w:val="20"/>
                <w:color w:val="auto"/>
              </w:rPr>
            </w:pPr>
            <w:r>
              <w:rPr>
                <w:rFonts w:ascii="Arial" w:cs="Arial" w:eastAsia="Arial" w:hAnsi="Arial"/>
                <w:sz w:val="14"/>
                <w:szCs w:val="14"/>
                <w:b w:val="1"/>
                <w:bCs w:val="1"/>
                <w:color w:val="auto"/>
                <w:w w:val="94"/>
              </w:rPr>
              <w:t>Adjustable</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123"/>
              <w:spacing w:after="0" w:line="160" w:lineRule="exact"/>
              <w:rPr>
                <w:sz w:val="20"/>
                <w:szCs w:val="20"/>
                <w:color w:val="auto"/>
              </w:rPr>
            </w:pPr>
            <w:r>
              <w:rPr>
                <w:rFonts w:ascii="Arial" w:cs="Arial" w:eastAsia="Arial" w:hAnsi="Arial"/>
                <w:sz w:val="14"/>
                <w:szCs w:val="14"/>
                <w:b w:val="1"/>
                <w:bCs w:val="1"/>
                <w:color w:val="auto"/>
              </w:rPr>
              <w:t>Fixed</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w w:val="94"/>
              </w:rPr>
              <w:t>Adjustable</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ind w:right="142"/>
              <w:spacing w:after="0" w:line="160" w:lineRule="exact"/>
              <w:rPr>
                <w:sz w:val="20"/>
                <w:szCs w:val="20"/>
                <w:color w:val="auto"/>
              </w:rPr>
            </w:pPr>
            <w:r>
              <w:rPr>
                <w:rFonts w:ascii="Arial" w:cs="Arial" w:eastAsia="Arial" w:hAnsi="Arial"/>
                <w:sz w:val="14"/>
                <w:szCs w:val="14"/>
                <w:b w:val="1"/>
                <w:bCs w:val="1"/>
                <w:color w:val="auto"/>
                <w:w w:val="98"/>
              </w:rPr>
              <w:t>Fixed</w:t>
            </w:r>
          </w:p>
        </w:tc>
        <w:tc>
          <w:tcPr>
            <w:tcW w:w="160" w:type="dxa"/>
            <w:vAlign w:val="bottom"/>
          </w:tcPr>
          <w:p>
            <w:pPr>
              <w:spacing w:after="0"/>
              <w:rPr>
                <w:sz w:val="13"/>
                <w:szCs w:val="13"/>
                <w:color w:val="auto"/>
              </w:rPr>
            </w:pPr>
          </w:p>
        </w:tc>
        <w:tc>
          <w:tcPr>
            <w:tcW w:w="880" w:type="dxa"/>
            <w:vAlign w:val="bottom"/>
            <w:gridSpan w:val="2"/>
          </w:tcPr>
          <w:p>
            <w:pPr>
              <w:jc w:val="right"/>
              <w:ind w:right="21"/>
              <w:spacing w:after="0" w:line="160" w:lineRule="exact"/>
              <w:rPr>
                <w:sz w:val="20"/>
                <w:szCs w:val="20"/>
                <w:color w:val="auto"/>
              </w:rPr>
            </w:pPr>
            <w:r>
              <w:rPr>
                <w:rFonts w:ascii="Arial" w:cs="Arial" w:eastAsia="Arial" w:hAnsi="Arial"/>
                <w:sz w:val="14"/>
                <w:szCs w:val="14"/>
                <w:b w:val="1"/>
                <w:bCs w:val="1"/>
                <w:color w:val="auto"/>
              </w:rPr>
              <w:t>Adjustable</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5"/>
        </w:trPr>
        <w:tc>
          <w:tcPr>
            <w:tcW w:w="1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Rate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Rate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Rate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2"/>
              </w:rPr>
              <w:t>Rate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Rate</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Rate</w:t>
            </w: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r>
      <w:tr>
        <w:trPr>
          <w:trHeight w:val="183"/>
        </w:trPr>
        <w:tc>
          <w:tcPr>
            <w:tcW w:w="1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0" w:type="dxa"/>
            <w:vAlign w:val="bottom"/>
            <w:gridSpan w:val="8"/>
          </w:tcPr>
          <w:p>
            <w:pPr>
              <w:jc w:val="center"/>
              <w:ind w:left="323"/>
              <w:spacing w:after="0"/>
              <w:rPr>
                <w:sz w:val="20"/>
                <w:szCs w:val="20"/>
                <w:color w:val="auto"/>
              </w:rPr>
            </w:pPr>
            <w:r>
              <w:rPr>
                <w:rFonts w:ascii="Arial" w:cs="Arial" w:eastAsia="Arial" w:hAnsi="Arial"/>
                <w:sz w:val="14"/>
                <w:szCs w:val="14"/>
                <w:b w:val="1"/>
                <w:bCs w:val="1"/>
                <w:color w:val="auto"/>
                <w:w w:val="91"/>
              </w:rPr>
              <w:t>(Dollars in thousands)</w:t>
            </w: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22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Commercial real estate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47,609</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34,242</w:t>
            </w:r>
          </w:p>
        </w:tc>
        <w:tc>
          <w:tcPr>
            <w:tcW w:w="2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138,497</w:t>
            </w:r>
          </w:p>
        </w:tc>
        <w:tc>
          <w:tcPr>
            <w:tcW w:w="380" w:type="dxa"/>
            <w:vAlign w:val="bottom"/>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55,201</w:t>
            </w: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7,949</w:t>
            </w:r>
          </w:p>
        </w:tc>
        <w:tc>
          <w:tcPr>
            <w:tcW w:w="36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223,396</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506,894</w:t>
            </w:r>
          </w:p>
        </w:tc>
        <w:tc>
          <w:tcPr>
            <w:tcW w:w="100" w:type="dxa"/>
            <w:vAlign w:val="bottom"/>
            <w:shd w:val="clear" w:color="auto" w:fill="CCEEFF"/>
          </w:tcPr>
          <w:p>
            <w:pPr>
              <w:spacing w:after="0"/>
              <w:rPr>
                <w:sz w:val="19"/>
                <w:szCs w:val="19"/>
                <w:color w:val="auto"/>
              </w:rPr>
            </w:pPr>
          </w:p>
        </w:tc>
      </w:tr>
      <w:tr>
        <w:trPr>
          <w:trHeight w:val="220"/>
        </w:trPr>
        <w:tc>
          <w:tcPr>
            <w:tcW w:w="2280" w:type="dxa"/>
            <w:vAlign w:val="bottom"/>
            <w:gridSpan w:val="3"/>
          </w:tcPr>
          <w:p>
            <w:pPr>
              <w:spacing w:after="0"/>
              <w:rPr>
                <w:sz w:val="20"/>
                <w:szCs w:val="20"/>
                <w:color w:val="auto"/>
              </w:rPr>
            </w:pPr>
            <w:r>
              <w:rPr>
                <w:rFonts w:ascii="Arial" w:cs="Arial" w:eastAsia="Arial" w:hAnsi="Arial"/>
                <w:sz w:val="16"/>
                <w:szCs w:val="16"/>
                <w:color w:val="auto"/>
              </w:rPr>
              <w:t>Commercial - specialized</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15,455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123,435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81,938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32,816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10,207</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65,268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329,119</w:t>
            </w:r>
          </w:p>
        </w:tc>
        <w:tc>
          <w:tcPr>
            <w:tcW w:w="100" w:type="dxa"/>
            <w:vAlign w:val="bottom"/>
          </w:tcPr>
          <w:p>
            <w:pPr>
              <w:spacing w:after="0"/>
              <w:rPr>
                <w:sz w:val="19"/>
                <w:szCs w:val="19"/>
                <w:color w:val="auto"/>
              </w:rPr>
            </w:pPr>
          </w:p>
        </w:tc>
      </w:tr>
      <w:tr>
        <w:trPr>
          <w:trHeight w:val="239"/>
        </w:trPr>
        <w:tc>
          <w:tcPr>
            <w:tcW w:w="22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Commercial - general</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23,847</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39,840</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77,026</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58,866</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16,676</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193,802</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410,057</w:t>
            </w:r>
          </w:p>
        </w:tc>
        <w:tc>
          <w:tcPr>
            <w:tcW w:w="100" w:type="dxa"/>
            <w:vAlign w:val="bottom"/>
            <w:shd w:val="clear" w:color="auto" w:fill="CCEEFF"/>
          </w:tcPr>
          <w:p>
            <w:pPr>
              <w:spacing w:after="0"/>
              <w:rPr>
                <w:sz w:val="20"/>
                <w:szCs w:val="20"/>
                <w:color w:val="auto"/>
              </w:rPr>
            </w:pPr>
          </w:p>
        </w:tc>
      </w:tr>
      <w:tr>
        <w:trPr>
          <w:trHeight w:val="220"/>
        </w:trPr>
        <w:tc>
          <w:tcPr>
            <w:tcW w:w="2280" w:type="dxa"/>
            <w:vAlign w:val="bottom"/>
            <w:gridSpan w:val="3"/>
          </w:tcPr>
          <w:p>
            <w:pPr>
              <w:spacing w:after="0"/>
              <w:rPr>
                <w:sz w:val="20"/>
                <w:szCs w:val="20"/>
                <w:color w:val="auto"/>
              </w:rPr>
            </w:pPr>
            <w:r>
              <w:rPr>
                <w:rFonts w:ascii="Arial" w:cs="Arial" w:eastAsia="Arial" w:hAnsi="Arial"/>
                <w:sz w:val="16"/>
                <w:szCs w:val="16"/>
                <w:color w:val="auto"/>
              </w:rPr>
              <w:t>Consumer:</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228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1-4 family residential</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25,136</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3,155</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52,505</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10,169</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98,003</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124,382</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313,350</w:t>
            </w:r>
          </w:p>
        </w:tc>
        <w:tc>
          <w:tcPr>
            <w:tcW w:w="100" w:type="dxa"/>
            <w:vAlign w:val="bottom"/>
            <w:shd w:val="clear" w:color="auto" w:fill="CCEEFF"/>
          </w:tcPr>
          <w:p>
            <w:pPr>
              <w:spacing w:after="0"/>
              <w:rPr>
                <w:sz w:val="20"/>
                <w:szCs w:val="20"/>
                <w:color w:val="auto"/>
              </w:rPr>
            </w:pPr>
          </w:p>
        </w:tc>
      </w:tr>
      <w:tr>
        <w:trPr>
          <w:trHeight w:val="220"/>
        </w:trPr>
        <w:tc>
          <w:tcPr>
            <w:tcW w:w="2280" w:type="dxa"/>
            <w:vAlign w:val="bottom"/>
            <w:gridSpan w:val="3"/>
          </w:tcPr>
          <w:p>
            <w:pPr>
              <w:ind w:left="180"/>
              <w:spacing w:after="0"/>
              <w:rPr>
                <w:sz w:val="20"/>
                <w:szCs w:val="20"/>
                <w:color w:val="auto"/>
              </w:rPr>
            </w:pPr>
            <w:r>
              <w:rPr>
                <w:rFonts w:ascii="Arial" w:cs="Arial" w:eastAsia="Arial" w:hAnsi="Arial"/>
                <w:sz w:val="16"/>
                <w:szCs w:val="16"/>
                <w:color w:val="auto"/>
              </w:rPr>
              <w:t>Auto loans</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1,072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78,287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67,263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146,622</w:t>
            </w:r>
          </w:p>
        </w:tc>
        <w:tc>
          <w:tcPr>
            <w:tcW w:w="100" w:type="dxa"/>
            <w:vAlign w:val="bottom"/>
          </w:tcPr>
          <w:p>
            <w:pPr>
              <w:spacing w:after="0"/>
              <w:rPr>
                <w:sz w:val="19"/>
                <w:szCs w:val="19"/>
                <w:color w:val="auto"/>
              </w:rPr>
            </w:pPr>
          </w:p>
        </w:tc>
      </w:tr>
      <w:tr>
        <w:trPr>
          <w:trHeight w:val="239"/>
        </w:trPr>
        <w:tc>
          <w:tcPr>
            <w:tcW w:w="228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Other consumer</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3,273</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1,433</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32,911</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28,026</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66,191</w:t>
            </w:r>
          </w:p>
        </w:tc>
        <w:tc>
          <w:tcPr>
            <w:tcW w:w="100" w:type="dxa"/>
            <w:vAlign w:val="bottom"/>
            <w:shd w:val="clear" w:color="auto" w:fill="CCEEFF"/>
          </w:tcPr>
          <w:p>
            <w:pPr>
              <w:spacing w:after="0"/>
              <w:rPr>
                <w:sz w:val="20"/>
                <w:szCs w:val="20"/>
                <w:color w:val="auto"/>
              </w:rPr>
            </w:pPr>
          </w:p>
        </w:tc>
      </w:tr>
      <w:tr>
        <w:trPr>
          <w:trHeight w:val="227"/>
        </w:trPr>
        <w:tc>
          <w:tcPr>
            <w:tcW w:w="2260" w:type="dxa"/>
            <w:vAlign w:val="bottom"/>
            <w:gridSpan w:val="2"/>
          </w:tcPr>
          <w:p>
            <w:pPr>
              <w:spacing w:after="0"/>
              <w:rPr>
                <w:sz w:val="20"/>
                <w:szCs w:val="20"/>
                <w:color w:val="auto"/>
              </w:rPr>
            </w:pPr>
            <w:r>
              <w:rPr>
                <w:rFonts w:ascii="Arial" w:cs="Arial" w:eastAsia="Arial" w:hAnsi="Arial"/>
                <w:sz w:val="16"/>
                <w:szCs w:val="16"/>
                <w:color w:val="auto"/>
              </w:rPr>
              <w:t>Construction</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28,833</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21,682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7,290</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1,525</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6,465</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65,922</w:t>
            </w:r>
          </w:p>
        </w:tc>
        <w:tc>
          <w:tcPr>
            <w:tcW w:w="100" w:type="dxa"/>
            <w:vAlign w:val="bottom"/>
          </w:tcPr>
          <w:p>
            <w:pPr>
              <w:spacing w:after="0"/>
              <w:rPr>
                <w:sz w:val="19"/>
                <w:szCs w:val="19"/>
                <w:color w:val="auto"/>
              </w:rPr>
            </w:pPr>
          </w:p>
        </w:tc>
      </w:tr>
      <w:tr>
        <w:trPr>
          <w:trHeight w:val="260"/>
        </w:trPr>
        <w:tc>
          <w:tcPr>
            <w:tcW w:w="2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Gross loans</w:t>
            </w:r>
          </w:p>
        </w:tc>
        <w:tc>
          <w:tcPr>
            <w:tcW w:w="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145,225</w:t>
            </w: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223,787</w:t>
            </w: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468,454</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157,245</w:t>
            </w: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229,649</w:t>
            </w: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613,795</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1,838,155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94"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color w:val="auto"/>
        </w:rPr>
        <w:t>The Bank is primarily involved in real estate, commercial, agricultural and consumer lending activities with customers throughout Texas and Eastern New Mexico. We have a collateral concentration as 64.9% of our gross loans were secured by real property as of December 31, 2018, compared to 64.5% as of December 31, 2017. We believe that these loans are not concentrated in any one single property type and that they are geographically dispersed throughout the areas we serve. Although the Bank has diversified portfolios, its debtors’ ability to honor their contracts is substantially dependent upon the general economic conditions of the markets in which it operates, which consist primarily of agribusiness, wholesale/retail, oil and gas and related businesses, healthcare industries and institutions of higher education. Commercial real estate loans represent 27.5% of gross loans as of December 31, 2018 and represented 27.6% of gross loans as of December 31, 2017. The ratio of our commercial real estate loans to total capital was 197.8% as of December 31, 2018 and 188.7% as of December 31, 2017, well below the 300% concentration limit included in regulatory guidance. Further, these loans are geographically diversified, primarily throughout the state of Texas as well as Eastern New Mexico.</w:t>
      </w:r>
    </w:p>
    <w:p>
      <w:pPr>
        <w:spacing w:after="0" w:line="75"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We have established concentration limits in the loan portfolio for commercial real estate loans and unsecured lending, among other loan types. All loan types are within established limits. We use underwriting guidelines to assess the borrowers’ historical cash flow to determine debt service, and we further stress test the debt service under higher interest rate scenarios. Financial and performance covenants are used in commercial lending to allow us to react to a borrower’s deteriorating financial condition, should that occur.</w:t>
      </w:r>
    </w:p>
    <w:p>
      <w:pPr>
        <w:spacing w:after="0" w:line="80" w:lineRule="exact"/>
        <w:rPr>
          <w:sz w:val="20"/>
          <w:szCs w:val="20"/>
          <w:color w:val="auto"/>
        </w:rPr>
      </w:pPr>
    </w:p>
    <w:p>
      <w:pPr>
        <w:ind w:right="20" w:firstLine="360"/>
        <w:spacing w:after="0" w:line="253" w:lineRule="auto"/>
        <w:rPr>
          <w:sz w:val="20"/>
          <w:szCs w:val="20"/>
          <w:color w:val="auto"/>
        </w:rPr>
      </w:pPr>
      <w:r>
        <w:rPr>
          <w:rFonts w:ascii="Arial" w:cs="Arial" w:eastAsia="Arial" w:hAnsi="Arial"/>
          <w:sz w:val="18"/>
          <w:szCs w:val="18"/>
          <w:i w:val="1"/>
          <w:iCs w:val="1"/>
          <w:color w:val="auto"/>
        </w:rPr>
        <w:t>Commercial Real Estate</w:t>
      </w:r>
      <w:r>
        <w:rPr>
          <w:rFonts w:ascii="Arial" w:cs="Arial" w:eastAsia="Arial" w:hAnsi="Arial"/>
          <w:sz w:val="18"/>
          <w:szCs w:val="18"/>
          <w:color w:val="auto"/>
        </w:rPr>
        <w:t>. Our commercial real estate portfolio includes loans for commercial property that is owned by real</w:t>
      </w:r>
      <w:r>
        <w:rPr>
          <w:rFonts w:ascii="Arial" w:cs="Arial" w:eastAsia="Arial" w:hAnsi="Arial"/>
          <w:sz w:val="18"/>
          <w:szCs w:val="18"/>
          <w:i w:val="1"/>
          <w:iCs w:val="1"/>
          <w:color w:val="auto"/>
        </w:rPr>
        <w:t xml:space="preserve"> </w:t>
      </w:r>
      <w:r>
        <w:rPr>
          <w:rFonts w:ascii="Arial" w:cs="Arial" w:eastAsia="Arial" w:hAnsi="Arial"/>
          <w:sz w:val="18"/>
          <w:szCs w:val="18"/>
          <w:color w:val="auto"/>
        </w:rPr>
        <w:t>estate investors, construction loans to build owner-occupied properties, and loans to developers of commercial real estate investment properties and residential developments. Commercial real estate loans are subject to underwriting standards and processes similar to our commercial loans. These loans are underwritten primarily based on projected cash flows for income-producing properties and collateral values for non-income-producing properties. The repayment of these loans is generally dependent on the successful operation of the property securing the loans or the sale or refinancing of the property. Real estate loans may be adversely affected by conditions in the real estate markets or in the general economy. The properties securing our real estate portfolio are diversified by type and geographic location. This diversity helps reduce the exposure to adverse economic events that affect any single market or industry.</w:t>
      </w:r>
    </w:p>
    <w:p>
      <w:pPr>
        <w:spacing w:after="0" w:line="89"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Commercial real estate loans increased $31.1 million, or 6.1%, to $538.0 million as of December 31, 2018 from $506.9 million as of December 31, 2017. The increase in commercial real estate loans during this period was mostly driven by a general increase in lending activity, primarily in our Lubbock/South Plains and Dallas markets. As of December 31, 2018, our commercial real estate portfolio was comprised of $394.7 million in non-owner occupied commercial real estate loans and $143.3 million in commercial construction loans.</w:t>
      </w:r>
    </w:p>
    <w:p>
      <w:pPr>
        <w:spacing w:after="0" w:line="80" w:lineRule="exact"/>
        <w:rPr>
          <w:sz w:val="20"/>
          <w:szCs w:val="20"/>
          <w:color w:val="auto"/>
        </w:rPr>
      </w:pPr>
    </w:p>
    <w:p>
      <w:pPr>
        <w:ind w:right="100" w:firstLine="360"/>
        <w:spacing w:after="0" w:line="255" w:lineRule="auto"/>
        <w:rPr>
          <w:sz w:val="20"/>
          <w:szCs w:val="20"/>
          <w:color w:val="auto"/>
        </w:rPr>
      </w:pPr>
      <w:r>
        <w:rPr>
          <w:rFonts w:ascii="Arial" w:cs="Arial" w:eastAsia="Arial" w:hAnsi="Arial"/>
          <w:sz w:val="18"/>
          <w:szCs w:val="18"/>
          <w:i w:val="1"/>
          <w:iCs w:val="1"/>
          <w:color w:val="auto"/>
        </w:rPr>
        <w:t>Commercial – General and Specialized</w:t>
      </w:r>
      <w:r>
        <w:rPr>
          <w:rFonts w:ascii="Arial" w:cs="Arial" w:eastAsia="Arial" w:hAnsi="Arial"/>
          <w:sz w:val="18"/>
          <w:szCs w:val="18"/>
          <w:color w:val="auto"/>
        </w:rPr>
        <w:t>. Commercial loans are underwritten after evaluating and understanding the borrower’s</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operate profitably. Underwriting standards have been designed to determine whether the borrower possesses sound business ethics and practices, to evaluate current and projected cash flows to determine the ability of the borrower to repay their obligations, and to ensure appropriate collateral is obtained to secure the loan. Commercial loans are primarily made based on the identified cash flows of the borrower and, secondarily, on the underlying collateral provided by the borrower. Most commercial loans are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6" w:right="1159"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secured by the assets being financed or other business assets, such as real estate, accounts receivable, or inventory, and typically include personal guarantees. Owner-occupied real estate is included in commercial loans, as the repayment of these loans is generally dependent on the operations of the commercial borrower’s business rather than on income-producing properties or the sale of the properties. Commercial loans are grouped into two distinct sub-categories: specialized and general. Commercial related loans that are considered “specialized” include agricultural production and real estate loans, energy loans, and finance, investment, and insurance loans. Commercial related loans that contain a broader diversity of borrowers, sub-industries, or serviced industries are grouped into the “general category.” These include goods, services, restaurant &amp; retail, construction, and other industries.</w:t>
      </w:r>
    </w:p>
    <w:p>
      <w:pPr>
        <w:spacing w:after="0" w:line="59" w:lineRule="exact"/>
        <w:rPr>
          <w:sz w:val="20"/>
          <w:szCs w:val="20"/>
          <w:color w:val="auto"/>
        </w:rPr>
      </w:pPr>
    </w:p>
    <w:p>
      <w:pPr>
        <w:jc w:val="both"/>
        <w:ind w:right="20" w:firstLine="360"/>
        <w:spacing w:after="0" w:line="312" w:lineRule="auto"/>
        <w:rPr>
          <w:sz w:val="20"/>
          <w:szCs w:val="20"/>
          <w:color w:val="auto"/>
        </w:rPr>
      </w:pPr>
      <w:r>
        <w:rPr>
          <w:rFonts w:ascii="Arial" w:cs="Arial" w:eastAsia="Arial" w:hAnsi="Arial"/>
          <w:sz w:val="16"/>
          <w:szCs w:val="16"/>
          <w:color w:val="auto"/>
        </w:rPr>
        <w:t>Commercial general loans increased $17.7 million, or 4.3%, to $427.7 million as of December 31, 2018 from $410.1 million as of December 31, 2017 due to organic growth in the loan portfolio. As of December 31, 2017, our commercial general portfolio was comprised of $209.2 million in owner-occupied commercial real estate and $218.5 million in other commercial general loans.</w:t>
      </w:r>
    </w:p>
    <w:p>
      <w:pPr>
        <w:spacing w:after="0" w:line="39"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Commercial specialized loans decreased $24.1 million, or 7.3%, to $305.0 million as of December 31, 2018 from $329.1 million as of December 31, 2017 as all types of specialized loans decreased in 2018. As of December 31, 2018, our commercial specialized portfolio was comprised of $150.7 million agricultural production loans, $61.8 million in farmland loans, $30.9 million in energy loans, and $61.6 million in finance, investment, and insurance loans.</w:t>
      </w:r>
    </w:p>
    <w:p>
      <w:pPr>
        <w:spacing w:after="0" w:line="79" w:lineRule="exact"/>
        <w:rPr>
          <w:sz w:val="20"/>
          <w:szCs w:val="20"/>
          <w:color w:val="auto"/>
        </w:rPr>
      </w:pPr>
    </w:p>
    <w:p>
      <w:pPr>
        <w:ind w:right="20" w:firstLine="360"/>
        <w:spacing w:after="0" w:line="276" w:lineRule="auto"/>
        <w:rPr>
          <w:sz w:val="20"/>
          <w:szCs w:val="20"/>
          <w:color w:val="auto"/>
        </w:rPr>
      </w:pPr>
      <w:r>
        <w:rPr>
          <w:rFonts w:ascii="Arial" w:cs="Arial" w:eastAsia="Arial" w:hAnsi="Arial"/>
          <w:sz w:val="17"/>
          <w:szCs w:val="17"/>
          <w:i w:val="1"/>
          <w:iCs w:val="1"/>
          <w:color w:val="auto"/>
        </w:rPr>
        <w:t>Consumer</w:t>
      </w:r>
      <w:r>
        <w:rPr>
          <w:rFonts w:ascii="Arial" w:cs="Arial" w:eastAsia="Arial" w:hAnsi="Arial"/>
          <w:sz w:val="17"/>
          <w:szCs w:val="17"/>
          <w:color w:val="auto"/>
        </w:rPr>
        <w:t>. We utilize a computer-based credit scoring analysis to supplement our policies and procedures in underwriting</w:t>
      </w:r>
      <w:r>
        <w:rPr>
          <w:rFonts w:ascii="Arial" w:cs="Arial" w:eastAsia="Arial" w:hAnsi="Arial"/>
          <w:sz w:val="17"/>
          <w:szCs w:val="17"/>
          <w:i w:val="1"/>
          <w:iCs w:val="1"/>
          <w:color w:val="auto"/>
        </w:rPr>
        <w:t xml:space="preserve"> </w:t>
      </w:r>
      <w:r>
        <w:rPr>
          <w:rFonts w:ascii="Arial" w:cs="Arial" w:eastAsia="Arial" w:hAnsi="Arial"/>
          <w:sz w:val="17"/>
          <w:szCs w:val="17"/>
          <w:color w:val="auto"/>
        </w:rPr>
        <w:t>consumer loans. Our loan policy addresses types of consumer loans that may be originated and the collateral, if secured, which must be perfected. The relatively smaller individual dollar amounts of consumer loans that are spread over numerous individual borrowers also minimize our risk. Residential real estate loans are included in consumer loans. We generally require mortgage title insurance and hazard insurance on these residential real estate loans.</w:t>
      </w:r>
    </w:p>
    <w:p>
      <w:pPr>
        <w:spacing w:after="0" w:line="64" w:lineRule="exact"/>
        <w:rPr>
          <w:sz w:val="20"/>
          <w:szCs w:val="20"/>
          <w:color w:val="auto"/>
        </w:rPr>
      </w:pPr>
    </w:p>
    <w:p>
      <w:pPr>
        <w:ind w:right="80" w:firstLine="360"/>
        <w:spacing w:after="0" w:line="302" w:lineRule="auto"/>
        <w:rPr>
          <w:sz w:val="20"/>
          <w:szCs w:val="20"/>
          <w:color w:val="auto"/>
        </w:rPr>
      </w:pPr>
      <w:r>
        <w:rPr>
          <w:rFonts w:ascii="Arial" w:cs="Arial" w:eastAsia="Arial" w:hAnsi="Arial"/>
          <w:sz w:val="16"/>
          <w:szCs w:val="16"/>
          <w:color w:val="auto"/>
        </w:rPr>
        <w:t>Consumer and other loans increased $81.8 million, or 15.6%, to $608.0 million as of December 31, 2018, from $526.2 million as of December 31, 2017. The increases in these loans were primarily a result of expanded lending in the indirect dealer loan portfolio in the Lubbock/South Plains market. As of December 31, 2018, our consumer loan portfolio was comprised of $346.2 million in 1-4 family residential loans, $191.6 million in indirect auto loans, and $70.2 million in other consumer loans.</w:t>
      </w:r>
    </w:p>
    <w:p>
      <w:pPr>
        <w:spacing w:after="0" w:line="46" w:lineRule="exact"/>
        <w:rPr>
          <w:sz w:val="20"/>
          <w:szCs w:val="20"/>
          <w:color w:val="auto"/>
        </w:rPr>
      </w:pPr>
    </w:p>
    <w:p>
      <w:pPr>
        <w:ind w:right="260" w:firstLine="360"/>
        <w:spacing w:after="0" w:line="259" w:lineRule="auto"/>
        <w:rPr>
          <w:sz w:val="20"/>
          <w:szCs w:val="20"/>
          <w:color w:val="auto"/>
        </w:rPr>
      </w:pPr>
      <w:r>
        <w:rPr>
          <w:rFonts w:ascii="Arial" w:cs="Arial" w:eastAsia="Arial" w:hAnsi="Arial"/>
          <w:sz w:val="18"/>
          <w:szCs w:val="18"/>
          <w:i w:val="1"/>
          <w:iCs w:val="1"/>
          <w:color w:val="auto"/>
        </w:rPr>
        <w:t>Construction</w:t>
      </w:r>
      <w:r>
        <w:rPr>
          <w:rFonts w:ascii="Arial" w:cs="Arial" w:eastAsia="Arial" w:hAnsi="Arial"/>
          <w:sz w:val="18"/>
          <w:szCs w:val="18"/>
          <w:color w:val="auto"/>
        </w:rPr>
        <w:t>. Loans for residential construction are for single-family properties to developers, builders, or end-users. These</w:t>
      </w:r>
      <w:r>
        <w:rPr>
          <w:rFonts w:ascii="Arial" w:cs="Arial" w:eastAsia="Arial" w:hAnsi="Arial"/>
          <w:sz w:val="18"/>
          <w:szCs w:val="18"/>
          <w:i w:val="1"/>
          <w:iCs w:val="1"/>
          <w:color w:val="auto"/>
        </w:rPr>
        <w:t xml:space="preserve"> </w:t>
      </w:r>
      <w:r>
        <w:rPr>
          <w:rFonts w:ascii="Arial" w:cs="Arial" w:eastAsia="Arial" w:hAnsi="Arial"/>
          <w:sz w:val="18"/>
          <w:szCs w:val="18"/>
          <w:color w:val="auto"/>
        </w:rPr>
        <w:t>loans are underwritten based on estimates of costs and completed value of the project. Funds are advanced based on estimated percentage of completion for the project. Performance of these loans is affected by economic conditions as well as the ability to control costs of the projects.</w:t>
      </w:r>
    </w:p>
    <w:p>
      <w:pPr>
        <w:spacing w:after="0" w:line="79" w:lineRule="exact"/>
        <w:rPr>
          <w:sz w:val="20"/>
          <w:szCs w:val="20"/>
          <w:color w:val="auto"/>
        </w:rPr>
      </w:pPr>
    </w:p>
    <w:p>
      <w:pPr>
        <w:ind w:right="440" w:firstLine="360"/>
        <w:spacing w:after="0" w:line="342" w:lineRule="auto"/>
        <w:rPr>
          <w:sz w:val="20"/>
          <w:szCs w:val="20"/>
          <w:color w:val="auto"/>
        </w:rPr>
      </w:pPr>
      <w:r>
        <w:rPr>
          <w:rFonts w:ascii="Arial" w:cs="Arial" w:eastAsia="Arial" w:hAnsi="Arial"/>
          <w:sz w:val="16"/>
          <w:szCs w:val="16"/>
          <w:color w:val="auto"/>
        </w:rPr>
        <w:t>Construction loans increased $12.5 million, or 18.9%, to $78.4 million as of December 31, 2018 from $65.9 million as of December 31, 2017. The increase resulted from continued organic growth, especially in our Lubbock/South Plains market.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Participations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the normal course of business, the Company periodically sells participating interests in loans to other banks and investors.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All participations are sold on a proportionate (pro-rata) basis with all cash flows divided proportionately among the participating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interest holders in an amount subordinate to the interest of another and no party has the right to pledge or exchange the entire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financial asset without the consent of all the participating interest holders. Other than standard 90-day prepayment provisions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standard representations and warranties, participating interests are sold without recourse. At December 31, 2018 and 2017,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portion of loans participated to third-parties (which are not included in the accompanying consolidated balance sheets) totaled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$106.5 million and $88.1 million, respectively. At December 31, 2018 and 2017, purchased loan participations totaled $37.7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$53.7 million,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Loan Losses</w:t>
      </w:r>
    </w:p>
    <w:p>
      <w:pPr>
        <w:spacing w:after="0" w:line="117" w:lineRule="exact"/>
        <w:rPr>
          <w:sz w:val="20"/>
          <w:szCs w:val="20"/>
          <w:color w:val="auto"/>
        </w:rPr>
      </w:pPr>
    </w:p>
    <w:p>
      <w:pPr>
        <w:ind w:right="620" w:firstLine="360"/>
        <w:spacing w:after="0" w:line="264" w:lineRule="auto"/>
        <w:rPr>
          <w:sz w:val="20"/>
          <w:szCs w:val="20"/>
          <w:color w:val="auto"/>
        </w:rPr>
      </w:pPr>
      <w:r>
        <w:rPr>
          <w:rFonts w:ascii="Arial" w:cs="Arial" w:eastAsia="Arial" w:hAnsi="Arial"/>
          <w:sz w:val="18"/>
          <w:szCs w:val="18"/>
          <w:color w:val="auto"/>
        </w:rPr>
        <w:t>The allowance for loan losses provides a reserve against which loan losses are charged as those losses become evident. Management evaluates the appropriate level of the allowance for loan losses on a quarterly basis. The analysis takes into consideration the results of an ongoing loan review process, the purpose of which</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65" w:name="page66"/>
    <w:bookmarkEnd w:id="6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is to determine the level of credit risk within the portfolio and to ensure proper adherence to underwriting and documentation standards. Additional allowances are provided to those loans which appear to represent a greater than normal exposure to risk. The quality of the loan portfolio and the adequacy of the allowance for loan losses is reviewed by regulatory examinations and the Company’s auditors. The allowance for loan losses consists of two elements: (1) specific valuation allowances established for probable losses on specific loans and (2) historical valuation allowances calculated based on historical loan loss experience for similar loans with similar characteristics and trends, judgmentally adjusted for general economic conditions and other qualitative risk factors internal and external to the Company.</w:t>
      </w:r>
    </w:p>
    <w:p>
      <w:pPr>
        <w:spacing w:after="0" w:line="70"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To determine the adequacy of the allowance, the loan portfolio is broken into categories based on loan type. Historical loss experience factors by category, adjusted for changes in trends and conditions, are used to determine an indicated allowance for each portfolio category. These factors are evaluated and updated based on the composition of the specific loan portfolio. Other considerations include volumes and trends of delinquencies, nonaccrual loans, levels of bankruptcies, criticized and classified loan trends, expected losses on real estate secured loans, new credit products and policies, economic conditions, concentrations of credit risk, and the experience and abilities of the Company’s lending personnel. In addition to the portfolio evaluations, impaired loans with a balance of $250,000 or more are individually evaluated based on facts and circumstances of the loan to determine if a specific allowance amount may be necessary. Specific allowances may also be established for loans whose outstanding balances are below the above threshold when it is determined that the risk associated with the loan differs significantly from the risk factor amounts established for its loan category.</w:t>
      </w:r>
    </w:p>
    <w:p>
      <w:pPr>
        <w:spacing w:after="0" w:line="70" w:lineRule="exact"/>
        <w:rPr>
          <w:sz w:val="20"/>
          <w:szCs w:val="20"/>
          <w:color w:val="auto"/>
        </w:rPr>
      </w:pPr>
    </w:p>
    <w:p>
      <w:pPr>
        <w:ind w:right="240" w:firstLine="360"/>
        <w:spacing w:after="0" w:line="342" w:lineRule="auto"/>
        <w:rPr>
          <w:sz w:val="20"/>
          <w:szCs w:val="20"/>
          <w:color w:val="auto"/>
        </w:rPr>
      </w:pPr>
      <w:r>
        <w:rPr>
          <w:rFonts w:ascii="Arial" w:cs="Arial" w:eastAsia="Arial" w:hAnsi="Arial"/>
          <w:sz w:val="16"/>
          <w:szCs w:val="16"/>
          <w:color w:val="auto"/>
        </w:rPr>
        <w:t>The allowance for loan losses was $23.1 million at December 31, 2018 compared to $21.5 million at December 31, 2017, an increase of $1.7 million, or 7.8%. The increase was primarily due to an increase in the overall size of the loan portfolio.</w:t>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provides an analysis of the allowance for loan losses at the dates indicated.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As of December 31,</w:t>
            </w: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80" w:type="dxa"/>
            <w:vAlign w:val="bottom"/>
            <w:gridSpan w:val="6"/>
          </w:tcPr>
          <w:p>
            <w:pPr>
              <w:jc w:val="right"/>
              <w:ind w:right="14"/>
              <w:spacing w:after="0"/>
              <w:rPr>
                <w:sz w:val="20"/>
                <w:szCs w:val="20"/>
                <w:color w:val="auto"/>
              </w:rPr>
            </w:pPr>
            <w:r>
              <w:rPr>
                <w:rFonts w:ascii="Arial" w:cs="Arial" w:eastAsia="Arial" w:hAnsi="Arial"/>
                <w:sz w:val="14"/>
                <w:szCs w:val="14"/>
                <w:b w:val="1"/>
                <w:bCs w:val="1"/>
                <w:color w:val="auto"/>
              </w:rPr>
              <w:t>(Dollars in thousands)</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520" w:type="dxa"/>
            <w:vAlign w:val="bottom"/>
            <w:tcBorders>
              <w:right w:val="single" w:sz="8" w:color="CCEEFF"/>
            </w:tcBorders>
            <w:shd w:val="clear" w:color="auto" w:fill="CCEEFF"/>
          </w:tcPr>
          <w:p>
            <w:pPr>
              <w:spacing w:after="0" w:line="216" w:lineRule="exact"/>
              <w:rPr>
                <w:sz w:val="20"/>
                <w:szCs w:val="20"/>
                <w:color w:val="auto"/>
              </w:rPr>
            </w:pPr>
            <w:r>
              <w:rPr>
                <w:rFonts w:ascii="Arial" w:cs="Arial" w:eastAsia="Arial" w:hAnsi="Arial"/>
                <w:sz w:val="16"/>
                <w:szCs w:val="16"/>
                <w:color w:val="auto"/>
              </w:rPr>
              <w:t>Average loans outstanding</w:t>
            </w:r>
            <w:r>
              <w:rPr>
                <w:rFonts w:ascii="Arial" w:cs="Arial" w:eastAsia="Arial" w:hAnsi="Arial"/>
                <w:sz w:val="25"/>
                <w:szCs w:val="25"/>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1,921,221</w:t>
            </w:r>
          </w:p>
        </w:tc>
        <w:tc>
          <w:tcPr>
            <w:tcW w:w="18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1,790,201</w:t>
            </w:r>
          </w:p>
        </w:tc>
        <w:tc>
          <w:tcPr>
            <w:tcW w:w="18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1,689,915</w:t>
            </w:r>
          </w:p>
        </w:tc>
        <w:tc>
          <w:tcPr>
            <w:tcW w:w="18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1,655,441</w:t>
            </w:r>
          </w:p>
        </w:tc>
        <w:tc>
          <w:tcPr>
            <w:tcW w:w="18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7"/>
              </w:rPr>
              <w:t>1,474,519</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52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4520" w:type="dxa"/>
            <w:vAlign w:val="bottom"/>
            <w:tcBorders>
              <w:right w:val="single" w:sz="8" w:color="CCEEFF"/>
            </w:tcBorders>
            <w:shd w:val="clear" w:color="auto" w:fill="CCEEFF"/>
          </w:tcPr>
          <w:p>
            <w:pPr>
              <w:spacing w:after="0" w:line="216" w:lineRule="exact"/>
              <w:rPr>
                <w:sz w:val="20"/>
                <w:szCs w:val="20"/>
                <w:color w:val="auto"/>
              </w:rPr>
            </w:pPr>
            <w:r>
              <w:rPr>
                <w:rFonts w:ascii="Arial" w:cs="Arial" w:eastAsia="Arial" w:hAnsi="Arial"/>
                <w:sz w:val="16"/>
                <w:szCs w:val="16"/>
                <w:color w:val="auto"/>
              </w:rPr>
              <w:t>Gross loans outstanding at end of period</w:t>
            </w:r>
            <w:r>
              <w:rPr>
                <w:rFonts w:ascii="Arial" w:cs="Arial" w:eastAsia="Arial" w:hAnsi="Arial"/>
                <w:sz w:val="25"/>
                <w:szCs w:val="25"/>
                <w:color w:val="auto"/>
                <w:vertAlign w:val="superscript"/>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1,957,197</w:t>
            </w:r>
          </w:p>
        </w:tc>
        <w:tc>
          <w:tcPr>
            <w:tcW w:w="18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1,838,155</w:t>
            </w:r>
          </w:p>
        </w:tc>
        <w:tc>
          <w:tcPr>
            <w:tcW w:w="18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1,661,186</w:t>
            </w:r>
          </w:p>
        </w:tc>
        <w:tc>
          <w:tcPr>
            <w:tcW w:w="18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1,679,314</w:t>
            </w:r>
          </w:p>
        </w:tc>
        <w:tc>
          <w:tcPr>
            <w:tcW w:w="18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7"/>
              </w:rPr>
              <w:t>1,550,033</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52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Allowance for loan losses at beginning of the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21,461</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21,174</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24,220</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27,940</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29,082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7"/>
                <w:szCs w:val="17"/>
                <w:color w:val="auto"/>
              </w:rPr>
              <w:t>Charge offs:</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5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Commercial real estate</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1,540</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3,554</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160"/>
              <w:spacing w:after="0"/>
              <w:rPr>
                <w:sz w:val="20"/>
                <w:szCs w:val="20"/>
                <w:color w:val="auto"/>
              </w:rPr>
            </w:pPr>
            <w:r>
              <w:rPr>
                <w:rFonts w:ascii="Arial" w:cs="Arial" w:eastAsia="Arial" w:hAnsi="Arial"/>
                <w:sz w:val="17"/>
                <w:szCs w:val="17"/>
                <w:color w:val="auto"/>
              </w:rPr>
              <w:t>Commercial – specialized</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115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173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2,429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493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325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5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Commercial – general</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4,291</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2,658</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2,143</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1,685</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160"/>
              <w:spacing w:after="0"/>
              <w:rPr>
                <w:sz w:val="20"/>
                <w:szCs w:val="20"/>
                <w:color w:val="auto"/>
              </w:rPr>
            </w:pPr>
            <w:r>
              <w:rPr>
                <w:rFonts w:ascii="Arial" w:cs="Arial" w:eastAsia="Arial" w:hAnsi="Arial"/>
                <w:sz w:val="17"/>
                <w:szCs w:val="17"/>
                <w:color w:val="auto"/>
              </w:rPr>
              <w:t>Consumer:</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5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1-4 family residential</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667</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340"/>
              <w:spacing w:after="0"/>
              <w:rPr>
                <w:sz w:val="20"/>
                <w:szCs w:val="20"/>
                <w:color w:val="auto"/>
              </w:rPr>
            </w:pPr>
            <w:r>
              <w:rPr>
                <w:rFonts w:ascii="Arial" w:cs="Arial" w:eastAsia="Arial" w:hAnsi="Arial"/>
                <w:sz w:val="17"/>
                <w:szCs w:val="17"/>
                <w:color w:val="auto"/>
              </w:rPr>
              <w:t>Auto loans</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972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875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656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370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348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5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Other consumer</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941</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1,495</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1,281</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1,424</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20" w:type="dxa"/>
            <w:vAlign w:val="bottom"/>
          </w:tcPr>
          <w:p>
            <w:pPr>
              <w:ind w:left="160"/>
              <w:spacing w:after="0"/>
              <w:rPr>
                <w:sz w:val="20"/>
                <w:szCs w:val="20"/>
                <w:color w:val="auto"/>
              </w:rPr>
            </w:pPr>
            <w:r>
              <w:rPr>
                <w:rFonts w:ascii="Arial" w:cs="Arial" w:eastAsia="Arial" w:hAnsi="Arial"/>
                <w:sz w:val="17"/>
                <w:szCs w:val="17"/>
                <w:color w:val="auto"/>
              </w:rPr>
              <w:t>Construction</w:t>
            </w: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charge-offs</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8,146</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5,606</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6,745</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8,193</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3,355</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Recoveries:</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160"/>
              <w:spacing w:after="0"/>
              <w:rPr>
                <w:sz w:val="20"/>
                <w:szCs w:val="20"/>
                <w:color w:val="auto"/>
              </w:rPr>
            </w:pPr>
            <w:r>
              <w:rPr>
                <w:rFonts w:ascii="Arial" w:cs="Arial" w:eastAsia="Arial" w:hAnsi="Arial"/>
                <w:sz w:val="17"/>
                <w:szCs w:val="17"/>
                <w:color w:val="auto"/>
              </w:rPr>
              <w:t>Commercial real estate</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1,622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103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685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2,463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192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5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Commercial – specialized</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790</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160"/>
              <w:spacing w:after="0"/>
              <w:rPr>
                <w:sz w:val="20"/>
                <w:szCs w:val="20"/>
                <w:color w:val="auto"/>
              </w:rPr>
            </w:pPr>
            <w:r>
              <w:rPr>
                <w:rFonts w:ascii="Arial" w:cs="Arial" w:eastAsia="Arial" w:hAnsi="Arial"/>
                <w:sz w:val="17"/>
                <w:szCs w:val="17"/>
                <w:color w:val="auto"/>
              </w:rPr>
              <w:t>Commercial – general</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774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567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495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833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877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5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Consumer:</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340"/>
              <w:spacing w:after="0"/>
              <w:rPr>
                <w:sz w:val="20"/>
                <w:szCs w:val="20"/>
                <w:color w:val="auto"/>
              </w:rPr>
            </w:pPr>
            <w:r>
              <w:rPr>
                <w:rFonts w:ascii="Arial" w:cs="Arial" w:eastAsia="Arial" w:hAnsi="Arial"/>
                <w:sz w:val="17"/>
                <w:szCs w:val="17"/>
                <w:color w:val="auto"/>
              </w:rPr>
              <w:t>1-4 family residential</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5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Auto loans</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340"/>
              <w:spacing w:after="0"/>
              <w:rPr>
                <w:sz w:val="20"/>
                <w:szCs w:val="20"/>
                <w:color w:val="auto"/>
              </w:rPr>
            </w:pPr>
            <w:r>
              <w:rPr>
                <w:rFonts w:ascii="Arial" w:cs="Arial" w:eastAsia="Arial" w:hAnsi="Arial"/>
                <w:sz w:val="17"/>
                <w:szCs w:val="17"/>
                <w:color w:val="auto"/>
              </w:rPr>
              <w:t>Other consumer</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188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238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260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183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225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2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Construction</w:t>
            </w:r>
          </w:p>
        </w:tc>
        <w:tc>
          <w:tcPr>
            <w:tcW w:w="1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7"/>
                <w:szCs w:val="17"/>
                <w:color w:val="auto"/>
              </w:rPr>
              <w:t>Total recoveries</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2,910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1,927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1,730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3,692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1,564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charge-offs</w:t>
            </w:r>
          </w:p>
        </w:tc>
        <w:tc>
          <w:tcPr>
            <w:tcW w:w="14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(5,236)</w:t>
            </w:r>
          </w:p>
        </w:tc>
        <w:tc>
          <w:tcPr>
            <w:tcW w:w="14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(3,679)</w:t>
            </w:r>
          </w:p>
        </w:tc>
        <w:tc>
          <w:tcPr>
            <w:tcW w:w="14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(5,015)</w:t>
            </w:r>
          </w:p>
        </w:tc>
        <w:tc>
          <w:tcPr>
            <w:tcW w:w="14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(4,501)</w:t>
            </w:r>
          </w:p>
        </w:tc>
        <w:tc>
          <w:tcPr>
            <w:tcW w:w="10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6" w:name="page67"/>
    <w:bookmarkEnd w:id="66"/>
    <w:tbl>
      <w:tblPr>
        <w:tblLayout w:type="fixed"/>
        <w:tblInd w:w="7" w:type="dxa"/>
        <w:tblCellMar>
          <w:top w:w="0" w:type="dxa"/>
          <w:left w:w="0" w:type="dxa"/>
          <w:bottom w:w="0" w:type="dxa"/>
          <w:right w:w="0" w:type="dxa"/>
        </w:tblCellMar>
      </w:tblPr>
      <w:tr>
        <w:trPr>
          <w:trHeight w:val="161"/>
        </w:trPr>
        <w:tc>
          <w:tcPr>
            <w:tcW w:w="4280" w:type="dxa"/>
            <w:vAlign w:val="bottom"/>
            <w:gridSpan w:val="5"/>
          </w:tcPr>
          <w:p>
            <w:pPr>
              <w:spacing w:after="0"/>
              <w:rPr>
                <w:rFonts w:ascii="Arial" w:cs="Arial" w:eastAsia="Arial" w:hAnsi="Arial"/>
                <w:sz w:val="14"/>
                <w:szCs w:val="14"/>
                <w:b w:val="1"/>
                <w:bCs w:val="1"/>
                <w:color w:val="0000EE"/>
              </w:rPr>
            </w:pPr>
            <w:hyperlink w:anchor="page4">
              <w:r>
                <w:rPr>
                  <w:rFonts w:ascii="Arial" w:cs="Arial" w:eastAsia="Arial" w:hAnsi="Arial"/>
                  <w:sz w:val="14"/>
                  <w:szCs w:val="14"/>
                  <w:b w:val="1"/>
                  <w:bCs w:val="1"/>
                  <w:color w:val="0000EE"/>
                </w:rPr>
                <w:t>TABLE OF CONTENTS</w:t>
              </w:r>
            </w:hyperlink>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20" w:type="dxa"/>
            <w:vAlign w:val="bottom"/>
            <w:tcBorders>
              <w:top w:val="single" w:sz="8" w:color="0000EE"/>
            </w:tcBorders>
          </w:tcPr>
          <w:p>
            <w:pPr>
              <w:spacing w:after="0"/>
              <w:rPr>
                <w:sz w:val="24"/>
                <w:szCs w:val="24"/>
                <w:color w:val="auto"/>
              </w:rPr>
            </w:pPr>
          </w:p>
        </w:tc>
        <w:tc>
          <w:tcPr>
            <w:tcW w:w="14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0"/>
              </w:rPr>
              <w:t>As of December 31,</w:t>
            </w: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2016</w:t>
            </w:r>
          </w:p>
        </w:tc>
        <w:tc>
          <w:tcPr>
            <w:tcW w:w="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520" w:type="dxa"/>
            <w:vAlign w:val="bottom"/>
            <w:gridSpan w:val="10"/>
          </w:tcPr>
          <w:p>
            <w:pPr>
              <w:jc w:val="center"/>
              <w:ind w:right="74"/>
              <w:spacing w:after="0"/>
              <w:rPr>
                <w:sz w:val="20"/>
                <w:szCs w:val="20"/>
                <w:color w:val="auto"/>
              </w:rPr>
            </w:pPr>
            <w:r>
              <w:rPr>
                <w:rFonts w:ascii="Arial" w:cs="Arial" w:eastAsia="Arial" w:hAnsi="Arial"/>
                <w:sz w:val="14"/>
                <w:szCs w:val="14"/>
                <w:b w:val="1"/>
                <w:bCs w:val="1"/>
                <w:color w:val="auto"/>
                <w:w w:val="91"/>
              </w:rPr>
              <w:t>(Dollars in thousands)</w:t>
            </w: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44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Provision for loan losses</w:t>
            </w:r>
          </w:p>
        </w:tc>
        <w:tc>
          <w:tcPr>
            <w:tcW w:w="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6,901</w:t>
            </w: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3,966</w:t>
            </w: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1,969</w:t>
            </w: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781</w:t>
            </w: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649</w:t>
            </w: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280" w:type="dxa"/>
            <w:vAlign w:val="bottom"/>
            <w:gridSpan w:val="5"/>
          </w:tcPr>
          <w:p>
            <w:pPr>
              <w:spacing w:after="0"/>
              <w:rPr>
                <w:sz w:val="20"/>
                <w:szCs w:val="20"/>
                <w:color w:val="auto"/>
              </w:rPr>
            </w:pPr>
            <w:r>
              <w:rPr>
                <w:rFonts w:ascii="Arial" w:cs="Arial" w:eastAsia="Arial" w:hAnsi="Arial"/>
                <w:sz w:val="17"/>
                <w:szCs w:val="17"/>
                <w:color w:val="auto"/>
              </w:rPr>
              <w:t>Balance at end of period</w:t>
            </w:r>
          </w:p>
        </w:tc>
        <w:tc>
          <w:tcPr>
            <w:tcW w:w="860" w:type="dxa"/>
            <w:vAlign w:val="bottom"/>
          </w:tcPr>
          <w:p>
            <w:pPr>
              <w:jc w:val="right"/>
              <w:spacing w:after="0"/>
              <w:rPr>
                <w:sz w:val="20"/>
                <w:szCs w:val="20"/>
                <w:color w:val="auto"/>
              </w:rPr>
            </w:pPr>
            <w:r>
              <w:rPr>
                <w:rFonts w:ascii="Arial" w:cs="Arial" w:eastAsia="Arial" w:hAnsi="Arial"/>
                <w:sz w:val="17"/>
                <w:szCs w:val="17"/>
                <w:color w:val="auto"/>
              </w:rPr>
              <w:t>$   23,126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21,461</w:t>
            </w:r>
          </w:p>
        </w:tc>
        <w:tc>
          <w:tcPr>
            <w:tcW w:w="440" w:type="dxa"/>
            <w:vAlign w:val="bottom"/>
            <w:gridSpan w:val="5"/>
          </w:tcPr>
          <w:p>
            <w:pPr>
              <w:jc w:val="right"/>
              <w:ind w:right="10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21,174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24,220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   27,940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60" w:type="dxa"/>
            <w:vAlign w:val="bottom"/>
            <w:gridSpan w:val="4"/>
          </w:tcPr>
          <w:p>
            <w:pPr>
              <w:spacing w:after="0" w:line="230" w:lineRule="exact"/>
              <w:rPr>
                <w:sz w:val="20"/>
                <w:szCs w:val="20"/>
                <w:color w:val="auto"/>
              </w:rPr>
            </w:pPr>
            <w:r>
              <w:rPr>
                <w:rFonts w:ascii="Arial" w:cs="Arial" w:eastAsia="Arial" w:hAnsi="Arial"/>
                <w:sz w:val="16"/>
                <w:szCs w:val="16"/>
                <w:color w:val="auto"/>
              </w:rPr>
              <w:t>Ratio of allowance to end of period loans</w:t>
            </w:r>
            <w:r>
              <w:rPr>
                <w:rFonts w:ascii="Arial" w:cs="Arial" w:eastAsia="Arial" w:hAnsi="Arial"/>
                <w:sz w:val="26"/>
                <w:szCs w:val="26"/>
                <w:color w:val="auto"/>
                <w:vertAlign w:val="superscript"/>
              </w:rPr>
              <w:t>(2)</w:t>
            </w:r>
          </w:p>
        </w:tc>
        <w:tc>
          <w:tcPr>
            <w:tcW w:w="1060" w:type="dxa"/>
            <w:vAlign w:val="bottom"/>
            <w:gridSpan w:val="3"/>
          </w:tcPr>
          <w:p>
            <w:pPr>
              <w:jc w:val="right"/>
              <w:ind w:right="80"/>
              <w:spacing w:after="0"/>
              <w:rPr>
                <w:sz w:val="20"/>
                <w:szCs w:val="20"/>
                <w:color w:val="auto"/>
              </w:rPr>
            </w:pPr>
            <w:r>
              <w:rPr>
                <w:rFonts w:ascii="Arial" w:cs="Arial" w:eastAsia="Arial" w:hAnsi="Arial"/>
                <w:sz w:val="17"/>
                <w:szCs w:val="17"/>
                <w:color w:val="auto"/>
              </w:rPr>
              <w:t>1.18%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4"/>
          </w:tcPr>
          <w:p>
            <w:pPr>
              <w:jc w:val="right"/>
              <w:ind w:right="8"/>
              <w:spacing w:after="0"/>
              <w:rPr>
                <w:sz w:val="20"/>
                <w:szCs w:val="20"/>
                <w:color w:val="auto"/>
              </w:rPr>
            </w:pPr>
            <w:r>
              <w:rPr>
                <w:rFonts w:ascii="Arial" w:cs="Arial" w:eastAsia="Arial" w:hAnsi="Arial"/>
                <w:sz w:val="17"/>
                <w:szCs w:val="17"/>
                <w:color w:val="auto"/>
              </w:rPr>
              <w:t>1.17%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7"/>
                <w:szCs w:val="17"/>
                <w:color w:val="auto"/>
              </w:rPr>
              <w:t>1.27%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7"/>
                <w:szCs w:val="17"/>
                <w:color w:val="auto"/>
              </w:rPr>
              <w:t>1.44%</w:t>
            </w:r>
          </w:p>
        </w:tc>
        <w:tc>
          <w:tcPr>
            <w:tcW w:w="20" w:type="dxa"/>
            <w:vAlign w:val="bottom"/>
          </w:tcPr>
          <w:p>
            <w:pPr>
              <w:spacing w:after="0"/>
              <w:rPr>
                <w:sz w:val="19"/>
                <w:szCs w:val="19"/>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7"/>
                <w:szCs w:val="17"/>
                <w:color w:val="auto"/>
              </w:rPr>
              <w:t>1.80%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gridSpan w:val="4"/>
            <w:shd w:val="clear" w:color="auto" w:fill="CCEEFF"/>
          </w:tcPr>
          <w:p>
            <w:pPr>
              <w:spacing w:after="0" w:line="230" w:lineRule="exact"/>
              <w:rPr>
                <w:sz w:val="20"/>
                <w:szCs w:val="20"/>
                <w:color w:val="auto"/>
              </w:rPr>
            </w:pPr>
            <w:r>
              <w:rPr>
                <w:rFonts w:ascii="Arial" w:cs="Arial" w:eastAsia="Arial" w:hAnsi="Arial"/>
                <w:sz w:val="16"/>
                <w:szCs w:val="16"/>
                <w:color w:val="auto"/>
              </w:rPr>
              <w:t>Ratio of net charge-offs to average loans</w:t>
            </w:r>
            <w:r>
              <w:rPr>
                <w:rFonts w:ascii="Arial" w:cs="Arial" w:eastAsia="Arial" w:hAnsi="Arial"/>
                <w:sz w:val="26"/>
                <w:szCs w:val="26"/>
                <w:color w:val="auto"/>
                <w:vertAlign w:val="superscript"/>
              </w:rPr>
              <w:t>(1)</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0.27%</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4"/>
            <w:shd w:val="clear" w:color="auto" w:fill="CCEEFF"/>
          </w:tcPr>
          <w:p>
            <w:pPr>
              <w:jc w:val="right"/>
              <w:ind w:right="8"/>
              <w:spacing w:after="0"/>
              <w:rPr>
                <w:sz w:val="20"/>
                <w:szCs w:val="20"/>
                <w:color w:val="auto"/>
              </w:rPr>
            </w:pPr>
            <w:r>
              <w:rPr>
                <w:rFonts w:ascii="Arial" w:cs="Arial" w:eastAsia="Arial" w:hAnsi="Arial"/>
                <w:sz w:val="17"/>
                <w:szCs w:val="17"/>
                <w:color w:val="auto"/>
              </w:rPr>
              <w:t>0.21%</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0.30%</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0.27%</w:t>
            </w:r>
          </w:p>
        </w:tc>
        <w:tc>
          <w:tcPr>
            <w:tcW w:w="2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0.12%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47" w:right="60" w:hanging="347"/>
        <w:spacing w:after="0" w:line="273" w:lineRule="auto"/>
        <w:tabs>
          <w:tab w:leader="none" w:pos="347"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Includes average outstanding balances of loans held for sale of $23.2 million, $23.1 million, $30.4 million, $32.5 million and $14.2 million for the years ended December 31, 2018, 2017, 2016, 2015 and 2014, respectively.</w:t>
      </w:r>
    </w:p>
    <w:p>
      <w:pPr>
        <w:spacing w:after="0" w:line="65" w:lineRule="exact"/>
        <w:rPr>
          <w:rFonts w:ascii="Arial" w:cs="Arial" w:eastAsia="Arial" w:hAnsi="Arial"/>
          <w:sz w:val="14"/>
          <w:szCs w:val="14"/>
          <w:color w:val="auto"/>
        </w:rPr>
      </w:pPr>
    </w:p>
    <w:p>
      <w:pPr>
        <w:ind w:left="347" w:right="340" w:hanging="347"/>
        <w:spacing w:after="0" w:line="273" w:lineRule="auto"/>
        <w:tabs>
          <w:tab w:leader="none" w:pos="347" w:val="left"/>
        </w:tabs>
        <w:numPr>
          <w:ilvl w:val="0"/>
          <w:numId w:val="33"/>
        </w:numPr>
        <w:rPr>
          <w:rFonts w:ascii="Arial" w:cs="Arial" w:eastAsia="Arial" w:hAnsi="Arial"/>
          <w:sz w:val="14"/>
          <w:szCs w:val="14"/>
          <w:color w:val="auto"/>
        </w:rPr>
      </w:pPr>
      <w:r>
        <w:rPr>
          <w:rFonts w:ascii="Arial" w:cs="Arial" w:eastAsia="Arial" w:hAnsi="Arial"/>
          <w:sz w:val="14"/>
          <w:szCs w:val="14"/>
          <w:color w:val="auto"/>
        </w:rPr>
        <w:t>Excludes loans held for sale of $38.4 million, $29.3 million, $25.8 million, $43.4 million and $14.9 million for the years ended December 31, 2018, 2017, 2016, 2015 and 2014, respectively.</w:t>
      </w:r>
    </w:p>
    <w:p>
      <w:pPr>
        <w:spacing w:after="0" w:line="57" w:lineRule="exact"/>
        <w:rPr>
          <w:sz w:val="20"/>
          <w:szCs w:val="20"/>
          <w:color w:val="auto"/>
        </w:rPr>
      </w:pPr>
    </w:p>
    <w:p>
      <w:pPr>
        <w:ind w:left="7" w:right="100" w:firstLine="360"/>
        <w:spacing w:after="0" w:line="264" w:lineRule="auto"/>
        <w:rPr>
          <w:sz w:val="20"/>
          <w:szCs w:val="20"/>
          <w:color w:val="auto"/>
        </w:rPr>
      </w:pPr>
      <w:r>
        <w:rPr>
          <w:rFonts w:ascii="Arial" w:cs="Arial" w:eastAsia="Arial" w:hAnsi="Arial"/>
          <w:sz w:val="18"/>
          <w:szCs w:val="18"/>
          <w:color w:val="auto"/>
        </w:rPr>
        <w:t>Net charge-offs for 2018 totaled $5.2 million, an increase of $1.5 million from 2017 primarily due to increases in net charge-offs for general commercial loans of $1.4 million and specialized commercial loans of $645,000, offset by a decrease in net charge-offs for consumer loans of $532,000.</w:t>
      </w:r>
    </w:p>
    <w:p>
      <w:pPr>
        <w:spacing w:after="0" w:line="73" w:lineRule="exact"/>
        <w:rPr>
          <w:sz w:val="20"/>
          <w:szCs w:val="20"/>
          <w:color w:val="auto"/>
        </w:rPr>
      </w:pPr>
    </w:p>
    <w:p>
      <w:pPr>
        <w:ind w:left="7" w:right="260" w:firstLine="360"/>
        <w:spacing w:after="0" w:line="264" w:lineRule="auto"/>
        <w:rPr>
          <w:sz w:val="20"/>
          <w:szCs w:val="20"/>
          <w:color w:val="auto"/>
        </w:rPr>
      </w:pPr>
      <w:r>
        <w:rPr>
          <w:rFonts w:ascii="Arial" w:cs="Arial" w:eastAsia="Arial" w:hAnsi="Arial"/>
          <w:sz w:val="18"/>
          <w:szCs w:val="18"/>
          <w:color w:val="auto"/>
        </w:rPr>
        <w:t>While the entire allowance is available to absorb losses from any part of our loan portfolio, the following table sets forth the allocation of the allowance for loan losses for the years presented and the percentage of allowance in each classification to total allowance:</w:t>
      </w:r>
    </w:p>
    <w:p>
      <w:pPr>
        <w:spacing w:after="0" w:line="38" w:lineRule="exact"/>
        <w:rPr>
          <w:sz w:val="20"/>
          <w:szCs w:val="20"/>
          <w:color w:val="auto"/>
        </w:rPr>
      </w:pPr>
    </w:p>
    <w:tbl>
      <w:tblPr>
        <w:tblLayout w:type="fixed"/>
        <w:tblInd w:w="7"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w w:val="96"/>
              </w:rPr>
              <w:t>As of December 31,</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3"/>
        </w:trPr>
        <w:tc>
          <w:tcPr>
            <w:tcW w:w="2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73"/>
        </w:trPr>
        <w:tc>
          <w:tcPr>
            <w:tcW w:w="2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 of</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 of</w:t>
            </w:r>
          </w:p>
        </w:tc>
      </w:tr>
      <w:tr>
        <w:trPr>
          <w:trHeight w:val="171"/>
        </w:trPr>
        <w:tc>
          <w:tcPr>
            <w:tcW w:w="2280" w:type="dxa"/>
            <w:vAlign w:val="bottom"/>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4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240" w:type="dxa"/>
            <w:vAlign w:val="bottom"/>
          </w:tcPr>
          <w:p>
            <w:pPr>
              <w:spacing w:after="0"/>
              <w:rPr>
                <w:sz w:val="14"/>
                <w:szCs w:val="14"/>
                <w:color w:val="auto"/>
              </w:rPr>
            </w:pPr>
          </w:p>
        </w:tc>
        <w:tc>
          <w:tcPr>
            <w:tcW w:w="48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4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95"/>
              </w:rPr>
              <w:t>Total</w:t>
            </w:r>
          </w:p>
        </w:tc>
        <w:tc>
          <w:tcPr>
            <w:tcW w:w="18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196"/>
        </w:trPr>
        <w:tc>
          <w:tcPr>
            <w:tcW w:w="2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w w:val="90"/>
              </w:rPr>
              <w:t>(Dollars in thousands)</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Commercial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5,579</w:t>
            </w:r>
          </w:p>
        </w:tc>
        <w:tc>
          <w:tcPr>
            <w:tcW w:w="240" w:type="dxa"/>
            <w:vAlign w:val="bottom"/>
            <w:tcBorders>
              <w:right w:val="single" w:sz="8" w:color="CCEEFF"/>
            </w:tcBorders>
            <w:shd w:val="clear" w:color="auto" w:fill="CCEEFF"/>
          </w:tcPr>
          <w:p>
            <w:pPr>
              <w:spacing w:after="0"/>
              <w:rPr>
                <w:sz w:val="19"/>
                <w:szCs w:val="19"/>
                <w:color w:val="auto"/>
              </w:rPr>
            </w:pPr>
          </w:p>
        </w:tc>
        <w:tc>
          <w:tcPr>
            <w:tcW w:w="6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24.1%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3,769</w:t>
            </w:r>
          </w:p>
        </w:tc>
        <w:tc>
          <w:tcPr>
            <w:tcW w:w="240" w:type="dxa"/>
            <w:vAlign w:val="bottom"/>
            <w:tcBorders>
              <w:right w:val="single" w:sz="8" w:color="CCEEFF"/>
            </w:tcBorders>
            <w:shd w:val="clear" w:color="auto" w:fill="CCEEFF"/>
          </w:tcPr>
          <w:p>
            <w:pPr>
              <w:spacing w:after="0"/>
              <w:rPr>
                <w:sz w:val="19"/>
                <w:szCs w:val="19"/>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17.6%</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4,049</w:t>
            </w:r>
          </w:p>
        </w:tc>
        <w:tc>
          <w:tcPr>
            <w:tcW w:w="240" w:type="dxa"/>
            <w:vAlign w:val="bottom"/>
            <w:tcBorders>
              <w:right w:val="single" w:sz="8" w:color="CCEEFF"/>
            </w:tcBorders>
            <w:shd w:val="clear" w:color="auto" w:fill="CCEEFF"/>
          </w:tcPr>
          <w:p>
            <w:pPr>
              <w:spacing w:after="0"/>
              <w:rPr>
                <w:sz w:val="19"/>
                <w:szCs w:val="19"/>
                <w:color w:val="auto"/>
              </w:rPr>
            </w:pPr>
          </w:p>
        </w:tc>
        <w:tc>
          <w:tcPr>
            <w:tcW w:w="6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8,457</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34.9%</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$ 15,483</w:t>
            </w:r>
          </w:p>
        </w:tc>
        <w:tc>
          <w:tcPr>
            <w:tcW w:w="1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55.4%</w:t>
            </w:r>
          </w:p>
        </w:tc>
      </w:tr>
      <w:tr>
        <w:trPr>
          <w:trHeight w:val="220"/>
        </w:trPr>
        <w:tc>
          <w:tcPr>
            <w:tcW w:w="2280" w:type="dxa"/>
            <w:vAlign w:val="bottom"/>
          </w:tcPr>
          <w:p>
            <w:pPr>
              <w:spacing w:after="0"/>
              <w:rPr>
                <w:sz w:val="20"/>
                <w:szCs w:val="20"/>
                <w:color w:val="auto"/>
              </w:rPr>
            </w:pPr>
            <w:r>
              <w:rPr>
                <w:rFonts w:ascii="Arial" w:cs="Arial" w:eastAsia="Arial" w:hAnsi="Arial"/>
                <w:sz w:val="16"/>
                <w:szCs w:val="16"/>
                <w:color w:val="auto"/>
              </w:rPr>
              <w:t>Commercial – specialized</w:t>
            </w: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2,516</w:t>
            </w:r>
          </w:p>
        </w:tc>
        <w:tc>
          <w:tcPr>
            <w:tcW w:w="2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10.9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2,367</w:t>
            </w:r>
          </w:p>
        </w:tc>
        <w:tc>
          <w:tcPr>
            <w:tcW w:w="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11.0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3,474</w:t>
            </w:r>
          </w:p>
        </w:tc>
        <w:tc>
          <w:tcPr>
            <w:tcW w:w="2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16.4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3,411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14.1</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1,120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9"/>
                <w:szCs w:val="19"/>
                <w:color w:val="auto"/>
              </w:rPr>
            </w:pPr>
          </w:p>
        </w:tc>
      </w:tr>
      <w:tr>
        <w:trPr>
          <w:trHeight w:val="239"/>
        </w:trPr>
        <w:tc>
          <w:tcPr>
            <w:tcW w:w="2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Commercial – general</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8,173</w:t>
            </w:r>
          </w:p>
        </w:tc>
        <w:tc>
          <w:tcPr>
            <w:tcW w:w="240" w:type="dxa"/>
            <w:vAlign w:val="bottom"/>
            <w:tcBorders>
              <w:right w:val="single" w:sz="8" w:color="CCEEFF"/>
            </w:tcBorders>
            <w:shd w:val="clear" w:color="auto" w:fill="CCEEFF"/>
          </w:tcPr>
          <w:p>
            <w:pPr>
              <w:spacing w:after="0"/>
              <w:rPr>
                <w:sz w:val="20"/>
                <w:szCs w:val="20"/>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10,151</w:t>
            </w:r>
          </w:p>
        </w:tc>
        <w:tc>
          <w:tcPr>
            <w:tcW w:w="240" w:type="dxa"/>
            <w:vAlign w:val="bottom"/>
            <w:tcBorders>
              <w:right w:val="single" w:sz="8" w:color="CCEEFF"/>
            </w:tcBorders>
            <w:shd w:val="clear" w:color="auto" w:fill="CCEEFF"/>
          </w:tcPr>
          <w:p>
            <w:pPr>
              <w:spacing w:after="0"/>
              <w:rPr>
                <w:sz w:val="20"/>
                <w:szCs w:val="20"/>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9,589</w:t>
            </w:r>
          </w:p>
        </w:tc>
        <w:tc>
          <w:tcPr>
            <w:tcW w:w="240" w:type="dxa"/>
            <w:vAlign w:val="bottom"/>
            <w:tcBorders>
              <w:right w:val="single" w:sz="8" w:color="CCEEFF"/>
            </w:tcBorders>
            <w:shd w:val="clear" w:color="auto" w:fill="CCEEFF"/>
          </w:tcPr>
          <w:p>
            <w:pPr>
              <w:spacing w:after="0"/>
              <w:rPr>
                <w:sz w:val="20"/>
                <w:szCs w:val="20"/>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9,117</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180" w:type="dxa"/>
            <w:vAlign w:val="bottom"/>
            <w:tcBorders>
              <w:right w:val="single" w:sz="8" w:color="CCEEFF"/>
            </w:tcBorders>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7,676</w:t>
            </w:r>
          </w:p>
        </w:tc>
        <w:tc>
          <w:tcPr>
            <w:tcW w:w="1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00" w:type="dxa"/>
            <w:vAlign w:val="bottom"/>
            <w:shd w:val="clear" w:color="auto" w:fill="CCEEFF"/>
          </w:tcPr>
          <w:p>
            <w:pPr>
              <w:spacing w:after="0"/>
              <w:rPr>
                <w:sz w:val="20"/>
                <w:szCs w:val="20"/>
                <w:color w:val="auto"/>
              </w:rPr>
            </w:pPr>
          </w:p>
        </w:tc>
      </w:tr>
      <w:tr>
        <w:trPr>
          <w:trHeight w:val="220"/>
        </w:trPr>
        <w:tc>
          <w:tcPr>
            <w:tcW w:w="2280" w:type="dxa"/>
            <w:vAlign w:val="bottom"/>
          </w:tcPr>
          <w:p>
            <w:pPr>
              <w:spacing w:after="0"/>
              <w:rPr>
                <w:sz w:val="20"/>
                <w:szCs w:val="20"/>
                <w:color w:val="auto"/>
              </w:rPr>
            </w:pPr>
            <w:r>
              <w:rPr>
                <w:rFonts w:ascii="Arial" w:cs="Arial" w:eastAsia="Arial" w:hAnsi="Arial"/>
                <w:sz w:val="16"/>
                <w:szCs w:val="16"/>
                <w:color w:val="auto"/>
              </w:rPr>
              <w:t>Consumer:</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22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1-4 family residential</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2,249</w:t>
            </w:r>
          </w:p>
        </w:tc>
        <w:tc>
          <w:tcPr>
            <w:tcW w:w="240" w:type="dxa"/>
            <w:vAlign w:val="bottom"/>
            <w:tcBorders>
              <w:right w:val="single" w:sz="8" w:color="CCEEFF"/>
            </w:tcBorders>
            <w:shd w:val="clear" w:color="auto" w:fill="CCEEFF"/>
          </w:tcPr>
          <w:p>
            <w:pPr>
              <w:spacing w:after="0"/>
              <w:rPr>
                <w:sz w:val="20"/>
                <w:szCs w:val="20"/>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1,787</w:t>
            </w:r>
          </w:p>
        </w:tc>
        <w:tc>
          <w:tcPr>
            <w:tcW w:w="240" w:type="dxa"/>
            <w:vAlign w:val="bottom"/>
            <w:tcBorders>
              <w:right w:val="single" w:sz="8" w:color="CCEEFF"/>
            </w:tcBorders>
            <w:shd w:val="clear" w:color="auto" w:fill="CCEEFF"/>
          </w:tcPr>
          <w:p>
            <w:pPr>
              <w:spacing w:after="0"/>
              <w:rPr>
                <w:sz w:val="20"/>
                <w:szCs w:val="20"/>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1,555</w:t>
            </w:r>
          </w:p>
        </w:tc>
        <w:tc>
          <w:tcPr>
            <w:tcW w:w="240" w:type="dxa"/>
            <w:vAlign w:val="bottom"/>
            <w:tcBorders>
              <w:right w:val="single" w:sz="8" w:color="CCEEFF"/>
            </w:tcBorders>
            <w:shd w:val="clear" w:color="auto" w:fill="CCEEFF"/>
          </w:tcPr>
          <w:p>
            <w:pPr>
              <w:spacing w:after="0"/>
              <w:rPr>
                <w:sz w:val="20"/>
                <w:szCs w:val="20"/>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1,619</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80" w:type="dxa"/>
            <w:vAlign w:val="bottom"/>
            <w:tcBorders>
              <w:right w:val="single" w:sz="8" w:color="CCEEFF"/>
            </w:tcBorders>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2,682</w:t>
            </w:r>
          </w:p>
        </w:tc>
        <w:tc>
          <w:tcPr>
            <w:tcW w:w="1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20"/>
                <w:szCs w:val="20"/>
                <w:color w:val="auto"/>
              </w:rPr>
            </w:pPr>
          </w:p>
        </w:tc>
      </w:tr>
      <w:tr>
        <w:trPr>
          <w:trHeight w:val="220"/>
        </w:trPr>
        <w:tc>
          <w:tcPr>
            <w:tcW w:w="2280" w:type="dxa"/>
            <w:vAlign w:val="bottom"/>
          </w:tcPr>
          <w:p>
            <w:pPr>
              <w:ind w:left="180"/>
              <w:spacing w:after="0"/>
              <w:rPr>
                <w:sz w:val="20"/>
                <w:szCs w:val="20"/>
                <w:color w:val="auto"/>
              </w:rPr>
            </w:pPr>
            <w:r>
              <w:rPr>
                <w:rFonts w:ascii="Arial" w:cs="Arial" w:eastAsia="Arial" w:hAnsi="Arial"/>
                <w:sz w:val="16"/>
                <w:szCs w:val="16"/>
                <w:color w:val="auto"/>
              </w:rPr>
              <w:t>Auto loans</w:t>
            </w: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2,994</w:t>
            </w:r>
          </w:p>
        </w:tc>
        <w:tc>
          <w:tcPr>
            <w:tcW w:w="2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12.9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2,068</w:t>
            </w:r>
          </w:p>
        </w:tc>
        <w:tc>
          <w:tcPr>
            <w:tcW w:w="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1,272</w:t>
            </w:r>
          </w:p>
        </w:tc>
        <w:tc>
          <w:tcPr>
            <w:tcW w:w="2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715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3.0</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454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9"/>
                <w:szCs w:val="19"/>
                <w:color w:val="auto"/>
              </w:rPr>
            </w:pPr>
          </w:p>
        </w:tc>
      </w:tr>
      <w:tr>
        <w:trPr>
          <w:trHeight w:val="239"/>
        </w:trPr>
        <w:tc>
          <w:tcPr>
            <w:tcW w:w="22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consumer</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1,192</w:t>
            </w:r>
          </w:p>
        </w:tc>
        <w:tc>
          <w:tcPr>
            <w:tcW w:w="240" w:type="dxa"/>
            <w:vAlign w:val="bottom"/>
            <w:tcBorders>
              <w:right w:val="single" w:sz="8" w:color="CCEEFF"/>
            </w:tcBorders>
            <w:shd w:val="clear" w:color="auto" w:fill="CCEEFF"/>
          </w:tcPr>
          <w:p>
            <w:pPr>
              <w:spacing w:after="0"/>
              <w:rPr>
                <w:sz w:val="20"/>
                <w:szCs w:val="20"/>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w:t>
            </w:r>
          </w:p>
        </w:tc>
        <w:tc>
          <w:tcPr>
            <w:tcW w:w="240" w:type="dxa"/>
            <w:vAlign w:val="bottom"/>
            <w:tcBorders>
              <w:right w:val="single" w:sz="8" w:color="CCEEFF"/>
            </w:tcBorders>
            <w:shd w:val="clear" w:color="auto" w:fill="CCEEFF"/>
          </w:tcPr>
          <w:p>
            <w:pPr>
              <w:spacing w:after="0"/>
              <w:rPr>
                <w:sz w:val="20"/>
                <w:szCs w:val="20"/>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1,083</w:t>
            </w:r>
          </w:p>
        </w:tc>
        <w:tc>
          <w:tcPr>
            <w:tcW w:w="240" w:type="dxa"/>
            <w:vAlign w:val="bottom"/>
            <w:tcBorders>
              <w:right w:val="single" w:sz="8" w:color="CCEEFF"/>
            </w:tcBorders>
            <w:shd w:val="clear" w:color="auto" w:fill="CCEEFF"/>
          </w:tcPr>
          <w:p>
            <w:pPr>
              <w:spacing w:after="0"/>
              <w:rPr>
                <w:sz w:val="20"/>
                <w:szCs w:val="20"/>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80" w:type="dxa"/>
            <w:vAlign w:val="bottom"/>
            <w:tcBorders>
              <w:right w:val="single" w:sz="8" w:color="CCEEFF"/>
            </w:tcBorders>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w:t>
            </w:r>
          </w:p>
        </w:tc>
        <w:tc>
          <w:tcPr>
            <w:tcW w:w="1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0"/>
                <w:szCs w:val="20"/>
                <w:color w:val="auto"/>
              </w:rPr>
            </w:pPr>
          </w:p>
        </w:tc>
      </w:tr>
      <w:tr>
        <w:trPr>
          <w:trHeight w:val="223"/>
        </w:trPr>
        <w:tc>
          <w:tcPr>
            <w:tcW w:w="2280" w:type="dxa"/>
            <w:vAlign w:val="bottom"/>
          </w:tcPr>
          <w:p>
            <w:pPr>
              <w:spacing w:after="0"/>
              <w:rPr>
                <w:sz w:val="20"/>
                <w:szCs w:val="20"/>
                <w:color w:val="auto"/>
              </w:rPr>
            </w:pPr>
            <w:r>
              <w:rPr>
                <w:rFonts w:ascii="Arial" w:cs="Arial" w:eastAsia="Arial" w:hAnsi="Arial"/>
                <w:sz w:val="16"/>
                <w:szCs w:val="16"/>
                <w:color w:val="auto"/>
              </w:rPr>
              <w:t>Construction</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w:t>
            </w:r>
          </w:p>
        </w:tc>
        <w:tc>
          <w:tcPr>
            <w:tcW w:w="24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w:t>
            </w:r>
          </w:p>
        </w:tc>
        <w:tc>
          <w:tcPr>
            <w:tcW w:w="24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24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9"/>
                <w:szCs w:val="19"/>
                <w:color w:val="auto"/>
              </w:rPr>
            </w:pPr>
          </w:p>
        </w:tc>
      </w:tr>
      <w:tr>
        <w:trPr>
          <w:trHeight w:val="237"/>
        </w:trPr>
        <w:tc>
          <w:tcPr>
            <w:tcW w:w="2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allowance for loan losses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23,126</w:t>
            </w:r>
          </w:p>
        </w:tc>
        <w:tc>
          <w:tcPr>
            <w:tcW w:w="240" w:type="dxa"/>
            <w:vAlign w:val="bottom"/>
            <w:tcBorders>
              <w:right w:val="single" w:sz="8" w:color="CCEEFF"/>
            </w:tcBorders>
            <w:shd w:val="clear" w:color="auto" w:fill="CCEEFF"/>
          </w:tcPr>
          <w:p>
            <w:pPr>
              <w:spacing w:after="0"/>
              <w:rPr>
                <w:sz w:val="20"/>
                <w:szCs w:val="20"/>
                <w:color w:val="auto"/>
              </w:rPr>
            </w:pPr>
          </w:p>
        </w:tc>
        <w:tc>
          <w:tcPr>
            <w:tcW w:w="6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5"/>
              </w:rPr>
              <w:t>100.0%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21,461</w:t>
            </w:r>
          </w:p>
        </w:tc>
        <w:tc>
          <w:tcPr>
            <w:tcW w:w="240" w:type="dxa"/>
            <w:vAlign w:val="bottom"/>
            <w:tcBorders>
              <w:right w:val="single" w:sz="8" w:color="CCEEFF"/>
            </w:tcBorders>
            <w:shd w:val="clear" w:color="auto" w:fill="CCEEFF"/>
          </w:tcPr>
          <w:p>
            <w:pPr>
              <w:spacing w:after="0"/>
              <w:rPr>
                <w:sz w:val="20"/>
                <w:szCs w:val="20"/>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9"/>
              </w:rPr>
              <w:t>100.0%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21,174</w:t>
            </w:r>
          </w:p>
        </w:tc>
        <w:tc>
          <w:tcPr>
            <w:tcW w:w="240" w:type="dxa"/>
            <w:vAlign w:val="bottom"/>
            <w:tcBorders>
              <w:right w:val="single" w:sz="8" w:color="CCEEFF"/>
            </w:tcBorders>
            <w:shd w:val="clear" w:color="auto" w:fill="CCEEFF"/>
          </w:tcPr>
          <w:p>
            <w:pPr>
              <w:spacing w:after="0"/>
              <w:rPr>
                <w:sz w:val="20"/>
                <w:szCs w:val="20"/>
                <w:color w:val="auto"/>
              </w:rPr>
            </w:pPr>
          </w:p>
        </w:tc>
        <w:tc>
          <w:tcPr>
            <w:tcW w:w="6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5"/>
              </w:rPr>
              <w:t>100.0%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24,220</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5"/>
              </w:rPr>
              <w:t>100.0%</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$ 27,940</w:t>
            </w:r>
          </w:p>
        </w:tc>
        <w:tc>
          <w:tcPr>
            <w:tcW w:w="1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5"/>
              </w:rPr>
              <w:t>100.0%</w:t>
            </w:r>
          </w:p>
        </w:tc>
      </w:tr>
      <w:tr>
        <w:trPr>
          <w:trHeight w:val="27"/>
        </w:trPr>
        <w:tc>
          <w:tcPr>
            <w:tcW w:w="228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480" w:type="dxa"/>
            <w:vAlign w:val="bottom"/>
            <w:tcBorders>
              <w:top w:val="single" w:sz="8" w:color="auto"/>
            </w:tcBorders>
            <w:shd w:val="clear" w:color="auto" w:fill="000000"/>
          </w:tcPr>
          <w:p>
            <w:pPr>
              <w:spacing w:after="0"/>
              <w:rPr>
                <w:sz w:val="2"/>
                <w:szCs w:val="2"/>
                <w:color w:val="auto"/>
              </w:rPr>
            </w:pPr>
          </w:p>
        </w:tc>
        <w:tc>
          <w:tcPr>
            <w:tcW w:w="240" w:type="dxa"/>
            <w:vAlign w:val="bottom"/>
            <w:tcBorders>
              <w:top w:val="single" w:sz="8" w:color="CCEEFF"/>
              <w:right w:val="single" w:sz="8" w:color="auto"/>
            </w:tcBorders>
            <w:shd w:val="clear" w:color="auto" w:fill="CCEEFF"/>
          </w:tcPr>
          <w:p>
            <w:pPr>
              <w:spacing w:after="0"/>
              <w:rPr>
                <w:sz w:val="2"/>
                <w:szCs w:val="2"/>
                <w:color w:val="auto"/>
              </w:rPr>
            </w:pPr>
          </w:p>
        </w:tc>
        <w:tc>
          <w:tcPr>
            <w:tcW w:w="460" w:type="dxa"/>
            <w:vAlign w:val="bottom"/>
            <w:tcBorders>
              <w:top w:val="single" w:sz="8" w:color="auto"/>
              <w:right w:val="single" w:sz="8" w:color="CCEEFF"/>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460" w:type="dxa"/>
            <w:vAlign w:val="bottom"/>
            <w:tcBorders>
              <w:top w:val="single" w:sz="8" w:color="auto"/>
            </w:tcBorders>
            <w:shd w:val="clear" w:color="auto" w:fill="000000"/>
          </w:tcPr>
          <w:p>
            <w:pPr>
              <w:spacing w:after="0"/>
              <w:rPr>
                <w:sz w:val="2"/>
                <w:szCs w:val="2"/>
                <w:color w:val="auto"/>
              </w:rPr>
            </w:pPr>
          </w:p>
        </w:tc>
        <w:tc>
          <w:tcPr>
            <w:tcW w:w="240" w:type="dxa"/>
            <w:vAlign w:val="bottom"/>
            <w:tcBorders>
              <w:top w:val="single" w:sz="8" w:color="CCEEFF"/>
              <w:right w:val="single" w:sz="8" w:color="auto"/>
            </w:tcBorders>
            <w:shd w:val="clear" w:color="auto" w:fill="CCEEFF"/>
          </w:tcPr>
          <w:p>
            <w:pPr>
              <w:spacing w:after="0"/>
              <w:rPr>
                <w:sz w:val="2"/>
                <w:szCs w:val="2"/>
                <w:color w:val="auto"/>
              </w:rPr>
            </w:pPr>
          </w:p>
        </w:tc>
        <w:tc>
          <w:tcPr>
            <w:tcW w:w="480" w:type="dxa"/>
            <w:vAlign w:val="bottom"/>
            <w:tcBorders>
              <w:top w:val="single" w:sz="8" w:color="auto"/>
              <w:right w:val="single" w:sz="8" w:color="CCEEFF"/>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460" w:type="dxa"/>
            <w:vAlign w:val="bottom"/>
            <w:tcBorders>
              <w:top w:val="single" w:sz="8" w:color="auto"/>
            </w:tcBorders>
            <w:shd w:val="clear" w:color="auto" w:fill="000000"/>
          </w:tcPr>
          <w:p>
            <w:pPr>
              <w:spacing w:after="0"/>
              <w:rPr>
                <w:sz w:val="2"/>
                <w:szCs w:val="2"/>
                <w:color w:val="auto"/>
              </w:rPr>
            </w:pPr>
          </w:p>
        </w:tc>
        <w:tc>
          <w:tcPr>
            <w:tcW w:w="240" w:type="dxa"/>
            <w:vAlign w:val="bottom"/>
            <w:tcBorders>
              <w:top w:val="single" w:sz="8" w:color="CCEEFF"/>
              <w:right w:val="single" w:sz="8" w:color="auto"/>
            </w:tcBorders>
            <w:shd w:val="clear" w:color="auto" w:fill="CCEEFF"/>
          </w:tcPr>
          <w:p>
            <w:pPr>
              <w:spacing w:after="0"/>
              <w:rPr>
                <w:sz w:val="2"/>
                <w:szCs w:val="2"/>
                <w:color w:val="auto"/>
              </w:rPr>
            </w:pPr>
          </w:p>
        </w:tc>
        <w:tc>
          <w:tcPr>
            <w:tcW w:w="460" w:type="dxa"/>
            <w:vAlign w:val="bottom"/>
            <w:tcBorders>
              <w:top w:val="single" w:sz="8" w:color="auto"/>
              <w:right w:val="single" w:sz="8" w:color="CCEEFF"/>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48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000000"/>
          </w:tcPr>
          <w:p>
            <w:pPr>
              <w:spacing w:after="0"/>
              <w:rPr>
                <w:sz w:val="2"/>
                <w:szCs w:val="2"/>
                <w:color w:val="auto"/>
              </w:rPr>
            </w:pPr>
          </w:p>
        </w:tc>
        <w:tc>
          <w:tcPr>
            <w:tcW w:w="460" w:type="dxa"/>
            <w:vAlign w:val="bottom"/>
            <w:tcBorders>
              <w:top w:val="single" w:sz="8" w:color="auto"/>
              <w:right w:val="single" w:sz="8" w:color="CCEEFF"/>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58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80" w:type="dxa"/>
            <w:vAlign w:val="bottom"/>
            <w:tcBorders>
              <w:top w:val="single" w:sz="8" w:color="auto"/>
            </w:tcBorders>
            <w:shd w:val="clear" w:color="auto" w:fill="000000"/>
          </w:tcPr>
          <w:p>
            <w:pPr>
              <w:spacing w:after="0"/>
              <w:rPr>
                <w:sz w:val="2"/>
                <w:szCs w:val="2"/>
                <w:color w:val="auto"/>
              </w:rPr>
            </w:pPr>
          </w:p>
        </w:tc>
        <w:tc>
          <w:tcPr>
            <w:tcW w:w="440" w:type="dxa"/>
            <w:vAlign w:val="bottom"/>
            <w:tcBorders>
              <w:top w:val="single" w:sz="8" w:color="auto"/>
              <w:right w:val="single" w:sz="8" w:color="CCEEFF"/>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bl>
    <w:p>
      <w:pPr>
        <w:spacing w:after="0" w:line="202"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auto"/>
        </w:rPr>
        <w:t>Nonperforming Loans</w:t>
      </w:r>
    </w:p>
    <w:p>
      <w:pPr>
        <w:spacing w:after="0" w:line="117" w:lineRule="exact"/>
        <w:rPr>
          <w:sz w:val="20"/>
          <w:szCs w:val="20"/>
          <w:color w:val="auto"/>
        </w:rPr>
      </w:pPr>
    </w:p>
    <w:p>
      <w:pPr>
        <w:ind w:left="7" w:right="20" w:firstLine="360"/>
        <w:spacing w:after="0" w:line="271" w:lineRule="auto"/>
        <w:rPr>
          <w:sz w:val="20"/>
          <w:szCs w:val="20"/>
          <w:color w:val="auto"/>
        </w:rPr>
      </w:pPr>
      <w:r>
        <w:rPr>
          <w:rFonts w:ascii="Arial" w:cs="Arial" w:eastAsia="Arial" w:hAnsi="Arial"/>
          <w:sz w:val="17"/>
          <w:szCs w:val="17"/>
          <w:color w:val="auto"/>
        </w:rPr>
        <w:t>Loans are considered delinquent when principal or interest payments are past due 30 days or more. Delinquent loans may remain on accrual status between 30 days and 90 days past due. Loans on which the accrual of interest has been discontinued are designated as nonaccrual loans. Typically, the accrual of interest on loans is discontinued when principal or interest payments are past due 90 days or when, in the opinion of management, there is a reasonable doubt as to collectability in the normal course of business. When loans are placed on nonaccrual status, all interest previously accrued but not collected is reversed against current period interest income. Income on nonaccrual loans is subsequently recognized only to the extent that cash is received and the loan’s principal balance is deemed collectible. Loans are restored to accrual status when loans become well-secured and management believes full collectability of principal and interest is probable.</w:t>
      </w:r>
    </w:p>
    <w:p>
      <w:pPr>
        <w:spacing w:after="0" w:line="71" w:lineRule="exact"/>
        <w:rPr>
          <w:sz w:val="20"/>
          <w:szCs w:val="20"/>
          <w:color w:val="auto"/>
        </w:rPr>
      </w:pPr>
    </w:p>
    <w:p>
      <w:pPr>
        <w:ind w:left="7" w:right="40" w:firstLine="360"/>
        <w:spacing w:after="0" w:line="293" w:lineRule="auto"/>
        <w:rPr>
          <w:sz w:val="20"/>
          <w:szCs w:val="20"/>
          <w:color w:val="auto"/>
        </w:rPr>
      </w:pPr>
      <w:r>
        <w:rPr>
          <w:rFonts w:ascii="Arial" w:cs="Arial" w:eastAsia="Arial" w:hAnsi="Arial"/>
          <w:sz w:val="16"/>
          <w:szCs w:val="16"/>
          <w:color w:val="auto"/>
        </w:rPr>
        <w:t>A loan is considered impaired when it is probable that we will be unable to collect all amounts due according to the contractual terms of the loan agreement. Impaired loans include loans on nonaccrual status and performing restructured loans. Income from loans on nonaccrual status is recognized to the extent cash is received and when the loan’s principal balance is deemed collectible. Depending on a particular loan’s circumstances, we measure impairment of a loan based upon either the present value of expected future cash flows discounted at the loan’s effective interest rate, the loan’s observable market price, or the fair value of the collateral less estimated costs to sell if the loan is collateral dependent. A loan is considered collateral dependent</w:t>
      </w:r>
    </w:p>
    <w:p>
      <w:pPr>
        <w:spacing w:after="0" w:line="165"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6" w:right="1159" w:bottom="1440" w:gutter="0" w:footer="0" w:header="0"/>
        </w:sectPr>
      </w:pPr>
    </w:p>
    <w:bookmarkStart w:id="67" w:name="page68"/>
    <w:bookmarkEnd w:id="6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when repayment of the loan is based solely on the liquidation of the collateral. Fair value, where possible, is determined by independent appraisals, typically on an annual basis. Between appraisal periods, the fair value may be adjusted based on specific events, such as if deterioration of quality of the collateral comes to our attention as part of our problem loan monitoring process, or if discussions with the borrower lead us to believe the last appraised value no longer reflects the actual market for the collateral. The impairment amount on a collateral-dependent loan is charged-off to the allowance if deemed not collectible and the impairment amount on a loan that is not collateral-dependent is set up as a specific reserve.</w:t>
      </w:r>
    </w:p>
    <w:p>
      <w:pPr>
        <w:spacing w:after="0" w:line="70" w:lineRule="exact"/>
        <w:rPr>
          <w:sz w:val="20"/>
          <w:szCs w:val="20"/>
          <w:color w:val="auto"/>
        </w:rPr>
      </w:pPr>
    </w:p>
    <w:p>
      <w:pPr>
        <w:ind w:right="220" w:firstLine="360"/>
        <w:spacing w:after="0" w:line="276" w:lineRule="auto"/>
        <w:rPr>
          <w:sz w:val="20"/>
          <w:szCs w:val="20"/>
          <w:color w:val="auto"/>
        </w:rPr>
      </w:pPr>
      <w:r>
        <w:rPr>
          <w:rFonts w:ascii="Arial" w:cs="Arial" w:eastAsia="Arial" w:hAnsi="Arial"/>
          <w:sz w:val="17"/>
          <w:szCs w:val="17"/>
          <w:color w:val="auto"/>
        </w:rPr>
        <w:t>Real estate we acquire as a result of foreclosure or by deed-in-lieu of foreclosure is classified as OREO until sold and is initially recorded at fair value less costs to sell when acquired, establishing a new cost basis. OREO totaled $2.3 million at December 31, 2018 which included $225,000 in construction, land development and other land held and $1.7 million in non-farm nonresidential properties. OREO totaled $2.8 million at December 31, 2017 which included $889,000 in construction, land development and other land held and $1.4 million in non-farm nonresidential properties.</w:t>
      </w:r>
    </w:p>
    <w:p>
      <w:pPr>
        <w:spacing w:after="0" w:line="64" w:lineRule="exact"/>
        <w:rPr>
          <w:sz w:val="20"/>
          <w:szCs w:val="20"/>
          <w:color w:val="auto"/>
        </w:rPr>
      </w:pPr>
    </w:p>
    <w:p>
      <w:pPr>
        <w:ind w:right="840" w:firstLine="360"/>
        <w:spacing w:after="0" w:line="277" w:lineRule="auto"/>
        <w:rPr>
          <w:sz w:val="20"/>
          <w:szCs w:val="20"/>
          <w:color w:val="auto"/>
        </w:rPr>
      </w:pPr>
      <w:r>
        <w:rPr>
          <w:rFonts w:ascii="Arial" w:cs="Arial" w:eastAsia="Arial" w:hAnsi="Arial"/>
          <w:sz w:val="18"/>
          <w:szCs w:val="18"/>
          <w:color w:val="auto"/>
        </w:rPr>
        <w:t>Nonperforming loans include nonaccrual loans and loans past due 90 days or more. Nonperforming assets consist of nonperforming loans plus OREO.</w:t>
      </w:r>
    </w:p>
    <w:p>
      <w:pPr>
        <w:spacing w:after="0" w:line="62" w:lineRule="exact"/>
        <w:rPr>
          <w:sz w:val="20"/>
          <w:szCs w:val="20"/>
          <w:color w:val="auto"/>
        </w:rPr>
      </w:pPr>
    </w:p>
    <w:p>
      <w:pPr>
        <w:jc w:val="both"/>
        <w:ind w:right="180" w:firstLine="360"/>
        <w:spacing w:after="0" w:line="257" w:lineRule="auto"/>
        <w:rPr>
          <w:sz w:val="20"/>
          <w:szCs w:val="20"/>
          <w:color w:val="auto"/>
        </w:rPr>
      </w:pPr>
      <w:r>
        <w:rPr>
          <w:rFonts w:ascii="Arial" w:cs="Arial" w:eastAsia="Arial" w:hAnsi="Arial"/>
          <w:sz w:val="18"/>
          <w:szCs w:val="18"/>
          <w:color w:val="auto"/>
        </w:rPr>
        <w:t>Nonperforming loans were $7.0 million at December 31, 2018 and $13.9 million at December 31, 2017. The decrease in the year ended December 31, 2018 was primarily due to the resolution of one commercial real estate relationship totaling $5.3 million that was placed on nonaccrual status in late 2017 for default. We experienced an initial $1.4 million charge-off in mid-2018 when we foreclosed on the properties and sold them to a third party. Prior to the end of 2018, we recovered $1.3 million from guarantors of the notes associated with these properties.</w:t>
      </w:r>
    </w:p>
    <w:p>
      <w:pPr>
        <w:spacing w:after="0" w:line="80"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At December 31, 2018, our total nonaccrual loans were $6.4 million. This was comprised primarily of $1.2 million in loans to finance agricultural production; $1.5 million in loans secured by 1-4 family residential properties; $1.2 million in non-farm nonresidential property loans; and $1.1 million in commercial loans. These loans were reviewed for impairment and specific valuation allowances were established as necessary and included in the allowance for loan losses as of December 31, 2018 to cover any probable loss.</w:t>
      </w:r>
    </w:p>
    <w:p>
      <w:pPr>
        <w:spacing w:after="0" w:line="80"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At December 31, 2017, our total nonaccrual loans were $12.7 million. This was comprised primarily of $1.2 million in loans to finance agricultural production; $2.1 million in loans secured by 1-4 family residential properties; $7.2 million in non-farm nonresidential property loans; and $1.7 million in commercial loans. These loans were reviewed for impairment and specific valuation allowances were established as necessary and included in the allowance for loan losses as of December 31, 2017 to cover any probable loss.</w:t>
      </w:r>
    </w:p>
    <w:p>
      <w:pPr>
        <w:spacing w:after="0" w:line="80"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The following table presents the contractual aging of the recorded investment in current and past due loans by class of loans as of December 31, 2018 and 2017:</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rPr>
              <w:t>30-89 Days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Arial" w:cs="Arial" w:eastAsia="Arial" w:hAnsi="Arial"/>
                <w:sz w:val="14"/>
                <w:szCs w:val="14"/>
                <w:b w:val="1"/>
                <w:bCs w:val="1"/>
                <w:color w:val="auto"/>
              </w:rPr>
              <w:t>90+ Days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Current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3"/>
              </w:rPr>
              <w:t>Past Due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Past Due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1"/>
              </w:rPr>
              <w:t>Nonaccrual</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20" w:type="dxa"/>
            <w:vAlign w:val="bottom"/>
            <w:gridSpan w:val="9"/>
          </w:tcPr>
          <w:p>
            <w:pPr>
              <w:jc w:val="right"/>
              <w:ind w:right="692"/>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December 31, 2018</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auto"/>
            </w:tcBorders>
            <w:vMerge w:val="restart"/>
          </w:tcPr>
          <w:p>
            <w:pPr>
              <w:spacing w:after="0"/>
              <w:rPr>
                <w:sz w:val="2"/>
                <w:szCs w:val="2"/>
                <w:color w:val="auto"/>
              </w:rPr>
            </w:pPr>
          </w:p>
        </w:tc>
        <w:tc>
          <w:tcPr>
            <w:tcW w:w="1420" w:type="dxa"/>
            <w:vAlign w:val="bottom"/>
            <w:tcBorders>
              <w:top w:val="single" w:sz="8" w:color="auto"/>
            </w:tcBorders>
            <w:shd w:val="clear" w:color="auto" w:fill="CCEEFF"/>
          </w:tcPr>
          <w:p>
            <w:pPr>
              <w:spacing w:after="0"/>
              <w:rPr>
                <w:sz w:val="2"/>
                <w:szCs w:val="2"/>
                <w:color w:val="auto"/>
              </w:rPr>
            </w:pPr>
          </w:p>
        </w:tc>
        <w:tc>
          <w:tcPr>
            <w:tcW w:w="25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Commercial real estate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536,072</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1,748</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217</w:t>
            </w: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538,037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specialized</w:t>
            </w: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301,480</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305,022</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Commercial – general</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422,969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2,625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2,134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427,728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w:t>
            </w: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3"/>
          </w:tcPr>
          <w:p>
            <w:pPr>
              <w:ind w:left="160"/>
              <w:spacing w:after="0"/>
              <w:rPr>
                <w:sz w:val="20"/>
                <w:szCs w:val="20"/>
                <w:color w:val="auto"/>
              </w:rPr>
            </w:pPr>
            <w:r>
              <w:rPr>
                <w:rFonts w:ascii="Arial" w:cs="Arial" w:eastAsia="Arial" w:hAnsi="Arial"/>
                <w:sz w:val="18"/>
                <w:szCs w:val="18"/>
                <w:color w:val="auto"/>
              </w:rPr>
              <w:t>1-4 family residential</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342,613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1,611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1,489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346,153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Auto loans</w:t>
            </w: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190,772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191,647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3"/>
          </w:tcPr>
          <w:p>
            <w:pPr>
              <w:ind w:left="160"/>
              <w:spacing w:after="0"/>
              <w:rPr>
                <w:sz w:val="20"/>
                <w:szCs w:val="20"/>
                <w:color w:val="auto"/>
              </w:rPr>
            </w:pPr>
            <w:r>
              <w:rPr>
                <w:rFonts w:ascii="Arial" w:cs="Arial" w:eastAsia="Arial" w:hAnsi="Arial"/>
                <w:sz w:val="18"/>
                <w:szCs w:val="18"/>
                <w:color w:val="auto"/>
              </w:rPr>
              <w:t>Other consumer</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69,252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70,209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78,401</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78,401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20" w:type="dxa"/>
            <w:vAlign w:val="bottom"/>
            <w:gridSpan w:val="4"/>
          </w:tcPr>
          <w:p>
            <w:pPr>
              <w:spacing w:after="0"/>
              <w:rPr>
                <w:sz w:val="20"/>
                <w:szCs w:val="20"/>
                <w:color w:val="auto"/>
              </w:rPr>
            </w:pPr>
            <w:r>
              <w:rPr>
                <w:rFonts w:ascii="Arial" w:cs="Arial" w:eastAsia="Arial" w:hAnsi="Arial"/>
                <w:sz w:val="18"/>
                <w:szCs w:val="18"/>
                <w:b w:val="1"/>
                <w:bCs w:val="1"/>
                <w:color w:val="auto"/>
              </w:rPr>
              <w:t>Total loans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1,941,559</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8,684</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564</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6,390</w:t>
            </w: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1,957,197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420" w:type="dxa"/>
            <w:vAlign w:val="bottom"/>
            <w:shd w:val="clear" w:color="auto" w:fill="000000"/>
          </w:tcPr>
          <w:p>
            <w:pPr>
              <w:spacing w:after="0"/>
              <w:rPr>
                <w:sz w:val="5"/>
                <w:szCs w:val="5"/>
                <w:color w:val="auto"/>
              </w:rPr>
            </w:pPr>
          </w:p>
        </w:tc>
        <w:tc>
          <w:tcPr>
            <w:tcW w:w="25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8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7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8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8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9" w:right="1159" w:bottom="1440" w:gutter="0" w:footer="0" w:header="0"/>
        </w:sectPr>
      </w:pPr>
    </w:p>
    <w:bookmarkStart w:id="68" w:name="page69"/>
    <w:bookmarkEnd w:id="68"/>
    <w:p>
      <w:pPr>
        <w:spacing w:after="0" w:line="1" w:lineRule="exact"/>
        <w:rPr>
          <w:sz w:val="20"/>
          <w:szCs w:val="20"/>
          <w:color w:val="auto"/>
        </w:rPr>
      </w:pPr>
    </w:p>
    <w:tbl>
      <w:tblPr>
        <w:tblLayout w:type="fixed"/>
        <w:tblInd w:w="7" w:type="dxa"/>
        <w:tblCellMar>
          <w:top w:w="0" w:type="dxa"/>
          <w:left w:w="0" w:type="dxa"/>
          <w:bottom w:w="0" w:type="dxa"/>
          <w:right w:w="0" w:type="dxa"/>
        </w:tblCellMar>
      </w:tblPr>
      <w:tr>
        <w:trPr>
          <w:trHeight w:val="161"/>
        </w:trPr>
        <w:tc>
          <w:tcPr>
            <w:tcW w:w="4020" w:type="dxa"/>
            <w:vAlign w:val="bottom"/>
            <w:gridSpan w:val="5"/>
          </w:tcPr>
          <w:p>
            <w:pPr>
              <w:spacing w:after="0"/>
              <w:rPr>
                <w:rFonts w:ascii="Arial" w:cs="Arial" w:eastAsia="Arial" w:hAnsi="Arial"/>
                <w:sz w:val="14"/>
                <w:szCs w:val="14"/>
                <w:b w:val="1"/>
                <w:bCs w:val="1"/>
                <w:color w:val="0000EE"/>
              </w:rPr>
            </w:pPr>
            <w:hyperlink w:anchor="page4">
              <w:r>
                <w:rPr>
                  <w:rFonts w:ascii="Arial" w:cs="Arial" w:eastAsia="Arial" w:hAnsi="Arial"/>
                  <w:sz w:val="14"/>
                  <w:szCs w:val="14"/>
                  <w:b w:val="1"/>
                  <w:bCs w:val="1"/>
                  <w:color w:val="0000EE"/>
                </w:rPr>
                <w:t>TABLE OF CONTENTS</w:t>
              </w:r>
            </w:hyperlink>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20" w:type="dxa"/>
            <w:vAlign w:val="bottom"/>
            <w:tcBorders>
              <w:top w:val="single" w:sz="8" w:color="0000EE"/>
            </w:tcBorders>
          </w:tcPr>
          <w:p>
            <w:pPr>
              <w:spacing w:after="0"/>
              <w:rPr>
                <w:sz w:val="24"/>
                <w:szCs w:val="24"/>
                <w:color w:val="auto"/>
              </w:rPr>
            </w:pPr>
          </w:p>
        </w:tc>
        <w:tc>
          <w:tcPr>
            <w:tcW w:w="14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rPr>
              <w:t>30-89 Days</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b w:val="1"/>
                <w:bCs w:val="1"/>
                <w:color w:val="auto"/>
              </w:rPr>
              <w:t>90+ Days</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Current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3"/>
              </w:rPr>
              <w:t>Past Due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Past Due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1"/>
              </w:rPr>
              <w:t>Nonaccrual</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20" w:type="dxa"/>
            <w:vAlign w:val="bottom"/>
            <w:gridSpan w:val="9"/>
          </w:tcPr>
          <w:p>
            <w:pPr>
              <w:jc w:val="right"/>
              <w:ind w:right="692"/>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December 31, 2017</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auto"/>
            </w:tcBorders>
            <w:vMerge w:val="restart"/>
          </w:tcPr>
          <w:p>
            <w:pPr>
              <w:spacing w:after="0"/>
              <w:rPr>
                <w:sz w:val="2"/>
                <w:szCs w:val="2"/>
                <w:color w:val="auto"/>
              </w:rPr>
            </w:pPr>
          </w:p>
        </w:tc>
        <w:tc>
          <w:tcPr>
            <w:tcW w:w="1420" w:type="dxa"/>
            <w:vAlign w:val="bottom"/>
            <w:tcBorders>
              <w:top w:val="single" w:sz="8" w:color="auto"/>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rPr>
              <w:t>Commercial real estate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498,722</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2,562</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52</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5,558</w:t>
            </w: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506,894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 specialized</w:t>
            </w: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326,959</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329,119</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rPr>
              <w:t>Commercial – general</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404,832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1,827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3,385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410,057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Consumer:</w:t>
            </w: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4"/>
          </w:tcPr>
          <w:p>
            <w:pPr>
              <w:ind w:left="160"/>
              <w:spacing w:after="0"/>
              <w:rPr>
                <w:sz w:val="20"/>
                <w:szCs w:val="20"/>
                <w:color w:val="auto"/>
              </w:rPr>
            </w:pPr>
            <w:r>
              <w:rPr>
                <w:rFonts w:ascii="Arial" w:cs="Arial" w:eastAsia="Arial" w:hAnsi="Arial"/>
                <w:sz w:val="18"/>
                <w:szCs w:val="18"/>
                <w:color w:val="auto"/>
              </w:rPr>
              <w:t>1-4 family residential</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307,158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3,147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2,088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313,350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0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Auto loans</w:t>
            </w: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146,001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146,622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4"/>
          </w:tcPr>
          <w:p>
            <w:pPr>
              <w:ind w:left="160"/>
              <w:spacing w:after="0"/>
              <w:rPr>
                <w:sz w:val="20"/>
                <w:szCs w:val="20"/>
                <w:color w:val="auto"/>
              </w:rPr>
            </w:pPr>
            <w:r>
              <w:rPr>
                <w:rFonts w:ascii="Arial" w:cs="Arial" w:eastAsia="Arial" w:hAnsi="Arial"/>
                <w:sz w:val="18"/>
                <w:szCs w:val="18"/>
                <w:color w:val="auto"/>
              </w:rPr>
              <w:t>Other consumer</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65,484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66,191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9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Construction</w:t>
            </w: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65,847</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65,922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20" w:type="dxa"/>
            <w:vAlign w:val="bottom"/>
            <w:gridSpan w:val="5"/>
          </w:tcPr>
          <w:p>
            <w:pPr>
              <w:spacing w:after="0"/>
              <w:rPr>
                <w:sz w:val="20"/>
                <w:szCs w:val="20"/>
                <w:color w:val="auto"/>
              </w:rPr>
            </w:pPr>
            <w:r>
              <w:rPr>
                <w:rFonts w:ascii="Arial" w:cs="Arial" w:eastAsia="Arial" w:hAnsi="Arial"/>
                <w:sz w:val="18"/>
                <w:szCs w:val="18"/>
                <w:b w:val="1"/>
                <w:bCs w:val="1"/>
                <w:color w:val="auto"/>
              </w:rPr>
              <w:t>Total loans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1,815,003</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9,251</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1,197</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12,704</w:t>
            </w: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1,838,155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auto"/>
        </w:rPr>
        <w:t>Nonperforming Assets</w:t>
      </w:r>
    </w:p>
    <w:p>
      <w:pPr>
        <w:spacing w:after="0" w:line="117" w:lineRule="exact"/>
        <w:rPr>
          <w:sz w:val="20"/>
          <w:szCs w:val="20"/>
          <w:color w:val="auto"/>
        </w:rPr>
      </w:pPr>
    </w:p>
    <w:p>
      <w:pPr>
        <w:ind w:left="7" w:right="260" w:firstLine="360"/>
        <w:spacing w:after="0" w:line="277" w:lineRule="auto"/>
        <w:rPr>
          <w:sz w:val="20"/>
          <w:szCs w:val="20"/>
          <w:color w:val="auto"/>
        </w:rPr>
      </w:pPr>
      <w:r>
        <w:rPr>
          <w:rFonts w:ascii="Arial" w:cs="Arial" w:eastAsia="Arial" w:hAnsi="Arial"/>
          <w:sz w:val="18"/>
          <w:szCs w:val="18"/>
          <w:color w:val="auto"/>
        </w:rPr>
        <w:t>The following table sets forth the allocation of our nonperforming assets among our different asset categories as of the dates indicated. Nonperforming loans include nonaccrual loans and loans past due 90 days or more.</w:t>
      </w:r>
    </w:p>
    <w:p>
      <w:pPr>
        <w:spacing w:after="0" w:line="27"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0"/>
              </w:rPr>
              <w:t>As of December 31,</w:t>
            </w: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80" w:type="dxa"/>
            <w:vAlign w:val="bottom"/>
            <w:gridSpan w:val="9"/>
          </w:tcPr>
          <w:p>
            <w:pPr>
              <w:jc w:val="center"/>
              <w:ind w:right="50"/>
              <w:spacing w:after="0"/>
              <w:rPr>
                <w:sz w:val="20"/>
                <w:szCs w:val="20"/>
                <w:color w:val="auto"/>
              </w:rPr>
            </w:pPr>
            <w:r>
              <w:rPr>
                <w:rFonts w:ascii="Arial" w:cs="Arial" w:eastAsia="Arial" w:hAnsi="Arial"/>
                <w:sz w:val="14"/>
                <w:szCs w:val="14"/>
                <w:b w:val="1"/>
                <w:bCs w:val="1"/>
                <w:color w:val="auto"/>
                <w:w w:val="91"/>
              </w:rPr>
              <w:t>(Dollars in thousands)</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6,390</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12,704</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19,173</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60" w:type="dxa"/>
            <w:vAlign w:val="bottom"/>
            <w:gridSpan w:val="3"/>
          </w:tcPr>
          <w:p>
            <w:pPr>
              <w:spacing w:after="0"/>
              <w:rPr>
                <w:sz w:val="20"/>
                <w:szCs w:val="20"/>
                <w:color w:val="auto"/>
              </w:rPr>
            </w:pPr>
            <w:r>
              <w:rPr>
                <w:rFonts w:ascii="Arial" w:cs="Arial" w:eastAsia="Arial" w:hAnsi="Arial"/>
                <w:sz w:val="18"/>
                <w:szCs w:val="18"/>
                <w:color w:val="auto"/>
                <w:w w:val="95"/>
              </w:rPr>
              <w:t>Past due loans 90 days or more and still accruing</w:t>
            </w:r>
          </w:p>
        </w:tc>
        <w:tc>
          <w:tcPr>
            <w:tcW w:w="2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nonperforming loans</w:t>
            </w: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6,954</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13,901</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20,669</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40" w:type="dxa"/>
            <w:vAlign w:val="bottom"/>
            <w:gridSpan w:val="2"/>
          </w:tcPr>
          <w:p>
            <w:pPr>
              <w:ind w:left="160"/>
              <w:spacing w:after="0"/>
              <w:rPr>
                <w:sz w:val="20"/>
                <w:szCs w:val="20"/>
                <w:color w:val="auto"/>
              </w:rPr>
            </w:pPr>
            <w:r>
              <w:rPr>
                <w:rFonts w:ascii="Arial" w:cs="Arial" w:eastAsia="Arial" w:hAnsi="Arial"/>
                <w:sz w:val="18"/>
                <w:szCs w:val="18"/>
                <w:color w:val="auto"/>
              </w:rPr>
              <w:t>Other real estate owned</w:t>
            </w:r>
          </w:p>
        </w:tc>
        <w:tc>
          <w:tcPr>
            <w:tcW w:w="2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2,285</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nonperforming assets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9,239</w:t>
            </w: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16,731</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15,044</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16,486</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28,130</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420" w:type="dxa"/>
            <w:vAlign w:val="bottom"/>
            <w:tcBorders>
              <w:top w:val="single" w:sz="8" w:color="CCEEFF"/>
            </w:tcBorders>
          </w:tcPr>
          <w:p>
            <w:pPr>
              <w:spacing w:after="0"/>
              <w:rPr>
                <w:sz w:val="21"/>
                <w:szCs w:val="21"/>
                <w:color w:val="auto"/>
              </w:rPr>
            </w:pPr>
          </w:p>
        </w:tc>
        <w:tc>
          <w:tcPr>
            <w:tcW w:w="2320" w:type="dxa"/>
            <w:vAlign w:val="bottom"/>
            <w:tcBorders>
              <w:top w:val="single" w:sz="8" w:color="CCEEFF"/>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74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Restructured loans - nonaccrual</w:t>
            </w:r>
            <w:r>
              <w:rPr>
                <w:rFonts w:ascii="Arial" w:cs="Arial" w:eastAsia="Arial" w:hAnsi="Arial"/>
                <w:sz w:val="28"/>
                <w:szCs w:val="28"/>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6,359</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Restructured loans - accruing</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3,351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3,592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7,817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9,906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18,301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vMerge w:val="restart"/>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3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Nonperforming loans to gross loans</w:t>
            </w:r>
          </w:p>
        </w:tc>
        <w:tc>
          <w:tcPr>
            <w:tcW w:w="240" w:type="dxa"/>
            <w:vAlign w:val="bottom"/>
          </w:tcPr>
          <w:p>
            <w:pPr>
              <w:spacing w:after="0"/>
              <w:rPr>
                <w:sz w:val="20"/>
                <w:szCs w:val="20"/>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0.36%</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0.76%</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0.43%</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0.52%</w:t>
            </w:r>
          </w:p>
        </w:tc>
        <w:tc>
          <w:tcPr>
            <w:tcW w:w="260" w:type="dxa"/>
            <w:vAlign w:val="bottom"/>
          </w:tcPr>
          <w:p>
            <w:pPr>
              <w:spacing w:after="0"/>
              <w:rPr>
                <w:sz w:val="20"/>
                <w:szCs w:val="20"/>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Nonperforming assets to total loans and OREO</w:t>
            </w:r>
          </w:p>
        </w:tc>
        <w:tc>
          <w:tcPr>
            <w:tcW w:w="240" w:type="dxa"/>
            <w:vAlign w:val="bottom"/>
            <w:shd w:val="clear" w:color="auto" w:fill="CCEEFF"/>
          </w:tcPr>
          <w:p>
            <w:pPr>
              <w:spacing w:after="0"/>
              <w:rPr>
                <w:sz w:val="22"/>
                <w:szCs w:val="22"/>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0.47%</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0.90%</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0.98%</w:t>
            </w:r>
          </w:p>
        </w:tc>
        <w:tc>
          <w:tcPr>
            <w:tcW w:w="26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Allowance for loan losses to nonperforming</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40" w:type="dxa"/>
            <w:vAlign w:val="bottom"/>
            <w:gridSpan w:val="2"/>
          </w:tcPr>
          <w:p>
            <w:pPr>
              <w:ind w:left="160"/>
              <w:spacing w:after="0"/>
              <w:rPr>
                <w:sz w:val="20"/>
                <w:szCs w:val="20"/>
                <w:color w:val="auto"/>
              </w:rPr>
            </w:pPr>
            <w:r>
              <w:rPr>
                <w:rFonts w:ascii="Arial" w:cs="Arial" w:eastAsia="Arial" w:hAnsi="Arial"/>
                <w:sz w:val="18"/>
                <w:szCs w:val="18"/>
                <w:color w:val="auto"/>
              </w:rPr>
              <w:t>loans</w:t>
            </w:r>
          </w:p>
        </w:tc>
        <w:tc>
          <w:tcPr>
            <w:tcW w:w="240" w:type="dxa"/>
            <w:vAlign w:val="bottom"/>
          </w:tcPr>
          <w:p>
            <w:pPr>
              <w:spacing w:after="0"/>
              <w:rPr>
                <w:sz w:val="20"/>
                <w:szCs w:val="20"/>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332.56%</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154.38%</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294.29%</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275.07%</w:t>
            </w:r>
          </w:p>
        </w:tc>
        <w:tc>
          <w:tcPr>
            <w:tcW w:w="260" w:type="dxa"/>
            <w:vAlign w:val="bottom"/>
          </w:tcPr>
          <w:p>
            <w:pPr>
              <w:spacing w:after="0"/>
              <w:rPr>
                <w:sz w:val="20"/>
                <w:szCs w:val="20"/>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135.18%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loan losses to gross loans</w:t>
            </w:r>
          </w:p>
        </w:tc>
        <w:tc>
          <w:tcPr>
            <w:tcW w:w="240" w:type="dxa"/>
            <w:vAlign w:val="bottom"/>
            <w:shd w:val="clear" w:color="auto" w:fill="CCEEFF"/>
          </w:tcPr>
          <w:p>
            <w:pPr>
              <w:spacing w:after="0"/>
              <w:rPr>
                <w:sz w:val="22"/>
                <w:szCs w:val="22"/>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1.18%</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1.27%</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1.44%</w:t>
            </w:r>
          </w:p>
        </w:tc>
        <w:tc>
          <w:tcPr>
            <w:tcW w:w="26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Nonaccrual loans by category:</w:t>
            </w: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5,558</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13,301</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Commercial – specialized</w:t>
            </w: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2,550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1,587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1,110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24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3,385</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3,249</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1-4 family residential</w:t>
            </w:r>
          </w:p>
        </w:tc>
        <w:tc>
          <w:tcPr>
            <w:tcW w:w="2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40" w:type="dxa"/>
            <w:vAlign w:val="bottom"/>
            <w:gridSpan w:val="2"/>
          </w:tcPr>
          <w:p>
            <w:pPr>
              <w:ind w:left="160"/>
              <w:spacing w:after="0"/>
              <w:rPr>
                <w:sz w:val="20"/>
                <w:szCs w:val="20"/>
                <w:color w:val="auto"/>
              </w:rPr>
            </w:pPr>
            <w:r>
              <w:rPr>
                <w:rFonts w:ascii="Arial" w:cs="Arial" w:eastAsia="Arial" w:hAnsi="Arial"/>
                <w:sz w:val="18"/>
                <w:szCs w:val="18"/>
                <w:color w:val="auto"/>
              </w:rPr>
              <w:t>Auto loans</w:t>
            </w:r>
          </w:p>
        </w:tc>
        <w:tc>
          <w:tcPr>
            <w:tcW w:w="240" w:type="dxa"/>
            <w:vAlign w:val="bottom"/>
          </w:tcPr>
          <w:p>
            <w:pPr>
              <w:spacing w:after="0"/>
              <w:rPr>
                <w:sz w:val="20"/>
                <w:szCs w:val="20"/>
                <w:color w:val="auto"/>
              </w:rPr>
            </w:pPr>
          </w:p>
        </w:tc>
        <w:tc>
          <w:tcPr>
            <w:tcW w:w="94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consumer</w:t>
            </w:r>
          </w:p>
        </w:tc>
        <w:tc>
          <w:tcPr>
            <w:tcW w:w="240" w:type="dxa"/>
            <w:vAlign w:val="bottom"/>
            <w:shd w:val="clear" w:color="auto" w:fill="CCEEFF"/>
          </w:tcPr>
          <w:p>
            <w:pPr>
              <w:spacing w:after="0"/>
              <w:rPr>
                <w:sz w:val="21"/>
                <w:szCs w:val="21"/>
                <w:color w:val="auto"/>
              </w:rPr>
            </w:pPr>
          </w:p>
        </w:tc>
        <w:tc>
          <w:tcPr>
            <w:tcW w:w="9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6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2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6,390</w:t>
            </w: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12,704</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6,187</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8,046</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19,173</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20" w:type="dxa"/>
            <w:vAlign w:val="bottom"/>
            <w:tcBorders>
              <w:top w:val="single" w:sz="8" w:color="CCEEFF"/>
              <w:bottom w:val="single" w:sz="8" w:color="auto"/>
            </w:tcBorders>
          </w:tcPr>
          <w:p>
            <w:pPr>
              <w:spacing w:after="0"/>
              <w:rPr>
                <w:sz w:val="16"/>
                <w:szCs w:val="16"/>
                <w:color w:val="auto"/>
              </w:rPr>
            </w:pPr>
          </w:p>
        </w:tc>
        <w:tc>
          <w:tcPr>
            <w:tcW w:w="23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47" w:hanging="347"/>
        <w:spacing w:after="0"/>
        <w:tabs>
          <w:tab w:leader="none" w:pos="347"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Restructured loans, nonaccrual, are included in nonaccrual loans which are a component of nonperforming loans.</w:t>
      </w:r>
    </w:p>
    <w:p>
      <w:pPr>
        <w:spacing w:after="0" w:line="208"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auto"/>
        </w:rPr>
        <w:t>Troubled Debt Restructurings</w:t>
      </w:r>
    </w:p>
    <w:p>
      <w:pPr>
        <w:spacing w:after="0" w:line="117" w:lineRule="exact"/>
        <w:rPr>
          <w:sz w:val="20"/>
          <w:szCs w:val="20"/>
          <w:color w:val="auto"/>
        </w:rPr>
      </w:pPr>
    </w:p>
    <w:p>
      <w:pPr>
        <w:ind w:left="7" w:right="60" w:firstLine="360"/>
        <w:spacing w:after="0" w:line="264" w:lineRule="auto"/>
        <w:rPr>
          <w:sz w:val="20"/>
          <w:szCs w:val="20"/>
          <w:color w:val="auto"/>
        </w:rPr>
      </w:pPr>
      <w:r>
        <w:rPr>
          <w:rFonts w:ascii="Arial" w:cs="Arial" w:eastAsia="Arial" w:hAnsi="Arial"/>
          <w:sz w:val="18"/>
          <w:szCs w:val="18"/>
          <w:color w:val="auto"/>
        </w:rPr>
        <w:t>In cases where a borrower experiences financial difficulties and we make certain concessionary modifications to contractual terms, the loan is classified as a troubled debt restructuring, or TDR. Included in certain loan categories of impaired loans are TDRs on which we have granted certain material concessions to the</w:t>
      </w:r>
    </w:p>
    <w:p>
      <w:pPr>
        <w:spacing w:after="0" w:line="181"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6" w:right="1159" w:bottom="1440" w:gutter="0" w:footer="0" w:header="0"/>
        </w:sectPr>
      </w:pPr>
    </w:p>
    <w:bookmarkStart w:id="69" w:name="page70"/>
    <w:bookmarkEnd w:id="6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borrower as a result of the borrower experiencing financial difficulties. The concessions granted by us may include, but are not limited to: (1) a modification in which the maturity date, timing of payments or frequency of payments is modified, (2) an interest rate lower than the current market rate for new loans with similar risk, or (3) a combination of the first two factors.</w:t>
      </w:r>
    </w:p>
    <w:p>
      <w:pPr>
        <w:spacing w:after="0" w:line="57" w:lineRule="exact"/>
        <w:rPr>
          <w:sz w:val="20"/>
          <w:szCs w:val="20"/>
          <w:color w:val="auto"/>
        </w:rPr>
      </w:pPr>
    </w:p>
    <w:p>
      <w:pPr>
        <w:ind w:right="160" w:firstLine="360"/>
        <w:spacing w:after="0" w:line="289" w:lineRule="auto"/>
        <w:rPr>
          <w:sz w:val="20"/>
          <w:szCs w:val="20"/>
          <w:color w:val="auto"/>
        </w:rPr>
      </w:pPr>
      <w:r>
        <w:rPr>
          <w:rFonts w:ascii="Arial" w:cs="Arial" w:eastAsia="Arial" w:hAnsi="Arial"/>
          <w:sz w:val="16"/>
          <w:szCs w:val="16"/>
          <w:color w:val="auto"/>
        </w:rPr>
        <w:t>If a borrower on a restructured accruing loan has demonstrated performance under the previous terms, is not experiencing financial difficulty and shows the capacity to continue to perform under the restructured terms, the loan will remain on accrual status. Otherwise, the loan will be placed on nonaccrual status until the borrower demonstrates a sustained period of performance, which generally requires six consecutive months of payments. Loans identified as TDRs are evaluated for impairment using the present value of the expected cash flows or the estimated fair value of the collateral, if the loan is collateral dependent. The fair value is determined, when possible, by an appraisal of the property less estimated costs related to liquidation of the collateral. The appraisal amount may also be adjusted for current market conditions. Adjustments to reflect the present value of the expected cash flows or the estimated fair value of collateral dependent loans are a component in determining an appropriate allowance for loan losses, and as such, may result in increases or decreases to the provision for loan losses in current and future earnings.</w:t>
      </w:r>
    </w:p>
    <w:p>
      <w:pPr>
        <w:spacing w:after="0" w:line="59" w:lineRule="exact"/>
        <w:rPr>
          <w:sz w:val="20"/>
          <w:szCs w:val="20"/>
          <w:color w:val="auto"/>
        </w:rPr>
      </w:pPr>
    </w:p>
    <w:p>
      <w:pPr>
        <w:jc w:val="both"/>
        <w:ind w:right="360" w:firstLine="360"/>
        <w:spacing w:after="0" w:line="277" w:lineRule="auto"/>
        <w:rPr>
          <w:sz w:val="20"/>
          <w:szCs w:val="20"/>
          <w:color w:val="auto"/>
        </w:rPr>
      </w:pPr>
      <w:r>
        <w:rPr>
          <w:rFonts w:ascii="Arial" w:cs="Arial" w:eastAsia="Arial" w:hAnsi="Arial"/>
          <w:sz w:val="18"/>
          <w:szCs w:val="18"/>
          <w:color w:val="auto"/>
        </w:rPr>
        <w:t>We had no loans restructured as TDRs during 2018 or 2017. TDRs are excluded from our nonperforming loans unless they otherwise meet the definition of nonaccrual loans or past due 90 days or more.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Quality</w:t>
      </w:r>
    </w:p>
    <w:p>
      <w:pPr>
        <w:spacing w:after="0" w:line="121" w:lineRule="exact"/>
        <w:rPr>
          <w:sz w:val="20"/>
          <w:szCs w:val="20"/>
          <w:color w:val="auto"/>
        </w:rPr>
      </w:pPr>
    </w:p>
    <w:p>
      <w:pPr>
        <w:jc w:val="both"/>
        <w:ind w:right="380" w:firstLine="360"/>
        <w:spacing w:after="0" w:line="264" w:lineRule="auto"/>
        <w:rPr>
          <w:sz w:val="20"/>
          <w:szCs w:val="20"/>
          <w:color w:val="auto"/>
        </w:rPr>
      </w:pPr>
      <w:r>
        <w:rPr>
          <w:rFonts w:ascii="Arial" w:cs="Arial" w:eastAsia="Arial" w:hAnsi="Arial"/>
          <w:sz w:val="18"/>
          <w:szCs w:val="18"/>
          <w:color w:val="auto"/>
        </w:rPr>
        <w:t>In addition to the past due and nonaccrual criteria, the Company also evaluates loans according to its internal risk grading system. Loans are segregated between pass, special mention, substandard, doubtful and loss categories. The definitions of those categories are as follows:</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Pass</w:t>
      </w:r>
      <w:r>
        <w:rPr>
          <w:rFonts w:ascii="Arial" w:cs="Arial" w:eastAsia="Arial" w:hAnsi="Arial"/>
          <w:sz w:val="16"/>
          <w:szCs w:val="16"/>
          <w:color w:val="auto"/>
        </w:rPr>
        <w:t>: Loans that do not fit any of the other categories listed below and for which likelihood of loss is considered to be remote.</w:t>
      </w:r>
    </w:p>
    <w:p>
      <w:pPr>
        <w:spacing w:after="0" w:line="140" w:lineRule="exact"/>
        <w:rPr>
          <w:sz w:val="20"/>
          <w:szCs w:val="20"/>
          <w:color w:val="auto"/>
        </w:rPr>
      </w:pPr>
    </w:p>
    <w:p>
      <w:pPr>
        <w:ind w:right="160" w:firstLine="360"/>
        <w:spacing w:after="0" w:line="264" w:lineRule="auto"/>
        <w:rPr>
          <w:sz w:val="20"/>
          <w:szCs w:val="20"/>
          <w:color w:val="auto"/>
        </w:rPr>
      </w:pPr>
      <w:r>
        <w:rPr>
          <w:rFonts w:ascii="Arial" w:cs="Arial" w:eastAsia="Arial" w:hAnsi="Arial"/>
          <w:sz w:val="18"/>
          <w:szCs w:val="18"/>
          <w:i w:val="1"/>
          <w:iCs w:val="1"/>
          <w:color w:val="auto"/>
        </w:rPr>
        <w:t>Special mention</w:t>
      </w:r>
      <w:r>
        <w:rPr>
          <w:rFonts w:ascii="Arial" w:cs="Arial" w:eastAsia="Arial" w:hAnsi="Arial"/>
          <w:sz w:val="18"/>
          <w:szCs w:val="18"/>
          <w:color w:val="auto"/>
        </w:rPr>
        <w:t>: Loans with potential for deteriorating into a substandard classification without close supervision and</w:t>
      </w:r>
      <w:r>
        <w:rPr>
          <w:rFonts w:ascii="Arial" w:cs="Arial" w:eastAsia="Arial" w:hAnsi="Arial"/>
          <w:sz w:val="18"/>
          <w:szCs w:val="18"/>
          <w:i w:val="1"/>
          <w:iCs w:val="1"/>
          <w:color w:val="auto"/>
        </w:rPr>
        <w:t xml:space="preserve"> </w:t>
      </w:r>
      <w:r>
        <w:rPr>
          <w:rFonts w:ascii="Arial" w:cs="Arial" w:eastAsia="Arial" w:hAnsi="Arial"/>
          <w:sz w:val="18"/>
          <w:szCs w:val="18"/>
          <w:color w:val="auto"/>
        </w:rPr>
        <w:t>monitoring. Loans remain in this category on a temporary basis and should be reclassified up or down, depending on improvement or continued deterioration.</w:t>
      </w:r>
    </w:p>
    <w:p>
      <w:pPr>
        <w:spacing w:after="0" w:line="73" w:lineRule="exact"/>
        <w:rPr>
          <w:sz w:val="20"/>
          <w:szCs w:val="20"/>
          <w:color w:val="auto"/>
        </w:rPr>
      </w:pPr>
    </w:p>
    <w:p>
      <w:pPr>
        <w:ind w:right="320" w:firstLine="360"/>
        <w:spacing w:after="0" w:line="279" w:lineRule="auto"/>
        <w:rPr>
          <w:sz w:val="20"/>
          <w:szCs w:val="20"/>
          <w:color w:val="auto"/>
        </w:rPr>
      </w:pPr>
      <w:r>
        <w:rPr>
          <w:rFonts w:ascii="Arial" w:cs="Arial" w:eastAsia="Arial" w:hAnsi="Arial"/>
          <w:sz w:val="17"/>
          <w:szCs w:val="17"/>
          <w:i w:val="1"/>
          <w:iCs w:val="1"/>
          <w:color w:val="auto"/>
        </w:rPr>
        <w:t>Substandard</w:t>
      </w:r>
      <w:r>
        <w:rPr>
          <w:rFonts w:ascii="Arial" w:cs="Arial" w:eastAsia="Arial" w:hAnsi="Arial"/>
          <w:sz w:val="17"/>
          <w:szCs w:val="17"/>
          <w:color w:val="auto"/>
        </w:rPr>
        <w:t>: Loans not adequately protected by sound current net worth or adequate repayment capacity of the borrower</w:t>
      </w:r>
      <w:r>
        <w:rPr>
          <w:rFonts w:ascii="Arial" w:cs="Arial" w:eastAsia="Arial" w:hAnsi="Arial"/>
          <w:sz w:val="17"/>
          <w:szCs w:val="17"/>
          <w:i w:val="1"/>
          <w:iCs w:val="1"/>
          <w:color w:val="auto"/>
        </w:rPr>
        <w:t xml:space="preserve"> </w:t>
      </w:r>
      <w:r>
        <w:rPr>
          <w:rFonts w:ascii="Arial" w:cs="Arial" w:eastAsia="Arial" w:hAnsi="Arial"/>
          <w:sz w:val="17"/>
          <w:szCs w:val="17"/>
          <w:color w:val="auto"/>
        </w:rPr>
        <w:t>and/or of the collateral pledged. Substandard loans have well defined weaknesses that jeopardize the liquidation of the classified debt. A potential for loss exists if the deficiencies or weaknesses are not recognized and corrected. Substandard loans can be accruing or placed on nonaccrual based on the individual circumstances of each loan.</w:t>
      </w:r>
    </w:p>
    <w:p>
      <w:pPr>
        <w:spacing w:after="0" w:line="63"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i w:val="1"/>
          <w:iCs w:val="1"/>
          <w:color w:val="auto"/>
        </w:rPr>
        <w:t>Doubtful</w:t>
      </w:r>
      <w:r>
        <w:rPr>
          <w:rFonts w:ascii="Arial" w:cs="Arial" w:eastAsia="Arial" w:hAnsi="Arial"/>
          <w:sz w:val="18"/>
          <w:szCs w:val="18"/>
          <w:color w:val="auto"/>
        </w:rPr>
        <w:t>: Doubtful loans have all the weaknesses inherent in substandard loans with the added characteristics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weaknesses make collection or liquidation in full on the basis of currently existing facts, conditions and values highly questionable and improbable. All doubtful loans are on nonaccrual.</w:t>
      </w:r>
    </w:p>
    <w:p>
      <w:pPr>
        <w:spacing w:after="0" w:line="73" w:lineRule="exact"/>
        <w:rPr>
          <w:sz w:val="20"/>
          <w:szCs w:val="20"/>
          <w:color w:val="auto"/>
        </w:rPr>
      </w:pPr>
    </w:p>
    <w:p>
      <w:pPr>
        <w:ind w:right="280" w:firstLine="360"/>
        <w:spacing w:after="0" w:line="277" w:lineRule="auto"/>
        <w:rPr>
          <w:sz w:val="20"/>
          <w:szCs w:val="20"/>
          <w:color w:val="auto"/>
        </w:rPr>
      </w:pPr>
      <w:r>
        <w:rPr>
          <w:rFonts w:ascii="Arial" w:cs="Arial" w:eastAsia="Arial" w:hAnsi="Arial"/>
          <w:sz w:val="18"/>
          <w:szCs w:val="18"/>
          <w:i w:val="1"/>
          <w:iCs w:val="1"/>
          <w:color w:val="auto"/>
        </w:rPr>
        <w:t>Loss</w:t>
      </w:r>
      <w:r>
        <w:rPr>
          <w:rFonts w:ascii="Arial" w:cs="Arial" w:eastAsia="Arial" w:hAnsi="Arial"/>
          <w:sz w:val="18"/>
          <w:szCs w:val="18"/>
          <w:color w:val="auto"/>
        </w:rPr>
        <w:t>: Loans that are considered uncollectible and of such little value that their continuance as an active bank-owned asset in</w:t>
      </w:r>
      <w:r>
        <w:rPr>
          <w:rFonts w:ascii="Arial" w:cs="Arial" w:eastAsia="Arial" w:hAnsi="Arial"/>
          <w:sz w:val="18"/>
          <w:szCs w:val="18"/>
          <w:i w:val="1"/>
          <w:iCs w:val="1"/>
          <w:color w:val="auto"/>
        </w:rPr>
        <w:t xml:space="preserve"> </w:t>
      </w:r>
      <w:r>
        <w:rPr>
          <w:rFonts w:ascii="Arial" w:cs="Arial" w:eastAsia="Arial" w:hAnsi="Arial"/>
          <w:sz w:val="18"/>
          <w:szCs w:val="18"/>
          <w:color w:val="auto"/>
        </w:rPr>
        <w:t>not warranted. These loans are immediately charged off.</w:t>
      </w:r>
    </w:p>
    <w:p>
      <w:pPr>
        <w:spacing w:after="0" w:line="62" w:lineRule="exact"/>
        <w:rPr>
          <w:sz w:val="20"/>
          <w:szCs w:val="20"/>
          <w:color w:val="auto"/>
        </w:rPr>
      </w:pPr>
    </w:p>
    <w:p>
      <w:pPr>
        <w:ind w:right="900" w:firstLine="360"/>
        <w:spacing w:after="0" w:line="277" w:lineRule="auto"/>
        <w:rPr>
          <w:sz w:val="20"/>
          <w:szCs w:val="20"/>
          <w:color w:val="auto"/>
        </w:rPr>
      </w:pPr>
      <w:r>
        <w:rPr>
          <w:rFonts w:ascii="Arial" w:cs="Arial" w:eastAsia="Arial" w:hAnsi="Arial"/>
          <w:sz w:val="18"/>
          <w:szCs w:val="18"/>
          <w:color w:val="auto"/>
        </w:rPr>
        <w:t>Outstanding loan balances categorized by internal risk grades as of December 31, 2018 and December 31, 2017 are summarized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jc w:val="right"/>
              <w:ind w:right="37"/>
              <w:spacing w:after="0"/>
              <w:rPr>
                <w:sz w:val="20"/>
                <w:szCs w:val="20"/>
                <w:color w:val="auto"/>
              </w:rPr>
            </w:pPr>
            <w:r>
              <w:rPr>
                <w:rFonts w:ascii="Arial" w:cs="Arial" w:eastAsia="Arial" w:hAnsi="Arial"/>
                <w:sz w:val="14"/>
                <w:szCs w:val="14"/>
                <w:b w:val="1"/>
                <w:bCs w:val="1"/>
                <w:color w:val="auto"/>
              </w:rPr>
              <w:t>Special</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Pass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Mention</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Substandard</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Doubtful</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00" w:type="dxa"/>
            <w:vAlign w:val="bottom"/>
            <w:gridSpan w:val="8"/>
          </w:tcPr>
          <w:p>
            <w:pPr>
              <w:jc w:val="right"/>
              <w:ind w:right="208"/>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December 31, 2018</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auto"/>
            </w:tcBorders>
            <w:vMerge w:val="restart"/>
          </w:tcPr>
          <w:p>
            <w:pPr>
              <w:spacing w:after="0"/>
              <w:rPr>
                <w:sz w:val="2"/>
                <w:szCs w:val="2"/>
                <w:color w:val="auto"/>
              </w:rPr>
            </w:pPr>
          </w:p>
        </w:tc>
        <w:tc>
          <w:tcPr>
            <w:tcW w:w="1420" w:type="dxa"/>
            <w:vAlign w:val="bottom"/>
            <w:tcBorders>
              <w:top w:val="single" w:sz="8" w:color="auto"/>
            </w:tcBorders>
            <w:shd w:val="clear" w:color="auto" w:fill="CCEEFF"/>
          </w:tcPr>
          <w:p>
            <w:pPr>
              <w:spacing w:after="0"/>
              <w:rPr>
                <w:sz w:val="2"/>
                <w:szCs w:val="2"/>
                <w:color w:val="auto"/>
              </w:rPr>
            </w:pPr>
          </w:p>
        </w:tc>
        <w:tc>
          <w:tcPr>
            <w:tcW w:w="30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514,249</w:t>
            </w:r>
          </w:p>
        </w:tc>
        <w:tc>
          <w:tcPr>
            <w:tcW w:w="2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$ 17,300</w:t>
            </w:r>
          </w:p>
        </w:tc>
        <w:tc>
          <w:tcPr>
            <w:tcW w:w="460" w:type="dxa"/>
            <w:vAlign w:val="bottom"/>
            <w:gridSpan w:val="3"/>
          </w:tcPr>
          <w:p>
            <w:pPr>
              <w:jc w:val="right"/>
              <w:ind w:right="108"/>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6,488</w:t>
            </w:r>
          </w:p>
        </w:tc>
        <w:tc>
          <w:tcPr>
            <w:tcW w:w="480" w:type="dxa"/>
            <w:vAlign w:val="bottom"/>
            <w:gridSpan w:val="3"/>
          </w:tcPr>
          <w:p>
            <w:pPr>
              <w:jc w:val="right"/>
              <w:ind w:right="128"/>
              <w:spacing w:after="0"/>
              <w:rPr>
                <w:sz w:val="20"/>
                <w:szCs w:val="20"/>
                <w:color w:val="auto"/>
              </w:rPr>
            </w:pPr>
            <w:r>
              <w:rPr>
                <w:rFonts w:ascii="Arial" w:cs="Arial" w:eastAsia="Arial" w:hAnsi="Arial"/>
                <w:sz w:val="18"/>
                <w:szCs w:val="18"/>
                <w:color w:val="auto"/>
              </w:rPr>
              <w:t>$</w:t>
            </w:r>
          </w:p>
        </w:tc>
        <w:tc>
          <w:tcPr>
            <w:tcW w:w="38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538,037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specialized</w:t>
            </w: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301,289</w:t>
            </w: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3,733</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3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305,022</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Commercial – general</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415,675</w:t>
            </w:r>
          </w:p>
        </w:tc>
        <w:tc>
          <w:tcPr>
            <w:tcW w:w="2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1,449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10,604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427,728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w:t>
            </w: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60" w:type="dxa"/>
            <w:vAlign w:val="bottom"/>
            <w:gridSpan w:val="2"/>
          </w:tcPr>
          <w:p>
            <w:pPr>
              <w:ind w:left="160"/>
              <w:spacing w:after="0"/>
              <w:rPr>
                <w:sz w:val="20"/>
                <w:szCs w:val="20"/>
                <w:color w:val="auto"/>
              </w:rPr>
            </w:pPr>
            <w:r>
              <w:rPr>
                <w:rFonts w:ascii="Arial" w:cs="Arial" w:eastAsia="Arial" w:hAnsi="Arial"/>
                <w:sz w:val="18"/>
                <w:szCs w:val="18"/>
                <w:color w:val="auto"/>
              </w:rPr>
              <w:t>1-4 family residential</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340,836</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5,317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346,153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Auto loans</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191,435</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191,647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60" w:type="dxa"/>
            <w:vAlign w:val="bottom"/>
            <w:gridSpan w:val="2"/>
          </w:tcPr>
          <w:p>
            <w:pPr>
              <w:ind w:left="160"/>
              <w:spacing w:after="0"/>
              <w:rPr>
                <w:sz w:val="20"/>
                <w:szCs w:val="20"/>
                <w:color w:val="auto"/>
              </w:rPr>
            </w:pPr>
            <w:r>
              <w:rPr>
                <w:rFonts w:ascii="Arial" w:cs="Arial" w:eastAsia="Arial" w:hAnsi="Arial"/>
                <w:sz w:val="18"/>
                <w:szCs w:val="18"/>
                <w:color w:val="auto"/>
              </w:rPr>
              <w:t>Other consumer</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70,075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70,209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1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78,401</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78,401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48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1,911,960</w:t>
            </w:r>
          </w:p>
        </w:tc>
        <w:tc>
          <w:tcPr>
            <w:tcW w:w="2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$ 18,749</w:t>
            </w:r>
          </w:p>
        </w:tc>
        <w:tc>
          <w:tcPr>
            <w:tcW w:w="460" w:type="dxa"/>
            <w:vAlign w:val="bottom"/>
            <w:gridSpan w:val="3"/>
          </w:tcPr>
          <w:p>
            <w:pPr>
              <w:jc w:val="right"/>
              <w:ind w:right="108"/>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26,488</w:t>
            </w:r>
          </w:p>
        </w:tc>
        <w:tc>
          <w:tcPr>
            <w:tcW w:w="480" w:type="dxa"/>
            <w:vAlign w:val="bottom"/>
            <w:gridSpan w:val="3"/>
          </w:tcPr>
          <w:p>
            <w:pPr>
              <w:jc w:val="right"/>
              <w:ind w:right="128"/>
              <w:spacing w:after="0"/>
              <w:rPr>
                <w:sz w:val="20"/>
                <w:szCs w:val="20"/>
                <w:color w:val="auto"/>
              </w:rPr>
            </w:pPr>
            <w:r>
              <w:rPr>
                <w:rFonts w:ascii="Arial" w:cs="Arial" w:eastAsia="Arial" w:hAnsi="Arial"/>
                <w:sz w:val="18"/>
                <w:szCs w:val="18"/>
                <w:color w:val="auto"/>
              </w:rPr>
              <w:t>$</w:t>
            </w:r>
          </w:p>
        </w:tc>
        <w:tc>
          <w:tcPr>
            <w:tcW w:w="38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1,957,197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ind w:right="512"/>
              <w:spacing w:after="0"/>
              <w:rPr>
                <w:sz w:val="20"/>
                <w:szCs w:val="20"/>
                <w:color w:val="auto"/>
              </w:rPr>
            </w:pPr>
            <w:r>
              <w:rPr>
                <w:rFonts w:ascii="Arial" w:cs="Arial" w:eastAsia="Arial" w:hAnsi="Arial"/>
                <w:sz w:val="18"/>
                <w:szCs w:val="18"/>
                <w:color w:val="auto"/>
                <w:w w:val="99"/>
              </w:rPr>
              <w:t>63</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420" w:type="dxa"/>
            <w:vAlign w:val="bottom"/>
            <w:shd w:val="clear" w:color="auto" w:fill="000000"/>
          </w:tcPr>
          <w:p>
            <w:pPr>
              <w:spacing w:after="0"/>
              <w:rPr>
                <w:sz w:val="5"/>
                <w:szCs w:val="5"/>
                <w:color w:val="auto"/>
              </w:rPr>
            </w:pPr>
          </w:p>
        </w:tc>
        <w:tc>
          <w:tcPr>
            <w:tcW w:w="30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8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3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9" w:right="1159" w:bottom="1440" w:gutter="0" w:footer="0" w:header="0"/>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gridSpan w:val="4"/>
          </w:tcPr>
          <w:p>
            <w:pPr>
              <w:spacing w:after="0"/>
              <w:rPr>
                <w:rFonts w:ascii="Arial" w:cs="Arial" w:eastAsia="Arial" w:hAnsi="Arial"/>
                <w:sz w:val="14"/>
                <w:szCs w:val="14"/>
                <w:b w:val="1"/>
                <w:bCs w:val="1"/>
                <w:color w:val="0000EE"/>
              </w:rPr>
            </w:pPr>
            <w:hyperlink w:anchor="page4">
              <w:r>
                <w:rPr>
                  <w:rFonts w:ascii="Arial" w:cs="Arial" w:eastAsia="Arial" w:hAnsi="Arial"/>
                  <w:sz w:val="14"/>
                  <w:szCs w:val="14"/>
                  <w:b w:val="1"/>
                  <w:bCs w:val="1"/>
                  <w:color w:val="0000EE"/>
                </w:rPr>
                <w:t>TABLE OF CONTENTS</w:t>
              </w:r>
            </w:hyperlink>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20" w:type="dxa"/>
            <w:vAlign w:val="bottom"/>
            <w:tcBorders>
              <w:top w:val="single" w:sz="8" w:color="0000EE"/>
            </w:tcBorders>
          </w:tcPr>
          <w:p>
            <w:pPr>
              <w:spacing w:after="0"/>
              <w:rPr>
                <w:sz w:val="24"/>
                <w:szCs w:val="24"/>
                <w:color w:val="auto"/>
              </w:rPr>
            </w:pPr>
          </w:p>
        </w:tc>
        <w:tc>
          <w:tcPr>
            <w:tcW w:w="14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ind w:right="34"/>
              <w:spacing w:after="0"/>
              <w:rPr>
                <w:sz w:val="20"/>
                <w:szCs w:val="20"/>
                <w:color w:val="auto"/>
              </w:rPr>
            </w:pPr>
            <w:r>
              <w:rPr>
                <w:rFonts w:ascii="Arial" w:cs="Arial" w:eastAsia="Arial" w:hAnsi="Arial"/>
                <w:sz w:val="14"/>
                <w:szCs w:val="14"/>
                <w:b w:val="1"/>
                <w:bCs w:val="1"/>
                <w:color w:val="auto"/>
                <w:w w:val="85"/>
              </w:rPr>
              <w:t>Special</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Pass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Mention</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Substandard</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Doubtful</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gridSpan w:val="8"/>
          </w:tcPr>
          <w:p>
            <w:pPr>
              <w:jc w:val="right"/>
              <w:ind w:right="148"/>
              <w:spacing w:after="0"/>
              <w:rPr>
                <w:sz w:val="20"/>
                <w:szCs w:val="20"/>
                <w:color w:val="auto"/>
              </w:rPr>
            </w:pPr>
            <w:r>
              <w:rPr>
                <w:rFonts w:ascii="Arial" w:cs="Arial" w:eastAsia="Arial" w:hAnsi="Arial"/>
                <w:sz w:val="14"/>
                <w:szCs w:val="14"/>
                <w:b w:val="1"/>
                <w:bCs w:val="1"/>
                <w:color w:val="auto"/>
              </w:rPr>
              <w:t>(Dollars in thousands)</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6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December 31, 2017</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auto"/>
            </w:tcBorders>
            <w:vMerge w:val="restart"/>
          </w:tcPr>
          <w:p>
            <w:pPr>
              <w:spacing w:after="0"/>
              <w:rPr>
                <w:sz w:val="2"/>
                <w:szCs w:val="2"/>
                <w:color w:val="auto"/>
              </w:rPr>
            </w:pPr>
          </w:p>
        </w:tc>
        <w:tc>
          <w:tcPr>
            <w:tcW w:w="1420" w:type="dxa"/>
            <w:vAlign w:val="bottom"/>
            <w:tcBorders>
              <w:top w:val="single" w:sz="8" w:color="auto"/>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9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Commercial real estate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495,860</w:t>
            </w:r>
          </w:p>
        </w:tc>
        <w:tc>
          <w:tcPr>
            <w:tcW w:w="20" w:type="dxa"/>
            <w:vAlign w:val="bottom"/>
          </w:tcPr>
          <w:p>
            <w:pPr>
              <w:spacing w:after="0"/>
              <w:rPr>
                <w:sz w:val="20"/>
                <w:szCs w:val="20"/>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1,233</w:t>
            </w:r>
          </w:p>
        </w:tc>
        <w:tc>
          <w:tcPr>
            <w:tcW w:w="460" w:type="dxa"/>
            <w:vAlign w:val="bottom"/>
            <w:gridSpan w:val="3"/>
          </w:tcPr>
          <w:p>
            <w:pPr>
              <w:jc w:val="right"/>
              <w:ind w:right="108"/>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9,801</w:t>
            </w:r>
          </w:p>
        </w:tc>
        <w:tc>
          <w:tcPr>
            <w:tcW w:w="420" w:type="dxa"/>
            <w:vAlign w:val="bottom"/>
            <w:gridSpan w:val="3"/>
          </w:tcPr>
          <w:p>
            <w:pPr>
              <w:jc w:val="right"/>
              <w:ind w:right="68"/>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506,894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specialized</w:t>
            </w:r>
          </w:p>
        </w:tc>
        <w:tc>
          <w:tcPr>
            <w:tcW w:w="20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322,424</w:t>
            </w: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6,695</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329,119</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Commercial – general</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397,390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4,037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8,150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480</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410,057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w:t>
            </w:r>
          </w:p>
        </w:tc>
        <w:tc>
          <w:tcPr>
            <w:tcW w:w="2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60" w:type="dxa"/>
            <w:vAlign w:val="bottom"/>
            <w:gridSpan w:val="3"/>
          </w:tcPr>
          <w:p>
            <w:pPr>
              <w:ind w:left="160"/>
              <w:spacing w:after="0"/>
              <w:rPr>
                <w:sz w:val="20"/>
                <w:szCs w:val="20"/>
                <w:color w:val="auto"/>
              </w:rPr>
            </w:pPr>
            <w:r>
              <w:rPr>
                <w:rFonts w:ascii="Arial" w:cs="Arial" w:eastAsia="Arial" w:hAnsi="Arial"/>
                <w:sz w:val="18"/>
                <w:szCs w:val="18"/>
                <w:color w:val="auto"/>
              </w:rPr>
              <w:t>1-4 family residential</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306,743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6,607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313,350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Auto loans</w:t>
            </w: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146,489</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146,622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60" w:type="dxa"/>
            <w:vAlign w:val="bottom"/>
            <w:gridSpan w:val="3"/>
          </w:tcPr>
          <w:p>
            <w:pPr>
              <w:ind w:left="160"/>
              <w:spacing w:after="0"/>
              <w:rPr>
                <w:sz w:val="20"/>
                <w:szCs w:val="20"/>
                <w:color w:val="auto"/>
              </w:rPr>
            </w:pPr>
            <w:r>
              <w:rPr>
                <w:rFonts w:ascii="Arial" w:cs="Arial" w:eastAsia="Arial" w:hAnsi="Arial"/>
                <w:sz w:val="18"/>
                <w:szCs w:val="18"/>
                <w:color w:val="auto"/>
              </w:rPr>
              <w:t>Other consumer</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65,959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66,191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Construction</w:t>
            </w:r>
          </w:p>
        </w:tc>
        <w:tc>
          <w:tcPr>
            <w:tcW w:w="2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65,847</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65,922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480" w:type="dxa"/>
            <w:vAlign w:val="bottom"/>
            <w:gridSpan w:val="4"/>
          </w:tcPr>
          <w:p>
            <w:pPr>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1,800,712</w:t>
            </w:r>
          </w:p>
        </w:tc>
        <w:tc>
          <w:tcPr>
            <w:tcW w:w="2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5,270</w:t>
            </w:r>
          </w:p>
        </w:tc>
        <w:tc>
          <w:tcPr>
            <w:tcW w:w="460" w:type="dxa"/>
            <w:vAlign w:val="bottom"/>
            <w:gridSpan w:val="3"/>
          </w:tcPr>
          <w:p>
            <w:pPr>
              <w:jc w:val="right"/>
              <w:ind w:right="108"/>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31,693</w:t>
            </w:r>
          </w:p>
        </w:tc>
        <w:tc>
          <w:tcPr>
            <w:tcW w:w="420" w:type="dxa"/>
            <w:vAlign w:val="bottom"/>
            <w:gridSpan w:val="3"/>
          </w:tcPr>
          <w:p>
            <w:pPr>
              <w:jc w:val="right"/>
              <w:ind w:right="68"/>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480</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1,838,155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right="400" w:firstLine="360"/>
        <w:spacing w:after="0" w:line="277" w:lineRule="auto"/>
        <w:rPr>
          <w:sz w:val="20"/>
          <w:szCs w:val="20"/>
          <w:color w:val="auto"/>
        </w:rPr>
      </w:pPr>
      <w:r>
        <w:rPr>
          <w:rFonts w:ascii="Arial" w:cs="Arial" w:eastAsia="Arial" w:hAnsi="Arial"/>
          <w:sz w:val="18"/>
          <w:szCs w:val="18"/>
          <w:color w:val="auto"/>
        </w:rPr>
        <w:t>The following table shows all loans, including nonaccrual loans, by classification and aging, as of December 31, 2018 and 2017:</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33"/>
              <w:spacing w:after="0"/>
              <w:rPr>
                <w:sz w:val="20"/>
                <w:szCs w:val="20"/>
                <w:color w:val="auto"/>
              </w:rPr>
            </w:pPr>
            <w:r>
              <w:rPr>
                <w:rFonts w:ascii="Arial" w:cs="Arial" w:eastAsia="Arial" w:hAnsi="Arial"/>
                <w:sz w:val="14"/>
                <w:szCs w:val="14"/>
                <w:b w:val="1"/>
                <w:bCs w:val="1"/>
                <w:color w:val="auto"/>
                <w:w w:val="85"/>
              </w:rPr>
              <w:t>Special</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Pass</w:t>
            </w:r>
          </w:p>
        </w:tc>
        <w:tc>
          <w:tcPr>
            <w:tcW w:w="180" w:type="dxa"/>
            <w:vAlign w:val="bottom"/>
          </w:tcPr>
          <w:p>
            <w:pPr>
              <w:spacing w:after="0"/>
              <w:rPr>
                <w:sz w:val="16"/>
                <w:szCs w:val="16"/>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Mention</w:t>
            </w:r>
          </w:p>
        </w:tc>
        <w:tc>
          <w:tcPr>
            <w:tcW w:w="180" w:type="dxa"/>
            <w:vAlign w:val="bottom"/>
          </w:tcPr>
          <w:p>
            <w:pPr>
              <w:spacing w:after="0"/>
              <w:rPr>
                <w:sz w:val="16"/>
                <w:szCs w:val="16"/>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Substandard</w:t>
            </w:r>
          </w:p>
        </w:tc>
        <w:tc>
          <w:tcPr>
            <w:tcW w:w="180" w:type="dxa"/>
            <w:vAlign w:val="bottom"/>
          </w:tcPr>
          <w:p>
            <w:pPr>
              <w:spacing w:after="0"/>
              <w:rPr>
                <w:sz w:val="16"/>
                <w:szCs w:val="16"/>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Doubtful</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gridSpan w:val="6"/>
          </w:tcPr>
          <w:p>
            <w:pPr>
              <w:jc w:val="right"/>
              <w:ind w:right="139"/>
              <w:spacing w:after="0"/>
              <w:rPr>
                <w:sz w:val="20"/>
                <w:szCs w:val="20"/>
                <w:color w:val="auto"/>
              </w:rPr>
            </w:pPr>
            <w:r>
              <w:rPr>
                <w:rFonts w:ascii="Arial" w:cs="Arial" w:eastAsia="Arial" w:hAnsi="Arial"/>
                <w:sz w:val="14"/>
                <w:szCs w:val="14"/>
                <w:b w:val="1"/>
                <w:bCs w:val="1"/>
                <w:color w:val="auto"/>
              </w:rPr>
              <w:t>(Dollars in thousands)</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December 31, 2018</w:t>
            </w:r>
          </w:p>
        </w:tc>
        <w:tc>
          <w:tcPr>
            <w:tcW w:w="200" w:type="dxa"/>
            <w:vAlign w:val="bottom"/>
            <w:shd w:val="clear" w:color="auto" w:fill="CCEEFF"/>
          </w:tcPr>
          <w:p>
            <w:pPr>
              <w:spacing w:after="0"/>
              <w:rPr>
                <w:sz w:val="19"/>
                <w:szCs w:val="19"/>
                <w:color w:val="auto"/>
              </w:rPr>
            </w:pPr>
          </w:p>
        </w:tc>
        <w:tc>
          <w:tcPr>
            <w:tcW w:w="800" w:type="dxa"/>
            <w:vAlign w:val="bottom"/>
            <w:tcBorders>
              <w:right w:val="single" w:sz="8" w:color="CCEEFF"/>
            </w:tcBorders>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Current</w:t>
            </w:r>
          </w:p>
        </w:tc>
        <w:tc>
          <w:tcPr>
            <w:tcW w:w="304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4"/>
              </w:rPr>
              <w:t>1,905,405</w:t>
            </w:r>
          </w:p>
        </w:tc>
        <w:tc>
          <w:tcPr>
            <w:tcW w:w="3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8"/>
              </w:rPr>
              <w:t>18,749</w:t>
            </w:r>
          </w:p>
        </w:tc>
        <w:tc>
          <w:tcPr>
            <w:tcW w:w="460" w:type="dxa"/>
            <w:vAlign w:val="bottom"/>
            <w:tcBorders>
              <w:top w:val="single" w:sz="8" w:color="CCEEFF"/>
            </w:tcBorders>
            <w:gridSpan w:val="2"/>
          </w:tcPr>
          <w:p>
            <w:pPr>
              <w:jc w:val="right"/>
              <w:ind w:right="99"/>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17,405</w:t>
            </w:r>
          </w:p>
        </w:tc>
        <w:tc>
          <w:tcPr>
            <w:tcW w:w="420" w:type="dxa"/>
            <w:vAlign w:val="bottom"/>
            <w:tcBorders>
              <w:top w:val="single" w:sz="8" w:color="CCEEFF"/>
            </w:tcBorders>
            <w:gridSpan w:val="2"/>
          </w:tcPr>
          <w:p>
            <w:pPr>
              <w:jc w:val="right"/>
              <w:ind w:right="59"/>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4"/>
              </w:rPr>
              <w:t>1,941,559</w:t>
            </w: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Past due 30 – 89 days</w:t>
            </w:r>
          </w:p>
        </w:tc>
        <w:tc>
          <w:tcPr>
            <w:tcW w:w="200" w:type="dxa"/>
            <w:vAlign w:val="bottom"/>
            <w:shd w:val="clear" w:color="auto" w:fill="CCEEFF"/>
          </w:tcPr>
          <w:p>
            <w:pPr>
              <w:spacing w:after="0"/>
              <w:rPr>
                <w:sz w:val="22"/>
                <w:szCs w:val="22"/>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6,499</w:t>
            </w:r>
          </w:p>
        </w:tc>
        <w:tc>
          <w:tcPr>
            <w:tcW w:w="1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w:t>
            </w:r>
          </w:p>
        </w:tc>
        <w:tc>
          <w:tcPr>
            <w:tcW w:w="180" w:type="dxa"/>
            <w:vAlign w:val="bottom"/>
            <w:tcBorders>
              <w:right w:val="single" w:sz="8" w:color="CCEEFF"/>
            </w:tcBorders>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8,684</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Past due 90+ days</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508</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Nonaccrual</w:t>
            </w:r>
          </w:p>
        </w:tc>
        <w:tc>
          <w:tcPr>
            <w:tcW w:w="20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6,390</w:t>
            </w:r>
          </w:p>
        </w:tc>
        <w:tc>
          <w:tcPr>
            <w:tcW w:w="18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30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8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1,911,960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18,749</w:t>
            </w:r>
          </w:p>
        </w:tc>
        <w:tc>
          <w:tcPr>
            <w:tcW w:w="46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26,488</w:t>
            </w:r>
          </w:p>
        </w:tc>
        <w:tc>
          <w:tcPr>
            <w:tcW w:w="4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1,957,197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30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46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December 31, 2017</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auto"/>
            </w:tcBorders>
            <w:vMerge w:val="restart"/>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3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1,792,879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5,270</w:t>
            </w:r>
          </w:p>
        </w:tc>
        <w:tc>
          <w:tcPr>
            <w:tcW w:w="46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16,854</w:t>
            </w:r>
          </w:p>
        </w:tc>
        <w:tc>
          <w:tcPr>
            <w:tcW w:w="4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1,815,003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Past due 30-89 days</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7,599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1,652</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Past due 90+ days</w:t>
            </w:r>
          </w:p>
        </w:tc>
        <w:tc>
          <w:tcPr>
            <w:tcW w:w="200" w:type="dxa"/>
            <w:vAlign w:val="bottom"/>
            <w:shd w:val="clear" w:color="auto" w:fill="CCEEFF"/>
          </w:tcPr>
          <w:p>
            <w:pPr>
              <w:spacing w:after="0"/>
              <w:rPr>
                <w:sz w:val="22"/>
                <w:szCs w:val="22"/>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80" w:type="dxa"/>
            <w:vAlign w:val="bottom"/>
            <w:tcBorders>
              <w:right w:val="single" w:sz="8" w:color="CCEEFF"/>
            </w:tcBorders>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80" w:type="dxa"/>
            <w:vAlign w:val="bottom"/>
            <w:gridSpan w:val="3"/>
          </w:tcPr>
          <w:p>
            <w:pPr>
              <w:spacing w:after="0"/>
              <w:rPr>
                <w:sz w:val="20"/>
                <w:szCs w:val="20"/>
                <w:color w:val="auto"/>
              </w:rPr>
            </w:pPr>
            <w:r>
              <w:rPr>
                <w:rFonts w:ascii="Arial" w:cs="Arial" w:eastAsia="Arial" w:hAnsi="Arial"/>
                <w:sz w:val="18"/>
                <w:szCs w:val="18"/>
                <w:color w:val="auto"/>
              </w:rPr>
              <w:t>Nonaccrual</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12,224</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480</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12,704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1,800,712</w:t>
            </w:r>
          </w:p>
        </w:tc>
        <w:tc>
          <w:tcPr>
            <w:tcW w:w="180" w:type="dxa"/>
            <w:vAlign w:val="bottom"/>
            <w:tcBorders>
              <w:bottom w:val="single" w:sz="8" w:color="CCEEFF"/>
              <w:right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5,270</w:t>
            </w:r>
          </w:p>
        </w:tc>
        <w:tc>
          <w:tcPr>
            <w:tcW w:w="180" w:type="dxa"/>
            <w:vAlign w:val="bottom"/>
            <w:tcBorders>
              <w:bottom w:val="single" w:sz="8" w:color="CCEEFF"/>
              <w:right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31,693</w:t>
            </w:r>
          </w:p>
        </w:tc>
        <w:tc>
          <w:tcPr>
            <w:tcW w:w="180" w:type="dxa"/>
            <w:vAlign w:val="bottom"/>
            <w:tcBorders>
              <w:bottom w:val="single" w:sz="8" w:color="CCEEFF"/>
              <w:right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1,838,155</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Portfolio</w:t>
      </w:r>
    </w:p>
    <w:p>
      <w:pPr>
        <w:spacing w:after="0" w:line="117" w:lineRule="exact"/>
        <w:rPr>
          <w:sz w:val="20"/>
          <w:szCs w:val="20"/>
          <w:color w:val="auto"/>
        </w:rPr>
      </w:pPr>
    </w:p>
    <w:p>
      <w:pPr>
        <w:ind w:right="20" w:firstLine="360"/>
        <w:spacing w:after="0" w:line="271" w:lineRule="auto"/>
        <w:rPr>
          <w:sz w:val="20"/>
          <w:szCs w:val="20"/>
          <w:color w:val="auto"/>
        </w:rPr>
      </w:pPr>
      <w:r>
        <w:rPr>
          <w:rFonts w:ascii="Arial" w:cs="Arial" w:eastAsia="Arial" w:hAnsi="Arial"/>
          <w:sz w:val="17"/>
          <w:szCs w:val="17"/>
          <w:color w:val="auto"/>
        </w:rPr>
        <w:t>The securities portfolio is the second largest component of the Company’s interest-earning assets, and the structure and composition of this portfolio is important to an analysis of the financial condition of the Company. The portfolio serves the following purposes: (i) it provides a source of pledged assets for securing certain deposits and borrowed funds, as may be required by law or by specific agreement with a depositor or lender; (ii) it provides liquidity to even out cash flows from the loan and deposit activities of customers; (iii) it can be used as an interest rate risk management tool, since it provides a large base of assets, the maturity and interest rate characteristics of which can be changed more readily than the loan portfolio to better match changes in the deposit base and other funding sources of the Company; and (iv) it is an alternative interest-earning asset when loan demand is weak or when deposits grow more rapidly than loans.</w:t>
      </w:r>
    </w:p>
    <w:p>
      <w:pPr>
        <w:spacing w:after="0" w:line="71" w:lineRule="exact"/>
        <w:rPr>
          <w:sz w:val="20"/>
          <w:szCs w:val="20"/>
          <w:color w:val="auto"/>
        </w:rPr>
      </w:pPr>
    </w:p>
    <w:p>
      <w:pPr>
        <w:ind w:right="220" w:firstLine="360"/>
        <w:spacing w:after="0" w:line="276" w:lineRule="auto"/>
        <w:rPr>
          <w:sz w:val="20"/>
          <w:szCs w:val="20"/>
          <w:color w:val="auto"/>
        </w:rPr>
      </w:pPr>
      <w:r>
        <w:rPr>
          <w:rFonts w:ascii="Arial" w:cs="Arial" w:eastAsia="Arial" w:hAnsi="Arial"/>
          <w:sz w:val="17"/>
          <w:szCs w:val="17"/>
          <w:color w:val="auto"/>
        </w:rPr>
        <w:t>The securities portfolio consists of securities classified as either held-to-maturity or available-for-sale. All held-to-maturity securities are reported at amortized cost, adjusted for premiums and discounts that are recognized in interest income using the interest method over the period to maturity. All available-for-sale securities are reported at fair value. Securities available-for-sale consist primarily of state and municipal securities, mortgage-backed securities and U.S. government sponsored agency securities. We determine the appropriate classification at the time of purchase.</w:t>
      </w:r>
    </w:p>
    <w:p>
      <w:pPr>
        <w:spacing w:after="0" w:line="64" w:lineRule="exact"/>
        <w:rPr>
          <w:sz w:val="20"/>
          <w:szCs w:val="20"/>
          <w:color w:val="auto"/>
        </w:rPr>
      </w:pPr>
    </w:p>
    <w:p>
      <w:pPr>
        <w:jc w:val="both"/>
        <w:ind w:right="200" w:firstLine="360"/>
        <w:spacing w:after="0" w:line="312" w:lineRule="auto"/>
        <w:rPr>
          <w:sz w:val="20"/>
          <w:szCs w:val="20"/>
          <w:color w:val="auto"/>
        </w:rPr>
      </w:pPr>
      <w:r>
        <w:rPr>
          <w:rFonts w:ascii="Arial" w:cs="Arial" w:eastAsia="Arial" w:hAnsi="Arial"/>
          <w:sz w:val="16"/>
          <w:szCs w:val="16"/>
          <w:color w:val="auto"/>
        </w:rPr>
        <w:t>During 2018, all 122 securities designated as held-to-maturity were transferred to available-for-sale based on ASU 2017-12. These securities had a book value of $75.2 million and a fair value of $77.6 million as of January 1, 2018, the effective date of the transfer. The unrealized gain is recorded in the change in unrealized loss on securities in other comprehensive income.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6" w:right="1159" w:bottom="1440" w:gutter="0" w:footer="0" w:header="0"/>
        </w:sectPr>
      </w:pPr>
    </w:p>
    <w:bookmarkStart w:id="71" w:name="page72"/>
    <w:bookmarkEnd w:id="7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fair value of the securities portfolio as of the dates presented.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ind w:left="580"/>
              <w:spacing w:after="0"/>
              <w:rPr>
                <w:sz w:val="20"/>
                <w:szCs w:val="20"/>
                <w:color w:val="auto"/>
              </w:rPr>
            </w:pPr>
            <w:r>
              <w:rPr>
                <w:rFonts w:ascii="Arial" w:cs="Arial" w:eastAsia="Arial" w:hAnsi="Arial"/>
                <w:sz w:val="14"/>
                <w:szCs w:val="14"/>
                <w:b w:val="1"/>
                <w:bCs w:val="1"/>
                <w:color w:val="auto"/>
                <w:w w:val="95"/>
              </w:rPr>
              <w:t>December 31, 2018</w:t>
            </w:r>
          </w:p>
        </w:tc>
        <w:tc>
          <w:tcPr>
            <w:tcW w:w="6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5"/>
          </w:tcPr>
          <w:p>
            <w:pPr>
              <w:jc w:val="right"/>
              <w:ind w:right="48"/>
              <w:spacing w:after="0"/>
              <w:rPr>
                <w:sz w:val="20"/>
                <w:szCs w:val="20"/>
                <w:color w:val="auto"/>
              </w:rPr>
            </w:pPr>
            <w:r>
              <w:rPr>
                <w:rFonts w:ascii="Arial" w:cs="Arial" w:eastAsia="Arial" w:hAnsi="Arial"/>
                <w:sz w:val="14"/>
                <w:szCs w:val="14"/>
                <w:b w:val="1"/>
                <w:bCs w:val="1"/>
                <w:color w:val="auto"/>
                <w:w w:val="90"/>
              </w:rPr>
              <w:t>December 31, 2017</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70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w w:val="96"/>
              </w:rPr>
              <w:t>Amortized</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3"/>
          </w:tcPr>
          <w:p>
            <w:pPr>
              <w:jc w:val="right"/>
              <w:ind w:right="220"/>
              <w:spacing w:after="0" w:line="160" w:lineRule="exact"/>
              <w:rPr>
                <w:sz w:val="20"/>
                <w:szCs w:val="20"/>
                <w:color w:val="auto"/>
              </w:rPr>
            </w:pPr>
            <w:r>
              <w:rPr>
                <w:rFonts w:ascii="Arial" w:cs="Arial" w:eastAsia="Arial" w:hAnsi="Arial"/>
                <w:sz w:val="14"/>
                <w:szCs w:val="14"/>
                <w:b w:val="1"/>
                <w:bCs w:val="1"/>
                <w:color w:val="auto"/>
                <w:w w:val="98"/>
              </w:rPr>
              <w:t>Unrealized</w:t>
            </w:r>
          </w:p>
        </w:tc>
        <w:tc>
          <w:tcPr>
            <w:tcW w:w="70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w w:val="96"/>
              </w:rPr>
              <w:t>Amortized</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3"/>
          </w:tcPr>
          <w:p>
            <w:pPr>
              <w:jc w:val="right"/>
              <w:ind w:right="140"/>
              <w:spacing w:after="0" w:line="160" w:lineRule="exact"/>
              <w:rPr>
                <w:sz w:val="20"/>
                <w:szCs w:val="20"/>
                <w:color w:val="auto"/>
              </w:rPr>
            </w:pPr>
            <w:r>
              <w:rPr>
                <w:rFonts w:ascii="Arial" w:cs="Arial" w:eastAsia="Arial" w:hAnsi="Arial"/>
                <w:sz w:val="14"/>
                <w:szCs w:val="14"/>
                <w:b w:val="1"/>
                <w:bCs w:val="1"/>
                <w:color w:val="auto"/>
                <w:w w:val="98"/>
              </w:rPr>
              <w:t>Unrealized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6"/>
                <w:szCs w:val="16"/>
                <w:color w:val="auto"/>
              </w:rPr>
            </w:pPr>
          </w:p>
        </w:tc>
        <w:tc>
          <w:tcPr>
            <w:tcW w:w="7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8"/>
              </w:rPr>
              <w:t>Fair Value</w:t>
            </w:r>
          </w:p>
        </w:tc>
        <w:tc>
          <w:tcPr>
            <w:tcW w:w="180" w:type="dxa"/>
            <w:vAlign w:val="bottom"/>
          </w:tcPr>
          <w:p>
            <w:pPr>
              <w:spacing w:after="0"/>
              <w:rPr>
                <w:sz w:val="16"/>
                <w:szCs w:val="16"/>
                <w:color w:val="auto"/>
              </w:rPr>
            </w:pPr>
          </w:p>
        </w:tc>
        <w:tc>
          <w:tcPr>
            <w:tcW w:w="7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Gain/(Loss)</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6"/>
                <w:szCs w:val="16"/>
                <w:color w:val="auto"/>
              </w:rPr>
            </w:pPr>
          </w:p>
        </w:tc>
        <w:tc>
          <w:tcPr>
            <w:tcW w:w="7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8"/>
              </w:rPr>
              <w:t>Fair Value</w:t>
            </w:r>
          </w:p>
        </w:tc>
        <w:tc>
          <w:tcPr>
            <w:tcW w:w="180" w:type="dxa"/>
            <w:vAlign w:val="bottom"/>
          </w:tcPr>
          <w:p>
            <w:pPr>
              <w:spacing w:after="0"/>
              <w:rPr>
                <w:sz w:val="16"/>
                <w:szCs w:val="16"/>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Gain/(Loss)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4"/>
          </w:tcPr>
          <w:p>
            <w:pPr>
              <w:jc w:val="right"/>
              <w:ind w:right="13"/>
              <w:spacing w:after="0"/>
              <w:rPr>
                <w:sz w:val="20"/>
                <w:szCs w:val="20"/>
                <w:color w:val="auto"/>
              </w:rPr>
            </w:pPr>
            <w:r>
              <w:rPr>
                <w:rFonts w:ascii="Arial" w:cs="Arial" w:eastAsia="Arial" w:hAnsi="Arial"/>
                <w:sz w:val="14"/>
                <w:szCs w:val="14"/>
                <w:b w:val="1"/>
                <w:bCs w:val="1"/>
                <w:color w:val="auto"/>
                <w:w w:val="93"/>
              </w:rPr>
              <w:t>(Dollars in thousands)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Held-to-maturity</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State and municipal</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89,920</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92,310</w:t>
            </w:r>
          </w:p>
        </w:tc>
        <w:tc>
          <w:tcPr>
            <w:tcW w:w="40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2,390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vMerge w:val="restart"/>
          </w:tcPr>
          <w:p>
            <w:pPr>
              <w:spacing w:after="0"/>
              <w:rPr>
                <w:sz w:val="21"/>
                <w:szCs w:val="21"/>
                <w:color w:val="auto"/>
              </w:rPr>
            </w:pPr>
          </w:p>
        </w:tc>
        <w:tc>
          <w:tcPr>
            <w:tcW w:w="42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vMerge w:val="continue"/>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b w:val="1"/>
                <w:bCs w:val="1"/>
                <w:color w:val="auto"/>
              </w:rPr>
              <w:t>Available-for-sale</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2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U.S. government and agencies</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84,765</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84,707</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10,302</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10,392</w:t>
            </w: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State and municipal</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32,205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32,310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74,597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74,984</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2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Mortgage-backed securities</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184,267</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182,256</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66,373</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65,783</w:t>
            </w: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Asset-backed and other amortizing securities</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39,799</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38,923</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43,353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43,020</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2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available-for-sale</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341,036</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338,196</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(2,840)</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194,625</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194,179</w:t>
            </w:r>
          </w:p>
        </w:tc>
        <w:tc>
          <w:tcPr>
            <w:tcW w:w="4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60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60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62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60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60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54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7"/>
          <w:szCs w:val="17"/>
          <w:color w:val="auto"/>
        </w:rPr>
        <w:t>Certain securities have fair values less than amortized cost and, therefore, contain unrealized losses. At December 31, 2018, we evaluated the securities which had an unrealized loss for other-than-temporary impairment and determined all declines in value to be temporary. We anticipate full recovery of amortized cost with respect to these securities by maturity, or sooner in the event of a more favorable market interest rate environment. We do not intend to sell these securities and it is not probable that we will be required to sell them before recovery of the amortized cost basis, which may be at maturity.</w:t>
      </w:r>
    </w:p>
    <w:p>
      <w:pPr>
        <w:spacing w:after="0" w:line="64" w:lineRule="exact"/>
        <w:rPr>
          <w:sz w:val="20"/>
          <w:szCs w:val="20"/>
          <w:color w:val="auto"/>
        </w:rPr>
      </w:pPr>
    </w:p>
    <w:p>
      <w:pPr>
        <w:ind w:right="320" w:firstLine="360"/>
        <w:spacing w:after="0" w:line="264" w:lineRule="auto"/>
        <w:rPr>
          <w:sz w:val="20"/>
          <w:szCs w:val="20"/>
          <w:color w:val="auto"/>
        </w:rPr>
      </w:pPr>
      <w:r>
        <w:rPr>
          <w:rFonts w:ascii="Arial" w:cs="Arial" w:eastAsia="Arial" w:hAnsi="Arial"/>
          <w:sz w:val="18"/>
          <w:szCs w:val="18"/>
          <w:color w:val="auto"/>
        </w:rPr>
        <w:t>The following table sets forth certain information regarding contractual maturities and the weighted average yields of our investment securities as of the dated presented. Expected maturities may differ from contractual maturities if borrowers have the right to call or prepay obligation with or without call or prepayment penalties.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6"/>
          </w:tcPr>
          <w:p>
            <w:pPr>
              <w:jc w:val="right"/>
              <w:ind w:right="56"/>
              <w:spacing w:after="0"/>
              <w:rPr>
                <w:sz w:val="20"/>
                <w:szCs w:val="20"/>
                <w:color w:val="auto"/>
              </w:rPr>
            </w:pPr>
            <w:r>
              <w:rPr>
                <w:rFonts w:ascii="Arial" w:cs="Arial" w:eastAsia="Arial" w:hAnsi="Arial"/>
                <w:sz w:val="14"/>
                <w:szCs w:val="14"/>
                <w:b w:val="1"/>
                <w:bCs w:val="1"/>
                <w:color w:val="auto"/>
                <w:w w:val="96"/>
              </w:rPr>
              <w:t>As of December 31, 2018</w:t>
            </w: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5"/>
          </w:tcPr>
          <w:p>
            <w:pPr>
              <w:ind w:left="40"/>
              <w:spacing w:after="0" w:line="160" w:lineRule="exact"/>
              <w:rPr>
                <w:sz w:val="20"/>
                <w:szCs w:val="20"/>
                <w:color w:val="auto"/>
              </w:rPr>
            </w:pPr>
            <w:r>
              <w:rPr>
                <w:rFonts w:ascii="Arial" w:cs="Arial" w:eastAsia="Arial" w:hAnsi="Arial"/>
                <w:sz w:val="14"/>
                <w:szCs w:val="14"/>
                <w:b w:val="1"/>
                <w:bCs w:val="1"/>
                <w:color w:val="auto"/>
              </w:rPr>
              <w:t>Due after One Year</w:t>
            </w:r>
          </w:p>
        </w:tc>
        <w:tc>
          <w:tcPr>
            <w:tcW w:w="120" w:type="dxa"/>
            <w:vAlign w:val="bottom"/>
          </w:tcPr>
          <w:p>
            <w:pPr>
              <w:spacing w:after="0"/>
              <w:rPr>
                <w:sz w:val="13"/>
                <w:szCs w:val="13"/>
                <w:color w:val="auto"/>
              </w:rPr>
            </w:pPr>
          </w:p>
        </w:tc>
        <w:tc>
          <w:tcPr>
            <w:tcW w:w="1620" w:type="dxa"/>
            <w:vAlign w:val="bottom"/>
            <w:gridSpan w:val="5"/>
          </w:tcPr>
          <w:p>
            <w:pPr>
              <w:jc w:val="center"/>
              <w:ind w:right="280"/>
              <w:spacing w:after="0" w:line="160" w:lineRule="exact"/>
              <w:rPr>
                <w:sz w:val="20"/>
                <w:szCs w:val="20"/>
                <w:color w:val="auto"/>
              </w:rPr>
            </w:pPr>
            <w:r>
              <w:rPr>
                <w:rFonts w:ascii="Arial" w:cs="Arial" w:eastAsia="Arial" w:hAnsi="Arial"/>
                <w:sz w:val="14"/>
                <w:szCs w:val="14"/>
                <w:b w:val="1"/>
                <w:bCs w:val="1"/>
                <w:color w:val="auto"/>
                <w:w w:val="93"/>
              </w:rPr>
              <w:t>Due after Five Years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Due in One Year or Less</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Through Five Years</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2"/>
              </w:rPr>
              <w:t>Through Ten Years</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14"/>
                <w:szCs w:val="14"/>
                <w:b w:val="1"/>
                <w:bCs w:val="1"/>
                <w:color w:val="auto"/>
                <w:w w:val="95"/>
              </w:rPr>
              <w:t>Due after Ten Years</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center"/>
              <w:ind w:right="180"/>
              <w:spacing w:after="0" w:line="160" w:lineRule="exact"/>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3"/>
          </w:tcPr>
          <w:p>
            <w:pPr>
              <w:jc w:val="center"/>
              <w:ind w:right="180"/>
              <w:spacing w:after="0" w:line="160"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3"/>
          </w:tcPr>
          <w:p>
            <w:pPr>
              <w:jc w:val="center"/>
              <w:ind w:right="160"/>
              <w:spacing w:after="0" w:line="160" w:lineRule="exact"/>
              <w:rPr>
                <w:sz w:val="20"/>
                <w:szCs w:val="20"/>
                <w:color w:val="auto"/>
              </w:rPr>
            </w:pPr>
            <w:r>
              <w:rPr>
                <w:rFonts w:ascii="Arial" w:cs="Arial" w:eastAsia="Arial" w:hAnsi="Arial"/>
                <w:sz w:val="14"/>
                <w:szCs w:val="14"/>
                <w:b w:val="1"/>
                <w:bCs w:val="1"/>
                <w:color w:val="auto"/>
                <w:w w:val="95"/>
              </w:rPr>
              <w:t>Weighted</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jc w:val="center"/>
              <w:ind w:right="60"/>
              <w:spacing w:after="0" w:line="160"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Amortized</w:t>
            </w:r>
          </w:p>
        </w:tc>
        <w:tc>
          <w:tcPr>
            <w:tcW w:w="18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Average</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Amortized</w:t>
            </w:r>
          </w:p>
        </w:tc>
        <w:tc>
          <w:tcPr>
            <w:tcW w:w="180" w:type="dxa"/>
            <w:vAlign w:val="bottom"/>
          </w:tcPr>
          <w:p>
            <w:pPr>
              <w:spacing w:after="0"/>
              <w:rPr>
                <w:sz w:val="14"/>
                <w:szCs w:val="14"/>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Average</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4"/>
                <w:szCs w:val="14"/>
                <w:color w:val="auto"/>
              </w:rPr>
            </w:pP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Average</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Amortized</w:t>
            </w:r>
          </w:p>
        </w:tc>
        <w:tc>
          <w:tcPr>
            <w:tcW w:w="180" w:type="dxa"/>
            <w:vAlign w:val="bottom"/>
          </w:tcPr>
          <w:p>
            <w:pPr>
              <w:spacing w:after="0"/>
              <w:rPr>
                <w:sz w:val="14"/>
                <w:szCs w:val="14"/>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Yield</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6"/>
                <w:szCs w:val="16"/>
                <w:color w:val="auto"/>
              </w:rPr>
            </w:pPr>
          </w:p>
        </w:tc>
        <w:tc>
          <w:tcPr>
            <w:tcW w:w="7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5"/>
              </w:rPr>
              <w:t>Yield</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6"/>
                <w:szCs w:val="16"/>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Yield</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6"/>
                <w:szCs w:val="16"/>
                <w:color w:val="auto"/>
              </w:rPr>
            </w:pPr>
          </w:p>
        </w:tc>
        <w:tc>
          <w:tcPr>
            <w:tcW w:w="600" w:type="dxa"/>
            <w:vAlign w:val="bottom"/>
            <w:tcBorders>
              <w:bottom w:val="single" w:sz="8" w:color="auto"/>
            </w:tcBorders>
          </w:tcPr>
          <w:p>
            <w:pPr>
              <w:jc w:val="center"/>
              <w:ind w:left="21"/>
              <w:spacing w:after="0"/>
              <w:rPr>
                <w:sz w:val="20"/>
                <w:szCs w:val="20"/>
                <w:color w:val="auto"/>
              </w:rPr>
            </w:pPr>
            <w:r>
              <w:rPr>
                <w:rFonts w:ascii="Arial" w:cs="Arial" w:eastAsia="Arial" w:hAnsi="Arial"/>
                <w:sz w:val="14"/>
                <w:szCs w:val="14"/>
                <w:b w:val="1"/>
                <w:bCs w:val="1"/>
                <w:color w:val="auto"/>
              </w:rPr>
              <w:t>Yield</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5"/>
          </w:tcPr>
          <w:p>
            <w:pPr>
              <w:jc w:val="right"/>
              <w:ind w:right="136"/>
              <w:spacing w:after="0"/>
              <w:rPr>
                <w:sz w:val="20"/>
                <w:szCs w:val="20"/>
                <w:color w:val="auto"/>
              </w:rPr>
            </w:pPr>
            <w:r>
              <w:rPr>
                <w:rFonts w:ascii="Arial" w:cs="Arial" w:eastAsia="Arial" w:hAnsi="Arial"/>
                <w:sz w:val="14"/>
                <w:szCs w:val="14"/>
                <w:b w:val="1"/>
                <w:bCs w:val="1"/>
                <w:color w:val="auto"/>
                <w:w w:val="90"/>
              </w:rPr>
              <w:t>(Dollars in thousands)</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Held-to-maturity</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60" w:type="dxa"/>
            <w:vAlign w:val="bottom"/>
          </w:tcPr>
          <w:p>
            <w:pPr>
              <w:ind w:left="160"/>
              <w:spacing w:after="0"/>
              <w:rPr>
                <w:sz w:val="20"/>
                <w:szCs w:val="20"/>
                <w:color w:val="auto"/>
              </w:rPr>
            </w:pPr>
            <w:r>
              <w:rPr>
                <w:rFonts w:ascii="Arial" w:cs="Arial" w:eastAsia="Arial" w:hAnsi="Arial"/>
                <w:sz w:val="18"/>
                <w:szCs w:val="18"/>
                <w:color w:val="auto"/>
              </w:rPr>
              <w:t>State and municipal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 $</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 $</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vMerge w:val="restart"/>
          </w:tcPr>
          <w:p>
            <w:pPr>
              <w:spacing w:after="0"/>
              <w:rPr>
                <w:sz w:val="21"/>
                <w:szCs w:val="21"/>
                <w:color w:val="auto"/>
              </w:rPr>
            </w:pPr>
          </w:p>
        </w:tc>
        <w:tc>
          <w:tcPr>
            <w:tcW w:w="24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vMerge w:val="continue"/>
          </w:tcPr>
          <w:p>
            <w:pPr>
              <w:spacing w:after="0"/>
              <w:rPr>
                <w:sz w:val="20"/>
                <w:szCs w:val="20"/>
                <w:color w:val="auto"/>
              </w:rPr>
            </w:pPr>
          </w:p>
        </w:tc>
        <w:tc>
          <w:tcPr>
            <w:tcW w:w="2460" w:type="dxa"/>
            <w:vAlign w:val="bottom"/>
          </w:tcPr>
          <w:p>
            <w:pPr>
              <w:spacing w:after="0"/>
              <w:rPr>
                <w:sz w:val="20"/>
                <w:szCs w:val="20"/>
                <w:color w:val="auto"/>
              </w:rPr>
            </w:pPr>
            <w:r>
              <w:rPr>
                <w:rFonts w:ascii="Arial" w:cs="Arial" w:eastAsia="Arial" w:hAnsi="Arial"/>
                <w:sz w:val="18"/>
                <w:szCs w:val="18"/>
                <w:b w:val="1"/>
                <w:bCs w:val="1"/>
                <w:color w:val="auto"/>
              </w:rPr>
              <w:t>Available-for-sale</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4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U.S. government and</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0" w:type="dxa"/>
            <w:vAlign w:val="bottom"/>
            <w:tcBorders>
              <w:left w:val="single" w:sz="8" w:color="CCEEFF"/>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agencies</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60" w:type="dxa"/>
            <w:vAlign w:val="bottom"/>
          </w:tcPr>
          <w:p>
            <w:pPr>
              <w:ind w:left="160"/>
              <w:spacing w:after="0"/>
              <w:rPr>
                <w:sz w:val="20"/>
                <w:szCs w:val="20"/>
                <w:color w:val="auto"/>
              </w:rPr>
            </w:pPr>
            <w:r>
              <w:rPr>
                <w:rFonts w:ascii="Arial" w:cs="Arial" w:eastAsia="Arial" w:hAnsi="Arial"/>
                <w:sz w:val="18"/>
                <w:szCs w:val="18"/>
                <w:color w:val="auto"/>
              </w:rPr>
              <w:t>State and municipal</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8,995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2.17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22,740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3.01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4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Mortgage-backed securities</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32,037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152,133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6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60" w:type="dxa"/>
            <w:vAlign w:val="bottom"/>
          </w:tcPr>
          <w:p>
            <w:pPr>
              <w:ind w:left="160"/>
              <w:spacing w:after="0"/>
              <w:rPr>
                <w:sz w:val="20"/>
                <w:szCs w:val="20"/>
                <w:color w:val="auto"/>
              </w:rPr>
            </w:pPr>
            <w:r>
              <w:rPr>
                <w:rFonts w:ascii="Arial" w:cs="Arial" w:eastAsia="Arial" w:hAnsi="Arial"/>
                <w:sz w:val="18"/>
                <w:szCs w:val="18"/>
                <w:color w:val="auto"/>
              </w:rPr>
              <w:t>Asset-backed and other</w:t>
            </w:r>
          </w:p>
        </w:tc>
        <w:tc>
          <w:tcPr>
            <w:tcW w:w="10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3"/>
            <w:vMerge w:val="restart"/>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3"/>
            <w:vMerge w:val="restart"/>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39,799</w:t>
            </w:r>
          </w:p>
        </w:tc>
        <w:tc>
          <w:tcPr>
            <w:tcW w:w="780" w:type="dxa"/>
            <w:vAlign w:val="bottom"/>
            <w:gridSpan w:val="2"/>
            <w:vMerge w:val="restart"/>
          </w:tcPr>
          <w:p>
            <w:pPr>
              <w:jc w:val="right"/>
              <w:spacing w:after="0"/>
              <w:rPr>
                <w:sz w:val="20"/>
                <w:szCs w:val="20"/>
                <w:color w:val="auto"/>
              </w:rPr>
            </w:pPr>
            <w:r>
              <w:rPr>
                <w:rFonts w:ascii="Arial" w:cs="Arial" w:eastAsia="Arial" w:hAnsi="Arial"/>
                <w:sz w:val="18"/>
                <w:szCs w:val="18"/>
                <w:color w:val="auto"/>
              </w:rPr>
              <w:t>2.82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tcPr>
          <w:p>
            <w:pPr>
              <w:ind w:left="340"/>
              <w:spacing w:after="0"/>
              <w:rPr>
                <w:sz w:val="20"/>
                <w:szCs w:val="20"/>
                <w:color w:val="auto"/>
              </w:rPr>
            </w:pPr>
            <w:r>
              <w:rPr>
                <w:rFonts w:ascii="Arial" w:cs="Arial" w:eastAsia="Arial" w:hAnsi="Arial"/>
                <w:sz w:val="18"/>
                <w:szCs w:val="18"/>
                <w:color w:val="auto"/>
              </w:rPr>
              <w:t>amortizing securities</w:t>
            </w:r>
          </w:p>
        </w:tc>
        <w:tc>
          <w:tcPr>
            <w:tcW w:w="10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3"/>
            <w:vMerge w:val="continue"/>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3"/>
            <w:vMerge w:val="continue"/>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vMerge w:val="continue"/>
          </w:tcPr>
          <w:p>
            <w:pPr>
              <w:spacing w:after="0"/>
              <w:rPr>
                <w:sz w:val="20"/>
                <w:szCs w:val="20"/>
                <w:color w:val="auto"/>
              </w:rPr>
            </w:pPr>
          </w:p>
        </w:tc>
        <w:tc>
          <w:tcPr>
            <w:tcW w:w="78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24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available-for-sale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77,918</w:t>
            </w:r>
          </w:p>
        </w:tc>
        <w:tc>
          <w:tcPr>
            <w:tcW w:w="180" w:type="dxa"/>
            <w:vAlign w:val="bottom"/>
            <w:tcBorders>
              <w:right w:val="single" w:sz="8" w:color="CCEEFF"/>
            </w:tcBorders>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7,414</w:t>
            </w:r>
          </w:p>
        </w:tc>
        <w:tc>
          <w:tcPr>
            <w:tcW w:w="1060" w:type="dxa"/>
            <w:vAlign w:val="bottom"/>
            <w:tcBorders>
              <w:right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2.64%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41,032</w:t>
            </w: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214,672</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6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760" w:type="dxa"/>
            <w:vAlign w:val="bottom"/>
            <w:tcBorders>
              <w:top w:val="single" w:sz="8" w:color="auto"/>
            </w:tcBorders>
            <w:shd w:val="clear" w:color="auto" w:fill="000000"/>
          </w:tcPr>
          <w:p>
            <w:pPr>
              <w:spacing w:after="0"/>
              <w:rPr>
                <w:sz w:val="2"/>
                <w:szCs w:val="2"/>
                <w:color w:val="auto"/>
              </w:rPr>
            </w:pPr>
          </w:p>
        </w:tc>
        <w:tc>
          <w:tcPr>
            <w:tcW w:w="240" w:type="dxa"/>
            <w:vAlign w:val="bottom"/>
            <w:tcBorders>
              <w:top w:val="single" w:sz="8" w:color="CCEEFF"/>
              <w:left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56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62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58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58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117" w:lineRule="exact"/>
        <w:rPr>
          <w:sz w:val="20"/>
          <w:szCs w:val="20"/>
          <w:color w:val="auto"/>
        </w:rPr>
      </w:pPr>
    </w:p>
    <w:p>
      <w:pPr>
        <w:ind w:right="260" w:firstLine="360"/>
        <w:spacing w:after="0" w:line="259" w:lineRule="auto"/>
        <w:rPr>
          <w:sz w:val="20"/>
          <w:szCs w:val="20"/>
          <w:color w:val="auto"/>
        </w:rPr>
      </w:pPr>
      <w:r>
        <w:rPr>
          <w:rFonts w:ascii="Arial" w:cs="Arial" w:eastAsia="Arial" w:hAnsi="Arial"/>
          <w:sz w:val="18"/>
          <w:szCs w:val="18"/>
          <w:color w:val="auto"/>
        </w:rPr>
        <w:t>Deposits represent the Company’s primary and most vital source of funds. We offer a variety of deposit products including demand deposits accounts, interest-bearing products, savings accounts and certificate of deposits. We put continued effort into gathering noninterest-bearing demand deposit accounts through loan production, customer referrals, marketing staffs, mobile and online banking and various involvements with community networks.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2" w:name="page73"/>
    <w:bookmarkEnd w:id="7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60" w:firstLine="360"/>
        <w:spacing w:after="0" w:line="264" w:lineRule="auto"/>
        <w:rPr>
          <w:sz w:val="20"/>
          <w:szCs w:val="20"/>
          <w:color w:val="auto"/>
        </w:rPr>
      </w:pPr>
      <w:r>
        <w:rPr>
          <w:rFonts w:ascii="Arial" w:cs="Arial" w:eastAsia="Arial" w:hAnsi="Arial"/>
          <w:sz w:val="18"/>
          <w:szCs w:val="18"/>
          <w:color w:val="auto"/>
        </w:rPr>
        <w:t>Total deposits at December 31, 2018 were $2.3 billion, representing an increase of $123.4 million, or 5.7%, compared to $2.2 billion at December 31, 2017. As of December 31, 2018, 22.4% of total deposits were comprised of noninterest-bearing demand accounts, 63.9% of interest-bearing non-maturity accounts and 13.7% of time deposits.</w:t>
      </w:r>
    </w:p>
    <w:p>
      <w:pPr>
        <w:spacing w:after="0" w:line="73" w:lineRule="exact"/>
        <w:rPr>
          <w:sz w:val="20"/>
          <w:szCs w:val="20"/>
          <w:color w:val="auto"/>
        </w:rPr>
      </w:pPr>
    </w:p>
    <w:p>
      <w:pPr>
        <w:ind w:right="300" w:firstLine="360"/>
        <w:spacing w:after="0" w:line="277" w:lineRule="auto"/>
        <w:rPr>
          <w:sz w:val="20"/>
          <w:szCs w:val="20"/>
          <w:color w:val="auto"/>
        </w:rPr>
      </w:pPr>
      <w:r>
        <w:rPr>
          <w:rFonts w:ascii="Arial" w:cs="Arial" w:eastAsia="Arial" w:hAnsi="Arial"/>
          <w:sz w:val="18"/>
          <w:szCs w:val="18"/>
          <w:color w:val="auto"/>
        </w:rPr>
        <w:t>The following table summarizes our average deposit balances and weighted average rates for the years ended December 31, 2018 and 2017:</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8"/>
          </w:tcPr>
          <w:p>
            <w:pPr>
              <w:jc w:val="center"/>
              <w:ind w:right="320"/>
              <w:spacing w:after="0"/>
              <w:rPr>
                <w:sz w:val="20"/>
                <w:szCs w:val="20"/>
                <w:color w:val="auto"/>
              </w:rPr>
            </w:pPr>
            <w:r>
              <w:rPr>
                <w:rFonts w:ascii="Arial" w:cs="Arial" w:eastAsia="Arial" w:hAnsi="Arial"/>
                <w:sz w:val="14"/>
                <w:szCs w:val="14"/>
                <w:b w:val="1"/>
                <w:bCs w:val="1"/>
                <w:color w:val="auto"/>
                <w:w w:val="92"/>
              </w:rPr>
              <w:t>As of December 31,</w:t>
            </w:r>
          </w:p>
        </w:tc>
        <w:tc>
          <w:tcPr>
            <w:tcW w:w="6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53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7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0"/>
        </w:trPr>
        <w:tc>
          <w:tcPr>
            <w:tcW w:w="5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gridSpan w:val="4"/>
          </w:tcPr>
          <w:p>
            <w:pPr>
              <w:jc w:val="center"/>
              <w:ind w:right="180"/>
              <w:spacing w:after="0" w:line="160" w:lineRule="exact"/>
              <w:rPr>
                <w:sz w:val="20"/>
                <w:szCs w:val="20"/>
                <w:color w:val="auto"/>
              </w:rPr>
            </w:pPr>
            <w:r>
              <w:rPr>
                <w:rFonts w:ascii="Arial" w:cs="Arial" w:eastAsia="Arial" w:hAnsi="Arial"/>
                <w:sz w:val="14"/>
                <w:szCs w:val="14"/>
                <w:b w:val="1"/>
                <w:bCs w:val="1"/>
                <w:color w:val="auto"/>
                <w:w w:val="95"/>
              </w:rPr>
              <w:t>Weighted</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3"/>
          </w:tcPr>
          <w:p>
            <w:pPr>
              <w:jc w:val="center"/>
              <w:ind w:right="140"/>
              <w:spacing w:after="0" w:line="160" w:lineRule="exact"/>
              <w:rPr>
                <w:sz w:val="20"/>
                <w:szCs w:val="20"/>
                <w:color w:val="auto"/>
              </w:rPr>
            </w:pPr>
            <w:r>
              <w:rPr>
                <w:rFonts w:ascii="Arial" w:cs="Arial" w:eastAsia="Arial" w:hAnsi="Arial"/>
                <w:sz w:val="14"/>
                <w:szCs w:val="14"/>
                <w:b w:val="1"/>
                <w:bCs w:val="1"/>
                <w:color w:val="auto"/>
                <w:w w:val="91"/>
              </w:rPr>
              <w:t>Weighted</w:t>
            </w:r>
          </w:p>
        </w:tc>
      </w:tr>
      <w:tr>
        <w:trPr>
          <w:trHeight w:val="162"/>
        </w:trPr>
        <w:tc>
          <w:tcPr>
            <w:tcW w:w="5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7"/>
              </w:rPr>
              <w:t>Average</w:t>
            </w:r>
          </w:p>
        </w:tc>
        <w:tc>
          <w:tcPr>
            <w:tcW w:w="10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4"/>
                <w:szCs w:val="14"/>
                <w:color w:val="auto"/>
              </w:rPr>
            </w:pPr>
          </w:p>
        </w:tc>
        <w:tc>
          <w:tcPr>
            <w:tcW w:w="1060" w:type="dxa"/>
            <w:vAlign w:val="bottom"/>
            <w:gridSpan w:val="3"/>
          </w:tcPr>
          <w:p>
            <w:pPr>
              <w:ind w:left="60"/>
              <w:spacing w:after="0"/>
              <w:rPr>
                <w:sz w:val="20"/>
                <w:szCs w:val="20"/>
                <w:color w:val="auto"/>
              </w:rPr>
            </w:pPr>
            <w:r>
              <w:rPr>
                <w:rFonts w:ascii="Arial" w:cs="Arial" w:eastAsia="Arial" w:hAnsi="Arial"/>
                <w:sz w:val="14"/>
                <w:szCs w:val="14"/>
                <w:b w:val="1"/>
                <w:bCs w:val="1"/>
                <w:color w:val="auto"/>
              </w:rPr>
              <w:t>Average</w:t>
            </w:r>
          </w:p>
        </w:tc>
        <w:tc>
          <w:tcPr>
            <w:tcW w:w="8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Average</w:t>
            </w:r>
          </w:p>
        </w:tc>
      </w:tr>
      <w:tr>
        <w:trPr>
          <w:trHeight w:val="185"/>
        </w:trPr>
        <w:tc>
          <w:tcPr>
            <w:tcW w:w="5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Balance</w:t>
            </w:r>
          </w:p>
        </w:tc>
        <w:tc>
          <w:tcPr>
            <w:tcW w:w="180" w:type="dxa"/>
            <w:vAlign w:val="bottom"/>
            <w:gridSpan w:val="2"/>
          </w:tcPr>
          <w:p>
            <w:pPr>
              <w:spacing w:after="0"/>
              <w:rPr>
                <w:sz w:val="16"/>
                <w:szCs w:val="16"/>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Rate</w:t>
            </w:r>
          </w:p>
        </w:tc>
        <w:tc>
          <w:tcPr>
            <w:tcW w:w="180" w:type="dxa"/>
            <w:vAlign w:val="bottom"/>
            <w:gridSpan w:val="2"/>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Balance</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2"/>
              </w:rPr>
              <w:t>Rate</w:t>
            </w:r>
          </w:p>
        </w:tc>
        <w:tc>
          <w:tcPr>
            <w:tcW w:w="100" w:type="dxa"/>
            <w:vAlign w:val="bottom"/>
          </w:tcPr>
          <w:p>
            <w:pPr>
              <w:spacing w:after="0"/>
              <w:rPr>
                <w:sz w:val="16"/>
                <w:szCs w:val="16"/>
                <w:color w:val="auto"/>
              </w:rPr>
            </w:pPr>
          </w:p>
        </w:tc>
      </w:tr>
      <w:tr>
        <w:trPr>
          <w:trHeight w:val="183"/>
        </w:trPr>
        <w:tc>
          <w:tcPr>
            <w:tcW w:w="5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40" w:type="dxa"/>
            <w:vAlign w:val="bottom"/>
            <w:gridSpan w:val="8"/>
          </w:tcPr>
          <w:p>
            <w:pPr>
              <w:jc w:val="center"/>
              <w:ind w:right="320"/>
              <w:spacing w:after="0"/>
              <w:rPr>
                <w:sz w:val="20"/>
                <w:szCs w:val="20"/>
                <w:color w:val="auto"/>
              </w:rPr>
            </w:pPr>
            <w:r>
              <w:rPr>
                <w:rFonts w:ascii="Arial" w:cs="Arial" w:eastAsia="Arial" w:hAnsi="Arial"/>
                <w:sz w:val="14"/>
                <w:szCs w:val="14"/>
                <w:b w:val="1"/>
                <w:bCs w:val="1"/>
                <w:color w:val="auto"/>
                <w:w w:val="91"/>
              </w:rPr>
              <w:t>(Dollars in thousands)</w:t>
            </w: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Noninterest-bearing deposits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487,363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464,518</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37"/>
        </w:trPr>
        <w:tc>
          <w:tcPr>
            <w:tcW w:w="5340" w:type="dxa"/>
            <w:vAlign w:val="bottom"/>
          </w:tcPr>
          <w:p>
            <w:pPr>
              <w:spacing w:after="0"/>
              <w:rPr>
                <w:sz w:val="20"/>
                <w:szCs w:val="20"/>
                <w:color w:val="auto"/>
              </w:rPr>
            </w:pPr>
            <w:r>
              <w:rPr>
                <w:rFonts w:ascii="Arial" w:cs="Arial" w:eastAsia="Arial" w:hAnsi="Arial"/>
                <w:sz w:val="18"/>
                <w:szCs w:val="18"/>
                <w:color w:val="auto"/>
              </w:rPr>
              <w:t>Interest-bearing deposits:</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NOW, savings and money market</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1,394,617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0.93%</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1,306,168</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0.59%</w:t>
            </w:r>
          </w:p>
        </w:tc>
      </w:tr>
      <w:tr>
        <w:trPr>
          <w:trHeight w:val="237"/>
        </w:trPr>
        <w:tc>
          <w:tcPr>
            <w:tcW w:w="5340" w:type="dxa"/>
            <w:vAlign w:val="bottom"/>
          </w:tcPr>
          <w:p>
            <w:pPr>
              <w:ind w:left="180"/>
              <w:spacing w:after="0"/>
              <w:rPr>
                <w:sz w:val="20"/>
                <w:szCs w:val="20"/>
                <w:color w:val="auto"/>
              </w:rPr>
            </w:pPr>
            <w:r>
              <w:rPr>
                <w:rFonts w:ascii="Arial" w:cs="Arial" w:eastAsia="Arial" w:hAnsi="Arial"/>
                <w:sz w:val="18"/>
                <w:szCs w:val="18"/>
                <w:color w:val="auto"/>
              </w:rPr>
              <w:t>Time deposits (less than $100,000)</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80,205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84,540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0.91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Time deposits ($100,000 to $250,000)</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110,034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117,879</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5340" w:type="dxa"/>
            <w:vAlign w:val="bottom"/>
          </w:tcPr>
          <w:p>
            <w:pPr>
              <w:ind w:left="180"/>
              <w:spacing w:after="0"/>
              <w:rPr>
                <w:sz w:val="20"/>
                <w:szCs w:val="20"/>
                <w:color w:val="auto"/>
              </w:rPr>
            </w:pPr>
            <w:r>
              <w:rPr>
                <w:rFonts w:ascii="Arial" w:cs="Arial" w:eastAsia="Arial" w:hAnsi="Arial"/>
                <w:sz w:val="18"/>
                <w:szCs w:val="18"/>
                <w:color w:val="auto"/>
              </w:rPr>
              <w:t>Time deposits (more than $250,000)</w:t>
            </w: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123,059</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153,340</w:t>
            </w:r>
          </w:p>
        </w:tc>
        <w:tc>
          <w:tcPr>
            <w:tcW w:w="1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interest-bearing deposits</w:t>
            </w:r>
          </w:p>
        </w:tc>
        <w:tc>
          <w:tcPr>
            <w:tcW w:w="1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1,707,915</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1,661,927</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r>
        <w:trPr>
          <w:trHeight w:val="223"/>
        </w:trPr>
        <w:tc>
          <w:tcPr>
            <w:tcW w:w="5340" w:type="dxa"/>
            <w:vAlign w:val="bottom"/>
          </w:tcPr>
          <w:p>
            <w:pPr>
              <w:ind w:left="540"/>
              <w:spacing w:after="0"/>
              <w:rPr>
                <w:sz w:val="20"/>
                <w:szCs w:val="20"/>
                <w:color w:val="auto"/>
              </w:rPr>
            </w:pPr>
            <w:r>
              <w:rPr>
                <w:rFonts w:ascii="Arial" w:cs="Arial" w:eastAsia="Arial" w:hAnsi="Arial"/>
                <w:sz w:val="18"/>
                <w:szCs w:val="18"/>
                <w:color w:val="auto"/>
              </w:rPr>
              <w:t>Total deposits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2,195,278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0.80%</w:t>
            </w: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2,126,445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0.58%</w:t>
            </w:r>
          </w:p>
        </w:tc>
      </w:tr>
      <w:tr>
        <w:trPr>
          <w:trHeight w:val="21"/>
        </w:trPr>
        <w:tc>
          <w:tcPr>
            <w:tcW w:w="5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the maturity of time deposits as of December 31, 2018 and 2017:</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20" w:type="dxa"/>
            <w:vAlign w:val="bottom"/>
            <w:gridSpan w:val="9"/>
          </w:tcPr>
          <w:p>
            <w:pPr>
              <w:jc w:val="center"/>
              <w:spacing w:after="0"/>
              <w:rPr>
                <w:sz w:val="20"/>
                <w:szCs w:val="20"/>
                <w:color w:val="auto"/>
              </w:rPr>
            </w:pPr>
            <w:r>
              <w:rPr>
                <w:rFonts w:ascii="Arial" w:cs="Arial" w:eastAsia="Arial" w:hAnsi="Arial"/>
                <w:sz w:val="14"/>
                <w:szCs w:val="14"/>
                <w:b w:val="1"/>
                <w:bCs w:val="1"/>
                <w:color w:val="auto"/>
                <w:w w:val="92"/>
              </w:rPr>
              <w:t>As of December 31, 2018</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Maturity Within:</w:t>
            </w: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center"/>
              <w:ind w:right="36"/>
              <w:spacing w:after="0" w:line="160" w:lineRule="exact"/>
              <w:rPr>
                <w:sz w:val="20"/>
                <w:szCs w:val="20"/>
                <w:color w:val="auto"/>
              </w:rPr>
            </w:pPr>
            <w:r>
              <w:rPr>
                <w:rFonts w:ascii="Arial" w:cs="Arial" w:eastAsia="Arial" w:hAnsi="Arial"/>
                <w:sz w:val="14"/>
                <w:szCs w:val="14"/>
                <w:b w:val="1"/>
                <w:bCs w:val="1"/>
                <w:color w:val="auto"/>
                <w:w w:val="99"/>
              </w:rPr>
              <w:t>Three</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ind w:right="18"/>
              <w:spacing w:after="0" w:line="160" w:lineRule="exact"/>
              <w:rPr>
                <w:sz w:val="20"/>
                <w:szCs w:val="20"/>
                <w:color w:val="auto"/>
              </w:rPr>
            </w:pPr>
            <w:r>
              <w:rPr>
                <w:rFonts w:ascii="Arial" w:cs="Arial" w:eastAsia="Arial" w:hAnsi="Arial"/>
                <w:sz w:val="14"/>
                <w:szCs w:val="14"/>
                <w:b w:val="1"/>
                <w:bCs w:val="1"/>
                <w:color w:val="auto"/>
                <w:w w:val="92"/>
              </w:rPr>
              <w:t>Three to Six</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tcPr>
          <w:p>
            <w:pPr>
              <w:jc w:val="center"/>
              <w:ind w:right="280"/>
              <w:spacing w:after="0" w:line="160" w:lineRule="exact"/>
              <w:rPr>
                <w:sz w:val="20"/>
                <w:szCs w:val="20"/>
                <w:color w:val="auto"/>
              </w:rPr>
            </w:pPr>
            <w:r>
              <w:rPr>
                <w:rFonts w:ascii="Arial" w:cs="Arial" w:eastAsia="Arial" w:hAnsi="Arial"/>
                <w:sz w:val="14"/>
                <w:szCs w:val="14"/>
                <w:b w:val="1"/>
                <w:bCs w:val="1"/>
                <w:color w:val="auto"/>
                <w:w w:val="89"/>
              </w:rPr>
              <w:t>Six to</w:t>
            </w:r>
          </w:p>
        </w:tc>
        <w:tc>
          <w:tcPr>
            <w:tcW w:w="100" w:type="dxa"/>
            <w:vAlign w:val="bottom"/>
          </w:tcPr>
          <w:p>
            <w:pPr>
              <w:spacing w:after="0"/>
              <w:rPr>
                <w:sz w:val="13"/>
                <w:szCs w:val="13"/>
                <w:color w:val="auto"/>
              </w:rPr>
            </w:pPr>
          </w:p>
        </w:tc>
        <w:tc>
          <w:tcPr>
            <w:tcW w:w="76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7"/>
              </w:rPr>
              <w:t>After</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480" w:type="dxa"/>
            <w:vAlign w:val="bottom"/>
            <w:gridSpan w:val="3"/>
          </w:tcPr>
          <w:p>
            <w:pPr>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6"/>
                <w:szCs w:val="16"/>
                <w:color w:val="auto"/>
              </w:rPr>
            </w:pPr>
          </w:p>
        </w:tc>
        <w:tc>
          <w:tcPr>
            <w:tcW w:w="660" w:type="dxa"/>
            <w:vAlign w:val="bottom"/>
          </w:tcPr>
          <w:p>
            <w:pPr>
              <w:jc w:val="center"/>
              <w:ind w:right="36"/>
              <w:spacing w:after="0"/>
              <w:rPr>
                <w:sz w:val="20"/>
                <w:szCs w:val="20"/>
                <w:color w:val="auto"/>
              </w:rPr>
            </w:pPr>
            <w:r>
              <w:rPr>
                <w:rFonts w:ascii="Arial" w:cs="Arial" w:eastAsia="Arial" w:hAnsi="Arial"/>
                <w:sz w:val="14"/>
                <w:szCs w:val="14"/>
                <w:b w:val="1"/>
                <w:bCs w:val="1"/>
                <w:color w:val="auto"/>
                <w:w w:val="92"/>
              </w:rPr>
              <w:t>Months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right="18"/>
              <w:spacing w:after="0"/>
              <w:rPr>
                <w:sz w:val="20"/>
                <w:szCs w:val="20"/>
                <w:color w:val="auto"/>
              </w:rPr>
            </w:pPr>
            <w:r>
              <w:rPr>
                <w:rFonts w:ascii="Arial" w:cs="Arial" w:eastAsia="Arial" w:hAnsi="Arial"/>
                <w:sz w:val="14"/>
                <w:szCs w:val="14"/>
                <w:b w:val="1"/>
                <w:bCs w:val="1"/>
                <w:color w:val="auto"/>
                <w:w w:val="92"/>
              </w:rPr>
              <w:t>Months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12 Months</w:t>
            </w:r>
          </w:p>
        </w:tc>
        <w:tc>
          <w:tcPr>
            <w:tcW w:w="100" w:type="dxa"/>
            <w:vAlign w:val="bottom"/>
          </w:tcPr>
          <w:p>
            <w:pPr>
              <w:spacing w:after="0"/>
              <w:rPr>
                <w:sz w:val="16"/>
                <w:szCs w:val="16"/>
                <w:color w:val="auto"/>
              </w:rPr>
            </w:pPr>
          </w:p>
        </w:tc>
        <w:tc>
          <w:tcPr>
            <w:tcW w:w="760" w:type="dxa"/>
            <w:vAlign w:val="bottom"/>
          </w:tcPr>
          <w:p>
            <w:pPr>
              <w:jc w:val="center"/>
              <w:ind w:right="16"/>
              <w:spacing w:after="0"/>
              <w:rPr>
                <w:sz w:val="20"/>
                <w:szCs w:val="20"/>
                <w:color w:val="auto"/>
              </w:rPr>
            </w:pPr>
            <w:r>
              <w:rPr>
                <w:rFonts w:ascii="Arial" w:cs="Arial" w:eastAsia="Arial" w:hAnsi="Arial"/>
                <w:sz w:val="14"/>
                <w:szCs w:val="14"/>
                <w:b w:val="1"/>
                <w:bCs w:val="1"/>
                <w:color w:val="auto"/>
                <w:w w:val="95"/>
              </w:rPr>
              <w:t>12 Months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gridSpan w:val="3"/>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Time deposits (less than $100,000)</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16,853</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16,590</w:t>
            </w:r>
          </w:p>
        </w:tc>
        <w:tc>
          <w:tcPr>
            <w:tcW w:w="180" w:type="dxa"/>
            <w:vAlign w:val="bottom"/>
            <w:gridSpan w:val="2"/>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24,565</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19,924</w:t>
            </w:r>
          </w:p>
        </w:tc>
        <w:tc>
          <w:tcPr>
            <w:tcW w:w="180" w:type="dxa"/>
            <w:vAlign w:val="bottom"/>
            <w:gridSpan w:val="2"/>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77,932</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Time deposits ($100,000 to $250,000)</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14,983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16,108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29,227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47,747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108,065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Time deposits (more than $250,000)</w:t>
            </w: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10,310</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11,613</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22,852</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80,765</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125,540</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gridSpan w:val="2"/>
          </w:tcPr>
          <w:p>
            <w:pPr>
              <w:ind w:left="160"/>
              <w:spacing w:after="0"/>
              <w:rPr>
                <w:sz w:val="20"/>
                <w:szCs w:val="20"/>
                <w:color w:val="auto"/>
              </w:rPr>
            </w:pPr>
            <w:r>
              <w:rPr>
                <w:rFonts w:ascii="Arial" w:cs="Arial" w:eastAsia="Arial" w:hAnsi="Arial"/>
                <w:sz w:val="18"/>
                <w:szCs w:val="18"/>
                <w:color w:val="auto"/>
              </w:rPr>
              <w:t>Total time deposits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42,146</w:t>
            </w: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44,311</w:t>
            </w:r>
          </w:p>
        </w:tc>
        <w:tc>
          <w:tcPr>
            <w:tcW w:w="160" w:type="dxa"/>
            <w:vAlign w:val="bottom"/>
          </w:tcPr>
          <w:p>
            <w:pPr>
              <w:spacing w:after="0"/>
              <w:rPr>
                <w:sz w:val="19"/>
                <w:szCs w:val="19"/>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76,644</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148,436</w:t>
            </w:r>
          </w:p>
        </w:tc>
        <w:tc>
          <w:tcPr>
            <w:tcW w:w="16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311,537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20" w:type="dxa"/>
            <w:vAlign w:val="bottom"/>
            <w:gridSpan w:val="9"/>
          </w:tcPr>
          <w:p>
            <w:pPr>
              <w:jc w:val="center"/>
              <w:spacing w:after="0"/>
              <w:rPr>
                <w:sz w:val="20"/>
                <w:szCs w:val="20"/>
                <w:color w:val="auto"/>
              </w:rPr>
            </w:pPr>
            <w:r>
              <w:rPr>
                <w:rFonts w:ascii="Arial" w:cs="Arial" w:eastAsia="Arial" w:hAnsi="Arial"/>
                <w:sz w:val="14"/>
                <w:szCs w:val="14"/>
                <w:b w:val="1"/>
                <w:bCs w:val="1"/>
                <w:color w:val="auto"/>
                <w:w w:val="92"/>
              </w:rPr>
              <w:t>As of December 31, 2017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Maturity Within:</w:t>
            </w: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center"/>
              <w:ind w:right="36"/>
              <w:spacing w:after="0" w:line="160" w:lineRule="exact"/>
              <w:rPr>
                <w:sz w:val="20"/>
                <w:szCs w:val="20"/>
                <w:color w:val="auto"/>
              </w:rPr>
            </w:pPr>
            <w:r>
              <w:rPr>
                <w:rFonts w:ascii="Arial" w:cs="Arial" w:eastAsia="Arial" w:hAnsi="Arial"/>
                <w:sz w:val="14"/>
                <w:szCs w:val="14"/>
                <w:b w:val="1"/>
                <w:bCs w:val="1"/>
                <w:color w:val="auto"/>
                <w:w w:val="99"/>
              </w:rPr>
              <w:t>Three</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ind w:right="18"/>
              <w:spacing w:after="0" w:line="160" w:lineRule="exact"/>
              <w:rPr>
                <w:sz w:val="20"/>
                <w:szCs w:val="20"/>
                <w:color w:val="auto"/>
              </w:rPr>
            </w:pPr>
            <w:r>
              <w:rPr>
                <w:rFonts w:ascii="Arial" w:cs="Arial" w:eastAsia="Arial" w:hAnsi="Arial"/>
                <w:sz w:val="14"/>
                <w:szCs w:val="14"/>
                <w:b w:val="1"/>
                <w:bCs w:val="1"/>
                <w:color w:val="auto"/>
                <w:w w:val="92"/>
              </w:rPr>
              <w:t>Three to Six</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tcPr>
          <w:p>
            <w:pPr>
              <w:jc w:val="center"/>
              <w:ind w:right="280"/>
              <w:spacing w:after="0" w:line="160" w:lineRule="exact"/>
              <w:rPr>
                <w:sz w:val="20"/>
                <w:szCs w:val="20"/>
                <w:color w:val="auto"/>
              </w:rPr>
            </w:pPr>
            <w:r>
              <w:rPr>
                <w:rFonts w:ascii="Arial" w:cs="Arial" w:eastAsia="Arial" w:hAnsi="Arial"/>
                <w:sz w:val="14"/>
                <w:szCs w:val="14"/>
                <w:b w:val="1"/>
                <w:bCs w:val="1"/>
                <w:color w:val="auto"/>
                <w:w w:val="89"/>
              </w:rPr>
              <w:t>Six to</w:t>
            </w:r>
          </w:p>
        </w:tc>
        <w:tc>
          <w:tcPr>
            <w:tcW w:w="100" w:type="dxa"/>
            <w:vAlign w:val="bottom"/>
          </w:tcPr>
          <w:p>
            <w:pPr>
              <w:spacing w:after="0"/>
              <w:rPr>
                <w:sz w:val="13"/>
                <w:szCs w:val="13"/>
                <w:color w:val="auto"/>
              </w:rPr>
            </w:pPr>
          </w:p>
        </w:tc>
        <w:tc>
          <w:tcPr>
            <w:tcW w:w="76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7"/>
              </w:rPr>
              <w:t>After</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480" w:type="dxa"/>
            <w:vAlign w:val="bottom"/>
            <w:gridSpan w:val="3"/>
          </w:tcPr>
          <w:p>
            <w:pPr>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6"/>
                <w:szCs w:val="16"/>
                <w:color w:val="auto"/>
              </w:rPr>
            </w:pPr>
          </w:p>
        </w:tc>
        <w:tc>
          <w:tcPr>
            <w:tcW w:w="660" w:type="dxa"/>
            <w:vAlign w:val="bottom"/>
          </w:tcPr>
          <w:p>
            <w:pPr>
              <w:jc w:val="center"/>
              <w:ind w:right="36"/>
              <w:spacing w:after="0"/>
              <w:rPr>
                <w:sz w:val="20"/>
                <w:szCs w:val="20"/>
                <w:color w:val="auto"/>
              </w:rPr>
            </w:pPr>
            <w:r>
              <w:rPr>
                <w:rFonts w:ascii="Arial" w:cs="Arial" w:eastAsia="Arial" w:hAnsi="Arial"/>
                <w:sz w:val="14"/>
                <w:szCs w:val="14"/>
                <w:b w:val="1"/>
                <w:bCs w:val="1"/>
                <w:color w:val="auto"/>
                <w:w w:val="92"/>
              </w:rPr>
              <w:t>Months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right="18"/>
              <w:spacing w:after="0"/>
              <w:rPr>
                <w:sz w:val="20"/>
                <w:szCs w:val="20"/>
                <w:color w:val="auto"/>
              </w:rPr>
            </w:pPr>
            <w:r>
              <w:rPr>
                <w:rFonts w:ascii="Arial" w:cs="Arial" w:eastAsia="Arial" w:hAnsi="Arial"/>
                <w:sz w:val="14"/>
                <w:szCs w:val="14"/>
                <w:b w:val="1"/>
                <w:bCs w:val="1"/>
                <w:color w:val="auto"/>
                <w:w w:val="92"/>
              </w:rPr>
              <w:t>Months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12 Months</w:t>
            </w:r>
          </w:p>
        </w:tc>
        <w:tc>
          <w:tcPr>
            <w:tcW w:w="100" w:type="dxa"/>
            <w:vAlign w:val="bottom"/>
          </w:tcPr>
          <w:p>
            <w:pPr>
              <w:spacing w:after="0"/>
              <w:rPr>
                <w:sz w:val="16"/>
                <w:szCs w:val="16"/>
                <w:color w:val="auto"/>
              </w:rPr>
            </w:pPr>
          </w:p>
        </w:tc>
        <w:tc>
          <w:tcPr>
            <w:tcW w:w="760" w:type="dxa"/>
            <w:vAlign w:val="bottom"/>
          </w:tcPr>
          <w:p>
            <w:pPr>
              <w:jc w:val="center"/>
              <w:ind w:right="16"/>
              <w:spacing w:after="0"/>
              <w:rPr>
                <w:sz w:val="20"/>
                <w:szCs w:val="20"/>
                <w:color w:val="auto"/>
              </w:rPr>
            </w:pPr>
            <w:r>
              <w:rPr>
                <w:rFonts w:ascii="Arial" w:cs="Arial" w:eastAsia="Arial" w:hAnsi="Arial"/>
                <w:sz w:val="14"/>
                <w:szCs w:val="14"/>
                <w:b w:val="1"/>
                <w:bCs w:val="1"/>
                <w:color w:val="auto"/>
                <w:w w:val="95"/>
              </w:rPr>
              <w:t>12 Months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gridSpan w:val="3"/>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Time deposits (less than $100,000)</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21,954</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19,030</w:t>
            </w:r>
          </w:p>
        </w:tc>
        <w:tc>
          <w:tcPr>
            <w:tcW w:w="180" w:type="dxa"/>
            <w:vAlign w:val="bottom"/>
            <w:gridSpan w:val="2"/>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23,932</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17,180</w:t>
            </w:r>
          </w:p>
        </w:tc>
        <w:tc>
          <w:tcPr>
            <w:tcW w:w="180" w:type="dxa"/>
            <w:vAlign w:val="bottom"/>
            <w:gridSpan w:val="2"/>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82,096</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Time deposits ($100,000 to $250,000)</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27,835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16,206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24,524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40,789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109,354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Time deposits (more than $250,000)</w:t>
            </w: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47,736</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18,017</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11,754</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62,556</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140,063</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gridSpan w:val="2"/>
          </w:tcPr>
          <w:p>
            <w:pPr>
              <w:ind w:left="160"/>
              <w:spacing w:after="0"/>
              <w:rPr>
                <w:sz w:val="20"/>
                <w:szCs w:val="20"/>
                <w:color w:val="auto"/>
              </w:rPr>
            </w:pPr>
            <w:r>
              <w:rPr>
                <w:rFonts w:ascii="Arial" w:cs="Arial" w:eastAsia="Arial" w:hAnsi="Arial"/>
                <w:sz w:val="18"/>
                <w:szCs w:val="18"/>
                <w:color w:val="auto"/>
              </w:rPr>
              <w:t>Total time deposits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97,525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53,253</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60,210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120,525</w:t>
            </w:r>
          </w:p>
        </w:tc>
        <w:tc>
          <w:tcPr>
            <w:tcW w:w="3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331,513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right="420" w:firstLine="360"/>
        <w:spacing w:after="0" w:line="264" w:lineRule="auto"/>
        <w:rPr>
          <w:sz w:val="20"/>
          <w:szCs w:val="20"/>
          <w:color w:val="auto"/>
        </w:rPr>
      </w:pPr>
      <w:r>
        <w:rPr>
          <w:rFonts w:ascii="Arial" w:cs="Arial" w:eastAsia="Arial" w:hAnsi="Arial"/>
          <w:sz w:val="18"/>
          <w:szCs w:val="18"/>
          <w:color w:val="auto"/>
        </w:rPr>
        <w:t>Time deposits issued in amounts of more than $250,000 represent the type of deposit most likely to affect the Company’s future earnings because of interest rate sensitivity. The effective cost of these funds is generally higher than other time deposits because the funds are usually obtained at premium rates of interest.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Borrowed Funds</w:t>
      </w:r>
    </w:p>
    <w:p>
      <w:pPr>
        <w:spacing w:after="0" w:line="117"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In addition to deposits, we utilize advances from the FHLB and other borrowings as a supplementary funding source to finance our operations.</w:t>
      </w:r>
    </w:p>
    <w:p>
      <w:pPr>
        <w:spacing w:after="0" w:line="62" w:lineRule="exact"/>
        <w:rPr>
          <w:sz w:val="20"/>
          <w:szCs w:val="20"/>
          <w:color w:val="auto"/>
        </w:rPr>
      </w:pPr>
    </w:p>
    <w:p>
      <w:pPr>
        <w:ind w:right="80" w:firstLine="360"/>
        <w:spacing w:after="0" w:line="293" w:lineRule="auto"/>
        <w:rPr>
          <w:sz w:val="20"/>
          <w:szCs w:val="20"/>
          <w:color w:val="auto"/>
        </w:rPr>
      </w:pPr>
      <w:r>
        <w:rPr>
          <w:rFonts w:ascii="Arial" w:cs="Arial" w:eastAsia="Arial" w:hAnsi="Arial"/>
          <w:sz w:val="16"/>
          <w:szCs w:val="16"/>
          <w:i w:val="1"/>
          <w:iCs w:val="1"/>
          <w:color w:val="auto"/>
        </w:rPr>
        <w:t>FHLB Advances</w:t>
      </w:r>
      <w:r>
        <w:rPr>
          <w:rFonts w:ascii="Arial" w:cs="Arial" w:eastAsia="Arial" w:hAnsi="Arial"/>
          <w:sz w:val="16"/>
          <w:szCs w:val="16"/>
          <w:color w:val="auto"/>
        </w:rPr>
        <w:t>. The FHLB allows us to borrow, both short and long-term, on a blanket floating lien status collateralized by</w:t>
      </w:r>
      <w:r>
        <w:rPr>
          <w:rFonts w:ascii="Arial" w:cs="Arial" w:eastAsia="Arial" w:hAnsi="Arial"/>
          <w:sz w:val="16"/>
          <w:szCs w:val="16"/>
          <w:i w:val="1"/>
          <w:iCs w:val="1"/>
          <w:color w:val="auto"/>
        </w:rPr>
        <w:t xml:space="preserve"> </w:t>
      </w:r>
      <w:r>
        <w:rPr>
          <w:rFonts w:ascii="Arial" w:cs="Arial" w:eastAsia="Arial" w:hAnsi="Arial"/>
          <w:sz w:val="16"/>
          <w:szCs w:val="16"/>
          <w:color w:val="auto"/>
        </w:rPr>
        <w:t>first mortgage loans and commercial real estate loans as well as FHLB stock. At December 31, 2018 and December 31, 2017, we had maximum borrowing capacity from the FHLB of $719.4 million and $696.6 million, respectively. We had $199.0 million and 145.0 million in off-balance sheet liabilities for letters of credit at December 31, 2018 and 2017, respectively. These letters of credit are used to pledge as collateral for public funds deposits. We had no short-term FHLB borrowings as of December 31, 2018 and 2017. We had long-term FHLB borrowings of $95.0 million as of December 31, 2018 and 2017, with an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3" w:name="page74"/>
    <w:bookmarkEnd w:id="7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average interest rate of 2.27% and 1.40%, respectively. As of December 31, 2018 and 2017, total remaining borrowing capacity of $425.4 million and $456.6 million, respectively, was available under this arrangement. Our current FHLB borrowings mature within seven years.</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FHLB borrowings as of December 31, 2018 and 2017:</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As of December 31,</w:t>
            </w:r>
          </w:p>
        </w:tc>
      </w:tr>
      <w:tr>
        <w:trPr>
          <w:trHeight w:val="183"/>
        </w:trPr>
        <w:tc>
          <w:tcPr>
            <w:tcW w:w="724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r>
      <w:tr>
        <w:trPr>
          <w:trHeight w:val="183"/>
        </w:trPr>
        <w:tc>
          <w:tcPr>
            <w:tcW w:w="7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(Dollars in thousands)</w:t>
            </w:r>
          </w:p>
        </w:tc>
      </w:tr>
      <w:tr>
        <w:trPr>
          <w:trHeight w:val="243"/>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Amount outstanding at year-end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00" w:type="dxa"/>
            <w:vAlign w:val="bottom"/>
            <w:shd w:val="clear" w:color="auto" w:fill="CCEEFF"/>
          </w:tcPr>
          <w:p>
            <w:pPr>
              <w:spacing w:after="0"/>
              <w:rPr>
                <w:sz w:val="21"/>
                <w:szCs w:val="21"/>
                <w:color w:val="auto"/>
              </w:rPr>
            </w:pPr>
          </w:p>
        </w:tc>
      </w:tr>
      <w:tr>
        <w:trPr>
          <w:trHeight w:val="230"/>
        </w:trPr>
        <w:tc>
          <w:tcPr>
            <w:tcW w:w="7240" w:type="dxa"/>
            <w:vAlign w:val="bottom"/>
          </w:tcPr>
          <w:p>
            <w:pPr>
              <w:spacing w:after="0"/>
              <w:rPr>
                <w:sz w:val="20"/>
                <w:szCs w:val="20"/>
                <w:color w:val="auto"/>
              </w:rPr>
            </w:pPr>
            <w:r>
              <w:rPr>
                <w:rFonts w:ascii="Arial" w:cs="Arial" w:eastAsia="Arial" w:hAnsi="Arial"/>
                <w:sz w:val="18"/>
                <w:szCs w:val="18"/>
                <w:color w:val="auto"/>
              </w:rPr>
              <w:t>Weighted average interest rate at year-end</w:t>
            </w:r>
          </w:p>
        </w:tc>
        <w:tc>
          <w:tcPr>
            <w:tcW w:w="2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2.27%</w:t>
            </w:r>
          </w:p>
        </w:tc>
        <w:tc>
          <w:tcPr>
            <w:tcW w:w="26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1.40%</w:t>
            </w:r>
          </w:p>
        </w:tc>
      </w:tr>
      <w:tr>
        <w:trPr>
          <w:trHeight w:val="25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Maximum month-end balance during the year</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00" w:type="dxa"/>
            <w:vAlign w:val="bottom"/>
            <w:shd w:val="clear" w:color="auto" w:fill="CCEEFF"/>
          </w:tcPr>
          <w:p>
            <w:pPr>
              <w:spacing w:after="0"/>
              <w:rPr>
                <w:sz w:val="22"/>
                <w:szCs w:val="22"/>
                <w:color w:val="auto"/>
              </w:rPr>
            </w:pPr>
          </w:p>
        </w:tc>
      </w:tr>
      <w:tr>
        <w:trPr>
          <w:trHeight w:val="230"/>
        </w:trPr>
        <w:tc>
          <w:tcPr>
            <w:tcW w:w="7240" w:type="dxa"/>
            <w:vAlign w:val="bottom"/>
          </w:tcPr>
          <w:p>
            <w:pPr>
              <w:spacing w:after="0"/>
              <w:rPr>
                <w:sz w:val="20"/>
                <w:szCs w:val="20"/>
                <w:color w:val="auto"/>
              </w:rPr>
            </w:pPr>
            <w:r>
              <w:rPr>
                <w:rFonts w:ascii="Arial" w:cs="Arial" w:eastAsia="Arial" w:hAnsi="Arial"/>
                <w:sz w:val="18"/>
                <w:szCs w:val="18"/>
                <w:color w:val="auto"/>
              </w:rPr>
              <w:t>Average balance outstanding during the year</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95,000</w:t>
            </w:r>
          </w:p>
        </w:tc>
        <w:tc>
          <w:tcPr>
            <w:tcW w:w="18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95,000</w:t>
            </w:r>
          </w:p>
        </w:tc>
        <w:tc>
          <w:tcPr>
            <w:tcW w:w="100" w:type="dxa"/>
            <w:vAlign w:val="bottom"/>
          </w:tcPr>
          <w:p>
            <w:pPr>
              <w:spacing w:after="0"/>
              <w:rPr>
                <w:sz w:val="20"/>
                <w:szCs w:val="20"/>
                <w:color w:val="auto"/>
              </w:rPr>
            </w:pPr>
          </w:p>
        </w:tc>
      </w:tr>
      <w:tr>
        <w:trPr>
          <w:trHeight w:val="25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interest rate during the year</w:t>
            </w:r>
          </w:p>
        </w:tc>
        <w:tc>
          <w:tcPr>
            <w:tcW w:w="24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w:t>
            </w:r>
          </w:p>
        </w:tc>
        <w:tc>
          <w:tcPr>
            <w:tcW w:w="2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w:t>
            </w:r>
          </w:p>
        </w:tc>
      </w:tr>
    </w:tbl>
    <w:p>
      <w:pPr>
        <w:spacing w:after="0" w:line="94"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i w:val="1"/>
          <w:iCs w:val="1"/>
          <w:color w:val="auto"/>
        </w:rPr>
        <w:t>Federal Reserve Bank of Dallas</w:t>
      </w:r>
      <w:r>
        <w:rPr>
          <w:rFonts w:ascii="Arial" w:cs="Arial" w:eastAsia="Arial" w:hAnsi="Arial"/>
          <w:sz w:val="18"/>
          <w:szCs w:val="18"/>
          <w:color w:val="auto"/>
        </w:rPr>
        <w:t>. The Bank has a line of credit with the Federal Reserve Bank of Dallas. The amount of the line</w:t>
      </w:r>
      <w:r>
        <w:rPr>
          <w:rFonts w:ascii="Arial" w:cs="Arial" w:eastAsia="Arial" w:hAnsi="Arial"/>
          <w:sz w:val="18"/>
          <w:szCs w:val="18"/>
          <w:i w:val="1"/>
          <w:iCs w:val="1"/>
          <w:color w:val="auto"/>
        </w:rPr>
        <w:t xml:space="preserve"> </w:t>
      </w:r>
      <w:r>
        <w:rPr>
          <w:rFonts w:ascii="Arial" w:cs="Arial" w:eastAsia="Arial" w:hAnsi="Arial"/>
          <w:sz w:val="18"/>
          <w:szCs w:val="18"/>
          <w:color w:val="auto"/>
        </w:rPr>
        <w:t>is determined on a monthly basis by the Federal Reserve Bank. The line is collateralized by a blanket floating lien on all agriculture, commercial and consumer loans. The amount of the line was $532.0 million and $466.0 million at December 31, 2018 and 2017, respectively. The line was not used at December 31, 2018 or 2017.</w:t>
      </w:r>
    </w:p>
    <w:p>
      <w:pPr>
        <w:spacing w:after="0" w:line="79" w:lineRule="exact"/>
        <w:rPr>
          <w:sz w:val="20"/>
          <w:szCs w:val="20"/>
          <w:color w:val="auto"/>
        </w:rPr>
      </w:pPr>
    </w:p>
    <w:p>
      <w:pPr>
        <w:ind w:right="520" w:firstLine="360"/>
        <w:spacing w:after="0" w:line="264" w:lineRule="auto"/>
        <w:rPr>
          <w:sz w:val="20"/>
          <w:szCs w:val="20"/>
          <w:color w:val="auto"/>
        </w:rPr>
      </w:pPr>
      <w:r>
        <w:rPr>
          <w:rFonts w:ascii="Arial" w:cs="Arial" w:eastAsia="Arial" w:hAnsi="Arial"/>
          <w:sz w:val="18"/>
          <w:szCs w:val="18"/>
          <w:i w:val="1"/>
          <w:iCs w:val="1"/>
          <w:color w:val="auto"/>
        </w:rPr>
        <w:t>Lines of Credit</w:t>
      </w:r>
      <w:r>
        <w:rPr>
          <w:rFonts w:ascii="Arial" w:cs="Arial" w:eastAsia="Arial" w:hAnsi="Arial"/>
          <w:sz w:val="18"/>
          <w:szCs w:val="18"/>
          <w:color w:val="auto"/>
        </w:rPr>
        <w:t>. The Bank has uncollateralized lines of credit with multiple banks as a source of funding for liquidity</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The total amount of the lines was $135.0 million as of December 31, 2018 and 2017. The lines were not used at December 31, 2018 and 2017.</w:t>
      </w:r>
    </w:p>
    <w:p>
      <w:pPr>
        <w:spacing w:after="0" w:line="73" w:lineRule="exact"/>
        <w:rPr>
          <w:sz w:val="20"/>
          <w:szCs w:val="20"/>
          <w:color w:val="auto"/>
        </w:rPr>
      </w:pPr>
    </w:p>
    <w:p>
      <w:pPr>
        <w:ind w:right="40" w:firstLine="360"/>
        <w:spacing w:after="0" w:line="270" w:lineRule="auto"/>
        <w:rPr>
          <w:sz w:val="20"/>
          <w:szCs w:val="20"/>
          <w:color w:val="auto"/>
        </w:rPr>
      </w:pPr>
      <w:r>
        <w:rPr>
          <w:rFonts w:ascii="Arial" w:cs="Arial" w:eastAsia="Arial" w:hAnsi="Arial"/>
          <w:sz w:val="17"/>
          <w:szCs w:val="17"/>
          <w:i w:val="1"/>
          <w:iCs w:val="1"/>
          <w:color w:val="auto"/>
        </w:rPr>
        <w:t>Subordinated Debt Securities</w:t>
      </w:r>
      <w:r>
        <w:rPr>
          <w:rFonts w:ascii="Arial" w:cs="Arial" w:eastAsia="Arial" w:hAnsi="Arial"/>
          <w:sz w:val="17"/>
          <w:szCs w:val="17"/>
          <w:color w:val="auto"/>
        </w:rPr>
        <w:t>. In January 2014, the Company issued $20.9 million in subordinated debt securities. These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securities pay interest quarterly and mature January 2024. There was $14.4 million issued at an initial rate of 5.0% and $6.5 million issued at an initial rate of 4.0% at December 31, 2018. These rates are fixed for five years from issuance and then float at the </w:t>
      </w:r>
      <w:r>
        <w:rPr>
          <w:rFonts w:ascii="Arial" w:cs="Arial" w:eastAsia="Arial" w:hAnsi="Arial"/>
          <w:sz w:val="17"/>
          <w:szCs w:val="17"/>
          <w:i w:val="1"/>
          <w:iCs w:val="1"/>
          <w:color w:val="auto"/>
        </w:rPr>
        <w:t>Wall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Street Journal </w:t>
      </w:r>
      <w:r>
        <w:rPr>
          <w:rFonts w:ascii="Arial" w:cs="Arial" w:eastAsia="Arial" w:hAnsi="Arial"/>
          <w:sz w:val="17"/>
          <w:szCs w:val="17"/>
          <w:color w:val="auto"/>
        </w:rPr>
        <w:t>prime rate, with a floor of 4.0% and a ceiling of 7.5%. The securities are unsecured and could be called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at any time after January 2019, and they qualify for tier 2 capital treatment, subject to regulatory limitations. In December 2018, we notified all holders of our subordinated debt securities that we intended to call these securities in January 2019 and provided holders the option to exchange their current subordinated debt securities for newly-issued subordinated debt securities or to have their securities be redeemed. Holders of $13.4 million in subordinated debt securities elected to exchange their securities while holders of $7.5 million in subordinated debt securities elected to have their securities be redeemed. As a result, the outstanding balance of these securities at December 31, 2018 was $7.5 million.</w:t>
      </w:r>
    </w:p>
    <w:p>
      <w:pPr>
        <w:spacing w:after="0" w:line="70" w:lineRule="exact"/>
        <w:rPr>
          <w:sz w:val="20"/>
          <w:szCs w:val="20"/>
          <w:color w:val="auto"/>
        </w:rPr>
      </w:pPr>
    </w:p>
    <w:p>
      <w:pPr>
        <w:ind w:right="80" w:firstLine="360"/>
        <w:spacing w:after="0" w:line="271" w:lineRule="auto"/>
        <w:rPr>
          <w:sz w:val="20"/>
          <w:szCs w:val="20"/>
          <w:color w:val="auto"/>
        </w:rPr>
      </w:pPr>
      <w:r>
        <w:rPr>
          <w:rFonts w:ascii="Arial" w:cs="Arial" w:eastAsia="Arial" w:hAnsi="Arial"/>
          <w:sz w:val="17"/>
          <w:szCs w:val="17"/>
          <w:color w:val="auto"/>
        </w:rPr>
        <w:t>In December 2018, the Company issued $26.5 million in subordinated debt securities, including $13.4 million issued in exchange for our previously issued notes as described above. $12.4 million of the securities have a maturity date of December 2028 and an average fixed rate of 5.74% for the first five years. The remaining $14.1 million of securities have a maturity date of December 2030 and an average fixed rate of 6.41% for the first seven years. After the fixed rate periods, all securities will float at the Wall Street Journal prime rate, with a floor of 4.5% and a ceiling of 7.5%. These securities pay interest quarterly, are unsecured, and may be called by the Company at any time after the remaining maturity is five years or less. Additionally, these securities qualify for tier 2 capital treatment, subject to regulatory limitations. As of the date of this prospectus, we had approximately $26.5 million of subordinated debt outstanding.</w:t>
      </w:r>
    </w:p>
    <w:p>
      <w:pPr>
        <w:spacing w:after="0" w:line="71" w:lineRule="exact"/>
        <w:rPr>
          <w:sz w:val="20"/>
          <w:szCs w:val="20"/>
          <w:color w:val="auto"/>
        </w:rPr>
      </w:pPr>
    </w:p>
    <w:p>
      <w:pPr>
        <w:ind w:right="60" w:firstLine="360"/>
        <w:spacing w:after="0" w:line="291" w:lineRule="auto"/>
        <w:rPr>
          <w:sz w:val="20"/>
          <w:szCs w:val="20"/>
          <w:color w:val="auto"/>
        </w:rPr>
      </w:pPr>
      <w:r>
        <w:rPr>
          <w:rFonts w:ascii="Arial" w:cs="Arial" w:eastAsia="Arial" w:hAnsi="Arial"/>
          <w:sz w:val="16"/>
          <w:szCs w:val="16"/>
          <w:i w:val="1"/>
          <w:iCs w:val="1"/>
          <w:color w:val="auto"/>
        </w:rPr>
        <w:t>Junior Subordinated Deferrable Interest Debentures and Trust Preferred Securities</w:t>
      </w:r>
      <w:r>
        <w:rPr>
          <w:rFonts w:ascii="Arial" w:cs="Arial" w:eastAsia="Arial" w:hAnsi="Arial"/>
          <w:sz w:val="16"/>
          <w:szCs w:val="16"/>
          <w:color w:val="auto"/>
        </w:rPr>
        <w:t>. Between March 2004 and June 2007,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formed three wholly-owned statutory business trusts solely for the purpose of issuing trust preferred securities, the proceeds of which were invested in junior subordinated deferrable interest debentures. The trusts are not consolidated and the debentures issued by the Company to the trusts are reflected in the Company’s consolidated balance sheets. The Company records interest expense on the debentures in its consolidated financial statements. The amount of debentures outstanding was $46.4 million at December 31, 2018 and 2017. Company has the right, as has been exercised in the past, to defer payments of interest on the securities for up to twenty consecutive quarters. During such time, corporate dividends may not be paid.</w:t>
      </w:r>
    </w:p>
    <w:p>
      <w:pPr>
        <w:spacing w:after="0" w:line="59"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The chart below indicates certain information about each of the statutory trusts and the junior subordinated deferrable interest debentures, including the date the junior subordinated deferrable interest debentures were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4" w:name="page75"/>
    <w:bookmarkEnd w:id="74"/>
    <w:p>
      <w:pPr>
        <w:ind w:left="7"/>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7" w:right="40"/>
        <w:spacing w:after="0" w:line="264" w:lineRule="auto"/>
        <w:rPr>
          <w:sz w:val="20"/>
          <w:szCs w:val="20"/>
          <w:color w:val="auto"/>
        </w:rPr>
      </w:pPr>
      <w:r>
        <w:rPr>
          <w:rFonts w:ascii="Arial" w:cs="Arial" w:eastAsia="Arial" w:hAnsi="Arial"/>
          <w:sz w:val="18"/>
          <w:szCs w:val="18"/>
          <w:color w:val="auto"/>
        </w:rPr>
        <w:t>issued, outstanding amounts of trust preferred securities and junior subordinated deferrable interest debentures, the maturity date of the junior subordinated deferrable interest debentures, the interest rates on the junior subordinated deferrable interest debentures and the investment banker.</w:t>
      </w:r>
    </w:p>
    <w:p>
      <w:pPr>
        <w:spacing w:after="0" w:line="38"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Stated</w:t>
            </w: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9"/>
              </w:rPr>
              <w:t>Maturity Date</w:t>
            </w: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2"/>
              </w:rPr>
              <w:t>of Trust</w:t>
            </w:r>
          </w:p>
        </w:tc>
        <w:tc>
          <w:tcPr>
            <w:tcW w:w="160" w:type="dxa"/>
            <w:vAlign w:val="bottom"/>
          </w:tcPr>
          <w:p>
            <w:pPr>
              <w:spacing w:after="0"/>
              <w:rPr>
                <w:sz w:val="14"/>
                <w:szCs w:val="14"/>
                <w:color w:val="auto"/>
              </w:rPr>
            </w:pPr>
          </w:p>
        </w:tc>
        <w:tc>
          <w:tcPr>
            <w:tcW w:w="16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Interest Rate of</w:t>
            </w:r>
          </w:p>
        </w:tc>
      </w:tr>
      <w:tr>
        <w:trPr>
          <w:trHeight w:val="162"/>
        </w:trPr>
        <w:tc>
          <w:tcPr>
            <w:tcW w:w="14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14"/>
              <w:spacing w:after="0"/>
              <w:rPr>
                <w:sz w:val="20"/>
                <w:szCs w:val="20"/>
                <w:color w:val="auto"/>
              </w:rPr>
            </w:pPr>
            <w:r>
              <w:rPr>
                <w:rFonts w:ascii="Arial" w:cs="Arial" w:eastAsia="Arial" w:hAnsi="Arial"/>
                <w:sz w:val="14"/>
                <w:szCs w:val="14"/>
                <w:b w:val="1"/>
                <w:bCs w:val="1"/>
                <w:color w:val="auto"/>
                <w:w w:val="95"/>
              </w:rPr>
              <w:t>of Trust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6"/>
              </w:rPr>
              <w:t>Preferred</w:t>
            </w:r>
          </w:p>
        </w:tc>
        <w:tc>
          <w:tcPr>
            <w:tcW w:w="160" w:type="dxa"/>
            <w:vAlign w:val="bottom"/>
          </w:tcPr>
          <w:p>
            <w:pPr>
              <w:spacing w:after="0"/>
              <w:rPr>
                <w:sz w:val="14"/>
                <w:szCs w:val="14"/>
                <w:color w:val="auto"/>
              </w:rPr>
            </w:pPr>
          </w:p>
        </w:tc>
        <w:tc>
          <w:tcPr>
            <w:tcW w:w="16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Trust Preferred</w:t>
            </w:r>
          </w:p>
        </w:tc>
      </w:tr>
      <w:tr>
        <w:trPr>
          <w:trHeight w:val="145"/>
        </w:trPr>
        <w:tc>
          <w:tcPr>
            <w:tcW w:w="14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Issue</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6"/>
              </w:rPr>
              <w:t>Preferred</w:t>
            </w:r>
          </w:p>
        </w:tc>
        <w:tc>
          <w:tcPr>
            <w:tcW w:w="160" w:type="dxa"/>
            <w:vAlign w:val="bottom"/>
          </w:tcPr>
          <w:p>
            <w:pPr>
              <w:spacing w:after="0"/>
              <w:rPr>
                <w:sz w:val="12"/>
                <w:szCs w:val="12"/>
                <w:color w:val="auto"/>
              </w:rPr>
            </w:pPr>
          </w:p>
        </w:tc>
        <w:tc>
          <w:tcPr>
            <w:tcW w:w="780" w:type="dxa"/>
            <w:vAlign w:val="bottom"/>
            <w:gridSpan w:val="2"/>
          </w:tcPr>
          <w:p>
            <w:pPr>
              <w:jc w:val="right"/>
              <w:spacing w:after="0" w:line="145" w:lineRule="exact"/>
              <w:rPr>
                <w:sz w:val="20"/>
                <w:szCs w:val="20"/>
                <w:color w:val="auto"/>
              </w:rPr>
            </w:pPr>
            <w:r>
              <w:rPr>
                <w:rFonts w:ascii="Arial" w:cs="Arial" w:eastAsia="Arial" w:hAnsi="Arial"/>
                <w:sz w:val="14"/>
                <w:szCs w:val="14"/>
                <w:b w:val="1"/>
                <w:bCs w:val="1"/>
                <w:color w:val="auto"/>
                <w:w w:val="99"/>
              </w:rPr>
              <w:t>Amount of</w:t>
            </w:r>
          </w:p>
        </w:tc>
        <w:tc>
          <w:tcPr>
            <w:tcW w:w="180" w:type="dxa"/>
            <w:vAlign w:val="bottom"/>
          </w:tcPr>
          <w:p>
            <w:pPr>
              <w:spacing w:after="0"/>
              <w:rPr>
                <w:sz w:val="12"/>
                <w:szCs w:val="12"/>
                <w:color w:val="auto"/>
              </w:rPr>
            </w:pPr>
          </w:p>
        </w:tc>
        <w:tc>
          <w:tcPr>
            <w:tcW w:w="10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Securities and</w:t>
            </w:r>
          </w:p>
        </w:tc>
        <w:tc>
          <w:tcPr>
            <w:tcW w:w="160" w:type="dxa"/>
            <w:vAlign w:val="bottom"/>
          </w:tcPr>
          <w:p>
            <w:pPr>
              <w:spacing w:after="0"/>
              <w:rPr>
                <w:sz w:val="12"/>
                <w:szCs w:val="12"/>
                <w:color w:val="auto"/>
              </w:rPr>
            </w:pPr>
          </w:p>
        </w:tc>
        <w:tc>
          <w:tcPr>
            <w:tcW w:w="1640" w:type="dxa"/>
            <w:vAlign w:val="bottom"/>
            <w:gridSpan w:val="2"/>
          </w:tcPr>
          <w:p>
            <w:pPr>
              <w:jc w:val="center"/>
              <w:ind w:right="40"/>
              <w:spacing w:after="0" w:line="145" w:lineRule="exact"/>
              <w:rPr>
                <w:sz w:val="20"/>
                <w:szCs w:val="20"/>
                <w:color w:val="auto"/>
              </w:rPr>
            </w:pPr>
            <w:r>
              <w:rPr>
                <w:rFonts w:ascii="Arial" w:cs="Arial" w:eastAsia="Arial" w:hAnsi="Arial"/>
                <w:sz w:val="14"/>
                <w:szCs w:val="14"/>
                <w:b w:val="1"/>
                <w:bCs w:val="1"/>
                <w:color w:val="auto"/>
                <w:w w:val="91"/>
              </w:rPr>
              <w:t>Securities and</w:t>
            </w:r>
          </w:p>
        </w:tc>
      </w:tr>
      <w:tr>
        <w:trPr>
          <w:trHeight w:val="202"/>
        </w:trPr>
        <w:tc>
          <w:tcPr>
            <w:tcW w:w="40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 of Trust</w:t>
            </w:r>
          </w:p>
        </w:tc>
        <w:tc>
          <w:tcPr>
            <w:tcW w:w="180" w:type="dxa"/>
            <w:vAlign w:val="bottom"/>
          </w:tcPr>
          <w:p>
            <w:pPr>
              <w:spacing w:after="0"/>
              <w:rPr>
                <w:sz w:val="17"/>
                <w:szCs w:val="17"/>
                <w:color w:val="auto"/>
              </w:rPr>
            </w:pPr>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Date</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7"/>
                <w:szCs w:val="17"/>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Debentures</w:t>
            </w:r>
          </w:p>
        </w:tc>
        <w:tc>
          <w:tcPr>
            <w:tcW w:w="180" w:type="dxa"/>
            <w:vAlign w:val="bottom"/>
          </w:tcPr>
          <w:p>
            <w:pPr>
              <w:spacing w:after="0"/>
              <w:rPr>
                <w:sz w:val="17"/>
                <w:szCs w:val="17"/>
                <w:color w:val="auto"/>
              </w:rPr>
            </w:pPr>
          </w:p>
        </w:tc>
        <w:tc>
          <w:tcPr>
            <w:tcW w:w="108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87"/>
              </w:rPr>
              <w:t>Debentures</w:t>
            </w:r>
            <w:r>
              <w:rPr>
                <w:rFonts w:ascii="Arial" w:cs="Arial" w:eastAsia="Arial" w:hAnsi="Arial"/>
                <w:sz w:val="23"/>
                <w:szCs w:val="23"/>
                <w:b w:val="1"/>
                <w:bCs w:val="1"/>
                <w:color w:val="auto"/>
                <w:w w:val="87"/>
                <w:vertAlign w:val="superscript"/>
              </w:rPr>
              <w:t>(1)</w:t>
            </w:r>
          </w:p>
        </w:tc>
        <w:tc>
          <w:tcPr>
            <w:tcW w:w="160" w:type="dxa"/>
            <w:vAlign w:val="bottom"/>
          </w:tcPr>
          <w:p>
            <w:pPr>
              <w:spacing w:after="0"/>
              <w:rPr>
                <w:sz w:val="17"/>
                <w:szCs w:val="17"/>
                <w:color w:val="auto"/>
              </w:rPr>
            </w:pPr>
          </w:p>
        </w:tc>
        <w:tc>
          <w:tcPr>
            <w:tcW w:w="154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85"/>
              </w:rPr>
              <w:t>Debentures</w:t>
            </w:r>
            <w:r>
              <w:rPr>
                <w:rFonts w:ascii="Arial" w:cs="Arial" w:eastAsia="Arial" w:hAnsi="Arial"/>
                <w:sz w:val="23"/>
                <w:szCs w:val="23"/>
                <w:b w:val="1"/>
                <w:bCs w:val="1"/>
                <w:color w:val="auto"/>
                <w:w w:val="85"/>
                <w:vertAlign w:val="superscript"/>
              </w:rPr>
              <w:t>(2)(3)</w:t>
            </w:r>
          </w:p>
        </w:tc>
        <w:tc>
          <w:tcPr>
            <w:tcW w:w="100" w:type="dxa"/>
            <w:vAlign w:val="bottom"/>
          </w:tcPr>
          <w:p>
            <w:pPr>
              <w:spacing w:after="0"/>
              <w:rPr>
                <w:sz w:val="17"/>
                <w:szCs w:val="17"/>
                <w:color w:val="auto"/>
              </w:rPr>
            </w:pPr>
          </w:p>
        </w:tc>
      </w:tr>
      <w:tr>
        <w:trPr>
          <w:trHeight w:val="183"/>
        </w:trPr>
        <w:tc>
          <w:tcPr>
            <w:tcW w:w="14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gridSpan w:val="3"/>
          </w:tcPr>
          <w:p>
            <w:pPr>
              <w:ind w:left="26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5"/>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 Plains Financial Capital Trust III</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4"/>
              </w:rPr>
              <w:t>2004</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10,310</w:t>
            </w:r>
          </w:p>
        </w:tc>
        <w:tc>
          <w:tcPr>
            <w:tcW w:w="126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89"/>
              </w:rPr>
              <w:t>2034</w:t>
            </w:r>
          </w:p>
        </w:tc>
        <w:tc>
          <w:tcPr>
            <w:tcW w:w="18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3-mo. LIBOR</w:t>
            </w:r>
          </w:p>
        </w:tc>
      </w:tr>
      <w:tr>
        <w:trPr>
          <w:trHeight w:val="244"/>
        </w:trPr>
        <w:tc>
          <w:tcPr>
            <w:tcW w:w="1440" w:type="dxa"/>
            <w:vAlign w:val="bottom"/>
            <w:shd w:val="clear" w:color="auto" w:fill="CCEEFF"/>
          </w:tcPr>
          <w:p>
            <w:pPr>
              <w:spacing w:after="0"/>
              <w:rPr>
                <w:sz w:val="21"/>
                <w:szCs w:val="21"/>
                <w:color w:val="auto"/>
              </w:rPr>
            </w:pPr>
          </w:p>
        </w:tc>
        <w:tc>
          <w:tcPr>
            <w:tcW w:w="26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8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+ 265 bps; 5.13%</w:t>
            </w:r>
          </w:p>
        </w:tc>
      </w:tr>
      <w:tr>
        <w:trPr>
          <w:trHeight w:val="215"/>
        </w:trPr>
        <w:tc>
          <w:tcPr>
            <w:tcW w:w="4040" w:type="dxa"/>
            <w:vAlign w:val="bottom"/>
            <w:gridSpan w:val="2"/>
          </w:tcPr>
          <w:p>
            <w:pPr>
              <w:spacing w:after="0"/>
              <w:rPr>
                <w:sz w:val="20"/>
                <w:szCs w:val="20"/>
                <w:color w:val="auto"/>
              </w:rPr>
            </w:pPr>
            <w:r>
              <w:rPr>
                <w:rFonts w:ascii="Arial" w:cs="Arial" w:eastAsia="Arial" w:hAnsi="Arial"/>
                <w:sz w:val="18"/>
                <w:szCs w:val="18"/>
                <w:color w:val="auto"/>
              </w:rPr>
              <w:t>South Plains Financial Capital Trust IV</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w w:val="84"/>
              </w:rPr>
              <w:t>2005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20,619</w:t>
            </w:r>
          </w:p>
        </w:tc>
        <w:tc>
          <w:tcPr>
            <w:tcW w:w="126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2035</w:t>
            </w:r>
          </w:p>
        </w:tc>
        <w:tc>
          <w:tcPr>
            <w:tcW w:w="1800" w:type="dxa"/>
            <w:vAlign w:val="bottom"/>
            <w:gridSpan w:val="3"/>
          </w:tcPr>
          <w:p>
            <w:pPr>
              <w:ind w:left="120"/>
              <w:spacing w:after="0"/>
              <w:rPr>
                <w:sz w:val="20"/>
                <w:szCs w:val="20"/>
                <w:color w:val="auto"/>
              </w:rPr>
            </w:pPr>
            <w:r>
              <w:rPr>
                <w:rFonts w:ascii="Arial" w:cs="Arial" w:eastAsia="Arial" w:hAnsi="Arial"/>
                <w:sz w:val="18"/>
                <w:szCs w:val="18"/>
                <w:color w:val="auto"/>
              </w:rPr>
              <w:t>3-mo. LIBOR</w:t>
            </w:r>
          </w:p>
        </w:tc>
      </w:tr>
      <w:tr>
        <w:trPr>
          <w:trHeight w:val="230"/>
        </w:trPr>
        <w:tc>
          <w:tcPr>
            <w:tcW w:w="14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0" w:type="dxa"/>
            <w:vAlign w:val="bottom"/>
            <w:gridSpan w:val="3"/>
          </w:tcPr>
          <w:p>
            <w:pPr>
              <w:ind w:left="120"/>
              <w:spacing w:after="0"/>
              <w:rPr>
                <w:sz w:val="20"/>
                <w:szCs w:val="20"/>
                <w:color w:val="auto"/>
              </w:rPr>
            </w:pPr>
            <w:r>
              <w:rPr>
                <w:rFonts w:ascii="Arial" w:cs="Arial" w:eastAsia="Arial" w:hAnsi="Arial"/>
                <w:sz w:val="18"/>
                <w:szCs w:val="18"/>
                <w:color w:val="auto"/>
              </w:rPr>
              <w:t>+ 139 bps; 4.18%</w:t>
            </w:r>
          </w:p>
        </w:tc>
      </w:tr>
      <w:tr>
        <w:trPr>
          <w:trHeight w:val="262"/>
        </w:trPr>
        <w:tc>
          <w:tcPr>
            <w:tcW w:w="4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South Plains Financial Capital Trust V</w:t>
            </w:r>
          </w:p>
        </w:tc>
        <w:tc>
          <w:tcPr>
            <w:tcW w:w="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84"/>
              </w:rPr>
              <w:t>2007</w:t>
            </w:r>
          </w:p>
        </w:tc>
        <w:tc>
          <w:tcPr>
            <w:tcW w:w="1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15,464</w:t>
            </w:r>
          </w:p>
        </w:tc>
        <w:tc>
          <w:tcPr>
            <w:tcW w:w="1260" w:type="dxa"/>
            <w:vAlign w:val="bottom"/>
            <w:tcBorders>
              <w:bottom w:val="single" w:sz="8" w:color="CCEEFF"/>
            </w:tcBorders>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89"/>
              </w:rPr>
              <w:t>2037</w:t>
            </w:r>
          </w:p>
        </w:tc>
        <w:tc>
          <w:tcPr>
            <w:tcW w:w="180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3-mo. LIBOR</w:t>
            </w:r>
          </w:p>
        </w:tc>
      </w:tr>
      <w:tr>
        <w:trPr>
          <w:trHeight w:val="196"/>
        </w:trPr>
        <w:tc>
          <w:tcPr>
            <w:tcW w:w="1440" w:type="dxa"/>
            <w:vAlign w:val="bottom"/>
            <w:tcBorders>
              <w:top w:val="single" w:sz="8" w:color="CCEEFF"/>
            </w:tcBorders>
            <w:shd w:val="clear" w:color="auto" w:fill="CCEEFF"/>
          </w:tcPr>
          <w:p>
            <w:pPr>
              <w:spacing w:after="0"/>
              <w:rPr>
                <w:sz w:val="17"/>
                <w:szCs w:val="17"/>
                <w:color w:val="auto"/>
              </w:rPr>
            </w:pPr>
          </w:p>
        </w:tc>
        <w:tc>
          <w:tcPr>
            <w:tcW w:w="26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CCEEFF"/>
            </w:tcBorders>
            <w:gridSpan w:val="3"/>
            <w:shd w:val="clear" w:color="auto" w:fill="CCEEFF"/>
          </w:tcPr>
          <w:p>
            <w:pPr>
              <w:ind w:left="120"/>
              <w:spacing w:after="0" w:line="182" w:lineRule="exact"/>
              <w:rPr>
                <w:sz w:val="20"/>
                <w:szCs w:val="20"/>
                <w:color w:val="auto"/>
              </w:rPr>
            </w:pPr>
            <w:r>
              <w:rPr>
                <w:rFonts w:ascii="Arial" w:cs="Arial" w:eastAsia="Arial" w:hAnsi="Arial"/>
                <w:sz w:val="18"/>
                <w:szCs w:val="18"/>
                <w:color w:val="auto"/>
              </w:rPr>
              <w:t>+ 150 bps; 4.29%</w:t>
            </w:r>
          </w:p>
        </w:tc>
      </w:tr>
      <w:tr>
        <w:trPr>
          <w:trHeight w:val="230"/>
        </w:trPr>
        <w:tc>
          <w:tcPr>
            <w:tcW w:w="40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45,000</w:t>
            </w:r>
          </w:p>
        </w:tc>
        <w:tc>
          <w:tcPr>
            <w:tcW w:w="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46,393</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
        </w:trPr>
        <w:tc>
          <w:tcPr>
            <w:tcW w:w="14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40" w:type="dxa"/>
            <w:vAlign w:val="bottom"/>
            <w:tcBorders>
              <w:bottom w:val="single" w:sz="8" w:color="auto"/>
            </w:tcBorders>
          </w:tcPr>
          <w:p>
            <w:pPr>
              <w:spacing w:after="0"/>
              <w:rPr>
                <w:sz w:val="17"/>
                <w:szCs w:val="17"/>
                <w:color w:val="auto"/>
              </w:rPr>
            </w:pPr>
          </w:p>
        </w:tc>
        <w:tc>
          <w:tcPr>
            <w:tcW w:w="2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103" w:lineRule="exact"/>
        <w:rPr>
          <w:sz w:val="20"/>
          <w:szCs w:val="20"/>
          <w:color w:val="auto"/>
        </w:rPr>
      </w:pPr>
    </w:p>
    <w:p>
      <w:pPr>
        <w:ind w:left="347" w:hanging="347"/>
        <w:spacing w:after="0"/>
        <w:tabs>
          <w:tab w:leader="none" w:pos="347" w:val="left"/>
        </w:tabs>
        <w:numPr>
          <w:ilvl w:val="0"/>
          <w:numId w:val="35"/>
        </w:numPr>
        <w:rPr>
          <w:rFonts w:ascii="Arial" w:cs="Arial" w:eastAsia="Arial" w:hAnsi="Arial"/>
          <w:sz w:val="14"/>
          <w:szCs w:val="14"/>
          <w:color w:val="auto"/>
        </w:rPr>
      </w:pPr>
      <w:r>
        <w:rPr>
          <w:rFonts w:ascii="Arial" w:cs="Arial" w:eastAsia="Arial" w:hAnsi="Arial"/>
          <w:sz w:val="14"/>
          <w:szCs w:val="14"/>
          <w:color w:val="auto"/>
        </w:rPr>
        <w:t>May be redeemed at the Company’s option.</w:t>
      </w:r>
    </w:p>
    <w:p>
      <w:pPr>
        <w:spacing w:after="0" w:line="109" w:lineRule="exact"/>
        <w:rPr>
          <w:rFonts w:ascii="Arial" w:cs="Arial" w:eastAsia="Arial" w:hAnsi="Arial"/>
          <w:sz w:val="14"/>
          <w:szCs w:val="14"/>
          <w:color w:val="auto"/>
        </w:rPr>
      </w:pPr>
    </w:p>
    <w:p>
      <w:pPr>
        <w:ind w:left="347" w:hanging="347"/>
        <w:spacing w:after="0"/>
        <w:tabs>
          <w:tab w:leader="none" w:pos="347"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Interest payable quarterly with principal due at maturity.</w:t>
      </w:r>
    </w:p>
    <w:p>
      <w:pPr>
        <w:spacing w:after="0" w:line="109" w:lineRule="exact"/>
        <w:rPr>
          <w:rFonts w:ascii="Arial" w:cs="Arial" w:eastAsia="Arial" w:hAnsi="Arial"/>
          <w:sz w:val="14"/>
          <w:szCs w:val="14"/>
          <w:color w:val="auto"/>
        </w:rPr>
      </w:pPr>
    </w:p>
    <w:p>
      <w:pPr>
        <w:ind w:left="347" w:hanging="347"/>
        <w:spacing w:after="0"/>
        <w:tabs>
          <w:tab w:leader="none" w:pos="347" w:val="left"/>
        </w:tabs>
        <w:numPr>
          <w:ilvl w:val="0"/>
          <w:numId w:val="35"/>
        </w:numPr>
        <w:rPr>
          <w:rFonts w:ascii="Arial" w:cs="Arial" w:eastAsia="Arial" w:hAnsi="Arial"/>
          <w:sz w:val="14"/>
          <w:szCs w:val="14"/>
          <w:color w:val="auto"/>
        </w:rPr>
      </w:pPr>
      <w:r>
        <w:rPr>
          <w:rFonts w:ascii="Arial" w:cs="Arial" w:eastAsia="Arial" w:hAnsi="Arial"/>
          <w:sz w:val="14"/>
          <w:szCs w:val="14"/>
          <w:color w:val="auto"/>
        </w:rPr>
        <w:t>Rate as of last reset date, prior to December 31, 2018.</w:t>
      </w:r>
    </w:p>
    <w:p>
      <w:pPr>
        <w:spacing w:after="0" w:line="204"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left="7" w:right="20" w:firstLine="360"/>
        <w:spacing w:after="0" w:line="276" w:lineRule="auto"/>
        <w:rPr>
          <w:sz w:val="20"/>
          <w:szCs w:val="20"/>
          <w:color w:val="auto"/>
        </w:rPr>
      </w:pPr>
      <w:r>
        <w:rPr>
          <w:rFonts w:ascii="Arial" w:cs="Arial" w:eastAsia="Arial" w:hAnsi="Arial"/>
          <w:sz w:val="17"/>
          <w:szCs w:val="17"/>
          <w:color w:val="auto"/>
        </w:rPr>
        <w:t>Liquidity refers to the measure of our ability to meet the cash flow requirements of depositors and borrowers, while at the same time meeting our operating, capital and strategic cash flow needs, all at a reasonable cost. We continuously monitor our liquidity position to ensure that assets and liabilities are managed in a manner that will meet all short-term and long-term cash requirements. We manage our liquidity position to meet the daily cash flow needs of customers, while maintaining an appropriate balance between assets and liabilities to meet the return on investment objectives of our shareholders.</w:t>
      </w:r>
    </w:p>
    <w:p>
      <w:pPr>
        <w:spacing w:after="0" w:line="64" w:lineRule="exact"/>
        <w:rPr>
          <w:sz w:val="20"/>
          <w:szCs w:val="20"/>
          <w:color w:val="auto"/>
        </w:rPr>
      </w:pPr>
    </w:p>
    <w:p>
      <w:pPr>
        <w:ind w:left="7" w:firstLine="360"/>
        <w:spacing w:after="0" w:line="255" w:lineRule="auto"/>
        <w:rPr>
          <w:sz w:val="20"/>
          <w:szCs w:val="20"/>
          <w:color w:val="auto"/>
        </w:rPr>
      </w:pPr>
      <w:r>
        <w:rPr>
          <w:rFonts w:ascii="Arial" w:cs="Arial" w:eastAsia="Arial" w:hAnsi="Arial"/>
          <w:sz w:val="18"/>
          <w:szCs w:val="18"/>
          <w:color w:val="auto"/>
        </w:rPr>
        <w:t>Interest rate sensitivity involves the relationships between rate-sensitive assets and liabilities and is an indication of the probable effects of interest rate fluctuations on the Company’s net interest income. Interest rate-sensitive assets and liabilities are those with yields or rates that are subject to change within a future time period due to maturity or changes in market rates. The model is used to project future net interest income under a set of possible interest rate movements. The Company’s Investment/Asset Liability Committee reviews this information to determine if the projected future net interest income levels would be acceptable. The Company attempts to stay within acceptable net interest income levels.</w:t>
      </w:r>
    </w:p>
    <w:p>
      <w:pPr>
        <w:spacing w:after="0" w:line="85" w:lineRule="exact"/>
        <w:rPr>
          <w:sz w:val="20"/>
          <w:szCs w:val="20"/>
          <w:color w:val="auto"/>
        </w:rPr>
      </w:pPr>
    </w:p>
    <w:p>
      <w:pPr>
        <w:ind w:left="7" w:right="40" w:firstLine="360"/>
        <w:spacing w:after="0" w:line="259" w:lineRule="auto"/>
        <w:rPr>
          <w:sz w:val="20"/>
          <w:szCs w:val="20"/>
          <w:color w:val="auto"/>
        </w:rPr>
      </w:pPr>
      <w:r>
        <w:rPr>
          <w:rFonts w:ascii="Arial" w:cs="Arial" w:eastAsia="Arial" w:hAnsi="Arial"/>
          <w:sz w:val="18"/>
          <w:szCs w:val="18"/>
          <w:color w:val="auto"/>
        </w:rPr>
        <w:t>Our liquidity position is supported by management of liquid assets and access to alternative sources of funds. Our liquid assets include cash, interest-bearing deposits in correspondent banks, federal funds sold, and fair value of unpledged investment securities. Other available sources of liquidity include wholesale deposits, and additional borrowings from correspondent banks, FHLB advances, and the Federal Reserve discount window.</w:t>
      </w:r>
    </w:p>
    <w:p>
      <w:pPr>
        <w:spacing w:after="0" w:line="79" w:lineRule="exact"/>
        <w:rPr>
          <w:sz w:val="20"/>
          <w:szCs w:val="20"/>
          <w:color w:val="auto"/>
        </w:rPr>
      </w:pPr>
    </w:p>
    <w:p>
      <w:pPr>
        <w:ind w:left="7" w:right="100" w:firstLine="360"/>
        <w:spacing w:after="0" w:line="259" w:lineRule="auto"/>
        <w:rPr>
          <w:sz w:val="20"/>
          <w:szCs w:val="20"/>
          <w:color w:val="auto"/>
        </w:rPr>
      </w:pPr>
      <w:r>
        <w:rPr>
          <w:rFonts w:ascii="Arial" w:cs="Arial" w:eastAsia="Arial" w:hAnsi="Arial"/>
          <w:sz w:val="18"/>
          <w:szCs w:val="18"/>
          <w:color w:val="auto"/>
        </w:rPr>
        <w:t>Our short-term and long-term liquidity requirements are primarily met through cash flow from operations, redeployment of prepaying and maturing balances in our loan and investment portfolios, and increases in customer deposits. Other alternative sources of funds will supplement these primary sources to the extent necessary to meet additional liquidity requirements on either a short-term or long-term basis.</w:t>
      </w:r>
    </w:p>
    <w:p>
      <w:pPr>
        <w:spacing w:after="0" w:line="187"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auto"/>
        </w:rPr>
        <w:t>Capital Requirements</w:t>
      </w:r>
    </w:p>
    <w:p>
      <w:pPr>
        <w:spacing w:after="0" w:line="117" w:lineRule="exact"/>
        <w:rPr>
          <w:sz w:val="20"/>
          <w:szCs w:val="20"/>
          <w:color w:val="auto"/>
        </w:rPr>
      </w:pPr>
    </w:p>
    <w:p>
      <w:pPr>
        <w:ind w:left="7" w:right="240" w:firstLine="360"/>
        <w:spacing w:after="0" w:line="257" w:lineRule="auto"/>
        <w:rPr>
          <w:sz w:val="20"/>
          <w:szCs w:val="20"/>
          <w:color w:val="auto"/>
        </w:rPr>
      </w:pPr>
      <w:r>
        <w:rPr>
          <w:rFonts w:ascii="Arial" w:cs="Arial" w:eastAsia="Arial" w:hAnsi="Arial"/>
          <w:sz w:val="18"/>
          <w:szCs w:val="18"/>
          <w:color w:val="auto"/>
        </w:rPr>
        <w:t>We are subject to various regulatory capital requirements administered by the federal and state banking regulators. Failure to meet regulatory capital requirements may result in certain mandatory and possible additional discretionary actions by regulators that, if undertaken, could have a direct material effect on our financial statements. Under capital adequacy guidelines and the regulatory framework for “prompt corrective action” (described below), we must meet specific capital guidelines that involve quantitative measures of our</w:t>
      </w:r>
    </w:p>
    <w:p>
      <w:pPr>
        <w:spacing w:after="0" w:line="188"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75" w:name="page76"/>
    <w:bookmarkEnd w:id="7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assets, liabilities and certain off-balance sheet items as calculated under regulatory accounting policies. The capital amounts and classifications are subject to qualitative judgments by the federal banking regulators about components, risk weightings and other factors. Qualitative measures established by regulation to ensure capital adequacy required us to maintain minimum amounts and ratio of CET1 capital, tier 1 capital and total capital to risk-weighted assets and of tier 1 capital to average consolidated assets, referred to as the “leverage ratio.” For further information, see “Supervision and Regulation – Regulatory Capital Requirements” and “Supervision and Regulation – Prompt Corrective Action Framework.”</w:t>
      </w:r>
    </w:p>
    <w:p>
      <w:pPr>
        <w:spacing w:after="0" w:line="70" w:lineRule="exact"/>
        <w:rPr>
          <w:sz w:val="20"/>
          <w:szCs w:val="20"/>
          <w:color w:val="auto"/>
        </w:rPr>
      </w:pPr>
    </w:p>
    <w:p>
      <w:pPr>
        <w:ind w:firstLine="360"/>
        <w:spacing w:after="0" w:line="268" w:lineRule="auto"/>
        <w:rPr>
          <w:sz w:val="20"/>
          <w:szCs w:val="20"/>
          <w:color w:val="auto"/>
        </w:rPr>
      </w:pPr>
      <w:r>
        <w:rPr>
          <w:rFonts w:ascii="Arial" w:cs="Arial" w:eastAsia="Arial" w:hAnsi="Arial"/>
          <w:sz w:val="17"/>
          <w:szCs w:val="17"/>
          <w:color w:val="auto"/>
        </w:rPr>
        <w:t>In July 2013, the federal bank regulatory agencies adopted revisions to the agencies’ capital adequacy guidelines and prompt corrective action rules, which were designed to enhance such requirements and implement the revised standards of the Basel Committee on Banking Supervision, commonly referred to as Basel III. The final rules generally implemented higher minimum capital requirements, added a new common equity tier 1 capital requirement, and established criteria that instruments must meet to be considered common equity tier 1 capital, additional tier 1 capital or tier 2 capital. The new minimum capital to risk-adjusted assets requirements were a common equity tier 1 capital ratio of 4.5% (6.5% to be considered “well capitalized”) and a tier 1 capital ratio of 6.0%, increased from 4.0% (and increased from 6.0% to 8.0% to be considered “well capitalized”), and the total capital ratio remained at 8.0% under the new rules (10.0% to be considered “well capitalized”). Under the final capital rules that became effective on January 1, 2015, there was a requirement for a common phased-in equity tier 1 capital conservation buffer of 2.5% of risk-weighted assets which is in addition to the other minimum risk-based capital standards in the rule. Institutions that do not maintain this required capital buffer will become subject to progressively more stringent limitations on the percentage of earnings that can be paid out in dividends or used for stock repurchases and on the payment of discretionary bonuses to senior executive management. The capital buffer requirement is being phased in over three years beginning in 2016. We have included the 0.625% increase for 2017 and 2018 in our minimum capital adequacy ratios in the table below. The capital buffer requirement effectively raises the minimum required common equity tier 1 capital ratio to 7.0%, the tier 1 capital ratio to 8.5%, and the total capital ratio to 10.5% on a fully phased-in basis on January 1, 2019.</w:t>
      </w:r>
    </w:p>
    <w:p>
      <w:pPr>
        <w:spacing w:after="0" w:line="73" w:lineRule="exact"/>
        <w:rPr>
          <w:sz w:val="20"/>
          <w:szCs w:val="20"/>
          <w:color w:val="auto"/>
        </w:rPr>
      </w:pPr>
    </w:p>
    <w:p>
      <w:pPr>
        <w:ind w:right="140" w:firstLine="360"/>
        <w:spacing w:after="0" w:line="297" w:lineRule="auto"/>
        <w:rPr>
          <w:sz w:val="20"/>
          <w:szCs w:val="20"/>
          <w:color w:val="auto"/>
        </w:rPr>
      </w:pPr>
      <w:r>
        <w:rPr>
          <w:rFonts w:ascii="Arial" w:cs="Arial" w:eastAsia="Arial" w:hAnsi="Arial"/>
          <w:sz w:val="16"/>
          <w:szCs w:val="16"/>
          <w:color w:val="auto"/>
        </w:rPr>
        <w:t>The risk-based capital ratios measure the adequacy of a bank’s capital against the riskiness of its assets and off-balance sheet activities. Failure to maintain adequate capital is a basis for “prompt corrective action” or other regulatory enforcement action. In assessing a bank’s capital adequacy, regulators also consider other factors such as interest rate risk exposure; liquidity, funding and market risks; quality and level of earnings; concentrations of credit, quality of loans and investments; risks of any nontraditional activities; effectiveness of bank policies; and management’s overall ability to monitor and control risks.</w:t>
      </w:r>
    </w:p>
    <w:p>
      <w:pPr>
        <w:spacing w:after="0" w:line="50"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At December 31, 2018, both we and the Bank met all the capital adequacy requirements to which we and the Bank were subject. At December 31, 2018, we and the Bank were “well capitalized” under the regulatory framework for prompt corrective action. Management believes that no conditions or events have occurred since December 31, 2018 that would materially adversely change such capital classifications. From time to time, we may need to raise additional capital to support our and the Bank’s further growth and to maintain our “well capitalized” status.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76" w:name="page77"/>
    <w:bookmarkEnd w:id="7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80" w:firstLine="360"/>
        <w:spacing w:after="0" w:line="259" w:lineRule="auto"/>
        <w:rPr>
          <w:sz w:val="20"/>
          <w:szCs w:val="20"/>
          <w:color w:val="auto"/>
        </w:rPr>
      </w:pPr>
      <w:r>
        <w:rPr>
          <w:rFonts w:ascii="Arial" w:cs="Arial" w:eastAsia="Arial" w:hAnsi="Arial"/>
          <w:sz w:val="18"/>
          <w:szCs w:val="18"/>
          <w:color w:val="auto"/>
        </w:rPr>
        <w:t>The table below also summarizes the capital requirements applicable to us and the Bank in order to be considered “well-capitalized” from a regulatory perspective, as well as our and the Bank’s capital ratios as of December 31, 2018 and December 31, 2017. We and the Bank exceeded all regulatory capital requirements under Basel III and the Bank was considered to be “well-capitalized” as of the dates reflected in the table below.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Regulatory</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5"/>
              </w:rPr>
              <w:t>Capital Ratio</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2"/>
              </w:rPr>
              <w:t>Requirements,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5"/>
              </w:rPr>
              <w:t>Regulatory</w:t>
            </w:r>
          </w:p>
        </w:tc>
        <w:tc>
          <w:tcPr>
            <w:tcW w:w="16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Minimum</w:t>
            </w:r>
          </w:p>
        </w:tc>
        <w:tc>
          <w:tcPr>
            <w:tcW w:w="15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4"/>
              </w:rPr>
              <w:t>including fully</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5"/>
              </w:rPr>
              <w:t>Capital Ratio</w:t>
            </w:r>
          </w:p>
        </w:tc>
        <w:tc>
          <w:tcPr>
            <w:tcW w:w="16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To be Considered</w:t>
            </w:r>
          </w:p>
        </w:tc>
        <w:tc>
          <w:tcPr>
            <w:tcW w:w="15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phased in Capital</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4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w w:val="93"/>
              </w:rPr>
              <w:t>Actual</w:t>
            </w:r>
          </w:p>
        </w:tc>
        <w:tc>
          <w:tcPr>
            <w:tcW w:w="5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Requirements</w:t>
            </w:r>
          </w:p>
        </w:tc>
        <w:tc>
          <w:tcPr>
            <w:tcW w:w="180" w:type="dxa"/>
            <w:vAlign w:val="bottom"/>
          </w:tcPr>
          <w:p>
            <w:pPr>
              <w:spacing w:after="0"/>
              <w:rPr>
                <w:sz w:val="16"/>
                <w:szCs w:val="16"/>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“Well Capitalized”</w:t>
            </w:r>
          </w:p>
        </w:tc>
        <w:tc>
          <w:tcPr>
            <w:tcW w:w="180" w:type="dxa"/>
            <w:vAlign w:val="bottom"/>
          </w:tcPr>
          <w:p>
            <w:pPr>
              <w:spacing w:after="0"/>
              <w:rPr>
                <w:sz w:val="16"/>
                <w:szCs w:val="16"/>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Conservation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5"/>
                <w:szCs w:val="15"/>
                <w:color w:val="auto"/>
              </w:rPr>
            </w:pPr>
          </w:p>
        </w:tc>
        <w:tc>
          <w:tcPr>
            <w:tcW w:w="5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Ratio</w:t>
            </w:r>
          </w:p>
        </w:tc>
        <w:tc>
          <w:tcPr>
            <w:tcW w:w="180" w:type="dxa"/>
            <w:vAlign w:val="bottom"/>
          </w:tcPr>
          <w:p>
            <w:pPr>
              <w:spacing w:after="0"/>
              <w:rPr>
                <w:sz w:val="15"/>
                <w:szCs w:val="15"/>
                <w:color w:val="auto"/>
              </w:rPr>
            </w:pPr>
          </w:p>
        </w:tc>
        <w:tc>
          <w:tcPr>
            <w:tcW w:w="7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5"/>
                <w:szCs w:val="15"/>
                <w:color w:val="auto"/>
              </w:rPr>
            </w:pPr>
          </w:p>
        </w:tc>
        <w:tc>
          <w:tcPr>
            <w:tcW w:w="4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Ratio</w:t>
            </w:r>
          </w:p>
        </w:tc>
        <w:tc>
          <w:tcPr>
            <w:tcW w:w="180" w:type="dxa"/>
            <w:vAlign w:val="bottom"/>
          </w:tcPr>
          <w:p>
            <w:pPr>
              <w:spacing w:after="0"/>
              <w:rPr>
                <w:sz w:val="15"/>
                <w:szCs w:val="15"/>
                <w:color w:val="auto"/>
              </w:rPr>
            </w:pPr>
          </w:p>
        </w:tc>
        <w:tc>
          <w:tcPr>
            <w:tcW w:w="7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Ratio</w:t>
            </w:r>
          </w:p>
        </w:tc>
        <w:tc>
          <w:tcPr>
            <w:tcW w:w="180" w:type="dxa"/>
            <w:vAlign w:val="bottom"/>
          </w:tcPr>
          <w:p>
            <w:pPr>
              <w:spacing w:after="0"/>
              <w:rPr>
                <w:sz w:val="15"/>
                <w:szCs w:val="15"/>
                <w:color w:val="auto"/>
              </w:rPr>
            </w:pP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5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Ratio</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2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w w:val="97"/>
              </w:rPr>
              <w:t>(Dollars in thousands)</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 of December 31, 2018</w:t>
            </w:r>
            <w:r>
              <w:rPr>
                <w:rFonts w:ascii="Arial" w:cs="Arial" w:eastAsia="Arial" w:hAnsi="Arial"/>
                <w:sz w:val="18"/>
                <w:szCs w:val="18"/>
                <w:color w:val="auto"/>
              </w:rPr>
              <w:t>:</w:t>
            </w: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auto"/>
            </w:tcBorders>
            <w:vMerge w:val="restart"/>
          </w:tcPr>
          <w:p>
            <w:pPr>
              <w:spacing w:after="0"/>
              <w:rPr>
                <w:sz w:val="2"/>
                <w:szCs w:val="2"/>
                <w:color w:val="auto"/>
              </w:rPr>
            </w:pPr>
          </w:p>
        </w:tc>
        <w:tc>
          <w:tcPr>
            <w:tcW w:w="1860" w:type="dxa"/>
            <w:vAlign w:val="bottom"/>
            <w:tcBorders>
              <w:top w:val="single" w:sz="8" w:color="auto"/>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Total capital (to risk-weighted assets)</w:t>
            </w: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Consolidated</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$ 309,798</w:t>
            </w:r>
          </w:p>
        </w:tc>
        <w:tc>
          <w:tcPr>
            <w:tcW w:w="1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$ 214,301</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$ 227,864</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gridSpan w:val="2"/>
          </w:tcPr>
          <w:p>
            <w:pPr>
              <w:ind w:left="160"/>
              <w:spacing w:after="0"/>
              <w:rPr>
                <w:sz w:val="20"/>
                <w:szCs w:val="20"/>
                <w:color w:val="auto"/>
              </w:rPr>
            </w:pPr>
            <w:r>
              <w:rPr>
                <w:rFonts w:ascii="Arial" w:cs="Arial" w:eastAsia="Arial" w:hAnsi="Arial"/>
                <w:sz w:val="18"/>
                <w:szCs w:val="18"/>
                <w:color w:val="auto"/>
              </w:rPr>
              <w:t>Bank</w:t>
            </w:r>
          </w:p>
        </w:tc>
        <w:tc>
          <w:tcPr>
            <w:tcW w:w="760" w:type="dxa"/>
            <w:vAlign w:val="bottom"/>
          </w:tcPr>
          <w:p>
            <w:pPr>
              <w:jc w:val="right"/>
              <w:spacing w:after="0"/>
              <w:rPr>
                <w:sz w:val="20"/>
                <w:szCs w:val="20"/>
                <w:color w:val="auto"/>
              </w:rPr>
            </w:pPr>
            <w:r>
              <w:rPr>
                <w:rFonts w:ascii="Arial" w:cs="Arial" w:eastAsia="Arial" w:hAnsi="Arial"/>
                <w:sz w:val="18"/>
                <w:szCs w:val="18"/>
                <w:color w:val="auto"/>
              </w:rPr>
              <w:t>294,572</w:t>
            </w:r>
          </w:p>
        </w:tc>
        <w:tc>
          <w:tcPr>
            <w:tcW w:w="18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760" w:type="dxa"/>
            <w:vAlign w:val="bottom"/>
          </w:tcPr>
          <w:p>
            <w:pPr>
              <w:jc w:val="right"/>
              <w:spacing w:after="0"/>
              <w:rPr>
                <w:sz w:val="20"/>
                <w:szCs w:val="20"/>
                <w:color w:val="auto"/>
              </w:rPr>
            </w:pPr>
            <w:r>
              <w:rPr>
                <w:rFonts w:ascii="Arial" w:cs="Arial" w:eastAsia="Arial" w:hAnsi="Arial"/>
                <w:sz w:val="18"/>
                <w:szCs w:val="18"/>
                <w:color w:val="auto"/>
              </w:rPr>
              <w:t>214,246</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9.9%</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$ 216,958</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10.0%</w:t>
            </w:r>
          </w:p>
        </w:tc>
        <w:tc>
          <w:tcPr>
            <w:tcW w:w="780" w:type="dxa"/>
            <w:vAlign w:val="bottom"/>
          </w:tcPr>
          <w:p>
            <w:pPr>
              <w:jc w:val="right"/>
              <w:spacing w:after="0"/>
              <w:rPr>
                <w:sz w:val="20"/>
                <w:szCs w:val="20"/>
                <w:color w:val="auto"/>
              </w:rPr>
            </w:pPr>
            <w:r>
              <w:rPr>
                <w:rFonts w:ascii="Arial" w:cs="Arial" w:eastAsia="Arial" w:hAnsi="Arial"/>
                <w:sz w:val="18"/>
                <w:szCs w:val="18"/>
                <w:color w:val="auto"/>
              </w:rPr>
              <w:t>227,806</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Tier 1 capital (to risk-weighted assets)</w:t>
            </w:r>
          </w:p>
        </w:tc>
        <w:tc>
          <w:tcPr>
            <w:tcW w:w="7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60" w:type="dxa"/>
            <w:vAlign w:val="bottom"/>
            <w:gridSpan w:val="2"/>
          </w:tcPr>
          <w:p>
            <w:pPr>
              <w:ind w:left="160"/>
              <w:spacing w:after="0"/>
              <w:rPr>
                <w:sz w:val="20"/>
                <w:szCs w:val="20"/>
                <w:color w:val="auto"/>
              </w:rPr>
            </w:pPr>
            <w:r>
              <w:rPr>
                <w:rFonts w:ascii="Arial" w:cs="Arial" w:eastAsia="Arial" w:hAnsi="Arial"/>
                <w:sz w:val="18"/>
                <w:szCs w:val="18"/>
                <w:color w:val="auto"/>
              </w:rPr>
              <w:t>Consolidated</w:t>
            </w:r>
          </w:p>
        </w:tc>
        <w:tc>
          <w:tcPr>
            <w:tcW w:w="760" w:type="dxa"/>
            <w:vAlign w:val="bottom"/>
          </w:tcPr>
          <w:p>
            <w:pPr>
              <w:jc w:val="right"/>
              <w:spacing w:after="0"/>
              <w:rPr>
                <w:sz w:val="20"/>
                <w:szCs w:val="20"/>
                <w:color w:val="auto"/>
              </w:rPr>
            </w:pPr>
            <w:r>
              <w:rPr>
                <w:rFonts w:ascii="Arial" w:cs="Arial" w:eastAsia="Arial" w:hAnsi="Arial"/>
                <w:sz w:val="18"/>
                <w:szCs w:val="18"/>
                <w:color w:val="auto"/>
              </w:rPr>
              <w:t>260,020</w:t>
            </w:r>
          </w:p>
        </w:tc>
        <w:tc>
          <w:tcPr>
            <w:tcW w:w="18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c>
          <w:tcPr>
            <w:tcW w:w="760" w:type="dxa"/>
            <w:vAlign w:val="bottom"/>
          </w:tcPr>
          <w:p>
            <w:pPr>
              <w:jc w:val="right"/>
              <w:spacing w:after="0"/>
              <w:rPr>
                <w:sz w:val="20"/>
                <w:szCs w:val="20"/>
                <w:color w:val="auto"/>
              </w:rPr>
            </w:pPr>
            <w:r>
              <w:rPr>
                <w:rFonts w:ascii="Arial" w:cs="Arial" w:eastAsia="Arial" w:hAnsi="Arial"/>
                <w:sz w:val="18"/>
                <w:szCs w:val="18"/>
                <w:color w:val="auto"/>
              </w:rPr>
              <w:t>170,898</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7.9%</w:t>
            </w:r>
          </w:p>
        </w:tc>
        <w:tc>
          <w:tcPr>
            <w:tcW w:w="780" w:type="dxa"/>
            <w:vAlign w:val="bottom"/>
          </w:tcPr>
          <w:p>
            <w:pPr>
              <w:jc w:val="right"/>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20"/>
                <w:szCs w:val="20"/>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780" w:type="dxa"/>
            <w:vAlign w:val="bottom"/>
          </w:tcPr>
          <w:p>
            <w:pPr>
              <w:jc w:val="right"/>
              <w:spacing w:after="0"/>
              <w:rPr>
                <w:sz w:val="20"/>
                <w:szCs w:val="20"/>
                <w:color w:val="auto"/>
              </w:rPr>
            </w:pPr>
            <w:r>
              <w:rPr>
                <w:rFonts w:ascii="Arial" w:cs="Arial" w:eastAsia="Arial" w:hAnsi="Arial"/>
                <w:sz w:val="18"/>
                <w:szCs w:val="18"/>
                <w:color w:val="auto"/>
              </w:rPr>
              <w:t>184,462</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Bank</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271,266</w:t>
            </w:r>
          </w:p>
        </w:tc>
        <w:tc>
          <w:tcPr>
            <w:tcW w:w="1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170,855</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173,567</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184,415</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CET 1 capital (to risk-weighted assets)</w:t>
            </w: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Consolidated</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215,020</w:t>
            </w:r>
          </w:p>
        </w:tc>
        <w:tc>
          <w:tcPr>
            <w:tcW w:w="1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138,346</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151,910</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gridSpan w:val="2"/>
          </w:tcPr>
          <w:p>
            <w:pPr>
              <w:ind w:left="160"/>
              <w:spacing w:after="0"/>
              <w:rPr>
                <w:sz w:val="20"/>
                <w:szCs w:val="20"/>
                <w:color w:val="auto"/>
              </w:rPr>
            </w:pPr>
            <w:r>
              <w:rPr>
                <w:rFonts w:ascii="Arial" w:cs="Arial" w:eastAsia="Arial" w:hAnsi="Arial"/>
                <w:sz w:val="18"/>
                <w:szCs w:val="18"/>
                <w:color w:val="auto"/>
              </w:rPr>
              <w:t>Bank</w:t>
            </w:r>
          </w:p>
        </w:tc>
        <w:tc>
          <w:tcPr>
            <w:tcW w:w="760" w:type="dxa"/>
            <w:vAlign w:val="bottom"/>
          </w:tcPr>
          <w:p>
            <w:pPr>
              <w:jc w:val="right"/>
              <w:spacing w:after="0"/>
              <w:rPr>
                <w:sz w:val="20"/>
                <w:szCs w:val="20"/>
                <w:color w:val="auto"/>
              </w:rPr>
            </w:pPr>
            <w:r>
              <w:rPr>
                <w:rFonts w:ascii="Arial" w:cs="Arial" w:eastAsia="Arial" w:hAnsi="Arial"/>
                <w:sz w:val="18"/>
                <w:szCs w:val="18"/>
                <w:color w:val="auto"/>
              </w:rPr>
              <w:t>271,266</w:t>
            </w:r>
          </w:p>
        </w:tc>
        <w:tc>
          <w:tcPr>
            <w:tcW w:w="18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760" w:type="dxa"/>
            <w:vAlign w:val="bottom"/>
          </w:tcPr>
          <w:p>
            <w:pPr>
              <w:jc w:val="right"/>
              <w:spacing w:after="0"/>
              <w:rPr>
                <w:sz w:val="20"/>
                <w:szCs w:val="20"/>
                <w:color w:val="auto"/>
              </w:rPr>
            </w:pPr>
            <w:r>
              <w:rPr>
                <w:rFonts w:ascii="Arial" w:cs="Arial" w:eastAsia="Arial" w:hAnsi="Arial"/>
                <w:sz w:val="18"/>
                <w:szCs w:val="18"/>
                <w:color w:val="auto"/>
              </w:rPr>
              <w:t>138,311</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6.4%</w:t>
            </w:r>
          </w:p>
        </w:tc>
        <w:tc>
          <w:tcPr>
            <w:tcW w:w="780" w:type="dxa"/>
            <w:vAlign w:val="bottom"/>
          </w:tcPr>
          <w:p>
            <w:pPr>
              <w:jc w:val="right"/>
              <w:spacing w:after="0"/>
              <w:rPr>
                <w:sz w:val="20"/>
                <w:szCs w:val="20"/>
                <w:color w:val="auto"/>
              </w:rPr>
            </w:pPr>
            <w:r>
              <w:rPr>
                <w:rFonts w:ascii="Arial" w:cs="Arial" w:eastAsia="Arial" w:hAnsi="Arial"/>
                <w:sz w:val="18"/>
                <w:szCs w:val="18"/>
                <w:color w:val="auto"/>
              </w:rPr>
              <w:t>141,023</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6.5%</w:t>
            </w:r>
          </w:p>
        </w:tc>
        <w:tc>
          <w:tcPr>
            <w:tcW w:w="780" w:type="dxa"/>
            <w:vAlign w:val="bottom"/>
          </w:tcPr>
          <w:p>
            <w:pPr>
              <w:jc w:val="right"/>
              <w:spacing w:after="0"/>
              <w:rPr>
                <w:sz w:val="20"/>
                <w:szCs w:val="20"/>
                <w:color w:val="auto"/>
              </w:rPr>
            </w:pPr>
            <w:r>
              <w:rPr>
                <w:rFonts w:ascii="Arial" w:cs="Arial" w:eastAsia="Arial" w:hAnsi="Arial"/>
                <w:sz w:val="18"/>
                <w:szCs w:val="18"/>
                <w:color w:val="auto"/>
              </w:rPr>
              <w:t>151,871</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Tier 1 capital (to average assets)</w:t>
            </w:r>
          </w:p>
        </w:tc>
        <w:tc>
          <w:tcPr>
            <w:tcW w:w="7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60" w:type="dxa"/>
            <w:vAlign w:val="bottom"/>
            <w:gridSpan w:val="2"/>
          </w:tcPr>
          <w:p>
            <w:pPr>
              <w:ind w:left="160"/>
              <w:spacing w:after="0"/>
              <w:rPr>
                <w:sz w:val="20"/>
                <w:szCs w:val="20"/>
                <w:color w:val="auto"/>
              </w:rPr>
            </w:pPr>
            <w:r>
              <w:rPr>
                <w:rFonts w:ascii="Arial" w:cs="Arial" w:eastAsia="Arial" w:hAnsi="Arial"/>
                <w:sz w:val="18"/>
                <w:szCs w:val="18"/>
                <w:color w:val="auto"/>
              </w:rPr>
              <w:t>Consolidated</w:t>
            </w:r>
          </w:p>
        </w:tc>
        <w:tc>
          <w:tcPr>
            <w:tcW w:w="760" w:type="dxa"/>
            <w:vAlign w:val="bottom"/>
          </w:tcPr>
          <w:p>
            <w:pPr>
              <w:jc w:val="right"/>
              <w:spacing w:after="0"/>
              <w:rPr>
                <w:sz w:val="20"/>
                <w:szCs w:val="20"/>
                <w:color w:val="auto"/>
              </w:rPr>
            </w:pPr>
            <w:r>
              <w:rPr>
                <w:rFonts w:ascii="Arial" w:cs="Arial" w:eastAsia="Arial" w:hAnsi="Arial"/>
                <w:sz w:val="18"/>
                <w:szCs w:val="18"/>
                <w:color w:val="auto"/>
              </w:rPr>
              <w:t>260,020</w:t>
            </w:r>
          </w:p>
        </w:tc>
        <w:tc>
          <w:tcPr>
            <w:tcW w:w="18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760" w:type="dxa"/>
            <w:vAlign w:val="bottom"/>
          </w:tcPr>
          <w:p>
            <w:pPr>
              <w:jc w:val="right"/>
              <w:spacing w:after="0"/>
              <w:rPr>
                <w:sz w:val="20"/>
                <w:szCs w:val="20"/>
                <w:color w:val="auto"/>
              </w:rPr>
            </w:pPr>
            <w:r>
              <w:rPr>
                <w:rFonts w:ascii="Arial" w:cs="Arial" w:eastAsia="Arial" w:hAnsi="Arial"/>
                <w:sz w:val="18"/>
                <w:szCs w:val="18"/>
                <w:color w:val="auto"/>
              </w:rPr>
              <w:t>108,033</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4.0%</w:t>
            </w:r>
          </w:p>
        </w:tc>
        <w:tc>
          <w:tcPr>
            <w:tcW w:w="780" w:type="dxa"/>
            <w:vAlign w:val="bottom"/>
          </w:tcPr>
          <w:p>
            <w:pPr>
              <w:jc w:val="right"/>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20"/>
                <w:szCs w:val="20"/>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780" w:type="dxa"/>
            <w:vAlign w:val="bottom"/>
          </w:tcPr>
          <w:p>
            <w:pPr>
              <w:jc w:val="right"/>
              <w:spacing w:after="0"/>
              <w:rPr>
                <w:sz w:val="20"/>
                <w:szCs w:val="20"/>
                <w:color w:val="auto"/>
              </w:rPr>
            </w:pPr>
            <w:r>
              <w:rPr>
                <w:rFonts w:ascii="Arial" w:cs="Arial" w:eastAsia="Arial" w:hAnsi="Arial"/>
                <w:sz w:val="18"/>
                <w:szCs w:val="18"/>
                <w:color w:val="auto"/>
              </w:rPr>
              <w:t>108,033</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Bank</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271,266</w:t>
            </w:r>
          </w:p>
        </w:tc>
        <w:tc>
          <w:tcPr>
            <w:tcW w:w="1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107,940</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134,925</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107,940</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Regulatory</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5"/>
              </w:rPr>
              <w:t>Capital Ratio</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2"/>
              </w:rPr>
              <w:t>Requirements,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5"/>
              </w:rPr>
              <w:t>Regulatory</w:t>
            </w:r>
          </w:p>
        </w:tc>
        <w:tc>
          <w:tcPr>
            <w:tcW w:w="16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Minimum</w:t>
            </w:r>
          </w:p>
        </w:tc>
        <w:tc>
          <w:tcPr>
            <w:tcW w:w="15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4"/>
              </w:rPr>
              <w:t>including fully</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5"/>
              </w:rPr>
              <w:t>Capital Ratio</w:t>
            </w:r>
          </w:p>
        </w:tc>
        <w:tc>
          <w:tcPr>
            <w:tcW w:w="16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To be Considered</w:t>
            </w:r>
          </w:p>
        </w:tc>
        <w:tc>
          <w:tcPr>
            <w:tcW w:w="15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phased in Capital</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4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w w:val="93"/>
              </w:rPr>
              <w:t>Actual</w:t>
            </w:r>
          </w:p>
        </w:tc>
        <w:tc>
          <w:tcPr>
            <w:tcW w:w="5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Requirements</w:t>
            </w:r>
          </w:p>
        </w:tc>
        <w:tc>
          <w:tcPr>
            <w:tcW w:w="180" w:type="dxa"/>
            <w:vAlign w:val="bottom"/>
          </w:tcPr>
          <w:p>
            <w:pPr>
              <w:spacing w:after="0"/>
              <w:rPr>
                <w:sz w:val="16"/>
                <w:szCs w:val="16"/>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“Well Capitalized”</w:t>
            </w:r>
          </w:p>
        </w:tc>
        <w:tc>
          <w:tcPr>
            <w:tcW w:w="180" w:type="dxa"/>
            <w:vAlign w:val="bottom"/>
          </w:tcPr>
          <w:p>
            <w:pPr>
              <w:spacing w:after="0"/>
              <w:rPr>
                <w:sz w:val="16"/>
                <w:szCs w:val="16"/>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Conservation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5"/>
                <w:szCs w:val="15"/>
                <w:color w:val="auto"/>
              </w:rPr>
            </w:pPr>
          </w:p>
        </w:tc>
        <w:tc>
          <w:tcPr>
            <w:tcW w:w="5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Ratio</w:t>
            </w:r>
          </w:p>
        </w:tc>
        <w:tc>
          <w:tcPr>
            <w:tcW w:w="180" w:type="dxa"/>
            <w:vAlign w:val="bottom"/>
          </w:tcPr>
          <w:p>
            <w:pPr>
              <w:spacing w:after="0"/>
              <w:rPr>
                <w:sz w:val="15"/>
                <w:szCs w:val="15"/>
                <w:color w:val="auto"/>
              </w:rPr>
            </w:pPr>
          </w:p>
        </w:tc>
        <w:tc>
          <w:tcPr>
            <w:tcW w:w="7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5"/>
                <w:szCs w:val="15"/>
                <w:color w:val="auto"/>
              </w:rPr>
            </w:pPr>
          </w:p>
        </w:tc>
        <w:tc>
          <w:tcPr>
            <w:tcW w:w="4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Ratio</w:t>
            </w:r>
          </w:p>
        </w:tc>
        <w:tc>
          <w:tcPr>
            <w:tcW w:w="180" w:type="dxa"/>
            <w:vAlign w:val="bottom"/>
          </w:tcPr>
          <w:p>
            <w:pPr>
              <w:spacing w:after="0"/>
              <w:rPr>
                <w:sz w:val="15"/>
                <w:szCs w:val="15"/>
                <w:color w:val="auto"/>
              </w:rPr>
            </w:pPr>
          </w:p>
        </w:tc>
        <w:tc>
          <w:tcPr>
            <w:tcW w:w="7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Ratio</w:t>
            </w:r>
          </w:p>
        </w:tc>
        <w:tc>
          <w:tcPr>
            <w:tcW w:w="180" w:type="dxa"/>
            <w:vAlign w:val="bottom"/>
          </w:tcPr>
          <w:p>
            <w:pPr>
              <w:spacing w:after="0"/>
              <w:rPr>
                <w:sz w:val="15"/>
                <w:szCs w:val="15"/>
                <w:color w:val="auto"/>
              </w:rPr>
            </w:pP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5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Ratio</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2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w w:val="97"/>
              </w:rPr>
              <w:t>(Dollars in thousands)</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 of December 31, 2017</w:t>
            </w:r>
            <w:r>
              <w:rPr>
                <w:rFonts w:ascii="Arial" w:cs="Arial" w:eastAsia="Arial" w:hAnsi="Arial"/>
                <w:sz w:val="18"/>
                <w:szCs w:val="18"/>
                <w:color w:val="auto"/>
              </w:rPr>
              <w:t>:</w:t>
            </w: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auto"/>
            </w:tcBorders>
            <w:vMerge w:val="restart"/>
          </w:tcPr>
          <w:p>
            <w:pPr>
              <w:spacing w:after="0"/>
              <w:rPr>
                <w:sz w:val="2"/>
                <w:szCs w:val="2"/>
                <w:color w:val="auto"/>
              </w:rPr>
            </w:pPr>
          </w:p>
        </w:tc>
        <w:tc>
          <w:tcPr>
            <w:tcW w:w="1860" w:type="dxa"/>
            <w:vAlign w:val="bottom"/>
            <w:tcBorders>
              <w:top w:val="single" w:sz="8" w:color="auto"/>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Total capital (to risk-weighted assets)</w:t>
            </w: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Consolidated</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$ 303,301</w:t>
            </w:r>
          </w:p>
        </w:tc>
        <w:tc>
          <w:tcPr>
            <w:tcW w:w="1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$ 185,220</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$ 210,250</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gridSpan w:val="2"/>
          </w:tcPr>
          <w:p>
            <w:pPr>
              <w:ind w:left="160"/>
              <w:spacing w:after="0"/>
              <w:rPr>
                <w:sz w:val="20"/>
                <w:szCs w:val="20"/>
                <w:color w:val="auto"/>
              </w:rPr>
            </w:pPr>
            <w:r>
              <w:rPr>
                <w:rFonts w:ascii="Arial" w:cs="Arial" w:eastAsia="Arial" w:hAnsi="Arial"/>
                <w:sz w:val="18"/>
                <w:szCs w:val="18"/>
                <w:color w:val="auto"/>
              </w:rPr>
              <w:t>Bank</w:t>
            </w:r>
          </w:p>
        </w:tc>
        <w:tc>
          <w:tcPr>
            <w:tcW w:w="760" w:type="dxa"/>
            <w:vAlign w:val="bottom"/>
          </w:tcPr>
          <w:p>
            <w:pPr>
              <w:jc w:val="right"/>
              <w:spacing w:after="0"/>
              <w:rPr>
                <w:sz w:val="20"/>
                <w:szCs w:val="20"/>
                <w:color w:val="auto"/>
              </w:rPr>
            </w:pPr>
            <w:r>
              <w:rPr>
                <w:rFonts w:ascii="Arial" w:cs="Arial" w:eastAsia="Arial" w:hAnsi="Arial"/>
                <w:sz w:val="18"/>
                <w:szCs w:val="18"/>
                <w:color w:val="auto"/>
              </w:rPr>
              <w:t>276,153</w:t>
            </w:r>
          </w:p>
        </w:tc>
        <w:tc>
          <w:tcPr>
            <w:tcW w:w="18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c>
          <w:tcPr>
            <w:tcW w:w="760" w:type="dxa"/>
            <w:vAlign w:val="bottom"/>
          </w:tcPr>
          <w:p>
            <w:pPr>
              <w:jc w:val="right"/>
              <w:spacing w:after="0"/>
              <w:rPr>
                <w:sz w:val="20"/>
                <w:szCs w:val="20"/>
                <w:color w:val="auto"/>
              </w:rPr>
            </w:pPr>
            <w:r>
              <w:rPr>
                <w:rFonts w:ascii="Arial" w:cs="Arial" w:eastAsia="Arial" w:hAnsi="Arial"/>
                <w:sz w:val="18"/>
                <w:szCs w:val="18"/>
                <w:color w:val="auto"/>
              </w:rPr>
              <w:t>184,982</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9.3%</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$ 199,980</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10.0%</w:t>
            </w:r>
          </w:p>
        </w:tc>
        <w:tc>
          <w:tcPr>
            <w:tcW w:w="780" w:type="dxa"/>
            <w:vAlign w:val="bottom"/>
          </w:tcPr>
          <w:p>
            <w:pPr>
              <w:jc w:val="right"/>
              <w:spacing w:after="0"/>
              <w:rPr>
                <w:sz w:val="20"/>
                <w:szCs w:val="20"/>
                <w:color w:val="auto"/>
              </w:rPr>
            </w:pPr>
            <w:r>
              <w:rPr>
                <w:rFonts w:ascii="Arial" w:cs="Arial" w:eastAsia="Arial" w:hAnsi="Arial"/>
                <w:sz w:val="18"/>
                <w:szCs w:val="18"/>
                <w:color w:val="auto"/>
              </w:rPr>
              <w:t>209,979</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Tier 1 capital (to risk-weighted assets)</w:t>
            </w:r>
          </w:p>
        </w:tc>
        <w:tc>
          <w:tcPr>
            <w:tcW w:w="7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60" w:type="dxa"/>
            <w:vAlign w:val="bottom"/>
            <w:gridSpan w:val="2"/>
          </w:tcPr>
          <w:p>
            <w:pPr>
              <w:ind w:left="160"/>
              <w:spacing w:after="0"/>
              <w:rPr>
                <w:sz w:val="20"/>
                <w:szCs w:val="20"/>
                <w:color w:val="auto"/>
              </w:rPr>
            </w:pPr>
            <w:r>
              <w:rPr>
                <w:rFonts w:ascii="Arial" w:cs="Arial" w:eastAsia="Arial" w:hAnsi="Arial"/>
                <w:sz w:val="18"/>
                <w:szCs w:val="18"/>
                <w:color w:val="auto"/>
              </w:rPr>
              <w:t>Consolidated</w:t>
            </w:r>
          </w:p>
        </w:tc>
        <w:tc>
          <w:tcPr>
            <w:tcW w:w="760" w:type="dxa"/>
            <w:vAlign w:val="bottom"/>
          </w:tcPr>
          <w:p>
            <w:pPr>
              <w:jc w:val="right"/>
              <w:spacing w:after="0"/>
              <w:rPr>
                <w:sz w:val="20"/>
                <w:szCs w:val="20"/>
                <w:color w:val="auto"/>
              </w:rPr>
            </w:pPr>
            <w:r>
              <w:rPr>
                <w:rFonts w:ascii="Arial" w:cs="Arial" w:eastAsia="Arial" w:hAnsi="Arial"/>
                <w:sz w:val="18"/>
                <w:szCs w:val="18"/>
                <w:color w:val="auto"/>
              </w:rPr>
              <w:t>260,773</w:t>
            </w:r>
          </w:p>
        </w:tc>
        <w:tc>
          <w:tcPr>
            <w:tcW w:w="18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760" w:type="dxa"/>
            <w:vAlign w:val="bottom"/>
          </w:tcPr>
          <w:p>
            <w:pPr>
              <w:jc w:val="right"/>
              <w:spacing w:after="0"/>
              <w:rPr>
                <w:sz w:val="20"/>
                <w:szCs w:val="20"/>
                <w:color w:val="auto"/>
              </w:rPr>
            </w:pPr>
            <w:r>
              <w:rPr>
                <w:rFonts w:ascii="Arial" w:cs="Arial" w:eastAsia="Arial" w:hAnsi="Arial"/>
                <w:sz w:val="18"/>
                <w:szCs w:val="18"/>
                <w:color w:val="auto"/>
              </w:rPr>
              <w:t>145,173</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7.3%</w:t>
            </w:r>
          </w:p>
        </w:tc>
        <w:tc>
          <w:tcPr>
            <w:tcW w:w="780" w:type="dxa"/>
            <w:vAlign w:val="bottom"/>
          </w:tcPr>
          <w:p>
            <w:pPr>
              <w:jc w:val="right"/>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20"/>
                <w:szCs w:val="20"/>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780" w:type="dxa"/>
            <w:vAlign w:val="bottom"/>
          </w:tcPr>
          <w:p>
            <w:pPr>
              <w:jc w:val="right"/>
              <w:spacing w:after="0"/>
              <w:rPr>
                <w:sz w:val="20"/>
                <w:szCs w:val="20"/>
                <w:color w:val="auto"/>
              </w:rPr>
            </w:pPr>
            <w:r>
              <w:rPr>
                <w:rFonts w:ascii="Arial" w:cs="Arial" w:eastAsia="Arial" w:hAnsi="Arial"/>
                <w:sz w:val="18"/>
                <w:szCs w:val="18"/>
                <w:color w:val="auto"/>
              </w:rPr>
              <w:t>170,202</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Bank</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254,512</w:t>
            </w:r>
          </w:p>
        </w:tc>
        <w:tc>
          <w:tcPr>
            <w:tcW w:w="1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144,986</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159,984</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169,983</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CET 1 capital (to risk-weighted assets)</w:t>
            </w: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Consolidated</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215,773</w:t>
            </w:r>
          </w:p>
        </w:tc>
        <w:tc>
          <w:tcPr>
            <w:tcW w:w="1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115,137</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140,167</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gridSpan w:val="2"/>
          </w:tcPr>
          <w:p>
            <w:pPr>
              <w:ind w:left="160"/>
              <w:spacing w:after="0"/>
              <w:rPr>
                <w:sz w:val="20"/>
                <w:szCs w:val="20"/>
                <w:color w:val="auto"/>
              </w:rPr>
            </w:pPr>
            <w:r>
              <w:rPr>
                <w:rFonts w:ascii="Arial" w:cs="Arial" w:eastAsia="Arial" w:hAnsi="Arial"/>
                <w:sz w:val="18"/>
                <w:szCs w:val="18"/>
                <w:color w:val="auto"/>
              </w:rPr>
              <w:t>Bank</w:t>
            </w:r>
          </w:p>
        </w:tc>
        <w:tc>
          <w:tcPr>
            <w:tcW w:w="760" w:type="dxa"/>
            <w:vAlign w:val="bottom"/>
          </w:tcPr>
          <w:p>
            <w:pPr>
              <w:jc w:val="right"/>
              <w:spacing w:after="0"/>
              <w:rPr>
                <w:sz w:val="20"/>
                <w:szCs w:val="20"/>
                <w:color w:val="auto"/>
              </w:rPr>
            </w:pPr>
            <w:r>
              <w:rPr>
                <w:rFonts w:ascii="Arial" w:cs="Arial" w:eastAsia="Arial" w:hAnsi="Arial"/>
                <w:sz w:val="18"/>
                <w:szCs w:val="18"/>
                <w:color w:val="auto"/>
              </w:rPr>
              <w:t>254,512</w:t>
            </w:r>
          </w:p>
        </w:tc>
        <w:tc>
          <w:tcPr>
            <w:tcW w:w="18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760" w:type="dxa"/>
            <w:vAlign w:val="bottom"/>
          </w:tcPr>
          <w:p>
            <w:pPr>
              <w:jc w:val="right"/>
              <w:spacing w:after="0"/>
              <w:rPr>
                <w:sz w:val="20"/>
                <w:szCs w:val="20"/>
                <w:color w:val="auto"/>
              </w:rPr>
            </w:pPr>
            <w:r>
              <w:rPr>
                <w:rFonts w:ascii="Arial" w:cs="Arial" w:eastAsia="Arial" w:hAnsi="Arial"/>
                <w:sz w:val="18"/>
                <w:szCs w:val="18"/>
                <w:color w:val="auto"/>
              </w:rPr>
              <w:t>114,989</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5.8%</w:t>
            </w:r>
          </w:p>
        </w:tc>
        <w:tc>
          <w:tcPr>
            <w:tcW w:w="780" w:type="dxa"/>
            <w:vAlign w:val="bottom"/>
          </w:tcPr>
          <w:p>
            <w:pPr>
              <w:jc w:val="right"/>
              <w:spacing w:after="0"/>
              <w:rPr>
                <w:sz w:val="20"/>
                <w:szCs w:val="20"/>
                <w:color w:val="auto"/>
              </w:rPr>
            </w:pPr>
            <w:r>
              <w:rPr>
                <w:rFonts w:ascii="Arial" w:cs="Arial" w:eastAsia="Arial" w:hAnsi="Arial"/>
                <w:sz w:val="18"/>
                <w:szCs w:val="18"/>
                <w:color w:val="auto"/>
              </w:rPr>
              <w:t>129,987</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6.5%</w:t>
            </w:r>
          </w:p>
        </w:tc>
        <w:tc>
          <w:tcPr>
            <w:tcW w:w="780" w:type="dxa"/>
            <w:vAlign w:val="bottom"/>
          </w:tcPr>
          <w:p>
            <w:pPr>
              <w:jc w:val="right"/>
              <w:spacing w:after="0"/>
              <w:rPr>
                <w:sz w:val="20"/>
                <w:szCs w:val="20"/>
                <w:color w:val="auto"/>
              </w:rPr>
            </w:pPr>
            <w:r>
              <w:rPr>
                <w:rFonts w:ascii="Arial" w:cs="Arial" w:eastAsia="Arial" w:hAnsi="Arial"/>
                <w:sz w:val="18"/>
                <w:szCs w:val="18"/>
                <w:color w:val="auto"/>
              </w:rPr>
              <w:t>139,986</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Tier 1 capital (to average assets)</w:t>
            </w:r>
          </w:p>
        </w:tc>
        <w:tc>
          <w:tcPr>
            <w:tcW w:w="7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60" w:type="dxa"/>
            <w:vAlign w:val="bottom"/>
            <w:gridSpan w:val="2"/>
          </w:tcPr>
          <w:p>
            <w:pPr>
              <w:ind w:left="160"/>
              <w:spacing w:after="0"/>
              <w:rPr>
                <w:sz w:val="20"/>
                <w:szCs w:val="20"/>
                <w:color w:val="auto"/>
              </w:rPr>
            </w:pPr>
            <w:r>
              <w:rPr>
                <w:rFonts w:ascii="Arial" w:cs="Arial" w:eastAsia="Arial" w:hAnsi="Arial"/>
                <w:sz w:val="18"/>
                <w:szCs w:val="18"/>
                <w:color w:val="auto"/>
              </w:rPr>
              <w:t>Consolidated</w:t>
            </w:r>
          </w:p>
        </w:tc>
        <w:tc>
          <w:tcPr>
            <w:tcW w:w="760" w:type="dxa"/>
            <w:vAlign w:val="bottom"/>
          </w:tcPr>
          <w:p>
            <w:pPr>
              <w:jc w:val="right"/>
              <w:spacing w:after="0"/>
              <w:rPr>
                <w:sz w:val="20"/>
                <w:szCs w:val="20"/>
                <w:color w:val="auto"/>
              </w:rPr>
            </w:pPr>
            <w:r>
              <w:rPr>
                <w:rFonts w:ascii="Arial" w:cs="Arial" w:eastAsia="Arial" w:hAnsi="Arial"/>
                <w:sz w:val="18"/>
                <w:szCs w:val="18"/>
                <w:color w:val="auto"/>
              </w:rPr>
              <w:t>260,773</w:t>
            </w:r>
          </w:p>
        </w:tc>
        <w:tc>
          <w:tcPr>
            <w:tcW w:w="18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760" w:type="dxa"/>
            <w:vAlign w:val="bottom"/>
          </w:tcPr>
          <w:p>
            <w:pPr>
              <w:jc w:val="right"/>
              <w:spacing w:after="0"/>
              <w:rPr>
                <w:sz w:val="20"/>
                <w:szCs w:val="20"/>
                <w:color w:val="auto"/>
              </w:rPr>
            </w:pPr>
            <w:r>
              <w:rPr>
                <w:rFonts w:ascii="Arial" w:cs="Arial" w:eastAsia="Arial" w:hAnsi="Arial"/>
                <w:sz w:val="18"/>
                <w:szCs w:val="18"/>
                <w:color w:val="auto"/>
              </w:rPr>
              <w:t>103,643</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4.0%</w:t>
            </w:r>
          </w:p>
        </w:tc>
        <w:tc>
          <w:tcPr>
            <w:tcW w:w="780" w:type="dxa"/>
            <w:vAlign w:val="bottom"/>
          </w:tcPr>
          <w:p>
            <w:pPr>
              <w:jc w:val="right"/>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20"/>
                <w:szCs w:val="20"/>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780" w:type="dxa"/>
            <w:vAlign w:val="bottom"/>
          </w:tcPr>
          <w:p>
            <w:pPr>
              <w:jc w:val="right"/>
              <w:spacing w:after="0"/>
              <w:rPr>
                <w:sz w:val="20"/>
                <w:szCs w:val="20"/>
                <w:color w:val="auto"/>
              </w:rPr>
            </w:pPr>
            <w:r>
              <w:rPr>
                <w:rFonts w:ascii="Arial" w:cs="Arial" w:eastAsia="Arial" w:hAnsi="Arial"/>
                <w:sz w:val="18"/>
                <w:szCs w:val="18"/>
                <w:color w:val="auto"/>
              </w:rPr>
              <w:t>103,643</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Bank</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254,512</w:t>
            </w:r>
          </w:p>
        </w:tc>
        <w:tc>
          <w:tcPr>
            <w:tcW w:w="1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103,484</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129,355</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103,484</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3"/>
          </w:tcPr>
          <w:p>
            <w:pPr>
              <w:jc w:val="right"/>
              <w:ind w:right="616"/>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860" w:type="dxa"/>
            <w:vAlign w:val="bottom"/>
            <w:shd w:val="clear" w:color="auto" w:fill="000000"/>
          </w:tcPr>
          <w:p>
            <w:pPr>
              <w:spacing w:after="0"/>
              <w:rPr>
                <w:sz w:val="5"/>
                <w:szCs w:val="5"/>
                <w:color w:val="auto"/>
              </w:rPr>
            </w:pPr>
          </w:p>
        </w:tc>
        <w:tc>
          <w:tcPr>
            <w:tcW w:w="1300" w:type="dxa"/>
            <w:vAlign w:val="bottom"/>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50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50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5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9" w:right="1159" w:bottom="1440" w:gutter="0" w:footer="0" w:header="0"/>
        </w:sectPr>
      </w:pPr>
    </w:p>
    <w:bookmarkStart w:id="77" w:name="page78"/>
    <w:bookmarkEnd w:id="7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tables contain supplemental information regarding our total contractual obligations at December 31, 2018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9"/>
          </w:tcPr>
          <w:p>
            <w:pPr>
              <w:jc w:val="center"/>
              <w:ind w:right="73"/>
              <w:spacing w:after="0"/>
              <w:rPr>
                <w:sz w:val="20"/>
                <w:szCs w:val="20"/>
                <w:color w:val="auto"/>
              </w:rPr>
            </w:pPr>
            <w:r>
              <w:rPr>
                <w:rFonts w:ascii="Arial" w:cs="Arial" w:eastAsia="Arial" w:hAnsi="Arial"/>
                <w:sz w:val="14"/>
                <w:szCs w:val="14"/>
                <w:b w:val="1"/>
                <w:bCs w:val="1"/>
                <w:color w:val="auto"/>
                <w:w w:val="92"/>
              </w:rPr>
              <w:t>Payments Due at December 31, 2018</w:t>
            </w: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4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Within</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center"/>
              <w:ind w:right="95"/>
              <w:spacing w:after="0"/>
              <w:rPr>
                <w:sz w:val="20"/>
                <w:szCs w:val="20"/>
                <w:color w:val="auto"/>
              </w:rPr>
            </w:pPr>
            <w:r>
              <w:rPr>
                <w:rFonts w:ascii="Arial" w:cs="Arial" w:eastAsia="Arial" w:hAnsi="Arial"/>
                <w:sz w:val="14"/>
                <w:szCs w:val="14"/>
                <w:b w:val="1"/>
                <w:bCs w:val="1"/>
                <w:color w:val="auto"/>
                <w:w w:val="94"/>
              </w:rPr>
              <w:t>One to</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center"/>
              <w:ind w:right="12"/>
              <w:spacing w:after="0"/>
              <w:rPr>
                <w:sz w:val="20"/>
                <w:szCs w:val="20"/>
                <w:color w:val="auto"/>
              </w:rPr>
            </w:pPr>
            <w:r>
              <w:rPr>
                <w:rFonts w:ascii="Arial" w:cs="Arial" w:eastAsia="Arial" w:hAnsi="Arial"/>
                <w:sz w:val="14"/>
                <w:szCs w:val="14"/>
                <w:b w:val="1"/>
                <w:bCs w:val="1"/>
                <w:color w:val="auto"/>
                <w:w w:val="94"/>
              </w:rPr>
              <w:t>Three to</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After Five</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1"/>
        </w:trPr>
        <w:tc>
          <w:tcPr>
            <w:tcW w:w="4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4"/>
              </w:rPr>
              <w:t>One Year</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Three Years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Five Years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Years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196"/>
        </w:trPr>
        <w:tc>
          <w:tcPr>
            <w:tcW w:w="4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gridSpan w:val="8"/>
          </w:tcPr>
          <w:p>
            <w:pPr>
              <w:jc w:val="center"/>
              <w:ind w:left="375"/>
              <w:spacing w:after="0"/>
              <w:rPr>
                <w:sz w:val="20"/>
                <w:szCs w:val="20"/>
                <w:color w:val="auto"/>
              </w:rPr>
            </w:pPr>
            <w:r>
              <w:rPr>
                <w:rFonts w:ascii="Arial" w:cs="Arial" w:eastAsia="Arial" w:hAnsi="Arial"/>
                <w:sz w:val="14"/>
                <w:szCs w:val="14"/>
                <w:b w:val="1"/>
                <w:bCs w:val="1"/>
                <w:color w:val="auto"/>
                <w:w w:val="91"/>
              </w:rPr>
              <w:t>(Dollars in thousands)</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Time deposits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163,101</w:t>
            </w:r>
          </w:p>
        </w:tc>
        <w:tc>
          <w:tcPr>
            <w:tcW w:w="20" w:type="dxa"/>
            <w:vAlign w:val="bottom"/>
            <w:shd w:val="clear" w:color="auto" w:fill="CCEEFF"/>
          </w:tcPr>
          <w:p>
            <w:pPr>
              <w:spacing w:after="0"/>
              <w:rPr>
                <w:sz w:val="21"/>
                <w:szCs w:val="21"/>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53,737</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94,676</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311,537</w:t>
            </w:r>
          </w:p>
        </w:tc>
        <w:tc>
          <w:tcPr>
            <w:tcW w:w="100" w:type="dxa"/>
            <w:vAlign w:val="bottom"/>
            <w:shd w:val="clear" w:color="auto" w:fill="CCEEFF"/>
          </w:tcPr>
          <w:p>
            <w:pPr>
              <w:spacing w:after="0"/>
              <w:rPr>
                <w:sz w:val="21"/>
                <w:szCs w:val="2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Short-term borrowings</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17,705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17,705</w:t>
            </w:r>
          </w:p>
        </w:tc>
        <w:tc>
          <w:tcPr>
            <w:tcW w:w="100" w:type="dxa"/>
            <w:vAlign w:val="bottom"/>
          </w:tcPr>
          <w:p>
            <w:pPr>
              <w:spacing w:after="0"/>
              <w:rPr>
                <w:sz w:val="20"/>
                <w:szCs w:val="20"/>
                <w:color w:val="auto"/>
              </w:rPr>
            </w:pPr>
          </w:p>
        </w:tc>
      </w:tr>
      <w:tr>
        <w:trPr>
          <w:trHeight w:val="25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Notes payable and other long-term borrowings</w:t>
            </w:r>
          </w:p>
        </w:tc>
        <w:tc>
          <w:tcPr>
            <w:tcW w:w="12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00" w:type="dxa"/>
            <w:vAlign w:val="bottom"/>
            <w:shd w:val="clear" w:color="auto" w:fill="CCEEFF"/>
          </w:tcPr>
          <w:p>
            <w:pPr>
              <w:spacing w:after="0"/>
              <w:rPr>
                <w:sz w:val="22"/>
                <w:szCs w:val="22"/>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Subordinated debt securities</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7,530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26,472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34,002</w:t>
            </w:r>
          </w:p>
        </w:tc>
        <w:tc>
          <w:tcPr>
            <w:tcW w:w="100" w:type="dxa"/>
            <w:vAlign w:val="bottom"/>
          </w:tcPr>
          <w:p>
            <w:pPr>
              <w:spacing w:after="0"/>
              <w:rPr>
                <w:sz w:val="20"/>
                <w:szCs w:val="20"/>
                <w:color w:val="auto"/>
              </w:rPr>
            </w:pPr>
          </w:p>
        </w:tc>
      </w:tr>
      <w:tr>
        <w:trPr>
          <w:trHeight w:val="25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Junior subordinated deferrable interest debentures</w:t>
            </w:r>
          </w:p>
        </w:tc>
        <w:tc>
          <w:tcPr>
            <w:tcW w:w="12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46,393</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46,393</w:t>
            </w:r>
          </w:p>
        </w:tc>
        <w:tc>
          <w:tcPr>
            <w:tcW w:w="100" w:type="dxa"/>
            <w:vAlign w:val="bottom"/>
            <w:shd w:val="clear" w:color="auto" w:fill="CCEEFF"/>
          </w:tcPr>
          <w:p>
            <w:pPr>
              <w:spacing w:after="0"/>
              <w:rPr>
                <w:sz w:val="22"/>
                <w:szCs w:val="22"/>
                <w:color w:val="auto"/>
              </w:rPr>
            </w:pPr>
          </w:p>
        </w:tc>
      </w:tr>
      <w:tr>
        <w:trPr>
          <w:trHeight w:val="237"/>
        </w:trPr>
        <w:tc>
          <w:tcPr>
            <w:tcW w:w="4760" w:type="dxa"/>
            <w:vAlign w:val="bottom"/>
          </w:tcPr>
          <w:p>
            <w:pPr>
              <w:spacing w:after="0"/>
              <w:rPr>
                <w:sz w:val="20"/>
                <w:szCs w:val="20"/>
                <w:color w:val="auto"/>
              </w:rPr>
            </w:pPr>
            <w:r>
              <w:rPr>
                <w:rFonts w:ascii="Arial" w:cs="Arial" w:eastAsia="Arial" w:hAnsi="Arial"/>
                <w:sz w:val="18"/>
                <w:szCs w:val="18"/>
                <w:color w:val="auto"/>
              </w:rPr>
              <w:t>Operating lease commitments</w:t>
            </w: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1,834</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2,188</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1,868</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5,095</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10,985</w:t>
            </w:r>
          </w:p>
        </w:tc>
        <w:tc>
          <w:tcPr>
            <w:tcW w:w="100" w:type="dxa"/>
            <w:vAlign w:val="bottom"/>
          </w:tcPr>
          <w:p>
            <w:pPr>
              <w:spacing w:after="0"/>
              <w:rPr>
                <w:sz w:val="20"/>
                <w:szCs w:val="20"/>
                <w:color w:val="auto"/>
              </w:rPr>
            </w:pPr>
          </w:p>
        </w:tc>
      </w:tr>
      <w:tr>
        <w:trPr>
          <w:trHeight w:val="277"/>
        </w:trPr>
        <w:tc>
          <w:tcPr>
            <w:tcW w:w="4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contractual obligations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190,170</w:t>
            </w: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75,925</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96,544</w:t>
            </w:r>
          </w:p>
        </w:tc>
        <w:tc>
          <w:tcPr>
            <w:tcW w:w="1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4"/>
              </w:rPr>
              <w:t>$ 152,983</w:t>
            </w: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515,622</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30"/>
        </w:trPr>
        <w:tc>
          <w:tcPr>
            <w:tcW w:w="47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9"/>
          </w:tcPr>
          <w:p>
            <w:pPr>
              <w:jc w:val="center"/>
              <w:ind w:right="73"/>
              <w:spacing w:after="0"/>
              <w:rPr>
                <w:sz w:val="20"/>
                <w:szCs w:val="20"/>
                <w:color w:val="auto"/>
              </w:rPr>
            </w:pPr>
            <w:r>
              <w:rPr>
                <w:rFonts w:ascii="Arial" w:cs="Arial" w:eastAsia="Arial" w:hAnsi="Arial"/>
                <w:sz w:val="14"/>
                <w:szCs w:val="14"/>
                <w:b w:val="1"/>
                <w:bCs w:val="1"/>
                <w:color w:val="auto"/>
                <w:w w:val="92"/>
              </w:rPr>
              <w:t>Payments Due at December 31, 2017</w:t>
            </w: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4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Within</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center"/>
              <w:ind w:right="95"/>
              <w:spacing w:after="0"/>
              <w:rPr>
                <w:sz w:val="20"/>
                <w:szCs w:val="20"/>
                <w:color w:val="auto"/>
              </w:rPr>
            </w:pPr>
            <w:r>
              <w:rPr>
                <w:rFonts w:ascii="Arial" w:cs="Arial" w:eastAsia="Arial" w:hAnsi="Arial"/>
                <w:sz w:val="14"/>
                <w:szCs w:val="14"/>
                <w:b w:val="1"/>
                <w:bCs w:val="1"/>
                <w:color w:val="auto"/>
                <w:w w:val="94"/>
              </w:rPr>
              <w:t>One to</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center"/>
              <w:ind w:right="12"/>
              <w:spacing w:after="0"/>
              <w:rPr>
                <w:sz w:val="20"/>
                <w:szCs w:val="20"/>
                <w:color w:val="auto"/>
              </w:rPr>
            </w:pPr>
            <w:r>
              <w:rPr>
                <w:rFonts w:ascii="Arial" w:cs="Arial" w:eastAsia="Arial" w:hAnsi="Arial"/>
                <w:sz w:val="14"/>
                <w:szCs w:val="14"/>
                <w:b w:val="1"/>
                <w:bCs w:val="1"/>
                <w:color w:val="auto"/>
                <w:w w:val="94"/>
              </w:rPr>
              <w:t>Three to</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center"/>
              <w:ind w:right="53"/>
              <w:spacing w:after="0"/>
              <w:rPr>
                <w:sz w:val="20"/>
                <w:szCs w:val="20"/>
                <w:color w:val="auto"/>
              </w:rPr>
            </w:pPr>
            <w:r>
              <w:rPr>
                <w:rFonts w:ascii="Arial" w:cs="Arial" w:eastAsia="Arial" w:hAnsi="Arial"/>
                <w:sz w:val="14"/>
                <w:szCs w:val="14"/>
                <w:b w:val="1"/>
                <w:bCs w:val="1"/>
                <w:color w:val="auto"/>
                <w:w w:val="97"/>
              </w:rPr>
              <w:t>After</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1"/>
        </w:trPr>
        <w:tc>
          <w:tcPr>
            <w:tcW w:w="4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4"/>
              </w:rPr>
              <w:t>One Year</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Three Years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Five Years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Five Years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196"/>
        </w:trPr>
        <w:tc>
          <w:tcPr>
            <w:tcW w:w="4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gridSpan w:val="8"/>
          </w:tcPr>
          <w:p>
            <w:pPr>
              <w:jc w:val="center"/>
              <w:ind w:left="375"/>
              <w:spacing w:after="0"/>
              <w:rPr>
                <w:sz w:val="20"/>
                <w:szCs w:val="20"/>
                <w:color w:val="auto"/>
              </w:rPr>
            </w:pPr>
            <w:r>
              <w:rPr>
                <w:rFonts w:ascii="Arial" w:cs="Arial" w:eastAsia="Arial" w:hAnsi="Arial"/>
                <w:sz w:val="14"/>
                <w:szCs w:val="14"/>
                <w:b w:val="1"/>
                <w:bCs w:val="1"/>
                <w:color w:val="auto"/>
                <w:w w:val="91"/>
              </w:rPr>
              <w:t>(Dollars in thousands)</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Time deposits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210,988</w:t>
            </w:r>
          </w:p>
        </w:tc>
        <w:tc>
          <w:tcPr>
            <w:tcW w:w="20" w:type="dxa"/>
            <w:vAlign w:val="bottom"/>
            <w:shd w:val="clear" w:color="auto" w:fill="CCEEFF"/>
          </w:tcPr>
          <w:p>
            <w:pPr>
              <w:spacing w:after="0"/>
              <w:rPr>
                <w:sz w:val="21"/>
                <w:szCs w:val="21"/>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51,165</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69,360</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331,513</w:t>
            </w:r>
          </w:p>
        </w:tc>
        <w:tc>
          <w:tcPr>
            <w:tcW w:w="100" w:type="dxa"/>
            <w:vAlign w:val="bottom"/>
            <w:shd w:val="clear" w:color="auto" w:fill="CCEEFF"/>
          </w:tcPr>
          <w:p>
            <w:pPr>
              <w:spacing w:after="0"/>
              <w:rPr>
                <w:sz w:val="21"/>
                <w:szCs w:val="2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Short-term borrowings</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15,550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15,550</w:t>
            </w:r>
          </w:p>
        </w:tc>
        <w:tc>
          <w:tcPr>
            <w:tcW w:w="100" w:type="dxa"/>
            <w:vAlign w:val="bottom"/>
          </w:tcPr>
          <w:p>
            <w:pPr>
              <w:spacing w:after="0"/>
              <w:rPr>
                <w:sz w:val="20"/>
                <w:szCs w:val="20"/>
                <w:color w:val="auto"/>
              </w:rPr>
            </w:pPr>
          </w:p>
        </w:tc>
      </w:tr>
      <w:tr>
        <w:trPr>
          <w:trHeight w:val="25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Notes payable and other long-term borrowings</w:t>
            </w:r>
          </w:p>
        </w:tc>
        <w:tc>
          <w:tcPr>
            <w:tcW w:w="12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00" w:type="dxa"/>
            <w:vAlign w:val="bottom"/>
            <w:shd w:val="clear" w:color="auto" w:fill="CCEEFF"/>
          </w:tcPr>
          <w:p>
            <w:pPr>
              <w:spacing w:after="0"/>
              <w:rPr>
                <w:sz w:val="22"/>
                <w:szCs w:val="22"/>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Subordinated debt securities</w:t>
            </w:r>
          </w:p>
        </w:tc>
        <w:tc>
          <w:tcPr>
            <w:tcW w:w="12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20,887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20,887</w:t>
            </w:r>
          </w:p>
        </w:tc>
        <w:tc>
          <w:tcPr>
            <w:tcW w:w="100" w:type="dxa"/>
            <w:vAlign w:val="bottom"/>
          </w:tcPr>
          <w:p>
            <w:pPr>
              <w:spacing w:after="0"/>
              <w:rPr>
                <w:sz w:val="20"/>
                <w:szCs w:val="20"/>
                <w:color w:val="auto"/>
              </w:rPr>
            </w:pPr>
          </w:p>
        </w:tc>
      </w:tr>
      <w:tr>
        <w:trPr>
          <w:trHeight w:val="25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Junior subordinated deferrable interest debentures</w:t>
            </w:r>
          </w:p>
        </w:tc>
        <w:tc>
          <w:tcPr>
            <w:tcW w:w="12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46,393</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46,393</w:t>
            </w:r>
          </w:p>
        </w:tc>
        <w:tc>
          <w:tcPr>
            <w:tcW w:w="100" w:type="dxa"/>
            <w:vAlign w:val="bottom"/>
            <w:shd w:val="clear" w:color="auto" w:fill="CCEEFF"/>
          </w:tcPr>
          <w:p>
            <w:pPr>
              <w:spacing w:after="0"/>
              <w:rPr>
                <w:sz w:val="22"/>
                <w:szCs w:val="22"/>
                <w:color w:val="auto"/>
              </w:rPr>
            </w:pPr>
          </w:p>
        </w:tc>
      </w:tr>
      <w:tr>
        <w:trPr>
          <w:trHeight w:val="237"/>
        </w:trPr>
        <w:tc>
          <w:tcPr>
            <w:tcW w:w="4760" w:type="dxa"/>
            <w:vAlign w:val="bottom"/>
          </w:tcPr>
          <w:p>
            <w:pPr>
              <w:spacing w:after="0"/>
              <w:rPr>
                <w:sz w:val="20"/>
                <w:szCs w:val="20"/>
                <w:color w:val="auto"/>
              </w:rPr>
            </w:pPr>
            <w:r>
              <w:rPr>
                <w:rFonts w:ascii="Arial" w:cs="Arial" w:eastAsia="Arial" w:hAnsi="Arial"/>
                <w:sz w:val="18"/>
                <w:szCs w:val="18"/>
                <w:color w:val="auto"/>
              </w:rPr>
              <w:t>Operating lease commitments</w:t>
            </w: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1,721</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4,528</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8,804</w:t>
            </w:r>
          </w:p>
        </w:tc>
        <w:tc>
          <w:tcPr>
            <w:tcW w:w="100" w:type="dxa"/>
            <w:vAlign w:val="bottom"/>
          </w:tcPr>
          <w:p>
            <w:pPr>
              <w:spacing w:after="0"/>
              <w:rPr>
                <w:sz w:val="20"/>
                <w:szCs w:val="20"/>
                <w:color w:val="auto"/>
              </w:rPr>
            </w:pPr>
          </w:p>
        </w:tc>
      </w:tr>
      <w:tr>
        <w:trPr>
          <w:trHeight w:val="277"/>
        </w:trPr>
        <w:tc>
          <w:tcPr>
            <w:tcW w:w="4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contractual obligations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228,127</w:t>
            </w: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72,886</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70,326</w:t>
            </w:r>
          </w:p>
        </w:tc>
        <w:tc>
          <w:tcPr>
            <w:tcW w:w="1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4"/>
              </w:rPr>
              <w:t>$ 146,808</w:t>
            </w: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518,147</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94"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We believe that we will be able to meet our contractual obligations as they come due through the maintenance of adequate cash levels. We expect to maintain adequate cash levels through profitability, loan and securities repayment and maturity activity and continued deposit gathering activities. We have in place various borrowing mechanisms for both short-term and long-term liquidity needs.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right="60" w:firstLine="360"/>
        <w:spacing w:after="0" w:line="271" w:lineRule="auto"/>
        <w:rPr>
          <w:sz w:val="20"/>
          <w:szCs w:val="20"/>
          <w:color w:val="auto"/>
        </w:rPr>
      </w:pPr>
      <w:r>
        <w:rPr>
          <w:rFonts w:ascii="Arial" w:cs="Arial" w:eastAsia="Arial" w:hAnsi="Arial"/>
          <w:sz w:val="17"/>
          <w:szCs w:val="17"/>
          <w:color w:val="auto"/>
        </w:rPr>
        <w:t>We are a party to financial instruments with off-balance sheet risk in the normal course of business to meet the financing needs of our customers. These financial instruments include commitments to extend credit and standby letters of credit. Those instruments involve, to varying degrees, elements of credit and interest rate risk in excess of the amount recognized in the consolidated balance sheets. The Company’s exposure to credit loss in the event of nonperformance by the other party to the financial instrument for commitments to extend credit and standby letters of credit to our customers is represented by the contractual or notional amount of those instruments. Commitments to extend credit and standby letters of credit are not recorded as an asset or liability by the Company until the instrument is exercised. The contractual or notional amounts of those instruments reflect the extent of involvement we have in particular classes of financial instruments.</w:t>
      </w:r>
    </w:p>
    <w:p>
      <w:pPr>
        <w:spacing w:after="0" w:line="71" w:lineRule="exact"/>
        <w:rPr>
          <w:sz w:val="20"/>
          <w:szCs w:val="20"/>
          <w:color w:val="auto"/>
        </w:rPr>
      </w:pPr>
    </w:p>
    <w:p>
      <w:pPr>
        <w:ind w:right="40" w:firstLine="360"/>
        <w:spacing w:after="0" w:line="293" w:lineRule="auto"/>
        <w:rPr>
          <w:sz w:val="20"/>
          <w:szCs w:val="20"/>
          <w:color w:val="auto"/>
        </w:rPr>
      </w:pPr>
      <w:r>
        <w:rPr>
          <w:rFonts w:ascii="Arial" w:cs="Arial" w:eastAsia="Arial" w:hAnsi="Arial"/>
          <w:sz w:val="16"/>
          <w:szCs w:val="16"/>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are expected to expire without being drawn upon, the total commitment amounts do not necessarily represent future cash requirements. The Company uses the same credit policies in making commitments and conditional obligations as they do for on-balance sheet instruments. The amount and nature of collateral obtained, if deemed necessary by the Company upon extension of credit, is based on management’s credit evaluation of the potential borrower.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8" w:name="page79"/>
    <w:bookmarkEnd w:id="7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120" w:firstLine="360"/>
        <w:spacing w:after="0" w:line="302" w:lineRule="auto"/>
        <w:rPr>
          <w:sz w:val="20"/>
          <w:szCs w:val="20"/>
          <w:color w:val="auto"/>
        </w:rPr>
      </w:pPr>
      <w:r>
        <w:rPr>
          <w:rFonts w:ascii="Arial" w:cs="Arial" w:eastAsia="Arial" w:hAnsi="Arial"/>
          <w:sz w:val="16"/>
          <w:szCs w:val="16"/>
          <w:color w:val="auto"/>
        </w:rPr>
        <w:t>Standby letters of credit are conditional commitments issued by the Company to guarantee the performance of a customer to a third party. Those guarantees are primarily issued to support public and private short-term borrowing arrangements. The credit risk involved in issuing letters of credit is essentially the same as that involved in extending loan facilities to customers. The Company holds collateral supporting those commitments for which collateral is deemed necessary.</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commitments we have made as of the dates presented.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left="339"/>
              <w:spacing w:after="0"/>
              <w:rPr>
                <w:sz w:val="20"/>
                <w:szCs w:val="20"/>
                <w:color w:val="auto"/>
              </w:rPr>
            </w:pPr>
            <w:r>
              <w:rPr>
                <w:rFonts w:ascii="Arial" w:cs="Arial" w:eastAsia="Arial" w:hAnsi="Arial"/>
                <w:sz w:val="14"/>
                <w:szCs w:val="14"/>
                <w:b w:val="1"/>
                <w:bCs w:val="1"/>
                <w:color w:val="auto"/>
                <w:w w:val="92"/>
              </w:rPr>
              <w:t>December 31,</w:t>
            </w:r>
          </w:p>
        </w:tc>
        <w:tc>
          <w:tcPr>
            <w:tcW w:w="5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3"/>
        </w:trPr>
        <w:tc>
          <w:tcPr>
            <w:tcW w:w="7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83"/>
              </w:rPr>
              <w:t>2017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3"/>
        </w:trPr>
        <w:tc>
          <w:tcPr>
            <w:tcW w:w="7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2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1"/>
              </w:rPr>
              <w:t>(Dollars in thousands)</w:t>
            </w:r>
          </w:p>
        </w:tc>
      </w:tr>
      <w:tr>
        <w:trPr>
          <w:trHeight w:val="243"/>
        </w:trPr>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to grant loans and unfunded commitments under lines of credit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346,245</w:t>
            </w:r>
          </w:p>
        </w:tc>
        <w:tc>
          <w:tcPr>
            <w:tcW w:w="5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290,441</w:t>
            </w:r>
          </w:p>
        </w:tc>
        <w:tc>
          <w:tcPr>
            <w:tcW w:w="60" w:type="dxa"/>
            <w:vAlign w:val="bottom"/>
            <w:shd w:val="clear" w:color="auto" w:fill="CCEEFF"/>
          </w:tcPr>
          <w:p>
            <w:pPr>
              <w:spacing w:after="0"/>
              <w:rPr>
                <w:sz w:val="21"/>
                <w:szCs w:val="21"/>
                <w:color w:val="auto"/>
              </w:rPr>
            </w:pPr>
          </w:p>
        </w:tc>
      </w:tr>
      <w:tr>
        <w:trPr>
          <w:trHeight w:val="243"/>
        </w:trPr>
        <w:tc>
          <w:tcPr>
            <w:tcW w:w="7400" w:type="dxa"/>
            <w:vAlign w:val="bottom"/>
          </w:tcPr>
          <w:p>
            <w:pPr>
              <w:spacing w:after="0"/>
              <w:rPr>
                <w:sz w:val="20"/>
                <w:szCs w:val="20"/>
                <w:color w:val="auto"/>
              </w:rPr>
            </w:pPr>
            <w:r>
              <w:rPr>
                <w:rFonts w:ascii="Arial" w:cs="Arial" w:eastAsia="Arial" w:hAnsi="Arial"/>
                <w:sz w:val="18"/>
                <w:szCs w:val="18"/>
                <w:color w:val="auto"/>
              </w:rPr>
              <w:t>Standby letters of credit</w:t>
            </w: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5,062</w:t>
            </w:r>
          </w:p>
        </w:tc>
        <w:tc>
          <w:tcPr>
            <w:tcW w:w="1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9,255</w:t>
            </w:r>
          </w:p>
        </w:tc>
        <w:tc>
          <w:tcPr>
            <w:tcW w:w="60" w:type="dxa"/>
            <w:vAlign w:val="bottom"/>
          </w:tcPr>
          <w:p>
            <w:pPr>
              <w:spacing w:after="0"/>
              <w:rPr>
                <w:sz w:val="21"/>
                <w:szCs w:val="21"/>
                <w:color w:val="auto"/>
              </w:rPr>
            </w:pPr>
          </w:p>
        </w:tc>
      </w:tr>
      <w:tr>
        <w:trPr>
          <w:trHeight w:val="271"/>
        </w:trPr>
        <w:tc>
          <w:tcPr>
            <w:tcW w:w="7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351,307</w:t>
            </w:r>
          </w:p>
        </w:tc>
        <w:tc>
          <w:tcPr>
            <w:tcW w:w="1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299,696</w:t>
            </w:r>
          </w:p>
        </w:tc>
        <w:tc>
          <w:tcPr>
            <w:tcW w:w="60" w:type="dxa"/>
            <w:vAlign w:val="bottom"/>
            <w:tcBorders>
              <w:bottom w:val="single" w:sz="8" w:color="CCEEFF"/>
            </w:tcBorders>
            <w:shd w:val="clear" w:color="auto" w:fill="CCEEFF"/>
          </w:tcPr>
          <w:p>
            <w:pPr>
              <w:spacing w:after="0"/>
              <w:rPr>
                <w:sz w:val="23"/>
                <w:szCs w:val="23"/>
                <w:color w:val="auto"/>
              </w:rPr>
            </w:pPr>
          </w:p>
        </w:tc>
      </w:tr>
    </w:tbl>
    <w:p>
      <w:pPr>
        <w:spacing w:after="0" w:line="94"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We use our line of credit with the FHLB to take out letters of credit. These letters of credit pledged as collateral for certain public fund deposits. These letters of credit are off-balance sheet liabilities and would only be funded in the event of a default by the Company. The amount of these letters of credit with the FHLB was $199.0 million and $145.0 million at December 31, 2018 and 2017,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 and Market Risk</w:t>
      </w:r>
    </w:p>
    <w:p>
      <w:pPr>
        <w:spacing w:after="0" w:line="121" w:lineRule="exact"/>
        <w:rPr>
          <w:sz w:val="20"/>
          <w:szCs w:val="20"/>
          <w:color w:val="auto"/>
        </w:rPr>
      </w:pPr>
    </w:p>
    <w:p>
      <w:pPr>
        <w:ind w:right="120" w:firstLine="360"/>
        <w:spacing w:after="0" w:line="312" w:lineRule="auto"/>
        <w:rPr>
          <w:sz w:val="20"/>
          <w:szCs w:val="20"/>
          <w:color w:val="auto"/>
        </w:rPr>
      </w:pPr>
      <w:r>
        <w:rPr>
          <w:rFonts w:ascii="Arial" w:cs="Arial" w:eastAsia="Arial" w:hAnsi="Arial"/>
          <w:sz w:val="16"/>
          <w:szCs w:val="16"/>
          <w:color w:val="auto"/>
        </w:rPr>
        <w:t>As a financial institution, our primary component of market risk is interest rate volatility. Our interest rate risk policy provides management with the guidelines for effective funds management, and we have established a measurement system for monitoring our net interest rate sensitivity position. We have historically managed our sensitivity position within our established guidelines.</w:t>
      </w:r>
    </w:p>
    <w:p>
      <w:pPr>
        <w:spacing w:after="0" w:line="39" w:lineRule="exact"/>
        <w:rPr>
          <w:sz w:val="20"/>
          <w:szCs w:val="20"/>
          <w:color w:val="auto"/>
        </w:rPr>
      </w:pPr>
    </w:p>
    <w:p>
      <w:pPr>
        <w:ind w:right="40" w:firstLine="360"/>
        <w:spacing w:after="0" w:line="297" w:lineRule="auto"/>
        <w:rPr>
          <w:sz w:val="20"/>
          <w:szCs w:val="20"/>
          <w:color w:val="auto"/>
        </w:rPr>
      </w:pPr>
      <w:r>
        <w:rPr>
          <w:rFonts w:ascii="Arial" w:cs="Arial" w:eastAsia="Arial" w:hAnsi="Arial"/>
          <w:sz w:val="16"/>
          <w:szCs w:val="16"/>
          <w:color w:val="auto"/>
        </w:rPr>
        <w:t>Fluctuations in interest rates will ultimately impact both the level of income and expense recorded on most of our assets and liabilities, and the market value of all interest-earning assets and interest-bearing liabilities, other than those which have a short term to maturity. Interest rate risk is the potential of economic losses due to future interest rate changes. These economic losses can be reflected as a loss of future net interest income and/or a loss of current fair market values. The objective is to measure the effect on net interest income and to adjust the balance sheet to minimize the inherent risk while at the same time maximizing income.</w:t>
      </w:r>
    </w:p>
    <w:p>
      <w:pPr>
        <w:spacing w:after="0" w:line="50" w:lineRule="exact"/>
        <w:rPr>
          <w:sz w:val="20"/>
          <w:szCs w:val="20"/>
          <w:color w:val="auto"/>
        </w:rPr>
      </w:pPr>
    </w:p>
    <w:p>
      <w:pPr>
        <w:ind w:right="220" w:firstLine="360"/>
        <w:spacing w:after="0" w:line="342" w:lineRule="auto"/>
        <w:rPr>
          <w:sz w:val="20"/>
          <w:szCs w:val="20"/>
          <w:color w:val="auto"/>
        </w:rPr>
      </w:pPr>
      <w:r>
        <w:rPr>
          <w:rFonts w:ascii="Arial" w:cs="Arial" w:eastAsia="Arial" w:hAnsi="Arial"/>
          <w:sz w:val="16"/>
          <w:szCs w:val="16"/>
          <w:color w:val="auto"/>
        </w:rPr>
        <w:t>We manage our exposure to interest rates by structuring our balance sheet in the ordinary course of business. Based upon the nature of our operations, we are not subject to foreign exchange or commodity price risk. We do not own any trading assets.</w:t>
      </w:r>
    </w:p>
    <w:p>
      <w:pPr>
        <w:spacing w:after="0" w:line="16" w:lineRule="exact"/>
        <w:rPr>
          <w:sz w:val="20"/>
          <w:szCs w:val="20"/>
          <w:color w:val="auto"/>
        </w:rPr>
      </w:pPr>
    </w:p>
    <w:p>
      <w:pPr>
        <w:ind w:right="100" w:firstLine="360"/>
        <w:spacing w:after="0" w:line="270" w:lineRule="auto"/>
        <w:rPr>
          <w:sz w:val="20"/>
          <w:szCs w:val="20"/>
          <w:color w:val="auto"/>
        </w:rPr>
      </w:pPr>
      <w:r>
        <w:rPr>
          <w:rFonts w:ascii="Arial" w:cs="Arial" w:eastAsia="Arial" w:hAnsi="Arial"/>
          <w:sz w:val="17"/>
          <w:szCs w:val="17"/>
          <w:color w:val="auto"/>
        </w:rPr>
        <w:t>Our exposure to interest rate risk is managed by the Investment/Asset/Liability Committee, or the ALCO Committee, in accordance with policies approved by the Bank’s board of directors. The ALCO Committee formulates strategies based on appropriate levels of interest rate risk. In determining the appropriate level of interest rate risk, the ALCO Committee considers the impact on earnings and capital on the current outlook on interest rates, potential changes in interest rates, regional economies, liquidity, business strategies and other factors. The ALCO Committee meets regularly to review, among other things, the sensitivity of assets and liabilities to interest rate changes, the book and market values of assets and liabilities, commitments to originate loans and the maturities of investments and borrowings. Additionally, the ALCO Committee reviews liquidity, cash flow flexibility, maturities of deposits and consumer and commercial deposit activity. Management employs methodologies to manage interest rate risk, which include an analysis of relationships between interest-earning assets and interest-bearing liabilities and an interest rate shock simulation model.</w:t>
      </w:r>
    </w:p>
    <w:p>
      <w:pPr>
        <w:spacing w:after="0" w:line="70" w:lineRule="exact"/>
        <w:rPr>
          <w:sz w:val="20"/>
          <w:szCs w:val="20"/>
          <w:color w:val="auto"/>
        </w:rPr>
      </w:pPr>
    </w:p>
    <w:p>
      <w:pPr>
        <w:ind w:right="60" w:firstLine="360"/>
        <w:spacing w:after="0" w:line="254" w:lineRule="auto"/>
        <w:rPr>
          <w:sz w:val="20"/>
          <w:szCs w:val="20"/>
          <w:color w:val="auto"/>
        </w:rPr>
      </w:pPr>
      <w:r>
        <w:rPr>
          <w:rFonts w:ascii="Arial" w:cs="Arial" w:eastAsia="Arial" w:hAnsi="Arial"/>
          <w:sz w:val="18"/>
          <w:szCs w:val="18"/>
          <w:color w:val="auto"/>
        </w:rPr>
        <w:t>We use interest rate risk simulation models and shock analyses to test the interest rate sensitivity of net interest income and fair value of equity, and the impact of changes in interest rates on other financial metrics. Contractual maturities and re-pricing opportunities of loans are incorporated in the model. The average lives of non-maturity deposit accounts are based on decay assumptions and are incorporated into the model. All of the assumptions used in our analyses are inherently uncertain and, as a result, the model cannot precisely measure future net interest income or precisely predict the impact of fluctuations in market interest rates on net interest income. Actual results will differ from the model’s simulated results due to timing, magnitude and frequency of interest rate changes as well as changes in market conditions and the application and timing of various management strategies.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9" w:name="page80"/>
    <w:bookmarkEnd w:id="7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firstLine="360"/>
        <w:spacing w:after="0" w:line="271" w:lineRule="auto"/>
        <w:rPr>
          <w:sz w:val="20"/>
          <w:szCs w:val="20"/>
          <w:color w:val="auto"/>
        </w:rPr>
      </w:pPr>
      <w:r>
        <w:rPr>
          <w:rFonts w:ascii="Arial" w:cs="Arial" w:eastAsia="Arial" w:hAnsi="Arial"/>
          <w:sz w:val="17"/>
          <w:szCs w:val="17"/>
          <w:color w:val="auto"/>
        </w:rPr>
        <w:t>On a quarterly basis, we run a simulation model for a static balance sheet and other scenarios. These models test the impact on net interest income from changes in market interest rates under various scenarios. Under the static model, rates are shocked instantaneously and ramped rates change over a 12-month and 24-month horizon based upon parallel and non-parallel yield curve shifts. Parallel shock scenarios assume instantaneous parallel movements in the yield curve compared to a flat yield curve scenario. Non-parallel simulation involves analysis of interest income and expense under various changes in the shape of the yield curve. Our internal policy regarding internal rate risk simulations currently specifies that for gradual parallel shifts of the yield curve, estimated net interest income at risk for the subsequent one-year period should not decline by more than 7.5% for a 100 basis point shift, 15% for a 200 basis point shift, and 22.5% for a 300 basis point shift.</w:t>
      </w:r>
    </w:p>
    <w:p>
      <w:pPr>
        <w:spacing w:after="0" w:line="7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tables summarize the simulated change in net interest income over a 12-month horizon as of the dates indicated: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6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center"/>
              <w:ind w:left="1"/>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center"/>
              <w:ind w:right="180"/>
              <w:spacing w:after="0" w:line="160" w:lineRule="exact"/>
              <w:rPr>
                <w:sz w:val="20"/>
                <w:szCs w:val="20"/>
                <w:color w:val="auto"/>
              </w:rPr>
            </w:pPr>
            <w:r>
              <w:rPr>
                <w:rFonts w:ascii="Arial" w:cs="Arial" w:eastAsia="Arial" w:hAnsi="Arial"/>
                <w:sz w:val="14"/>
                <w:szCs w:val="14"/>
                <w:b w:val="1"/>
                <w:bCs w:val="1"/>
                <w:color w:val="auto"/>
                <w:w w:val="93"/>
              </w:rPr>
              <w:t>Percent</w:t>
            </w:r>
          </w:p>
        </w:tc>
        <w:tc>
          <w:tcPr>
            <w:tcW w:w="1020" w:type="dxa"/>
            <w:vAlign w:val="bottom"/>
            <w:gridSpan w:val="2"/>
          </w:tcPr>
          <w:p>
            <w:pPr>
              <w:jc w:val="center"/>
              <w:ind w:right="20"/>
              <w:spacing w:after="0" w:line="160" w:lineRule="exact"/>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Change in</w:t>
            </w:r>
          </w:p>
        </w:tc>
        <w:tc>
          <w:tcPr>
            <w:tcW w:w="10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Change in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Net</w:t>
            </w: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Interest</w:t>
            </w:r>
          </w:p>
        </w:tc>
        <w:tc>
          <w:tcPr>
            <w:tcW w:w="10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85"/>
        </w:trPr>
        <w:tc>
          <w:tcPr>
            <w:tcW w:w="7400" w:type="dxa"/>
            <w:vAlign w:val="bottom"/>
            <w:gridSpan w:val="3"/>
          </w:tcPr>
          <w:p>
            <w:pPr>
              <w:spacing w:after="0"/>
              <w:rPr>
                <w:sz w:val="20"/>
                <w:szCs w:val="20"/>
                <w:color w:val="auto"/>
              </w:rPr>
            </w:pPr>
            <w:r>
              <w:rPr>
                <w:rFonts w:ascii="Arial" w:cs="Arial" w:eastAsia="Arial" w:hAnsi="Arial"/>
                <w:sz w:val="14"/>
                <w:szCs w:val="14"/>
                <w:b w:val="1"/>
                <w:bCs w:val="1"/>
                <w:color w:val="auto"/>
              </w:rPr>
              <w:t>Change in Interest Rates (Basis Points)</w:t>
            </w: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Income</w:t>
            </w: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+300</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(0.95)</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(0.39)</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(1.90)</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121"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Our consolidated financial statements and related notes included elsewhere in this prospectus have been prepared in accordance with GAAP. GAAP requires the measurement of financial position and operating results in terms of historical dollars, without considering changes in the relative value of money over time due to inflation or recession.</w:t>
      </w:r>
    </w:p>
    <w:p>
      <w:pPr>
        <w:spacing w:after="0" w:line="73"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Unlike many industrial companies, substantially all of our assets and liabilities are monetary in nature. As a result, interest rates have a more significant impact on our performance than the effects of general levels of inflation. Interest rates may not necessarily move in the same direction or in the same magnitude as the prices of goods and services. However, other operating expenses do reflect general levels of inflation.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100" w:firstLine="360"/>
        <w:spacing w:after="0" w:line="270" w:lineRule="auto"/>
        <w:rPr>
          <w:sz w:val="20"/>
          <w:szCs w:val="20"/>
          <w:color w:val="auto"/>
        </w:rPr>
      </w:pPr>
      <w:r>
        <w:rPr>
          <w:rFonts w:ascii="Arial" w:cs="Arial" w:eastAsia="Arial" w:hAnsi="Arial"/>
          <w:sz w:val="17"/>
          <w:szCs w:val="17"/>
          <w:color w:val="auto"/>
        </w:rPr>
        <w:t>Our accounting and reporting policies conform to GAAP and the prevailing practices in the banking industry. However, we also evaluate our performance based on certain additional financial measures discussed in this prospectus as being non-GAAP financial measures. 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as in effect from time to time in the United States in our statements of income, balance sheets or statements of cash flows. Non-GAAP financial measures do not include operating and other statistical measures or ratios or statistical measures calculated using exclusively either financial measures calculated in accordance with GAAP, operating measures or other measures that are not non-GAAP financial measures or both.</w:t>
      </w:r>
    </w:p>
    <w:p>
      <w:pPr>
        <w:spacing w:after="0" w:line="74"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The non-GAAP financial measures that we discuss in this prospectus should not be considered in isolation or as a substitute for the most directly comparable or other financial measures calculated in accordance with GAAP. Moreover, the manner in which we calculate the non-GAAP financial measures that we discuss in this prospectus may differ from that of other companies reporting measures with similar names. It is important to understand how other banking organizations calculate their financial measures with names similar to the non-GAAP financial measures we have discussed in this prospectus when comparing such non-GAAP financial measures.</w:t>
      </w:r>
    </w:p>
    <w:p>
      <w:pPr>
        <w:spacing w:after="0" w:line="85"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i w:val="1"/>
          <w:iCs w:val="1"/>
          <w:color w:val="auto"/>
        </w:rPr>
        <w:t>Tangible Book Value Per Common Share</w:t>
      </w:r>
      <w:r>
        <w:rPr>
          <w:rFonts w:ascii="Arial" w:cs="Arial" w:eastAsia="Arial" w:hAnsi="Arial"/>
          <w:sz w:val="18"/>
          <w:szCs w:val="18"/>
          <w:color w:val="auto"/>
        </w:rPr>
        <w:t>. Tangible book value per share is a non-GAAP measure generally used by investors,</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analysts and investment bankers to evaluate financial institutions. The most directly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80" w:name="page81"/>
    <w:bookmarkEnd w:id="8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comparable GAAP financial measure for tangible book value per common share is book value per common share. We believe that the tangible book value per common share measure is important to many investors in the marketplace who are interested in changes from period to period in book value per common share exclusive of changes in intangible assets. Goodwill and other intangible assets have the effect of increasing total book value while not increasing our tangible book value.</w:t>
      </w:r>
    </w:p>
    <w:p>
      <w:pPr>
        <w:spacing w:after="0" w:line="63" w:lineRule="exact"/>
        <w:rPr>
          <w:sz w:val="20"/>
          <w:szCs w:val="20"/>
          <w:color w:val="auto"/>
        </w:rPr>
      </w:pPr>
    </w:p>
    <w:p>
      <w:pPr>
        <w:ind w:firstLine="360"/>
        <w:spacing w:after="0" w:line="308" w:lineRule="auto"/>
        <w:rPr>
          <w:sz w:val="20"/>
          <w:szCs w:val="20"/>
          <w:color w:val="auto"/>
        </w:rPr>
      </w:pPr>
      <w:r>
        <w:rPr>
          <w:rFonts w:ascii="Arial" w:cs="Arial" w:eastAsia="Arial" w:hAnsi="Arial"/>
          <w:sz w:val="17"/>
          <w:szCs w:val="17"/>
          <w:color w:val="auto"/>
        </w:rPr>
        <w:t>As we did not have any goodwill or other intangible assets as of the years ended December 31, 2014 to 2018, our tangible book value per common share for such periods ended was the same as our respective book value per common share.</w:t>
      </w:r>
    </w:p>
    <w:p>
      <w:pPr>
        <w:spacing w:after="0" w:line="38" w:lineRule="exact"/>
        <w:rPr>
          <w:sz w:val="20"/>
          <w:szCs w:val="20"/>
          <w:color w:val="auto"/>
        </w:rPr>
      </w:pPr>
    </w:p>
    <w:p>
      <w:pPr>
        <w:ind w:right="20" w:firstLine="360"/>
        <w:spacing w:after="0" w:line="290" w:lineRule="auto"/>
        <w:rPr>
          <w:sz w:val="20"/>
          <w:szCs w:val="20"/>
          <w:color w:val="auto"/>
        </w:rPr>
      </w:pPr>
      <w:r>
        <w:rPr>
          <w:rFonts w:ascii="Arial" w:cs="Arial" w:eastAsia="Arial" w:hAnsi="Arial"/>
          <w:sz w:val="16"/>
          <w:szCs w:val="16"/>
          <w:i w:val="1"/>
          <w:iCs w:val="1"/>
          <w:color w:val="auto"/>
        </w:rPr>
        <w:t>Tangible Common Equity to Tangible Assets</w:t>
      </w:r>
      <w:r>
        <w:rPr>
          <w:rFonts w:ascii="Arial" w:cs="Arial" w:eastAsia="Arial" w:hAnsi="Arial"/>
          <w:sz w:val="16"/>
          <w:szCs w:val="16"/>
          <w:color w:val="auto"/>
        </w:rPr>
        <w:t>. Tangible common equity to tangible assets is a non-GAAP measure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used by investors, financial analysts and investment bankers to evaluate financial institutions. We calculate tangible common equity, as described above, and tangible assets as total assets less goodwill, core deposit intangibles and other intangible assets, net of accumulated amortization. The most directly comparable GAAP financial measure for tangible common equity to tangible assets is total common shareholders’ equity to total assets. We believe that this measure is important to many investors in the marketplace who are interested in the relative changes from period to period of tangible common equity to tangible assets, each exclusive of changes in intangible assets. Goodwill and other intangible assets have the effect of increasing both total shareholders’ equity and assets while not increasing our tangible common equity or tangible assets.</w:t>
      </w:r>
    </w:p>
    <w:p>
      <w:pPr>
        <w:spacing w:after="0" w:line="58" w:lineRule="exact"/>
        <w:rPr>
          <w:sz w:val="20"/>
          <w:szCs w:val="20"/>
          <w:color w:val="auto"/>
        </w:rPr>
      </w:pPr>
    </w:p>
    <w:p>
      <w:pPr>
        <w:jc w:val="both"/>
        <w:ind w:right="400" w:firstLine="360"/>
        <w:spacing w:after="0" w:line="264" w:lineRule="auto"/>
        <w:rPr>
          <w:sz w:val="20"/>
          <w:szCs w:val="20"/>
          <w:color w:val="auto"/>
        </w:rPr>
      </w:pPr>
      <w:r>
        <w:rPr>
          <w:rFonts w:ascii="Arial" w:cs="Arial" w:eastAsia="Arial" w:hAnsi="Arial"/>
          <w:sz w:val="18"/>
          <w:szCs w:val="18"/>
          <w:color w:val="auto"/>
        </w:rPr>
        <w:t>As we did not have any goodwill or other intangible assets as of the years ended December 31, 2014 to 2018, our tangible common equity to tangible assets for such periods ended was the same as our respective common shareholders’ equity to total assets.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color w:val="auto"/>
        </w:rPr>
        <w:t>Our accounting and reporting policies conform to GAAP and conform to general practices within the industry in which we operate. To prepare financial statements in conformity with GAAP, management makes estimates, assumptions and judgments based on available information. These estimates, assumptions and judgments affect the amounts reported in the financial statements and accompanying notes. These estimates, assumptions and judgments are based on information available as of the date of the financial statements and, as this information changes, actual results could differ from the estimates, assumptions and judgments reflected in the financial statement. In particular, management has identified several accounting policies that, due to the estimates, assumptions and judgments inherent in those policies, are critical in understanding our financial statements.</w:t>
      </w:r>
    </w:p>
    <w:p>
      <w:pPr>
        <w:spacing w:after="0" w:line="59" w:lineRule="exact"/>
        <w:rPr>
          <w:sz w:val="20"/>
          <w:szCs w:val="20"/>
          <w:color w:val="auto"/>
        </w:rPr>
      </w:pPr>
    </w:p>
    <w:p>
      <w:pPr>
        <w:ind w:right="200" w:firstLine="360"/>
        <w:spacing w:after="0" w:line="297" w:lineRule="auto"/>
        <w:rPr>
          <w:sz w:val="20"/>
          <w:szCs w:val="20"/>
          <w:color w:val="auto"/>
        </w:rPr>
      </w:pPr>
      <w:r>
        <w:rPr>
          <w:rFonts w:ascii="Arial" w:cs="Arial" w:eastAsia="Arial" w:hAnsi="Arial"/>
          <w:sz w:val="16"/>
          <w:szCs w:val="16"/>
          <w:color w:val="auto"/>
        </w:rPr>
        <w:t>The JOBS Act permits us an extended transition period for complying with new or revised accounting standards affecting public companies. We have elected to take advantage of this extended transition period, which means that the financial statements included in this prospectus, as well as any financial statements that we file in the future, will not be subject to all new or revised accounting standards generally applicable to public companies for the transition period for so long as we remain an emerging growth company or until we affirmatively and irrevocably opt out of the extended transition period under the JOBS Act.</w:t>
      </w:r>
    </w:p>
    <w:p>
      <w:pPr>
        <w:spacing w:after="0" w:line="50"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The following is a discussion of the critical accounting policies and significant estimates that we believe require us to make the most complex or subjective decisions or assessments. Additional information about these policies can be found in Note 1 of the Company’s consolidated financial statements as of December 31, 2018.</w:t>
      </w:r>
    </w:p>
    <w:p>
      <w:pPr>
        <w:spacing w:after="0" w:line="73" w:lineRule="exact"/>
        <w:rPr>
          <w:sz w:val="20"/>
          <w:szCs w:val="20"/>
          <w:color w:val="auto"/>
        </w:rPr>
      </w:pPr>
    </w:p>
    <w:p>
      <w:pPr>
        <w:ind w:right="240" w:firstLine="360"/>
        <w:spacing w:after="0" w:line="264" w:lineRule="auto"/>
        <w:rPr>
          <w:sz w:val="20"/>
          <w:szCs w:val="20"/>
          <w:color w:val="auto"/>
        </w:rPr>
      </w:pPr>
      <w:r>
        <w:rPr>
          <w:rFonts w:ascii="Arial" w:cs="Arial" w:eastAsia="Arial" w:hAnsi="Arial"/>
          <w:sz w:val="18"/>
          <w:szCs w:val="18"/>
          <w:i w:val="1"/>
          <w:iCs w:val="1"/>
          <w:color w:val="auto"/>
        </w:rPr>
        <w:t xml:space="preserve">Basis of Presentation and Consolidation. </w:t>
      </w:r>
      <w:r>
        <w:rPr>
          <w:rFonts w:ascii="Arial" w:cs="Arial" w:eastAsia="Arial" w:hAnsi="Arial"/>
          <w:sz w:val="18"/>
          <w:szCs w:val="18"/>
          <w:color w:val="auto"/>
        </w:rPr>
        <w:t>The consolidated financial statements include the accounts of the Company and its</w:t>
      </w:r>
      <w:r>
        <w:rPr>
          <w:rFonts w:ascii="Arial" w:cs="Arial" w:eastAsia="Arial" w:hAnsi="Arial"/>
          <w:sz w:val="18"/>
          <w:szCs w:val="18"/>
          <w:i w:val="1"/>
          <w:iCs w:val="1"/>
          <w:color w:val="auto"/>
        </w:rPr>
        <w:t xml:space="preserve"> </w:t>
      </w:r>
      <w:r>
        <w:rPr>
          <w:rFonts w:ascii="Arial" w:cs="Arial" w:eastAsia="Arial" w:hAnsi="Arial"/>
          <w:sz w:val="18"/>
          <w:szCs w:val="18"/>
          <w:color w:val="auto"/>
        </w:rPr>
        <w:t>wholly owned consolidated subsidiaries. All significant intercompany balances and transactions have been eliminated in consolidation.</w:t>
      </w:r>
    </w:p>
    <w:p>
      <w:pPr>
        <w:spacing w:after="0" w:line="73"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The Company includes all cash on hand, balances due from other banks, and Federal funds sold,</w:t>
      </w:r>
      <w:r>
        <w:rPr>
          <w:rFonts w:ascii="Arial" w:cs="Arial" w:eastAsia="Arial" w:hAnsi="Arial"/>
          <w:sz w:val="18"/>
          <w:szCs w:val="18"/>
          <w:i w:val="1"/>
          <w:iCs w:val="1"/>
          <w:color w:val="auto"/>
        </w:rPr>
        <w:t xml:space="preserve"> </w:t>
      </w:r>
      <w:r>
        <w:rPr>
          <w:rFonts w:ascii="Arial" w:cs="Arial" w:eastAsia="Arial" w:hAnsi="Arial"/>
          <w:sz w:val="18"/>
          <w:szCs w:val="18"/>
          <w:color w:val="auto"/>
        </w:rPr>
        <w:t>all of which have original maturities within three months, as cash and cash equivalents.</w:t>
      </w:r>
    </w:p>
    <w:p>
      <w:pPr>
        <w:spacing w:after="0" w:line="62"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i w:val="1"/>
          <w:iCs w:val="1"/>
          <w:color w:val="auto"/>
        </w:rPr>
        <w:t xml:space="preserve">Securities. </w:t>
      </w:r>
      <w:r>
        <w:rPr>
          <w:rFonts w:ascii="Arial" w:cs="Arial" w:eastAsia="Arial" w:hAnsi="Arial"/>
          <w:sz w:val="18"/>
          <w:szCs w:val="18"/>
          <w:color w:val="auto"/>
        </w:rPr>
        <w:t>Investment securities may be classified into trading, held-to-maturity, or available-for-sale portfolios. Securities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held principally for resale in the near term are classified as trading. Securities that management has the ability and positive intent to hold to maturity are classified as held-to-maturity and recorded at amortized cost. Securities not classified as trading or held-to-maturity are available-for-sale and are reported at fair value with unrealized gains and losses excluded from earnings, but included in the determination of other comprehensive income. Management uses these assets as part of its asset/liability management strategy; they may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81" w:name="page82"/>
    <w:bookmarkEnd w:id="8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be sold in response to changes in liquidity needs, interest rates, resultant prepayment risk changes, and other factors. Management determines the appropriate classification of securities at the time of purchase. Purchase premiums and discounts are recognized in interest income using the interest method over the terms of the securities. Realized gains and losses and declines in value judged to be other-than-temporary are included in gain or loss on sale of securities. The cost of securities sold is based on the specific identification method.</w:t>
      </w:r>
    </w:p>
    <w:p>
      <w:pPr>
        <w:spacing w:after="0" w:line="80" w:lineRule="exact"/>
        <w:rPr>
          <w:sz w:val="20"/>
          <w:szCs w:val="20"/>
          <w:color w:val="auto"/>
        </w:rPr>
      </w:pPr>
    </w:p>
    <w:p>
      <w:pPr>
        <w:ind w:right="160" w:firstLine="360"/>
        <w:spacing w:after="0" w:line="297" w:lineRule="auto"/>
        <w:rPr>
          <w:sz w:val="20"/>
          <w:szCs w:val="20"/>
          <w:color w:val="auto"/>
        </w:rPr>
      </w:pPr>
      <w:r>
        <w:rPr>
          <w:rFonts w:ascii="Arial" w:cs="Arial" w:eastAsia="Arial" w:hAnsi="Arial"/>
          <w:sz w:val="16"/>
          <w:szCs w:val="16"/>
          <w:i w:val="1"/>
          <w:iCs w:val="1"/>
          <w:color w:val="auto"/>
        </w:rPr>
        <w:t xml:space="preserve">Loans. </w:t>
      </w:r>
      <w:r>
        <w:rPr>
          <w:rFonts w:ascii="Arial" w:cs="Arial" w:eastAsia="Arial" w:hAnsi="Arial"/>
          <w:sz w:val="16"/>
          <w:szCs w:val="16"/>
          <w:color w:val="auto"/>
        </w:rPr>
        <w:t>Loans that management has the intent and ability to hold for the foreseeable future or until maturity or payoff are</w:t>
      </w:r>
      <w:r>
        <w:rPr>
          <w:rFonts w:ascii="Arial" w:cs="Arial" w:eastAsia="Arial" w:hAnsi="Arial"/>
          <w:sz w:val="16"/>
          <w:szCs w:val="16"/>
          <w:i w:val="1"/>
          <w:iCs w:val="1"/>
          <w:color w:val="auto"/>
        </w:rPr>
        <w:t xml:space="preserve"> </w:t>
      </w:r>
      <w:r>
        <w:rPr>
          <w:rFonts w:ascii="Arial" w:cs="Arial" w:eastAsia="Arial" w:hAnsi="Arial"/>
          <w:sz w:val="16"/>
          <w:szCs w:val="16"/>
          <w:color w:val="auto"/>
        </w:rPr>
        <w:t>reported at their outstanding principal balances net of any unearned income, charge-offs, unamortized deferred fees and costs on originated loans, and premiums or discounts on purchased loans. Interest income is accrued on the unpaid principal balance. Loan origination fees, net of certain direct origination costs, are deferred and recognized as an adjustment of the related loan yield using the straight-line method, which is not materially different from the effective interest method required by GAAP.</w:t>
      </w:r>
    </w:p>
    <w:p>
      <w:pPr>
        <w:spacing w:after="0" w:line="50" w:lineRule="exact"/>
        <w:rPr>
          <w:sz w:val="20"/>
          <w:szCs w:val="20"/>
          <w:color w:val="auto"/>
        </w:rPr>
      </w:pPr>
    </w:p>
    <w:p>
      <w:pPr>
        <w:ind w:right="200" w:firstLine="360"/>
        <w:spacing w:after="0" w:line="276" w:lineRule="auto"/>
        <w:rPr>
          <w:sz w:val="20"/>
          <w:szCs w:val="20"/>
          <w:color w:val="auto"/>
        </w:rPr>
      </w:pPr>
      <w:r>
        <w:rPr>
          <w:rFonts w:ascii="Arial" w:cs="Arial" w:eastAsia="Arial" w:hAnsi="Arial"/>
          <w:sz w:val="17"/>
          <w:szCs w:val="17"/>
          <w:color w:val="auto"/>
        </w:rPr>
        <w:t>Loans are placed on non-accrual status when, in management’s opinion, collection of interest is unlikely, which typically occurs when principal or interest payments are more than ninety days past due. When interest accrual is discontinued, all unpaid accrued interest is reversed against interest income. The interest on these loans is accounted for on the cash-basis or cost-recovery method, until qualifying for return to accrual. Loans are returned to accrual status when all the principal and interest amounts contractually due are brought current and future payments are reasonably assured.</w:t>
      </w:r>
    </w:p>
    <w:p>
      <w:pPr>
        <w:spacing w:after="0" w:line="64" w:lineRule="exact"/>
        <w:rPr>
          <w:sz w:val="20"/>
          <w:szCs w:val="20"/>
          <w:color w:val="auto"/>
        </w:rPr>
      </w:pPr>
    </w:p>
    <w:p>
      <w:pPr>
        <w:ind w:right="320" w:firstLine="360"/>
        <w:spacing w:after="0" w:line="293" w:lineRule="auto"/>
        <w:rPr>
          <w:sz w:val="20"/>
          <w:szCs w:val="20"/>
          <w:color w:val="auto"/>
        </w:rPr>
      </w:pPr>
      <w:r>
        <w:rPr>
          <w:rFonts w:ascii="Arial" w:cs="Arial" w:eastAsia="Arial" w:hAnsi="Arial"/>
          <w:sz w:val="16"/>
          <w:szCs w:val="16"/>
          <w:i w:val="1"/>
          <w:iCs w:val="1"/>
          <w:color w:val="auto"/>
        </w:rPr>
        <w:t xml:space="preserve">Allowance for Loan Losses. </w:t>
      </w:r>
      <w:r>
        <w:rPr>
          <w:rFonts w:ascii="Arial" w:cs="Arial" w:eastAsia="Arial" w:hAnsi="Arial"/>
          <w:sz w:val="16"/>
          <w:szCs w:val="16"/>
          <w:color w:val="auto"/>
        </w:rPr>
        <w:t>The allowance for loan losses is established as losses are estimated to have occurred through a</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 for loan losses charged to earnings. Loan losses are charged against the allowance when management believes the uncollectibility of a loan balance is confirmed. Subsequent recoveries, if any, are credited to the allowance. The Company’s allowance for loan losses consists of specific valuation allowances established for probable losses on specific loans and general valuation allowances calculated based on historical loan loss experience for similar loans with similar characteristics and trends, judgmentally adjusted for general economic conditions and other qualitative risk factors internal and external to the Company.</w:t>
      </w:r>
    </w:p>
    <w:p>
      <w:pPr>
        <w:spacing w:after="0" w:line="57" w:lineRule="exact"/>
        <w:rPr>
          <w:sz w:val="20"/>
          <w:szCs w:val="20"/>
          <w:color w:val="auto"/>
        </w:rPr>
      </w:pPr>
    </w:p>
    <w:p>
      <w:pPr>
        <w:ind w:right="100" w:firstLine="360"/>
        <w:spacing w:after="0" w:line="290" w:lineRule="auto"/>
        <w:rPr>
          <w:sz w:val="20"/>
          <w:szCs w:val="20"/>
          <w:color w:val="auto"/>
        </w:rPr>
      </w:pPr>
      <w:r>
        <w:rPr>
          <w:rFonts w:ascii="Arial" w:cs="Arial" w:eastAsia="Arial" w:hAnsi="Arial"/>
          <w:sz w:val="16"/>
          <w:szCs w:val="16"/>
          <w:color w:val="auto"/>
        </w:rPr>
        <w:t>The allowance for loan losses is evaluated on a quarterly basis by management and is based upon management’s review of the collectability of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 The determination of the adequacy of the allowance for loan losses is based on estimates that are particularly susceptible to significant changes in the economic environment and market conditions. In connection with the determination of the estimated losses on loans, management obtains independent appraisals for significant collateral. The Bank’s loans are generally secured by specific items of collateral including real property, crops, livestock, consumer assets, and other business assets.</w:t>
      </w:r>
    </w:p>
    <w:p>
      <w:pPr>
        <w:spacing w:after="0" w:line="58"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While management uses available information to recognize losses on loans, further reductions in the carrying amounts of loans may be necessary based on various factors. In addition, regulatory agencies, as an integral part of their examination process, periodically review the estimated losses on loans. Such agencies may require the Bank to recognize additional losses based on their judgments about information available to them at the time of their examination. Because of these factors, it is reasonably possible that the estimated losses on loans may change materially in the near term. However, the amount of the change that is reasonably possible cannot be estimated.</w:t>
      </w:r>
    </w:p>
    <w:p>
      <w:pPr>
        <w:spacing w:after="0" w:line="85" w:lineRule="exact"/>
        <w:rPr>
          <w:sz w:val="20"/>
          <w:szCs w:val="20"/>
          <w:color w:val="auto"/>
        </w:rPr>
      </w:pPr>
    </w:p>
    <w:p>
      <w:pPr>
        <w:ind w:firstLine="360"/>
        <w:spacing w:after="0" w:line="289" w:lineRule="auto"/>
        <w:rPr>
          <w:sz w:val="20"/>
          <w:szCs w:val="20"/>
          <w:color w:val="auto"/>
        </w:rPr>
      </w:pPr>
      <w:r>
        <w:rPr>
          <w:rFonts w:ascii="Arial" w:cs="Arial" w:eastAsia="Arial" w:hAnsi="Arial"/>
          <w:sz w:val="16"/>
          <w:szCs w:val="16"/>
          <w:color w:val="auto"/>
        </w:rPr>
        <w:t>A loan is considered impaired when, based on current information and events, it is probable that the Company will be unable to collect the scheduled payments of principal or interest when due according to the contractual terms of the loan agreement. All loans rated substandard or worse and greater than $250,000 are specifically reviewed to determine if they are impaired. Factors considered by management in determining whether a loan is impaired include payment status and the sources, amounts, and probabilities of estimated cash flow available to service debt in relation to amounts due according to contractual terms.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82" w:name="page83"/>
    <w:bookmarkEnd w:id="8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Loans that are determined to be impaired are then evaluated to determine estimated impairment, if any. GAAP allows impairment to be measured on a loan-by-loan basis by either the present value of expected future cash flows discounted at the loan’s effective interest rate, the loan’s obtainable market price, or the fair value of the collateral if the loan is collateral dependent. Loans that are not individually determined to be impaired or are not subject to the specific review of impaired status are subject to the general valuation allowance portion of the allowance for loan loss.</w:t>
      </w:r>
    </w:p>
    <w:p>
      <w:pPr>
        <w:spacing w:after="0" w:line="80"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i w:val="1"/>
          <w:iCs w:val="1"/>
          <w:color w:val="auto"/>
        </w:rPr>
        <w:t xml:space="preserve">Loans Held for Sale. </w:t>
      </w:r>
      <w:r>
        <w:rPr>
          <w:rFonts w:ascii="Arial" w:cs="Arial" w:eastAsia="Arial" w:hAnsi="Arial"/>
          <w:sz w:val="18"/>
          <w:szCs w:val="18"/>
          <w:color w:val="auto"/>
        </w:rPr>
        <w:t>Loans held for sale are comprised of residential mortgage loans. Loans that are originated for best efforts</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are carried at the lower of aggregate cost or fair value as determined by aggregate outstanding commitments from investors or current investor yield requirements. All other loans held for sale are carried at fair value. Loans sold are typically subject to certain indemnification provisions with the investor; management does not believe these provisions will have any significant consequences.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60" w:firstLine="360"/>
        <w:spacing w:after="0" w:line="288" w:lineRule="auto"/>
        <w:rPr>
          <w:sz w:val="20"/>
          <w:szCs w:val="20"/>
          <w:color w:val="auto"/>
        </w:rPr>
      </w:pPr>
      <w:r>
        <w:rPr>
          <w:rFonts w:ascii="Arial" w:cs="Arial" w:eastAsia="Arial" w:hAnsi="Arial"/>
          <w:sz w:val="16"/>
          <w:szCs w:val="16"/>
          <w:color w:val="auto"/>
        </w:rPr>
        <w:t>In May 2014, the FASB issued ASU 2014-09, Revenue from Contracts with Customers (Topic 606), and in April 2016, the FASB issued ASU 2015-14, Revenue from Contracts with Customers (Topic 606) - Deferral of the Effective Date. The FASB amended existing guidance related to revenue from contracts with customers. This amendment supersedes and replaces nearly all existing revenue recognition guidance, including industry-specific guidance, establishes a new control-based revenue recognition model, changes the basis for deciding when revenue is recognized over time or at a point in time, provides new and more detailed guidance on specific topics and expands and improves disclosures about revenue. In addition, this amendment specifies the accounting for some costs to obtain or fulfill a contract with a customer. These amendments are effective for financial statements as of December 31, 2019 and for interim financial statements beginning January 1, 2020. The adoption of this standard is not expected to have a material impact on the Company’s operating results or financial condition as the majority of the Company’s revenue sources are covered by other sections of the FASB codification.</w:t>
      </w:r>
    </w:p>
    <w:p>
      <w:pPr>
        <w:spacing w:after="0" w:line="61"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16"/>
          <w:szCs w:val="16"/>
          <w:color w:val="auto"/>
        </w:rPr>
        <w:t>In February 2016, the FASB issued ASU 2016-02 Leases (Topic 842). The FASB amended existing guidance that requires that lessees recognize lease assets and lease liabilities on the balance sheet and disclose key information about leasing arrangements. The Company is in the process of determining the effect of the standard on its consolidated operating results and financial condition.</w:t>
      </w:r>
    </w:p>
    <w:p>
      <w:pPr>
        <w:ind w:right="400"/>
        <w:spacing w:after="0" w:line="261" w:lineRule="auto"/>
        <w:rPr>
          <w:sz w:val="20"/>
          <w:szCs w:val="20"/>
          <w:color w:val="auto"/>
        </w:rPr>
      </w:pPr>
      <w:r>
        <w:rPr>
          <w:rFonts w:ascii="Arial" w:cs="Arial" w:eastAsia="Arial" w:hAnsi="Arial"/>
          <w:sz w:val="18"/>
          <w:szCs w:val="18"/>
          <w:color w:val="auto"/>
        </w:rPr>
        <w:t>These amendments are effective for financial statements as of December 31, 2020 and for interim periods beginning January 1, 2021.</w:t>
      </w:r>
    </w:p>
    <w:p>
      <w:pPr>
        <w:spacing w:after="0" w:line="76" w:lineRule="exact"/>
        <w:rPr>
          <w:sz w:val="20"/>
          <w:szCs w:val="20"/>
          <w:color w:val="auto"/>
        </w:rPr>
      </w:pPr>
    </w:p>
    <w:p>
      <w:pPr>
        <w:ind w:right="160" w:firstLine="360"/>
        <w:spacing w:after="0" w:line="254" w:lineRule="auto"/>
        <w:rPr>
          <w:sz w:val="20"/>
          <w:szCs w:val="20"/>
          <w:color w:val="auto"/>
        </w:rPr>
      </w:pPr>
      <w:r>
        <w:rPr>
          <w:rFonts w:ascii="Arial" w:cs="Arial" w:eastAsia="Arial" w:hAnsi="Arial"/>
          <w:sz w:val="18"/>
          <w:szCs w:val="18"/>
          <w:color w:val="auto"/>
        </w:rPr>
        <w:t>In January 2016, the FASB issued ASU 2016-13, Financial Instruments - Credit Losses (Topic 326). The FASB issued guidance to replace the incurred loss model with an expected loss model, which is referred to as the current expected credit loss (CECL) model. The CECL model is applicable to the measurement of credit losses on financial assets measured at amortized cost, including loan receivables, held-to-maturity securities, and debt securities. ASU 2016-13 is effective for the Company for annual periods beginning after December 15, 2021, including interim periods within those fiscal years. Entities will apply the standard’s provisions as a cumulative-effect adjustment to retained earnings as of the beginning of the first reporting period in which the guidance is adopted. The Company is currently evaluating the impact adoption of ASU 2016-13 will have on its consolidated operating results and financial condition.</w:t>
      </w:r>
    </w:p>
    <w:p>
      <w:pPr>
        <w:spacing w:after="0" w:line="84" w:lineRule="exact"/>
        <w:rPr>
          <w:sz w:val="20"/>
          <w:szCs w:val="20"/>
          <w:color w:val="auto"/>
        </w:rPr>
      </w:pPr>
    </w:p>
    <w:p>
      <w:pPr>
        <w:ind w:right="60" w:firstLine="360"/>
        <w:spacing w:after="0" w:line="302" w:lineRule="auto"/>
        <w:rPr>
          <w:sz w:val="20"/>
          <w:szCs w:val="20"/>
          <w:color w:val="auto"/>
        </w:rPr>
      </w:pPr>
      <w:r>
        <w:rPr>
          <w:rFonts w:ascii="Arial" w:cs="Arial" w:eastAsia="Arial" w:hAnsi="Arial"/>
          <w:sz w:val="16"/>
          <w:szCs w:val="16"/>
          <w:color w:val="auto"/>
        </w:rPr>
        <w:t>In August 2016, the FASB issued ASU 2016-15, Statement of Cash Flows (Topic 320). The FASB issued guidance to address the diversity in how certain cash receipts and cash payments are presented and classified in the statement of cash flows. The adoption of this standard is not expected to have a material impact on the Company’s operating results or financial condition. These amendments are effective for financial statements as of December 31, 2019 and interim periods beginning January 1, 2020.</w:t>
      </w:r>
    </w:p>
    <w:p>
      <w:pPr>
        <w:spacing w:after="0" w:line="46"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In August 2017, the FASB issued ASU 2017-12, Derivatives and Hedging (Topic 815). The FASB issued guidance to improve the financial reporting of hedging relationships to better portray economic results of an entity’s risk management activities in its financial statements. The amendments expand and refine hedge accounting for both nonfinancial and financial risk components and align the recognition and presentation of the effects of the hedging instrument and the hedged item in the financial statements. These amendments are effective for financial statements as of December 31, 20120 and for interim periods beginning January 1, 2021. The adoption of this standard is not expected to have a material impact on the Company’s operating results or financial condition.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83" w:name="page84"/>
    <w:bookmarkEnd w:id="8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right="40" w:firstLine="360"/>
        <w:spacing w:after="0" w:line="297" w:lineRule="auto"/>
        <w:rPr>
          <w:sz w:val="20"/>
          <w:szCs w:val="20"/>
          <w:color w:val="auto"/>
        </w:rPr>
      </w:pPr>
      <w:r>
        <w:rPr>
          <w:rFonts w:ascii="Arial" w:cs="Arial" w:eastAsia="Arial" w:hAnsi="Arial"/>
          <w:sz w:val="16"/>
          <w:szCs w:val="16"/>
          <w:color w:val="auto"/>
        </w:rPr>
        <w:t>We are a bank holding company headquartered in Lubbock, Texas, and City Bank is one of the largest independent banks in West Texas. We have additional banking operations in the Dallas-Fort Worth-Arlington and El Paso MSAs, as well as in the Greater Houston, College Station, and Ruidoso and Eastern New Mexico markets. Through City Bank, we provide a wide range of commercial and consumer financial services to small and medium-sized businesses and individuals in our market areas. Our principal business activities include commercial and retail banking, along with insurance, investment, trust and mortgage services.</w:t>
      </w:r>
    </w:p>
    <w:p>
      <w:pPr>
        <w:spacing w:after="0" w:line="50" w:lineRule="exact"/>
        <w:rPr>
          <w:sz w:val="20"/>
          <w:szCs w:val="20"/>
          <w:color w:val="auto"/>
        </w:rPr>
      </w:pPr>
    </w:p>
    <w:p>
      <w:pPr>
        <w:ind w:right="500" w:firstLine="360"/>
        <w:spacing w:after="0" w:line="277" w:lineRule="auto"/>
        <w:rPr>
          <w:sz w:val="20"/>
          <w:szCs w:val="20"/>
          <w:color w:val="auto"/>
        </w:rPr>
      </w:pPr>
      <w:r>
        <w:rPr>
          <w:rFonts w:ascii="Arial" w:cs="Arial" w:eastAsia="Arial" w:hAnsi="Arial"/>
          <w:sz w:val="18"/>
          <w:szCs w:val="18"/>
          <w:color w:val="auto"/>
        </w:rPr>
        <w:t>We had total assets of $2.7 billion, gross loans held for investment of $2.0 billion, total deposits of $2.3 billion, and total shareholders’ equity of $154.6 million as of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 and Growth</w:t>
      </w:r>
    </w:p>
    <w:p>
      <w:pPr>
        <w:spacing w:after="0" w:line="121" w:lineRule="exact"/>
        <w:rPr>
          <w:sz w:val="20"/>
          <w:szCs w:val="20"/>
          <w:color w:val="auto"/>
        </w:rPr>
      </w:pPr>
    </w:p>
    <w:p>
      <w:pPr>
        <w:ind w:right="40" w:firstLine="360"/>
        <w:spacing w:after="0" w:line="270" w:lineRule="auto"/>
        <w:rPr>
          <w:sz w:val="20"/>
          <w:szCs w:val="20"/>
          <w:color w:val="auto"/>
        </w:rPr>
      </w:pPr>
      <w:r>
        <w:rPr>
          <w:rFonts w:ascii="Arial" w:cs="Arial" w:eastAsia="Arial" w:hAnsi="Arial"/>
          <w:sz w:val="17"/>
          <w:szCs w:val="17"/>
          <w:color w:val="auto"/>
        </w:rPr>
        <w:t>Our company’s history dates back more than 75 years. We trace our beginnings to the founding of First State Bank of Morton, a community bank headquartered in West Texas that held approximately $1 million of total assets in 1941. In 1962, the bank was sold to new management, including J.K. Griffith, the father of our current Chairman and Chief Executive Officer, Curtis C. Griffith. Since Mr. Griffith was elected Chairman of First State Bank of Morton in 1984, the bank has transformed from a small-town institution with approximately $30 million in total assets and a single branch location into one of the largest community banks in West Texas. The parent company to First State Bank of Morton acquired South Plains National Bank of Levelland, Texas in 1991 and changed its name to South Plains Bank. The Company became the holding company to First State Bank of Morton and South Plains Bank in 1993, the same year we acquired City Bank. City Bank was originally established in Lubbock in 1984. We merged First State Bank of Morton and South Plains Bank into City Bank in 1998 and 1999, respectively. South Plains Financial, Inc. had more than $175 million in assets upon the closing of these acquisitions.</w:t>
      </w:r>
    </w:p>
    <w:p>
      <w:pPr>
        <w:spacing w:after="0" w:line="70"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color w:val="auto"/>
        </w:rPr>
        <w:t>We currently operate 21 full-service banking locations across six geographic markets resulting from five acquisitions, de novo branches, and the formation of a de novo bank in Ruidoso, New Mexico, which we later merged into the Bank. We also operate 13 loan production offices both in our banking markets and in certain key areas that primarily focus on mortgage loan production. We build long-lasting relationships with our customers by delivering high quality products and services and have sought to capitalize on the opportunities presented by continued consolidation in the banking industry. We believe a major contributor to our historical success has been our focus on becoming the community bank of choice in all markets that we serve.</w:t>
      </w:r>
    </w:p>
    <w:p>
      <w:pPr>
        <w:spacing w:after="0" w:line="57" w:lineRule="exact"/>
        <w:rPr>
          <w:sz w:val="20"/>
          <w:szCs w:val="20"/>
          <w:color w:val="auto"/>
        </w:rPr>
      </w:pPr>
    </w:p>
    <w:p>
      <w:pPr>
        <w:jc w:val="both"/>
        <w:ind w:right="80" w:firstLine="360"/>
        <w:spacing w:after="0" w:line="264" w:lineRule="auto"/>
        <w:rPr>
          <w:sz w:val="20"/>
          <w:szCs w:val="20"/>
          <w:color w:val="auto"/>
        </w:rPr>
      </w:pPr>
      <w:r>
        <w:rPr>
          <w:rFonts w:ascii="Arial" w:cs="Arial" w:eastAsia="Arial" w:hAnsi="Arial"/>
          <w:sz w:val="18"/>
          <w:szCs w:val="18"/>
          <w:color w:val="auto"/>
        </w:rPr>
        <w:t>We have worked diligently to produce balance sheet growth, increase our earnings power, maintain sound credit quality, grow core deposits, create operational efficiencies, and improve digital and in-branch customer experiences. Our success in these areas is demonstrated by our:</w:t>
      </w:r>
    </w:p>
    <w:p>
      <w:pPr>
        <w:spacing w:after="0" w:line="73" w:lineRule="exact"/>
        <w:rPr>
          <w:sz w:val="20"/>
          <w:szCs w:val="20"/>
          <w:color w:val="auto"/>
        </w:rPr>
      </w:pPr>
    </w:p>
    <w:p>
      <w:pPr>
        <w:ind w:left="700" w:hanging="356"/>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Earnings growth, with a CAGR of 11.9% in net income for the five years ended December 31, 2018;</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Loan growth, with a CAGR of 7.1% for the period December 31, 2013 to December 31, 2018;</w:t>
      </w:r>
    </w:p>
    <w:p>
      <w:pPr>
        <w:spacing w:after="0" w:line="117" w:lineRule="exact"/>
        <w:rPr>
          <w:rFonts w:ascii="Arial" w:cs="Arial" w:eastAsia="Arial" w:hAnsi="Arial"/>
          <w:sz w:val="18"/>
          <w:szCs w:val="18"/>
          <w:color w:val="auto"/>
        </w:rPr>
      </w:pPr>
    </w:p>
    <w:p>
      <w:pPr>
        <w:ind w:left="700" w:right="80" w:hanging="356"/>
        <w:spacing w:after="0" w:line="308" w:lineRule="auto"/>
        <w:tabs>
          <w:tab w:leader="none" w:pos="7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Strong asset quality metrics, with a net charge-offs to average loans ratio of 0.27% for the year ended December 31, 2018 and our nonperforming assets representing 0.47% of our loans and OREO as of December 31, 2018; and</w:t>
      </w:r>
    </w:p>
    <w:p>
      <w:pPr>
        <w:spacing w:after="0" w:line="38" w:lineRule="exact"/>
        <w:rPr>
          <w:rFonts w:ascii="Arial" w:cs="Arial" w:eastAsia="Arial" w:hAnsi="Arial"/>
          <w:sz w:val="17"/>
          <w:szCs w:val="17"/>
          <w:color w:val="auto"/>
        </w:rPr>
      </w:pPr>
    </w:p>
    <w:p>
      <w:pPr>
        <w:ind w:left="700" w:right="440" w:hanging="356"/>
        <w:spacing w:after="0" w:line="312" w:lineRule="auto"/>
        <w:tabs>
          <w:tab w:leader="none" w:pos="7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Core deposit base, which includes deposits obtained directly from depositors and excludes time deposits in excess of $250,000, deposits obtained from listing services, and brokered deposits, represented 90.4% of total deposits as of December 31, 2018, and our cost of total deposits, which was 0.80% for the year ended December 31, 2018.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Our strategy is to deliver best-in-class customer service and achieve our goal of becoming the preferred community bank in our market areas. We aim to increase shareholder value by achieving profitable growth and operating leverage through a combination of:</w:t>
      </w:r>
    </w:p>
    <w:p>
      <w:pPr>
        <w:spacing w:after="0" w:line="73" w:lineRule="exact"/>
        <w:rPr>
          <w:sz w:val="20"/>
          <w:szCs w:val="20"/>
          <w:color w:val="auto"/>
        </w:rPr>
      </w:pPr>
    </w:p>
    <w:p>
      <w:pPr>
        <w:ind w:left="700" w:right="320" w:hanging="356"/>
        <w:spacing w:after="0" w:line="277" w:lineRule="auto"/>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Organic Growth. </w:t>
      </w:r>
      <w:r>
        <w:rPr>
          <w:rFonts w:ascii="Arial" w:cs="Arial" w:eastAsia="Arial" w:hAnsi="Arial"/>
          <w:sz w:val="18"/>
          <w:szCs w:val="18"/>
          <w:color w:val="auto"/>
        </w:rPr>
        <w:t>We focus primarily on the organic growth of existing business lines in our current market areas.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customer-service driven, community-focused business model differentiates our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84" w:name="page85"/>
    <w:bookmarkEnd w:id="8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20" w:right="100"/>
        <w:spacing w:after="0" w:line="259" w:lineRule="auto"/>
        <w:rPr>
          <w:sz w:val="20"/>
          <w:szCs w:val="20"/>
          <w:color w:val="auto"/>
        </w:rPr>
      </w:pPr>
      <w:r>
        <w:rPr>
          <w:rFonts w:ascii="Arial" w:cs="Arial" w:eastAsia="Arial" w:hAnsi="Arial"/>
          <w:sz w:val="18"/>
          <w:szCs w:val="18"/>
          <w:color w:val="auto"/>
        </w:rPr>
        <w:t>company from competitors, many of which are larger out-of-market banks. Our strategy is to continue gathering low-cost deposits in these nonmetropolitan markets and deploy them in larger, more dynamic lending markets. The following shows our total deposits and gross loans held for investment in our community markets and our metropolitan markets as of December 31, 2018, which we believe illustrates this strategy.</w:t>
      </w:r>
    </w:p>
    <w:p>
      <w:pPr>
        <w:spacing w:after="0" w:line="43" w:lineRule="exact"/>
        <w:rPr>
          <w:sz w:val="20"/>
          <w:szCs w:val="20"/>
          <w:color w:val="auto"/>
        </w:rPr>
      </w:pPr>
    </w:p>
    <w:tbl>
      <w:tblPr>
        <w:tblLayout w:type="fixed"/>
        <w:tblInd w:w="760" w:type="dxa"/>
        <w:tblCellMar>
          <w:top w:w="0" w:type="dxa"/>
          <w:left w:w="0" w:type="dxa"/>
          <w:bottom w:w="0" w:type="dxa"/>
          <w:right w:w="0" w:type="dxa"/>
        </w:tblCellMar>
      </w:tblPr>
      <w:tr>
        <w:trPr>
          <w:trHeight w:val="185"/>
        </w:trPr>
        <w:tc>
          <w:tcPr>
            <w:tcW w:w="2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Deposits</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w w:val="87"/>
              </w:rPr>
              <w:t>Loans</w:t>
            </w:r>
          </w:p>
        </w:tc>
        <w:tc>
          <w:tcPr>
            <w:tcW w:w="7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2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gridSpan w:val="7"/>
          </w:tcPr>
          <w:p>
            <w:pPr>
              <w:ind w:left="180"/>
              <w:spacing w:after="0"/>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Loans/</w:t>
            </w:r>
          </w:p>
        </w:tc>
      </w:tr>
      <w:tr>
        <w:trPr>
          <w:trHeight w:val="185"/>
        </w:trPr>
        <w:tc>
          <w:tcPr>
            <w:tcW w:w="2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6"/>
                <w:szCs w:val="16"/>
                <w:color w:val="auto"/>
              </w:rPr>
            </w:pP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Overall %</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Overall %</w:t>
            </w:r>
          </w:p>
        </w:tc>
        <w:tc>
          <w:tcPr>
            <w:tcW w:w="180" w:type="dxa"/>
            <w:vAlign w:val="bottom"/>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Deposits</w:t>
            </w:r>
          </w:p>
        </w:tc>
        <w:tc>
          <w:tcPr>
            <w:tcW w:w="100" w:type="dxa"/>
            <w:vAlign w:val="bottom"/>
          </w:tcPr>
          <w:p>
            <w:pPr>
              <w:spacing w:after="0"/>
              <w:rPr>
                <w:sz w:val="16"/>
                <w:szCs w:val="16"/>
                <w:color w:val="auto"/>
              </w:rPr>
            </w:pPr>
          </w:p>
        </w:tc>
      </w:tr>
      <w:tr>
        <w:trPr>
          <w:trHeight w:val="237"/>
        </w:trPr>
        <w:tc>
          <w:tcPr>
            <w:tcW w:w="224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Metropolitan markets</w:t>
            </w:r>
            <w:r>
              <w:rPr>
                <w:rFonts w:ascii="Arial" w:cs="Arial" w:eastAsia="Arial" w:hAnsi="Arial"/>
                <w:sz w:val="27"/>
                <w:szCs w:val="27"/>
                <w:color w:val="auto"/>
                <w:vertAlign w:val="superscript"/>
              </w:rPr>
              <w:t>(1)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394,756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567,394</w:t>
            </w:r>
          </w:p>
        </w:tc>
        <w:tc>
          <w:tcPr>
            <w:tcW w:w="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143.7%</w:t>
            </w:r>
          </w:p>
        </w:tc>
      </w:tr>
      <w:tr>
        <w:trPr>
          <w:trHeight w:val="390"/>
        </w:trPr>
        <w:tc>
          <w:tcPr>
            <w:tcW w:w="2240" w:type="dxa"/>
            <w:vAlign w:val="bottom"/>
          </w:tcPr>
          <w:p>
            <w:pPr>
              <w:spacing w:after="0"/>
              <w:rPr>
                <w:sz w:val="20"/>
                <w:szCs w:val="20"/>
                <w:color w:val="auto"/>
              </w:rPr>
            </w:pPr>
            <w:r>
              <w:rPr>
                <w:rFonts w:ascii="Arial" w:cs="Arial" w:eastAsia="Arial" w:hAnsi="Arial"/>
                <w:sz w:val="18"/>
                <w:szCs w:val="18"/>
                <w:color w:val="auto"/>
              </w:rPr>
              <w:t>Community markets</w:t>
            </w:r>
            <w:r>
              <w:rPr>
                <w:rFonts w:ascii="Arial" w:cs="Arial" w:eastAsia="Arial" w:hAnsi="Arial"/>
                <w:sz w:val="29"/>
                <w:szCs w:val="29"/>
                <w:color w:val="auto"/>
                <w:vertAlign w:val="superscript"/>
              </w:rPr>
              <w:t>(2)</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1,882,698</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82.7%</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1,389,803</w:t>
            </w:r>
          </w:p>
        </w:tc>
        <w:tc>
          <w:tcPr>
            <w:tcW w:w="4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71.0%</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35560</wp:posOffset>
            </wp:positionV>
            <wp:extent cx="909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152" w:lineRule="exact"/>
        <w:rPr>
          <w:sz w:val="20"/>
          <w:szCs w:val="20"/>
          <w:color w:val="auto"/>
        </w:rPr>
      </w:pPr>
    </w:p>
    <w:p>
      <w:pPr>
        <w:ind w:left="1060" w:hanging="351"/>
        <w:spacing w:after="0"/>
        <w:tabs>
          <w:tab w:leader="none" w:pos="10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Includes three Dallas, TX branches, two El Paso, TX branches, and one Houston, TX branch.</w:t>
      </w:r>
    </w:p>
    <w:p>
      <w:pPr>
        <w:spacing w:after="0" w:line="109" w:lineRule="exact"/>
        <w:rPr>
          <w:rFonts w:ascii="Arial" w:cs="Arial" w:eastAsia="Arial" w:hAnsi="Arial"/>
          <w:sz w:val="14"/>
          <w:szCs w:val="14"/>
          <w:color w:val="auto"/>
        </w:rPr>
      </w:pPr>
    </w:p>
    <w:p>
      <w:pPr>
        <w:ind w:left="1060" w:right="420" w:hanging="351"/>
        <w:spacing w:after="0" w:line="273" w:lineRule="auto"/>
        <w:tabs>
          <w:tab w:leader="none" w:pos="10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Includes twelve branches in the Lubbock/South Plains market area, two branches in Ruidoso/Eastern, NM, and one branch in Bryan/College Station, TX.</w:t>
      </w:r>
    </w:p>
    <w:p>
      <w:pPr>
        <w:spacing w:after="0" w:line="57" w:lineRule="exact"/>
        <w:rPr>
          <w:sz w:val="20"/>
          <w:szCs w:val="20"/>
          <w:color w:val="auto"/>
        </w:rPr>
      </w:pPr>
    </w:p>
    <w:p>
      <w:pPr>
        <w:ind w:left="720" w:right="60"/>
        <w:spacing w:after="0" w:line="257" w:lineRule="auto"/>
        <w:rPr>
          <w:sz w:val="20"/>
          <w:szCs w:val="20"/>
          <w:color w:val="auto"/>
        </w:rPr>
      </w:pPr>
      <w:r>
        <w:rPr>
          <w:rFonts w:ascii="Arial" w:cs="Arial" w:eastAsia="Arial" w:hAnsi="Arial"/>
          <w:sz w:val="18"/>
          <w:szCs w:val="18"/>
          <w:color w:val="auto"/>
        </w:rPr>
        <w:t>In addition, we intend to actively recruit additional lenders and employees from other institutions. We have had success in this area which we believe is attributable to our employee ownership, long-standing market presence and desirable culture in which our employees can thrive. Finally, we cross-sell our various banking products, including our deposits and treasury wealth management to our commercial loan customers, which we believe provides a basis for expanding our banking relationships.</w:t>
      </w:r>
    </w:p>
    <w:p>
      <w:pPr>
        <w:spacing w:after="0" w:line="80" w:lineRule="exact"/>
        <w:rPr>
          <w:sz w:val="20"/>
          <w:szCs w:val="20"/>
          <w:color w:val="auto"/>
        </w:rPr>
      </w:pPr>
    </w:p>
    <w:p>
      <w:pPr>
        <w:ind w:left="700" w:hanging="356"/>
        <w:spacing w:after="0" w:line="287" w:lineRule="auto"/>
        <w:tabs>
          <w:tab w:leader="none" w:pos="700" w:val="left"/>
        </w:tabs>
        <w:numPr>
          <w:ilvl w:val="0"/>
          <w:numId w:val="39"/>
        </w:numPr>
        <w:rPr>
          <w:rFonts w:ascii="Arial" w:cs="Arial" w:eastAsia="Arial" w:hAnsi="Arial"/>
          <w:sz w:val="16"/>
          <w:szCs w:val="16"/>
          <w:color w:val="auto"/>
        </w:rPr>
      </w:pPr>
      <w:r>
        <w:rPr>
          <w:rFonts w:ascii="Arial" w:cs="Arial" w:eastAsia="Arial" w:hAnsi="Arial"/>
          <w:sz w:val="16"/>
          <w:szCs w:val="16"/>
          <w:b w:val="1"/>
          <w:bCs w:val="1"/>
          <w:i w:val="1"/>
          <w:iCs w:val="1"/>
          <w:color w:val="auto"/>
        </w:rPr>
        <w:t>Growth Through Acquisitions</w:t>
      </w:r>
      <w:r>
        <w:rPr>
          <w:rFonts w:ascii="Arial" w:cs="Arial" w:eastAsia="Arial" w:hAnsi="Arial"/>
          <w:sz w:val="16"/>
          <w:szCs w:val="16"/>
          <w:color w:val="auto"/>
        </w:rPr>
        <w:t>. We intend to take advantage of strategic acquisition opportunities, including using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stock as public currency to become a logical consolidator in our market areas. As of December 31, 2018, there were more than 160 banks in Texas and New Mexico with total assets between $250 million and $1.0 billion, which provides us with ample opportunities to make acquisitions that increase shareholder value both in our existing markets and in attractive new markets in those states, including in Midland and Odessa, Texas. Catalysts for acquisition activity include scale and operational issues, excessive regulation, shareholder liquidity needs, and management succession concerns. We believe that our longstanding presence in West Texas, our culture of emphasizing employees as our most important asset, and our financial commitment to helping our communities will give us a significant advantage in making us an acquirer of choice. We acquired an online mortgage platform and staff from an Overland Park, Kansas-based mortgage company at the end of November 2018 as part of our strategy to enhance our consumer-direct business model for our mortgage operations to accompany our traditional brick-and-mortar delivery channels. We employ 32 full-time employees at this location. We are not currently party to any arrangements, understandings, or agreements to make any material acquisitions.</w:t>
      </w:r>
    </w:p>
    <w:p>
      <w:pPr>
        <w:spacing w:after="0" w:line="60" w:lineRule="exact"/>
        <w:rPr>
          <w:rFonts w:ascii="Arial" w:cs="Arial" w:eastAsia="Arial" w:hAnsi="Arial"/>
          <w:sz w:val="16"/>
          <w:szCs w:val="16"/>
          <w:color w:val="auto"/>
        </w:rPr>
      </w:pPr>
    </w:p>
    <w:p>
      <w:pPr>
        <w:ind w:left="700" w:right="40" w:hanging="356"/>
        <w:spacing w:after="0" w:line="287" w:lineRule="auto"/>
        <w:tabs>
          <w:tab w:leader="none" w:pos="700" w:val="left"/>
        </w:tabs>
        <w:numPr>
          <w:ilvl w:val="0"/>
          <w:numId w:val="39"/>
        </w:numPr>
        <w:rPr>
          <w:rFonts w:ascii="Arial" w:cs="Arial" w:eastAsia="Arial" w:hAnsi="Arial"/>
          <w:sz w:val="16"/>
          <w:szCs w:val="16"/>
          <w:color w:val="auto"/>
        </w:rPr>
      </w:pPr>
      <w:r>
        <w:rPr>
          <w:rFonts w:ascii="Arial" w:cs="Arial" w:eastAsia="Arial" w:hAnsi="Arial"/>
          <w:sz w:val="16"/>
          <w:szCs w:val="16"/>
          <w:b w:val="1"/>
          <w:bCs w:val="1"/>
          <w:i w:val="1"/>
          <w:iCs w:val="1"/>
          <w:color w:val="auto"/>
        </w:rPr>
        <w:t>Operational Improvements Through Enterprise Risk Management</w:t>
      </w:r>
      <w:r>
        <w:rPr>
          <w:rFonts w:ascii="Arial" w:cs="Arial" w:eastAsia="Arial" w:hAnsi="Arial"/>
          <w:sz w:val="16"/>
          <w:szCs w:val="16"/>
          <w:color w:val="auto"/>
        </w:rPr>
        <w:t>. We implemented a rigorous ERM system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aftermath of the financial crisis, and view this development as a defining event for our institution. This system delivers a systematic approach to risk measurement and enhances the effectiveness of risk management across the institution. Integrating this system into our culture and strategic decision making has improved all functional areas of the business. Our asset quality has improved significantly by enhancing our underwriting process and establishing a specific credit appetite that aligns to the broader enterprise risk management framework. Operational oversight has been heightened to include monitoring for potential personnel, process and systems issues. We have also implemented monitoring and controls for other functional areas such as information security and technology, vendor management, liquidity, interest rate risk, compliance and company reputation. We believe the ERM program has positioned our company to better consummate acquisitions with less risk and increased cost savings. In addition, we believe we are one of the only community banks in our size range and market area to implement such a comprehensive risk management system.</w:t>
      </w:r>
    </w:p>
    <w:p>
      <w:pPr>
        <w:spacing w:after="0" w:line="64" w:lineRule="exact"/>
        <w:rPr>
          <w:rFonts w:ascii="Arial" w:cs="Arial" w:eastAsia="Arial" w:hAnsi="Arial"/>
          <w:sz w:val="16"/>
          <w:szCs w:val="16"/>
          <w:color w:val="auto"/>
        </w:rPr>
      </w:pPr>
    </w:p>
    <w:p>
      <w:pPr>
        <w:ind w:left="700" w:right="120" w:hanging="356"/>
        <w:spacing w:after="0" w:line="255" w:lineRule="auto"/>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Improving Efficiency and Profitability</w:t>
      </w:r>
      <w:r>
        <w:rPr>
          <w:rFonts w:ascii="Arial" w:cs="Arial" w:eastAsia="Arial" w:hAnsi="Arial"/>
          <w:sz w:val="18"/>
          <w:szCs w:val="18"/>
          <w:color w:val="auto"/>
        </w:rPr>
        <w:t>. We have invested in a number of systems and processes that we believe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comparable to those of much larger financial institutions. These include our new operations center located in Lubbock which houses back-office processing for deposit operations, loan operations, mortgage operations, and corporate training. We are also investing in digital and payments technologies to increase efficiencies and streamline processes. These technologies including remote deposit capture software for business customers, expanded usage of electronic signatures, online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85" w:name="page86"/>
    <w:bookmarkEnd w:id="8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720" w:right="80"/>
        <w:spacing w:after="0" w:line="312" w:lineRule="auto"/>
        <w:rPr>
          <w:sz w:val="20"/>
          <w:szCs w:val="20"/>
          <w:color w:val="auto"/>
        </w:rPr>
      </w:pPr>
      <w:r>
        <w:rPr>
          <w:rFonts w:ascii="Arial" w:cs="Arial" w:eastAsia="Arial" w:hAnsi="Arial"/>
          <w:sz w:val="16"/>
          <w:szCs w:val="16"/>
          <w:color w:val="auto"/>
        </w:rPr>
        <w:t>account tools, and technologies that facilitate more efficient item processing. We believe these investments will allow us to scale our business without commensurate additional expenses and help us further reduce our efficiency ratio over time. Our efficiency ratio was 77.6% and 77.9% for the years ended December 31, 2018 and 2017, respectively.</w:t>
      </w:r>
    </w:p>
    <w:p>
      <w:pPr>
        <w:spacing w:after="0" w:line="39" w:lineRule="exact"/>
        <w:rPr>
          <w:sz w:val="20"/>
          <w:szCs w:val="20"/>
          <w:color w:val="auto"/>
        </w:rPr>
      </w:pPr>
    </w:p>
    <w:p>
      <w:pPr>
        <w:ind w:left="700" w:hanging="356"/>
        <w:spacing w:after="0" w:line="270" w:lineRule="auto"/>
        <w:tabs>
          <w:tab w:leader="none" w:pos="700" w:val="left"/>
        </w:tabs>
        <w:numPr>
          <w:ilvl w:val="0"/>
          <w:numId w:val="40"/>
        </w:numPr>
        <w:rPr>
          <w:rFonts w:ascii="Arial" w:cs="Arial" w:eastAsia="Arial" w:hAnsi="Arial"/>
          <w:sz w:val="17"/>
          <w:szCs w:val="17"/>
          <w:color w:val="auto"/>
        </w:rPr>
      </w:pPr>
      <w:r>
        <w:rPr>
          <w:rFonts w:ascii="Arial" w:cs="Arial" w:eastAsia="Arial" w:hAnsi="Arial"/>
          <w:sz w:val="17"/>
          <w:szCs w:val="17"/>
          <w:b w:val="1"/>
          <w:bCs w:val="1"/>
          <w:i w:val="1"/>
          <w:iCs w:val="1"/>
          <w:color w:val="auto"/>
        </w:rPr>
        <w:t>Emphasize Community Banking</w:t>
      </w:r>
      <w:r>
        <w:rPr>
          <w:rFonts w:ascii="Arial" w:cs="Arial" w:eastAsia="Arial" w:hAnsi="Arial"/>
          <w:sz w:val="17"/>
          <w:szCs w:val="17"/>
          <w:color w:val="auto"/>
        </w:rPr>
        <w:t>. We intend to continue operating our subsidiary bank as a community banking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organization focused on meeting the specific needs of individuals and small and medium-sized businesses in our market areas. We will continue to provide a high degree of responsiveness and a wide variety of banking products and services to our customers. Our history and focus is centered on being a dominant bank in the smaller markets we serve. Our employees are engaged in numerous community activities and organizations beyond the bank and our consistent corporate message is that the success of our communities will drive the success of the Bank. We strive to meet all the financial needs of customers in those markets with outstanding products and service. We seek to leverage our banking platform as we expand into large metropolitan markets such as Dallas and Houston where we target customers looking for our relationship-based approach to banking and our sophisticated products and services.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700" w:right="40" w:hanging="356"/>
        <w:spacing w:after="0" w:line="255" w:lineRule="auto"/>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Management Depth and Experience</w:t>
      </w:r>
      <w:r>
        <w:rPr>
          <w:rFonts w:ascii="Arial" w:cs="Arial" w:eastAsia="Arial" w:hAnsi="Arial"/>
          <w:sz w:val="18"/>
          <w:szCs w:val="18"/>
          <w:color w:val="auto"/>
        </w:rPr>
        <w:t>. Our executive management team has an average of 31 years of commercial banking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 with strong track records and deep customer relationships in our markets. We believe that our executive team has significant depth in areas such as lending, loan administration, business operations, finance, accounting, and technology. Our management team has significant tenure with the Bank. Our Chairman and Chief Executive Officer, Curtis C. Griffith, has worked with our President, Cory T. Newsom, for over 28 years. Together the executive team has successfully managed profitable growth for the institution while also managing credit quality through economic downturns.</w:t>
      </w:r>
    </w:p>
    <w:p>
      <w:pPr>
        <w:spacing w:after="0" w:line="81" w:lineRule="exact"/>
        <w:rPr>
          <w:sz w:val="20"/>
          <w:szCs w:val="20"/>
          <w:color w:val="auto"/>
        </w:rPr>
      </w:pPr>
    </w:p>
    <w:p>
      <w:pPr>
        <w:ind w:left="1080"/>
        <w:spacing w:after="0" w:line="255" w:lineRule="auto"/>
        <w:rPr>
          <w:sz w:val="20"/>
          <w:szCs w:val="20"/>
          <w:color w:val="auto"/>
        </w:rPr>
      </w:pPr>
      <w:r>
        <w:rPr>
          <w:rFonts w:ascii="Arial" w:cs="Arial" w:eastAsia="Arial" w:hAnsi="Arial"/>
          <w:sz w:val="18"/>
          <w:szCs w:val="18"/>
          <w:b w:val="1"/>
          <w:bCs w:val="1"/>
          <w:i w:val="1"/>
          <w:iCs w:val="1"/>
          <w:color w:val="auto"/>
        </w:rPr>
        <w:t xml:space="preserve">Curtis C. Griffith </w:t>
      </w:r>
      <w:r>
        <w:rPr>
          <w:rFonts w:ascii="Arial" w:cs="Arial" w:eastAsia="Arial" w:hAnsi="Arial"/>
          <w:sz w:val="18"/>
          <w:szCs w:val="18"/>
          <w:i w:val="1"/>
          <w:iCs w:val="1"/>
          <w:color w:val="auto"/>
        </w:rPr>
        <w:t>– Chairman and Chief Executive Officer – Age 66</w:t>
      </w:r>
      <w:r>
        <w:rPr>
          <w:rFonts w:ascii="Arial" w:cs="Arial" w:eastAsia="Arial" w:hAnsi="Arial"/>
          <w:sz w:val="18"/>
          <w:szCs w:val="18"/>
          <w:color w:val="auto"/>
        </w:rPr>
        <w:t>. Mr. Griffith has been with the Company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its inception and has worked with the Bank and its predecessor institutions for over 47 years. Mr. Griffith became our Chairman and President in 1993, with his title shifting to Chairman and Chief Executive Officer earlier this year in connection with a general update of our executive team's titles. In 1972, he was elected to the board of directors of First State Bank of Morton, Texas, a predecessor institution to the Bank, and continues to serve on the board of directors of the Bank. He has served on the board of directors of IBAT and continues to serve on the Legislative and PAC committees for IBAT.</w:t>
      </w:r>
    </w:p>
    <w:p>
      <w:pPr>
        <w:spacing w:after="0" w:line="81" w:lineRule="exact"/>
        <w:rPr>
          <w:sz w:val="20"/>
          <w:szCs w:val="20"/>
          <w:color w:val="auto"/>
        </w:rPr>
      </w:pPr>
    </w:p>
    <w:p>
      <w:pPr>
        <w:ind w:left="1080"/>
        <w:spacing w:after="0" w:line="257" w:lineRule="auto"/>
        <w:rPr>
          <w:sz w:val="20"/>
          <w:szCs w:val="20"/>
          <w:color w:val="auto"/>
        </w:rPr>
      </w:pPr>
      <w:r>
        <w:rPr>
          <w:rFonts w:ascii="Arial" w:cs="Arial" w:eastAsia="Arial" w:hAnsi="Arial"/>
          <w:sz w:val="18"/>
          <w:szCs w:val="18"/>
          <w:b w:val="1"/>
          <w:bCs w:val="1"/>
          <w:i w:val="1"/>
          <w:iCs w:val="1"/>
          <w:color w:val="auto"/>
        </w:rPr>
        <w:t xml:space="preserve">Cory T. Newsom </w:t>
      </w:r>
      <w:r>
        <w:rPr>
          <w:rFonts w:ascii="Arial" w:cs="Arial" w:eastAsia="Arial" w:hAnsi="Arial"/>
          <w:sz w:val="18"/>
          <w:szCs w:val="18"/>
          <w:i w:val="1"/>
          <w:iCs w:val="1"/>
          <w:color w:val="auto"/>
        </w:rPr>
        <w:t>– Director and President – Age 51</w:t>
      </w:r>
      <w:r>
        <w:rPr>
          <w:rFonts w:ascii="Arial" w:cs="Arial" w:eastAsia="Arial" w:hAnsi="Arial"/>
          <w:sz w:val="18"/>
          <w:szCs w:val="18"/>
          <w:color w:val="auto"/>
        </w:rPr>
        <w:t>. Mr. Newsom began his 36-year career in banking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progressing through our lending and operations areas. He currently serves as President of the Company and serves on the board of directors of the Company and the Bank. Mr. Newsom served as Chief Operating Officer of the Bank before being named President and Chief Executive Officer of the Bank in 2008. He also serves on the board of directors of IBAT.</w:t>
      </w:r>
    </w:p>
    <w:p>
      <w:pPr>
        <w:spacing w:after="0" w:line="80" w:lineRule="exact"/>
        <w:rPr>
          <w:sz w:val="20"/>
          <w:szCs w:val="20"/>
          <w:color w:val="auto"/>
        </w:rPr>
      </w:pPr>
    </w:p>
    <w:p>
      <w:pPr>
        <w:ind w:left="1080" w:right="60"/>
        <w:spacing w:after="0" w:line="255" w:lineRule="auto"/>
        <w:rPr>
          <w:sz w:val="20"/>
          <w:szCs w:val="20"/>
          <w:color w:val="auto"/>
        </w:rPr>
      </w:pPr>
      <w:r>
        <w:rPr>
          <w:rFonts w:ascii="Arial" w:cs="Arial" w:eastAsia="Arial" w:hAnsi="Arial"/>
          <w:sz w:val="18"/>
          <w:szCs w:val="18"/>
          <w:b w:val="1"/>
          <w:bCs w:val="1"/>
          <w:i w:val="1"/>
          <w:iCs w:val="1"/>
          <w:color w:val="auto"/>
        </w:rPr>
        <w:t xml:space="preserve">Steven B. Crockett </w:t>
      </w:r>
      <w:r>
        <w:rPr>
          <w:rFonts w:ascii="Arial" w:cs="Arial" w:eastAsia="Arial" w:hAnsi="Arial"/>
          <w:sz w:val="18"/>
          <w:szCs w:val="18"/>
          <w:i w:val="1"/>
          <w:iCs w:val="1"/>
          <w:color w:val="auto"/>
        </w:rPr>
        <w:t>– Chief Financial Officer and Treasurer – Age 47</w:t>
      </w:r>
      <w:r>
        <w:rPr>
          <w:rFonts w:ascii="Arial" w:cs="Arial" w:eastAsia="Arial" w:hAnsi="Arial"/>
          <w:sz w:val="18"/>
          <w:szCs w:val="18"/>
          <w:color w:val="auto"/>
        </w:rPr>
        <w:t>. Mr. Crockett has served as Chief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and Treasurer of the Company and as Chief Financial Officer of the Bank since 2015. He previously served as Senior Vice President and Controller of the Company from 2010 to 2014 and as Controller of the Bank from 2001 to 2014. As Controller, he was responsible for financial and regulatory reporting, coordinating financial statement audits, budgeting, capital forecasting, and financial projections. Before joining the Bank, he practiced in public accounting for seven years with an accounting firm that had previously functioned as a practicing office of PricewaterhouseCoopers, LLP in Lubbock, Texas.</w:t>
      </w:r>
    </w:p>
    <w:p>
      <w:pPr>
        <w:spacing w:after="0" w:line="81" w:lineRule="exact"/>
        <w:rPr>
          <w:sz w:val="20"/>
          <w:szCs w:val="20"/>
          <w:color w:val="auto"/>
        </w:rPr>
      </w:pPr>
    </w:p>
    <w:p>
      <w:pPr>
        <w:ind w:left="1080" w:right="100"/>
        <w:spacing w:after="0" w:line="259" w:lineRule="auto"/>
        <w:rPr>
          <w:sz w:val="20"/>
          <w:szCs w:val="20"/>
          <w:color w:val="auto"/>
        </w:rPr>
      </w:pPr>
      <w:r>
        <w:rPr>
          <w:rFonts w:ascii="Arial" w:cs="Arial" w:eastAsia="Arial" w:hAnsi="Arial"/>
          <w:sz w:val="18"/>
          <w:szCs w:val="18"/>
          <w:b w:val="1"/>
          <w:bCs w:val="1"/>
          <w:i w:val="1"/>
          <w:iCs w:val="1"/>
          <w:color w:val="auto"/>
        </w:rPr>
        <w:t xml:space="preserve">Kevin R. Bass </w:t>
      </w:r>
      <w:r>
        <w:rPr>
          <w:rFonts w:ascii="Arial" w:cs="Arial" w:eastAsia="Arial" w:hAnsi="Arial"/>
          <w:sz w:val="18"/>
          <w:szCs w:val="18"/>
          <w:i w:val="1"/>
          <w:iCs w:val="1"/>
          <w:color w:val="auto"/>
        </w:rPr>
        <w:t>– Chief Credit Officer – Age 52</w:t>
      </w:r>
      <w:r>
        <w:rPr>
          <w:rFonts w:ascii="Arial" w:cs="Arial" w:eastAsia="Arial" w:hAnsi="Arial"/>
          <w:sz w:val="18"/>
          <w:szCs w:val="18"/>
          <w:color w:val="auto"/>
        </w:rPr>
        <w:t>. Mr. Bass began his 31-year career in banking as a credit analyst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before serving as a bank regulator with the Texas Department of Banking for four years. He started with the Bank in 1995 as an asset review officer and currently serves as the Chief Credit Officer of each of the Company and the Bank. He has served on the board of directors of the Bank since 2006.</w:t>
      </w:r>
    </w:p>
    <w:p>
      <w:pPr>
        <w:spacing w:after="0" w:line="79" w:lineRule="exact"/>
        <w:rPr>
          <w:sz w:val="20"/>
          <w:szCs w:val="20"/>
          <w:color w:val="auto"/>
        </w:rPr>
      </w:pPr>
    </w:p>
    <w:p>
      <w:pPr>
        <w:ind w:left="1080" w:right="320"/>
        <w:spacing w:after="0" w:line="277" w:lineRule="auto"/>
        <w:rPr>
          <w:sz w:val="20"/>
          <w:szCs w:val="20"/>
          <w:color w:val="auto"/>
        </w:rPr>
      </w:pPr>
      <w:r>
        <w:rPr>
          <w:rFonts w:ascii="Arial" w:cs="Arial" w:eastAsia="Arial" w:hAnsi="Arial"/>
          <w:sz w:val="18"/>
          <w:szCs w:val="18"/>
          <w:b w:val="1"/>
          <w:bCs w:val="1"/>
          <w:i w:val="1"/>
          <w:iCs w:val="1"/>
          <w:color w:val="auto"/>
        </w:rPr>
        <w:t xml:space="preserve">Mikella D. Newsom </w:t>
      </w:r>
      <w:r>
        <w:rPr>
          <w:rFonts w:ascii="Arial" w:cs="Arial" w:eastAsia="Arial" w:hAnsi="Arial"/>
          <w:sz w:val="18"/>
          <w:szCs w:val="18"/>
          <w:i w:val="1"/>
          <w:iCs w:val="1"/>
          <w:color w:val="auto"/>
        </w:rPr>
        <w:t>– Chief Risk Officer and Secretary – Age 45</w:t>
      </w:r>
      <w:r>
        <w:rPr>
          <w:rFonts w:ascii="Arial" w:cs="Arial" w:eastAsia="Arial" w:hAnsi="Arial"/>
          <w:sz w:val="18"/>
          <w:szCs w:val="18"/>
          <w:color w:val="auto"/>
        </w:rPr>
        <w:t>. Ms. Newsom has a 23-year banking career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started at First State Bank of Morton, a predecessor institution to the Bank.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86" w:name="page87"/>
    <w:bookmarkEnd w:id="8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80" w:right="140"/>
        <w:spacing w:after="0" w:line="259" w:lineRule="auto"/>
        <w:rPr>
          <w:sz w:val="20"/>
          <w:szCs w:val="20"/>
          <w:color w:val="auto"/>
        </w:rPr>
      </w:pPr>
      <w:r>
        <w:rPr>
          <w:rFonts w:ascii="Arial" w:cs="Arial" w:eastAsia="Arial" w:hAnsi="Arial"/>
          <w:sz w:val="18"/>
          <w:szCs w:val="18"/>
          <w:color w:val="auto"/>
        </w:rPr>
        <w:t>She currently serves as Chief Risk Officer and Secretary of the Company and Chief Risk Officer of the Bank. She previously held the position of Chief Financial Officer of the Bank. She is a member of the Risk Management Association and the Texas Bankers Association where she serves on the Chief Risk Officer steering committee. Ms. Newsom has no familial relationship with Cory Newsom.</w:t>
      </w:r>
    </w:p>
    <w:p>
      <w:pPr>
        <w:spacing w:after="0" w:line="79" w:lineRule="exact"/>
        <w:rPr>
          <w:sz w:val="20"/>
          <w:szCs w:val="20"/>
          <w:color w:val="auto"/>
        </w:rPr>
      </w:pPr>
    </w:p>
    <w:p>
      <w:pPr>
        <w:ind w:left="1080"/>
        <w:spacing w:after="0" w:line="273" w:lineRule="auto"/>
        <w:rPr>
          <w:sz w:val="20"/>
          <w:szCs w:val="20"/>
          <w:color w:val="auto"/>
        </w:rPr>
      </w:pPr>
      <w:r>
        <w:rPr>
          <w:rFonts w:ascii="Arial" w:cs="Arial" w:eastAsia="Arial" w:hAnsi="Arial"/>
          <w:sz w:val="17"/>
          <w:szCs w:val="17"/>
          <w:b w:val="1"/>
          <w:bCs w:val="1"/>
          <w:i w:val="1"/>
          <w:iCs w:val="1"/>
          <w:color w:val="auto"/>
        </w:rPr>
        <w:t>Kelly L. Deterding – President of Windmark Insurance and Senior Vice President, Insurance Development of City Bank – Age 61</w:t>
      </w:r>
      <w:r>
        <w:rPr>
          <w:rFonts w:ascii="Arial" w:cs="Arial" w:eastAsia="Arial" w:hAnsi="Arial"/>
          <w:sz w:val="17"/>
          <w:szCs w:val="17"/>
          <w:color w:val="auto"/>
        </w:rPr>
        <w:t>. Mr. Deterding has served as President of Windmark Insurance Agency, Inc., or Windmark Insurance,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as Senior Vice President of Insurance Development at the Bank since 2003. He has worked in the crop insurance industry since 1996, previously serving as an adjuster, a claims supervisor and a marketing representative for American Agrisurance. Mr. Deterding is also involved in several U.S. industry trade associations that represent the interests of the private sector crop insurance industry.</w:t>
      </w:r>
    </w:p>
    <w:p>
      <w:pPr>
        <w:spacing w:after="0" w:line="70" w:lineRule="exact"/>
        <w:rPr>
          <w:sz w:val="20"/>
          <w:szCs w:val="20"/>
          <w:color w:val="auto"/>
        </w:rPr>
      </w:pPr>
    </w:p>
    <w:p>
      <w:pPr>
        <w:ind w:left="700" w:right="20" w:hanging="356"/>
        <w:spacing w:after="0" w:line="257" w:lineRule="auto"/>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Low Cost Core-Deposit Base</w:t>
      </w:r>
      <w:r>
        <w:rPr>
          <w:rFonts w:ascii="Arial" w:cs="Arial" w:eastAsia="Arial" w:hAnsi="Arial"/>
          <w:sz w:val="18"/>
          <w:szCs w:val="18"/>
          <w:color w:val="auto"/>
        </w:rPr>
        <w:t>. We have built a strong core deposit base over many years by providing quality products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to customers in our market areas. We offer retail deposit services through our existing branch network, as well as digital banking products. Core deposits totaled $2.1 billion, or 90.4% of total deposits, and noninterest-bearing deposits totaled $510.1 million, or 22.4% of total deposits as of December 31, 2018. Our cost of total deposits was 0.80% for the 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805815</wp:posOffset>
            </wp:positionH>
            <wp:positionV relativeFrom="paragraph">
              <wp:posOffset>60325</wp:posOffset>
            </wp:positionV>
            <wp:extent cx="4433570" cy="23152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433570" cy="2315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700" w:right="60" w:hanging="356"/>
        <w:spacing w:after="0" w:line="259" w:lineRule="auto"/>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Well-Balanced Loan Portfolio</w:t>
      </w:r>
      <w:r>
        <w:rPr>
          <w:rFonts w:ascii="Arial" w:cs="Arial" w:eastAsia="Arial" w:hAnsi="Arial"/>
          <w:sz w:val="18"/>
          <w:szCs w:val="18"/>
          <w:color w:val="auto"/>
        </w:rPr>
        <w:t>. We lend to both individual and business borrowers, with 68.9% of loans made to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and 31.1% of loans made to individual customers as of December 31, 2018. The Bank establishes a personal relationship with its customers and their businesses, with the goal of creating the right loans for the right borrowers and the right properties.</w:t>
      </w:r>
    </w:p>
    <w:p>
      <w:pPr>
        <w:spacing w:after="0" w:line="78" w:lineRule="exact"/>
        <w:rPr>
          <w:rFonts w:ascii="Arial" w:cs="Arial" w:eastAsia="Arial" w:hAnsi="Arial"/>
          <w:sz w:val="18"/>
          <w:szCs w:val="18"/>
          <w:color w:val="auto"/>
        </w:rPr>
      </w:pPr>
    </w:p>
    <w:p>
      <w:pPr>
        <w:ind w:left="700" w:right="20" w:hanging="356"/>
        <w:spacing w:after="0" w:line="276" w:lineRule="auto"/>
        <w:tabs>
          <w:tab w:leader="none" w:pos="700" w:val="left"/>
        </w:tabs>
        <w:numPr>
          <w:ilvl w:val="0"/>
          <w:numId w:val="43"/>
        </w:numPr>
        <w:rPr>
          <w:rFonts w:ascii="Arial" w:cs="Arial" w:eastAsia="Arial" w:hAnsi="Arial"/>
          <w:sz w:val="17"/>
          <w:szCs w:val="17"/>
          <w:color w:val="auto"/>
        </w:rPr>
      </w:pPr>
      <w:r>
        <w:rPr>
          <w:rFonts w:ascii="Arial" w:cs="Arial" w:eastAsia="Arial" w:hAnsi="Arial"/>
          <w:sz w:val="17"/>
          <w:szCs w:val="17"/>
          <w:b w:val="1"/>
          <w:bCs w:val="1"/>
          <w:i w:val="1"/>
          <w:iCs w:val="1"/>
          <w:color w:val="auto"/>
        </w:rPr>
        <w:t>Strong Asset Quality</w:t>
      </w:r>
      <w:r>
        <w:rPr>
          <w:rFonts w:ascii="Arial" w:cs="Arial" w:eastAsia="Arial" w:hAnsi="Arial"/>
          <w:sz w:val="17"/>
          <w:szCs w:val="17"/>
          <w:color w:val="auto"/>
        </w:rPr>
        <w:t>. We believe our in-depth knowledge of our markets and customers, as well as the implementation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consistent and conservative underwriting, has allowed us to maintain strong asset quality over time. Our nonperforming assets were $9.2 million as of December 31, 2018, which represents less than 0.47% of our loans and OREO. Our net charge-offs as a percentage of average loans was 0.27% for the year ended December 31, 2018. Additionally, our loan loss reserve to nonperforming loans ratio was 332.6% as of December 31, 2018.</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87" w:name="page88"/>
    <w:bookmarkEnd w:id="8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548640</wp:posOffset>
            </wp:positionH>
            <wp:positionV relativeFrom="paragraph">
              <wp:posOffset>92075</wp:posOffset>
            </wp:positionV>
            <wp:extent cx="4939665" cy="18097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939665" cy="180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700" w:hanging="356"/>
        <w:spacing w:after="0" w:line="271" w:lineRule="auto"/>
        <w:tabs>
          <w:tab w:leader="none" w:pos="700" w:val="left"/>
        </w:tabs>
        <w:numPr>
          <w:ilvl w:val="0"/>
          <w:numId w:val="44"/>
        </w:numPr>
        <w:rPr>
          <w:rFonts w:ascii="Arial" w:cs="Arial" w:eastAsia="Arial" w:hAnsi="Arial"/>
          <w:sz w:val="17"/>
          <w:szCs w:val="17"/>
          <w:color w:val="auto"/>
        </w:rPr>
      </w:pPr>
      <w:r>
        <w:rPr>
          <w:rFonts w:ascii="Arial" w:cs="Arial" w:eastAsia="Arial" w:hAnsi="Arial"/>
          <w:sz w:val="17"/>
          <w:szCs w:val="17"/>
          <w:b w:val="1"/>
          <w:bCs w:val="1"/>
          <w:i w:val="1"/>
          <w:iCs w:val="1"/>
          <w:color w:val="auto"/>
        </w:rPr>
        <w:t>Fee Income</w:t>
      </w:r>
      <w:r>
        <w:rPr>
          <w:rFonts w:ascii="Arial" w:cs="Arial" w:eastAsia="Arial" w:hAnsi="Arial"/>
          <w:sz w:val="17"/>
          <w:szCs w:val="17"/>
          <w:color w:val="auto"/>
        </w:rPr>
        <w:t>. Our fee income is primarily driven by our mortgage operations, debit card and other bank service charge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income, and income for our insurance, trust and investment services business. Fee income comprised 35.3% of our total revenue for the year ended December 31, 2018. This compares to a median fee income of 10.3% of total revenue for major exchange-traded banks headquartered in Texas with total assets between $1.0 billion and $5.0 billion and 15.6% of total revenue for all banks headquartered in Texas with total assets between $1.0 billion and $5.0 billion. Our fee income provides shareholders with a recurring and diversified earnings stream. Total fee income was $52.1 million for the year ended December 31, 2018 and has increased significantly over the past five years due primarily to growth and improved performance in our mortgage banking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5925820" cy="22123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25820" cy="2212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700" w:right="40" w:hanging="356"/>
        <w:spacing w:after="0" w:line="257" w:lineRule="auto"/>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Outstanding Place to Work</w:t>
      </w:r>
      <w:r>
        <w:rPr>
          <w:rFonts w:ascii="Arial" w:cs="Arial" w:eastAsia="Arial" w:hAnsi="Arial"/>
          <w:sz w:val="18"/>
          <w:szCs w:val="18"/>
          <w:color w:val="auto"/>
        </w:rPr>
        <w:t>. The Bank has been repeatedly recognized as an outstanding place to work, with American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Banker naming it one of the “Best Banks to Work For” for six consecutive years and ranking it the number 13 bank in the nation in 2018. We believe that we provide excellent pay and benefits to our employees as well as a safe and inviting workplace. Our employees respond with extraordinary loyalty and by making us known in our communities as a bank that does the right things for the right reasons.</w:t>
      </w:r>
    </w:p>
    <w:p>
      <w:pPr>
        <w:spacing w:after="0" w:line="80" w:lineRule="exact"/>
        <w:rPr>
          <w:rFonts w:ascii="Arial" w:cs="Arial" w:eastAsia="Arial" w:hAnsi="Arial"/>
          <w:sz w:val="18"/>
          <w:szCs w:val="18"/>
          <w:color w:val="auto"/>
        </w:rPr>
      </w:pPr>
    </w:p>
    <w:p>
      <w:pPr>
        <w:ind w:left="700" w:right="60" w:hanging="356"/>
        <w:spacing w:after="0" w:line="259" w:lineRule="auto"/>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Inside Ownership</w:t>
      </w:r>
      <w:r>
        <w:rPr>
          <w:rFonts w:ascii="Arial" w:cs="Arial" w:eastAsia="Arial" w:hAnsi="Arial"/>
          <w:sz w:val="18"/>
          <w:szCs w:val="18"/>
          <w:color w:val="auto"/>
        </w:rPr>
        <w:t>. Our ESOP, employees, officers and directors of the Company and the Bank, and the families they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 are our primary shareholders. Currently, they represent shareholders who own 70.1% of our common stock. We believe that this level of insider ownership keeps our corporate goals and strategy aligned with the interests of all shareholders.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88" w:name="page89"/>
    <w:bookmarkEnd w:id="8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Banking Markets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Lubbock/South Plains</w:t>
      </w:r>
    </w:p>
    <w:p>
      <w:pPr>
        <w:spacing w:after="0" w:line="117"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We operate 12 branches holding $1.7 billion of deposits in the Lubbock MSA and the surrounding South Plains region as of December 31, 2018. The Lubbock MSA is home to more than 315,000 people with major industries in agribusiness – primarily cotton, corn, and grain sorghum – as well as education, trade and transportation, health services and government, among others. Lubbock is home to Texas Tech University, a public research university enrolling more than 35,000 students each year, according to the university’s website. Texas Tech’s student enrollment ranks within the top 10 for universities in Texas as of the Spring 2018 semester, and is one of only two campuses in the state to house an undergraduate university, law school, and medical school. Lubbock Christian University is also headquartered in Lubbock and Wayland Baptist University and South Plains College maintain campuses here. The Lubbock MSA reports unemployment of 3.1% for 2018 according to Forbes, which also listed Lubbock as one of its “Best Places for Business and Careers” during 2018, with a gross metro product of more than $14.0 billion during 2018. Major employers in the Lubbock MSA include Texas Tech University, United Super Market, Covenant Health System, UMC Health System and Lubbock ISD, according to the Lubbock Economic Development Alliance.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Dallas</w:t>
      </w:r>
    </w:p>
    <w:p>
      <w:pPr>
        <w:spacing w:after="0" w:line="117" w:lineRule="exact"/>
        <w:rPr>
          <w:sz w:val="20"/>
          <w:szCs w:val="20"/>
          <w:color w:val="auto"/>
        </w:rPr>
      </w:pPr>
    </w:p>
    <w:p>
      <w:pPr>
        <w:ind w:firstLine="360"/>
        <w:spacing w:after="0" w:line="288" w:lineRule="auto"/>
        <w:rPr>
          <w:sz w:val="20"/>
          <w:szCs w:val="20"/>
          <w:color w:val="auto"/>
        </w:rPr>
      </w:pPr>
      <w:r>
        <w:rPr>
          <w:rFonts w:ascii="Arial" w:cs="Arial" w:eastAsia="Arial" w:hAnsi="Arial"/>
          <w:sz w:val="16"/>
          <w:szCs w:val="16"/>
          <w:color w:val="auto"/>
        </w:rPr>
        <w:t>We operate three branches with $258.7 million of deposits as of December 31, 2018 and six mortgage offices in the Dallas-Fort Worth-Arlington MSA, which we refer to as the Dallas-Fort Worth metroplex. The Dallas-Fort Worth metroplex is the largest MSA in Texas and fourth largest in the nation as of 2018, according to S&amp;P Global. It saw the second highest population growth of any MSA from 2010 to 2018 and third highest employment growth from 2015 to 2018, according to S&amp;P Global. The area also serves as the corporate headquarters for 22 Fortune 500 companies including Southwest Airlines, AT&amp;T and Exxon Mobil, ranking third in the nation for Fortune 500 corporate headquarters, according to the Dallas Regional Chamber of Commerce. The Dallas-Fort Worth metroplex area was responsible for producing 33% of the state’s total gross domestic product in 2018. The Dallas-Fort Worth International Airport is the fourth largest in the country for passenger traffic according to the Dallas Morning News. According to the U.S. Bureau of Economic Analysis, and, according to the Dallas Economic Development, the MSA is home to over 65,000 businesses, adding over 300 jobs per day on average over the past twelve months.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 Paso</w:t>
      </w:r>
    </w:p>
    <w:p>
      <w:pPr>
        <w:spacing w:after="0" w:line="117" w:lineRule="exact"/>
        <w:rPr>
          <w:sz w:val="20"/>
          <w:szCs w:val="20"/>
          <w:color w:val="auto"/>
        </w:rPr>
      </w:pPr>
    </w:p>
    <w:p>
      <w:pPr>
        <w:ind w:right="20" w:firstLine="360"/>
        <w:spacing w:after="0" w:line="233" w:lineRule="auto"/>
        <w:rPr>
          <w:sz w:val="20"/>
          <w:szCs w:val="20"/>
          <w:color w:val="auto"/>
        </w:rPr>
      </w:pPr>
      <w:r>
        <w:rPr>
          <w:rFonts w:ascii="Arial" w:cs="Arial" w:eastAsia="Arial" w:hAnsi="Arial"/>
          <w:sz w:val="17"/>
          <w:szCs w:val="17"/>
          <w:color w:val="auto"/>
        </w:rPr>
        <w:t>We operate two bank branches with $111.2 million of deposits as of December 31, 2018 and a mortgage office in the El Paso MSA, which has a population of more than 850,000. The El Paso MSA is adjacent to Juarez, Mexico, which has a growing industrial center, an estimated population of 1.5 million people, and has contributed to significant growth in El Paso. The El Paso MSA provides manufacturing, education, and retail services to businesses and residents in Juarez. The El Paso MSA is home to Fort Bliss, which houses the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Armored Division, the 32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Army Air and Missile Defense Command and the 402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Field Artillery Brigade, among other major units. Fort Bliss is also adjacent to the White Sands Missile Range. Civil employers include a number of universities, including The University of Texas at El Paso, The Texas Tech School of Medicine, El Paso Community College, and Vista College. The largest industries in the El Paso MSA are military, healthcare, educational services and retail. The highest paying industries are business management, oil and gas and utilities according to Data USA.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Houston</w:t>
      </w:r>
    </w:p>
    <w:p>
      <w:pPr>
        <w:spacing w:after="0" w:line="117" w:lineRule="exact"/>
        <w:rPr>
          <w:sz w:val="20"/>
          <w:szCs w:val="20"/>
          <w:color w:val="auto"/>
        </w:rPr>
      </w:pPr>
    </w:p>
    <w:p>
      <w:pPr>
        <w:ind w:right="80" w:firstLine="360"/>
        <w:spacing w:after="0" w:line="270" w:lineRule="auto"/>
        <w:rPr>
          <w:sz w:val="20"/>
          <w:szCs w:val="20"/>
          <w:color w:val="auto"/>
        </w:rPr>
      </w:pPr>
      <w:r>
        <w:rPr>
          <w:rFonts w:ascii="Arial" w:cs="Arial" w:eastAsia="Arial" w:hAnsi="Arial"/>
          <w:sz w:val="17"/>
          <w:szCs w:val="17"/>
          <w:color w:val="auto"/>
        </w:rPr>
        <w:t>We operate one branch with $24.8 million of deposits in the city of Houston as of December 31, 2018. The Houston-The Woodlands-Sugarland MSA, which we refer to as Greater Houston, is the corporate headquarters for 21 Fortune 500 companies, ranking fourth among metro areas according to the Greater Houston Partnership. Greater Houston had the seventh largest gross domestic product in the U.S. in 2016, according to the U.S. Bureau of Economic Analysis. While Houston is known as the “Energy Capital of the World,” the metropolitan area also boasts the largest medical complex in the world, has the second busiest port in the United States in 2017, and is a leader in international business. Houston’s economic success is projected to continue, with employment growth of 1.74% annually through the year 2040, according to the Perryman Group. Greater Houston has seen robust population expansion over the last several years – largely a result of the companies headquartered in the area, such as Anadarko Petroleum, Aon Hewitt, ConocoPhillips, Sysco, Waste Connections, Inc., Halliburton and Baker Hughes, among others, according to The Houston Chronicle.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89" w:name="page90"/>
    <w:bookmarkEnd w:id="8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Bryan/College Station</w:t>
      </w:r>
    </w:p>
    <w:p>
      <w:pPr>
        <w:spacing w:after="0" w:line="117" w:lineRule="exact"/>
        <w:rPr>
          <w:sz w:val="20"/>
          <w:szCs w:val="20"/>
          <w:color w:val="auto"/>
        </w:rPr>
      </w:pPr>
    </w:p>
    <w:p>
      <w:pPr>
        <w:ind w:right="80" w:firstLine="360"/>
        <w:spacing w:after="0" w:line="289" w:lineRule="auto"/>
        <w:rPr>
          <w:sz w:val="20"/>
          <w:szCs w:val="20"/>
          <w:color w:val="auto"/>
        </w:rPr>
      </w:pPr>
      <w:r>
        <w:rPr>
          <w:rFonts w:ascii="Arial" w:cs="Arial" w:eastAsia="Arial" w:hAnsi="Arial"/>
          <w:sz w:val="16"/>
          <w:szCs w:val="16"/>
          <w:color w:val="auto"/>
        </w:rPr>
        <w:t>We operate one branch and one mortgage office in the city of College Station, Texas, which has $67.7 million in deposits as of December 31, 2018. The Bryan-College Station MSA, which we refer to as Bryan/College Station, is home to Texas A&amp;M University, which enrolls over 68,000 students and is the largest university in the state according to the Texas Higher Education Coordinating Board. Bryan/College Station ranked first in Texas and third nationwide for Best Small Places for Business and Careers in 2017 with job growth of 10.3% from 2015 to 2018, according to Forbes. Unemployment in the Bryan/College station MSA reached a historically low rate of 2.8% in 2018. Total construction project valuation in Bryan/College Station was over $750 million in 2016. Notable ongoing projects include the Texas A&amp;M RELLIS Campus, a $250 million, 2,000 acre campus dedicated to technology development, as well as the continued development of ATLAS, a master planned community and business complex specifically constructed for companies engaged in medical technology and pharmaceuticals.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Ruidoso/Eastern New Mexico</w:t>
      </w:r>
    </w:p>
    <w:p>
      <w:pPr>
        <w:spacing w:after="0" w:line="117" w:lineRule="exact"/>
        <w:rPr>
          <w:sz w:val="20"/>
          <w:szCs w:val="20"/>
          <w:color w:val="auto"/>
        </w:rPr>
      </w:pPr>
    </w:p>
    <w:p>
      <w:pPr>
        <w:ind w:right="40" w:firstLine="360"/>
        <w:spacing w:after="0" w:line="271" w:lineRule="auto"/>
        <w:rPr>
          <w:sz w:val="20"/>
          <w:szCs w:val="20"/>
          <w:color w:val="auto"/>
        </w:rPr>
      </w:pPr>
      <w:r>
        <w:rPr>
          <w:rFonts w:ascii="Arial" w:cs="Arial" w:eastAsia="Arial" w:hAnsi="Arial"/>
          <w:sz w:val="17"/>
          <w:szCs w:val="17"/>
          <w:color w:val="auto"/>
        </w:rPr>
        <w:t>We operate two branches with $116.3 million of deposits as of December 31, 2018 in the village of Ruidoso, New Mexico, which makes our institution the largest deposit holder in the Ruidoso micropolitan statistical area. Based on the customers we serve and our strategic plan, we consider the Eastern New Mexico region, including Ruidoso, to be our market area. The Ruidoso micropolitan statistical area is home to a population of more than 20,000, according to data obtained through the United States Census Bureau. Ruidoso has seen a large amount of investment over the last decade from developers. Notable projects include housing subdivisions and condominiums, as well as retail centers, all of which are transforming the once slow-moving mountain community into one of popularity and high growth, especially for active retirees. Ruidoso is home to a number of public and private schools, as well as a two-year community college branch of Eastern New Mexico University.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Lending and Loan Portfolio</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The lending activities of our subsidiary, City Bank, focus primarily on providing small and medium-sized businesses and consumers in our market area with a variety of loan products. Commercial real estate lending includes development of office buildings, apartments, hotels, and shopping centers. Other loan types include loans secured by farms and ranches and various consumer loans, such as residential real estate loans and home equity loans. We lend to both individual and business borrowers, with 68.9% of loans made to business customers, and 31.1% of loans made to individual customers as of December 31, 2018. The Bank establishes a personal relationship with its customers and their businesses, with the goal of creating the right loans for the right borrowers and the right properties.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90" w:name="page91"/>
    <w:bookmarkEnd w:id="9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graph shows each major category of our loan portfolio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1132205</wp:posOffset>
            </wp:positionH>
            <wp:positionV relativeFrom="paragraph">
              <wp:posOffset>83820</wp:posOffset>
            </wp:positionV>
            <wp:extent cx="3773170" cy="25215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773170" cy="252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December 31, 2018 and 2017, our loan portfolio, excluding loans held for sale, consisted of the following:</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2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As of December 31,</w:t>
            </w:r>
          </w:p>
        </w:tc>
      </w:tr>
      <w:tr>
        <w:trPr>
          <w:trHeight w:val="183"/>
        </w:trPr>
        <w:tc>
          <w:tcPr>
            <w:tcW w:w="696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r>
      <w:tr>
        <w:trPr>
          <w:trHeight w:val="183"/>
        </w:trPr>
        <w:tc>
          <w:tcPr>
            <w:tcW w:w="6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(Dollars in thousands)</w:t>
            </w:r>
          </w:p>
        </w:tc>
      </w:tr>
      <w:tr>
        <w:trPr>
          <w:trHeight w:val="243"/>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6960" w:type="dxa"/>
            <w:vAlign w:val="bottom"/>
          </w:tcPr>
          <w:p>
            <w:pPr>
              <w:ind w:left="180"/>
              <w:spacing w:after="0"/>
              <w:rPr>
                <w:sz w:val="20"/>
                <w:szCs w:val="20"/>
                <w:color w:val="auto"/>
              </w:rPr>
            </w:pPr>
            <w:r>
              <w:rPr>
                <w:rFonts w:ascii="Arial" w:cs="Arial" w:eastAsia="Arial" w:hAnsi="Arial"/>
                <w:sz w:val="18"/>
                <w:szCs w:val="18"/>
                <w:color w:val="auto"/>
              </w:rPr>
              <w:t>Commercial real estate, non-owner-occupied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394,751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376,961</w:t>
            </w:r>
          </w:p>
        </w:tc>
        <w:tc>
          <w:tcPr>
            <w:tcW w:w="100" w:type="dxa"/>
            <w:vAlign w:val="bottom"/>
          </w:tcPr>
          <w:p>
            <w:pPr>
              <w:spacing w:after="0"/>
              <w:rPr>
                <w:sz w:val="20"/>
                <w:szCs w:val="20"/>
                <w:color w:val="auto"/>
              </w:rPr>
            </w:pPr>
          </w:p>
        </w:tc>
      </w:tr>
      <w:tr>
        <w:trPr>
          <w:trHeight w:val="249"/>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construction</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143,286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129,933</w:t>
            </w:r>
          </w:p>
        </w:tc>
        <w:tc>
          <w:tcPr>
            <w:tcW w:w="100" w:type="dxa"/>
            <w:vAlign w:val="bottom"/>
            <w:shd w:val="clear" w:color="auto" w:fill="CCEEFF"/>
          </w:tcPr>
          <w:p>
            <w:pPr>
              <w:spacing w:after="0"/>
              <w:rPr>
                <w:sz w:val="21"/>
                <w:szCs w:val="21"/>
                <w:color w:val="auto"/>
              </w:rPr>
            </w:pPr>
          </w:p>
        </w:tc>
      </w:tr>
      <w:tr>
        <w:trPr>
          <w:trHeight w:val="237"/>
        </w:trPr>
        <w:tc>
          <w:tcPr>
            <w:tcW w:w="6960" w:type="dxa"/>
            <w:vAlign w:val="bottom"/>
          </w:tcPr>
          <w:p>
            <w:pPr>
              <w:spacing w:after="0"/>
              <w:rPr>
                <w:sz w:val="20"/>
                <w:szCs w:val="20"/>
                <w:color w:val="auto"/>
              </w:rPr>
            </w:pPr>
            <w:r>
              <w:rPr>
                <w:rFonts w:ascii="Arial" w:cs="Arial" w:eastAsia="Arial" w:hAnsi="Arial"/>
                <w:sz w:val="18"/>
                <w:szCs w:val="18"/>
                <w:color w:val="auto"/>
              </w:rPr>
              <w:t>Commercial – general:</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 owner-occupied</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209,192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196,352</w:t>
            </w:r>
          </w:p>
        </w:tc>
        <w:tc>
          <w:tcPr>
            <w:tcW w:w="100" w:type="dxa"/>
            <w:vAlign w:val="bottom"/>
            <w:shd w:val="clear" w:color="auto" w:fill="CCEEFF"/>
          </w:tcPr>
          <w:p>
            <w:pPr>
              <w:spacing w:after="0"/>
              <w:rPr>
                <w:sz w:val="21"/>
                <w:szCs w:val="21"/>
                <w:color w:val="auto"/>
              </w:rPr>
            </w:pPr>
          </w:p>
        </w:tc>
      </w:tr>
      <w:tr>
        <w:trPr>
          <w:trHeight w:val="230"/>
        </w:trPr>
        <w:tc>
          <w:tcPr>
            <w:tcW w:w="6960" w:type="dxa"/>
            <w:vAlign w:val="bottom"/>
          </w:tcPr>
          <w:p>
            <w:pPr>
              <w:ind w:left="180"/>
              <w:spacing w:after="0"/>
              <w:rPr>
                <w:sz w:val="20"/>
                <w:szCs w:val="20"/>
                <w:color w:val="auto"/>
              </w:rPr>
            </w:pPr>
            <w:r>
              <w:rPr>
                <w:rFonts w:ascii="Arial" w:cs="Arial" w:eastAsia="Arial" w:hAnsi="Arial"/>
                <w:sz w:val="18"/>
                <w:szCs w:val="18"/>
                <w:color w:val="auto"/>
              </w:rPr>
              <w:t>Other commercial − general</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218,536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213,705</w:t>
            </w:r>
          </w:p>
        </w:tc>
        <w:tc>
          <w:tcPr>
            <w:tcW w:w="100" w:type="dxa"/>
            <w:vAlign w:val="bottom"/>
          </w:tcPr>
          <w:p>
            <w:pPr>
              <w:spacing w:after="0"/>
              <w:rPr>
                <w:sz w:val="20"/>
                <w:szCs w:val="20"/>
                <w:color w:val="auto"/>
              </w:rPr>
            </w:pPr>
          </w:p>
        </w:tc>
      </w:tr>
      <w:tr>
        <w:trPr>
          <w:trHeight w:val="25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Commercial – specialized:</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37"/>
        </w:trPr>
        <w:tc>
          <w:tcPr>
            <w:tcW w:w="6960" w:type="dxa"/>
            <w:vAlign w:val="bottom"/>
          </w:tcPr>
          <w:p>
            <w:pPr>
              <w:ind w:left="180"/>
              <w:spacing w:after="0"/>
              <w:rPr>
                <w:sz w:val="20"/>
                <w:szCs w:val="20"/>
                <w:color w:val="auto"/>
              </w:rPr>
            </w:pPr>
            <w:r>
              <w:rPr>
                <w:rFonts w:ascii="Arial" w:cs="Arial" w:eastAsia="Arial" w:hAnsi="Arial"/>
                <w:sz w:val="18"/>
                <w:szCs w:val="18"/>
                <w:color w:val="auto"/>
              </w:rPr>
              <w:t>Agricultural production</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150,731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157,499</w:t>
            </w:r>
          </w:p>
        </w:tc>
        <w:tc>
          <w:tcPr>
            <w:tcW w:w="100" w:type="dxa"/>
            <w:vAlign w:val="bottom"/>
          </w:tcPr>
          <w:p>
            <w:pPr>
              <w:spacing w:after="0"/>
              <w:rPr>
                <w:sz w:val="20"/>
                <w:szCs w:val="20"/>
                <w:color w:val="auto"/>
              </w:rPr>
            </w:pPr>
          </w:p>
        </w:tc>
      </w:tr>
      <w:tr>
        <w:trPr>
          <w:trHeight w:val="249"/>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Farmland</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61,780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69,882</w:t>
            </w:r>
          </w:p>
        </w:tc>
        <w:tc>
          <w:tcPr>
            <w:tcW w:w="100" w:type="dxa"/>
            <w:vAlign w:val="bottom"/>
            <w:shd w:val="clear" w:color="auto" w:fill="CCEEFF"/>
          </w:tcPr>
          <w:p>
            <w:pPr>
              <w:spacing w:after="0"/>
              <w:rPr>
                <w:sz w:val="21"/>
                <w:szCs w:val="21"/>
                <w:color w:val="auto"/>
              </w:rPr>
            </w:pPr>
          </w:p>
        </w:tc>
      </w:tr>
      <w:tr>
        <w:trPr>
          <w:trHeight w:val="237"/>
        </w:trPr>
        <w:tc>
          <w:tcPr>
            <w:tcW w:w="6960" w:type="dxa"/>
            <w:vAlign w:val="bottom"/>
          </w:tcPr>
          <w:p>
            <w:pPr>
              <w:ind w:left="180"/>
              <w:spacing w:after="0"/>
              <w:rPr>
                <w:sz w:val="20"/>
                <w:szCs w:val="20"/>
                <w:color w:val="auto"/>
              </w:rPr>
            </w:pPr>
            <w:r>
              <w:rPr>
                <w:rFonts w:ascii="Arial" w:cs="Arial" w:eastAsia="Arial" w:hAnsi="Arial"/>
                <w:sz w:val="18"/>
                <w:szCs w:val="18"/>
                <w:color w:val="auto"/>
              </w:rPr>
              <w:t>Energy</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30,878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39,592</w:t>
            </w:r>
          </w:p>
        </w:tc>
        <w:tc>
          <w:tcPr>
            <w:tcW w:w="100" w:type="dxa"/>
            <w:vAlign w:val="bottom"/>
          </w:tcPr>
          <w:p>
            <w:pPr>
              <w:spacing w:after="0"/>
              <w:rPr>
                <w:sz w:val="20"/>
                <w:szCs w:val="20"/>
                <w:color w:val="auto"/>
              </w:rPr>
            </w:pPr>
          </w:p>
        </w:tc>
      </w:tr>
      <w:tr>
        <w:trPr>
          <w:trHeight w:val="249"/>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commercial – Finance, Investment, and Insurance</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61,633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62,146</w:t>
            </w:r>
          </w:p>
        </w:tc>
        <w:tc>
          <w:tcPr>
            <w:tcW w:w="100" w:type="dxa"/>
            <w:vAlign w:val="bottom"/>
            <w:shd w:val="clear" w:color="auto" w:fill="CCEEFF"/>
          </w:tcPr>
          <w:p>
            <w:pPr>
              <w:spacing w:after="0"/>
              <w:rPr>
                <w:sz w:val="21"/>
                <w:szCs w:val="21"/>
                <w:color w:val="auto"/>
              </w:rPr>
            </w:pPr>
          </w:p>
        </w:tc>
      </w:tr>
      <w:tr>
        <w:trPr>
          <w:trHeight w:val="237"/>
        </w:trPr>
        <w:tc>
          <w:tcPr>
            <w:tcW w:w="6960" w:type="dxa"/>
            <w:vAlign w:val="bottom"/>
          </w:tcPr>
          <w:p>
            <w:pPr>
              <w:spacing w:after="0"/>
              <w:rPr>
                <w:sz w:val="20"/>
                <w:szCs w:val="20"/>
                <w:color w:val="auto"/>
              </w:rPr>
            </w:pPr>
            <w:r>
              <w:rPr>
                <w:rFonts w:ascii="Arial" w:cs="Arial" w:eastAsia="Arial" w:hAnsi="Arial"/>
                <w:sz w:val="18"/>
                <w:szCs w:val="18"/>
                <w:color w:val="auto"/>
              </w:rPr>
              <w:t>Consumer:</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346,153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313,350</w:t>
            </w:r>
          </w:p>
        </w:tc>
        <w:tc>
          <w:tcPr>
            <w:tcW w:w="100" w:type="dxa"/>
            <w:vAlign w:val="bottom"/>
            <w:shd w:val="clear" w:color="auto" w:fill="CCEEFF"/>
          </w:tcPr>
          <w:p>
            <w:pPr>
              <w:spacing w:after="0"/>
              <w:rPr>
                <w:sz w:val="21"/>
                <w:szCs w:val="21"/>
                <w:color w:val="auto"/>
              </w:rPr>
            </w:pPr>
          </w:p>
        </w:tc>
      </w:tr>
      <w:tr>
        <w:trPr>
          <w:trHeight w:val="237"/>
        </w:trPr>
        <w:tc>
          <w:tcPr>
            <w:tcW w:w="6960" w:type="dxa"/>
            <w:vAlign w:val="bottom"/>
          </w:tcPr>
          <w:p>
            <w:pPr>
              <w:ind w:left="180"/>
              <w:spacing w:after="0"/>
              <w:rPr>
                <w:sz w:val="20"/>
                <w:szCs w:val="20"/>
                <w:color w:val="auto"/>
              </w:rPr>
            </w:pPr>
            <w:r>
              <w:rPr>
                <w:rFonts w:ascii="Arial" w:cs="Arial" w:eastAsia="Arial" w:hAnsi="Arial"/>
                <w:sz w:val="18"/>
                <w:szCs w:val="18"/>
                <w:color w:val="auto"/>
              </w:rPr>
              <w:t>Auto loans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191,647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146,622</w:t>
            </w:r>
          </w:p>
        </w:tc>
        <w:tc>
          <w:tcPr>
            <w:tcW w:w="100" w:type="dxa"/>
            <w:vAlign w:val="bottom"/>
          </w:tcPr>
          <w:p>
            <w:pPr>
              <w:spacing w:after="0"/>
              <w:rPr>
                <w:sz w:val="20"/>
                <w:szCs w:val="20"/>
                <w:color w:val="auto"/>
              </w:rPr>
            </w:pPr>
          </w:p>
        </w:tc>
      </w:tr>
      <w:tr>
        <w:trPr>
          <w:trHeight w:val="249"/>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70,209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66,191</w:t>
            </w:r>
          </w:p>
        </w:tc>
        <w:tc>
          <w:tcPr>
            <w:tcW w:w="100" w:type="dxa"/>
            <w:vAlign w:val="bottom"/>
            <w:shd w:val="clear" w:color="auto" w:fill="CCEEFF"/>
          </w:tcPr>
          <w:p>
            <w:pPr>
              <w:spacing w:after="0"/>
              <w:rPr>
                <w:sz w:val="21"/>
                <w:szCs w:val="21"/>
                <w:color w:val="auto"/>
              </w:rPr>
            </w:pPr>
          </w:p>
        </w:tc>
      </w:tr>
      <w:tr>
        <w:trPr>
          <w:trHeight w:val="237"/>
        </w:trPr>
        <w:tc>
          <w:tcPr>
            <w:tcW w:w="6960" w:type="dxa"/>
            <w:vAlign w:val="bottom"/>
          </w:tcPr>
          <w:p>
            <w:pPr>
              <w:spacing w:after="0"/>
              <w:rPr>
                <w:sz w:val="20"/>
                <w:szCs w:val="20"/>
                <w:color w:val="auto"/>
              </w:rPr>
            </w:pPr>
            <w:r>
              <w:rPr>
                <w:rFonts w:ascii="Arial" w:cs="Arial" w:eastAsia="Arial" w:hAnsi="Arial"/>
                <w:sz w:val="18"/>
                <w:szCs w:val="18"/>
                <w:color w:val="auto"/>
              </w:rPr>
              <w:t>Construction:</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1-4 family construction</w:t>
            </w: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78,401</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65,922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0"/>
        </w:trPr>
        <w:tc>
          <w:tcPr>
            <w:tcW w:w="6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1,957,197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1,838,155</w:t>
            </w:r>
          </w:p>
        </w:tc>
        <w:tc>
          <w:tcPr>
            <w:tcW w:w="100" w:type="dxa"/>
            <w:vAlign w:val="bottom"/>
          </w:tcPr>
          <w:p>
            <w:pPr>
              <w:spacing w:after="0"/>
              <w:rPr>
                <w:sz w:val="20"/>
                <w:szCs w:val="20"/>
                <w:color w:val="auto"/>
              </w:rPr>
            </w:pPr>
          </w:p>
        </w:tc>
      </w:tr>
      <w:tr>
        <w:trPr>
          <w:trHeight w:val="249"/>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(23,126)</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(21,461)</w:t>
            </w:r>
          </w:p>
        </w:tc>
      </w:tr>
      <w:tr>
        <w:trPr>
          <w:trHeight w:val="223"/>
        </w:trPr>
        <w:tc>
          <w:tcPr>
            <w:tcW w:w="69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Loans, net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1,934,071</w:t>
            </w: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1,816,694</w:t>
            </w:r>
          </w:p>
        </w:tc>
        <w:tc>
          <w:tcPr>
            <w:tcW w:w="100" w:type="dxa"/>
            <w:vAlign w:val="bottom"/>
            <w:tcBorders>
              <w:top w:val="single" w:sz="8" w:color="CCEEFF"/>
            </w:tcBorders>
          </w:tcPr>
          <w:p>
            <w:pPr>
              <w:spacing w:after="0"/>
              <w:rPr>
                <w:sz w:val="19"/>
                <w:szCs w:val="19"/>
                <w:color w:val="auto"/>
              </w:rPr>
            </w:pPr>
          </w:p>
        </w:tc>
      </w:tr>
      <w:tr>
        <w:trPr>
          <w:trHeight w:val="21"/>
        </w:trPr>
        <w:tc>
          <w:tcPr>
            <w:tcW w:w="6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firstLine="360"/>
        <w:spacing w:after="0" w:line="255" w:lineRule="auto"/>
        <w:rPr>
          <w:sz w:val="20"/>
          <w:szCs w:val="20"/>
          <w:color w:val="auto"/>
        </w:rPr>
      </w:pPr>
      <w:r>
        <w:rPr>
          <w:rFonts w:ascii="Arial" w:cs="Arial" w:eastAsia="Arial" w:hAnsi="Arial"/>
          <w:sz w:val="18"/>
          <w:szCs w:val="18"/>
          <w:b w:val="1"/>
          <w:bCs w:val="1"/>
          <w:i w:val="1"/>
          <w:iCs w:val="1"/>
          <w:color w:val="auto"/>
        </w:rPr>
        <w:t>Commercial Real Estate Loans</w:t>
      </w:r>
      <w:r>
        <w:rPr>
          <w:rFonts w:ascii="Arial" w:cs="Arial" w:eastAsia="Arial" w:hAnsi="Arial"/>
          <w:sz w:val="18"/>
          <w:szCs w:val="18"/>
          <w:color w:val="auto"/>
        </w:rPr>
        <w:t>. We offer real estate loans for commercial property that is owned by real estate investors.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Commercial real estate loan terms are generally five years or less and amortization is generally limited to 20 years or less, although payments may be structured on a longer amortization basis in unusual cases. The interest rates on our commercial real estate loans may be fixed or adjustable, although rates typically are not fixed for a period exceeding five years. We charge an origination fee for our services on the majority of these loans. Our practice is to obtain personal guarantees from the principal owners of the business supported by a</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91" w:name="page92"/>
    <w:bookmarkEnd w:id="9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review of the principal owners’ personal financial statements and global debt service obligations. We also make construction loans to small and medium-sized business to construct owner-occupied properties and loans to developers of commercial real estate investment properties and residential developments.</w:t>
      </w:r>
    </w:p>
    <w:p>
      <w:pPr>
        <w:spacing w:after="0" w:line="73" w:lineRule="exact"/>
        <w:rPr>
          <w:sz w:val="20"/>
          <w:szCs w:val="20"/>
          <w:color w:val="auto"/>
        </w:rPr>
      </w:pPr>
    </w:p>
    <w:p>
      <w:pPr>
        <w:jc w:val="both"/>
        <w:ind w:right="40" w:firstLine="360"/>
        <w:spacing w:after="0" w:line="264" w:lineRule="auto"/>
        <w:rPr>
          <w:sz w:val="20"/>
          <w:szCs w:val="20"/>
          <w:color w:val="auto"/>
        </w:rPr>
      </w:pPr>
      <w:r>
        <w:rPr>
          <w:rFonts w:ascii="Arial" w:cs="Arial" w:eastAsia="Arial" w:hAnsi="Arial"/>
          <w:sz w:val="18"/>
          <w:szCs w:val="18"/>
          <w:color w:val="auto"/>
        </w:rPr>
        <w:t>Commercial real estate loans increased $31.1 million, or 6.1%, to $538.0 million as of December 31, 2018 from $506.9 million as of December 31, 2017. The increase in commercial real estate loans during this period was mostly driven by a general increase in lending activity, primarily in our Lubbock/South Plains and Dallas markets.</w:t>
      </w:r>
    </w:p>
    <w:p>
      <w:pPr>
        <w:spacing w:after="0" w:line="73" w:lineRule="exact"/>
        <w:rPr>
          <w:sz w:val="20"/>
          <w:szCs w:val="20"/>
          <w:color w:val="auto"/>
        </w:rPr>
      </w:pPr>
    </w:p>
    <w:p>
      <w:pPr>
        <w:ind w:right="100" w:firstLine="360"/>
        <w:spacing w:after="0" w:line="288" w:lineRule="auto"/>
        <w:rPr>
          <w:sz w:val="20"/>
          <w:szCs w:val="20"/>
          <w:color w:val="auto"/>
        </w:rPr>
      </w:pPr>
      <w:r>
        <w:rPr>
          <w:rFonts w:ascii="Arial" w:cs="Arial" w:eastAsia="Arial" w:hAnsi="Arial"/>
          <w:sz w:val="16"/>
          <w:szCs w:val="16"/>
          <w:b w:val="1"/>
          <w:bCs w:val="1"/>
          <w:i w:val="1"/>
          <w:iCs w:val="1"/>
          <w:color w:val="auto"/>
        </w:rPr>
        <w:t>Commercial – General</w:t>
      </w:r>
      <w:r>
        <w:rPr>
          <w:rFonts w:ascii="Arial" w:cs="Arial" w:eastAsia="Arial" w:hAnsi="Arial"/>
          <w:sz w:val="16"/>
          <w:szCs w:val="16"/>
          <w:color w:val="auto"/>
        </w:rPr>
        <w:t>. We make general commercial loans, including commercial lines of credit, working capital loans, term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loans, equipment financing, asset acquisition, expansion and development loans, borrowing base loans, letters of credit and other loan products, primarily in our target markets that are underwritten on the basis of the borrower’s ability to service the debt from cash flows. Our policy requires liens on general business assets including, among other things, available real estate, accounts receivable, promissory notes, inventory and equipment and our practice is to obtain a personal guaranty from the borrower or the principal. Our commercial loans generally have variable interest rates and terms that typically range from one to five years depending on factors such as the type and size of the loan, the financial strength of the borrower/guarantor and the age, type and value of the collateral. Fixed rate commercial loan maturities are generally short-term, with one to five year maturities, or include periodic interest rate resets. Commercial loans that are secured by owner occupied commercial real estate and depend primarily on operating cash flows for repayment are also included in this category of loan.</w:t>
      </w:r>
    </w:p>
    <w:p>
      <w:pPr>
        <w:spacing w:after="0" w:line="61"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Commercial loans categorized as “general” increased $17.7 million, or 4.3%, to $427.7 million as of December 31, 2018 from $410.1 million as of December 31, 2017.</w:t>
      </w:r>
    </w:p>
    <w:p>
      <w:pPr>
        <w:spacing w:after="0" w:line="62" w:lineRule="exact"/>
        <w:rPr>
          <w:sz w:val="20"/>
          <w:szCs w:val="20"/>
          <w:color w:val="auto"/>
        </w:rPr>
      </w:pPr>
    </w:p>
    <w:p>
      <w:pPr>
        <w:ind w:right="20" w:firstLine="360"/>
        <w:spacing w:after="0" w:line="288" w:lineRule="auto"/>
        <w:rPr>
          <w:sz w:val="20"/>
          <w:szCs w:val="20"/>
          <w:color w:val="auto"/>
        </w:rPr>
      </w:pPr>
      <w:r>
        <w:rPr>
          <w:rFonts w:ascii="Arial" w:cs="Arial" w:eastAsia="Arial" w:hAnsi="Arial"/>
          <w:sz w:val="16"/>
          <w:szCs w:val="16"/>
          <w:b w:val="1"/>
          <w:bCs w:val="1"/>
          <w:i w:val="1"/>
          <w:iCs w:val="1"/>
          <w:color w:val="auto"/>
        </w:rPr>
        <w:t>Commercial – Specialized</w:t>
      </w:r>
      <w:r>
        <w:rPr>
          <w:rFonts w:ascii="Arial" w:cs="Arial" w:eastAsia="Arial" w:hAnsi="Arial"/>
          <w:sz w:val="16"/>
          <w:szCs w:val="16"/>
          <w:color w:val="auto"/>
        </w:rPr>
        <w:t>. Commercial related loans that are categorized as “specialized” include agricultural production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real estate loans, energy loans, and finance, investment, and insurance loans. We offer both fixed-rate and adjustable-rate agricultural real estate loans to finance the borrower’s operating expenses, such as feed, fertilizer and irrigation costs. Generally, our agricultural real estate loans amortize over periods not in excess of 20 years and have a loan-to-value ratio of 80.0% or less. We generally require agricultural borrowers to obtain multi-peril crop insurance coverage through a program partially subsidized by the federal government to help mitigate the risk of crop failures. Agricultural operating loans are generally originated at an adjustable-or fixed-rate of interest and generally for a term of one year, unless secured by breeding livestock or farm equipment, which may have a term of up to five years. Lastly, within our specialized commercial loan categories, our energy loans consist primarily of oil and gas exploration and production loans, together with loans to oil and gas service providers. Our energy loans comprise only 1.6% of our gross loans held for investment as of December 31, 2018.</w:t>
      </w:r>
    </w:p>
    <w:p>
      <w:pPr>
        <w:spacing w:after="0" w:line="61" w:lineRule="exact"/>
        <w:rPr>
          <w:sz w:val="20"/>
          <w:szCs w:val="20"/>
          <w:color w:val="auto"/>
        </w:rPr>
      </w:pPr>
    </w:p>
    <w:p>
      <w:pPr>
        <w:ind w:right="200" w:firstLine="360"/>
        <w:spacing w:after="0" w:line="308" w:lineRule="auto"/>
        <w:rPr>
          <w:sz w:val="20"/>
          <w:szCs w:val="20"/>
          <w:color w:val="auto"/>
        </w:rPr>
      </w:pPr>
      <w:r>
        <w:rPr>
          <w:rFonts w:ascii="Arial" w:cs="Arial" w:eastAsia="Arial" w:hAnsi="Arial"/>
          <w:sz w:val="17"/>
          <w:szCs w:val="17"/>
          <w:color w:val="auto"/>
        </w:rPr>
        <w:t>Commercial loans categorized as “specialized” decreased $24.1 million, or 7.3%, to $305.0 million as of December 31, 2018 from $329.1 million as of December 31, 2017 primarily due to the loss of an agricultural loan officer at the end of 2017.</w:t>
      </w:r>
    </w:p>
    <w:p>
      <w:pPr>
        <w:spacing w:after="0" w:line="38" w:lineRule="exact"/>
        <w:rPr>
          <w:sz w:val="20"/>
          <w:szCs w:val="20"/>
          <w:color w:val="auto"/>
        </w:rPr>
      </w:pPr>
    </w:p>
    <w:p>
      <w:pPr>
        <w:ind w:right="140" w:firstLine="360"/>
        <w:spacing w:after="0" w:line="291" w:lineRule="auto"/>
        <w:rPr>
          <w:sz w:val="20"/>
          <w:szCs w:val="20"/>
          <w:color w:val="auto"/>
        </w:rPr>
      </w:pPr>
      <w:r>
        <w:rPr>
          <w:rFonts w:ascii="Arial" w:cs="Arial" w:eastAsia="Arial" w:hAnsi="Arial"/>
          <w:sz w:val="16"/>
          <w:szCs w:val="16"/>
          <w:b w:val="1"/>
          <w:bCs w:val="1"/>
          <w:i w:val="1"/>
          <w:iCs w:val="1"/>
          <w:color w:val="auto"/>
        </w:rPr>
        <w:t>Consumer Loans</w:t>
      </w:r>
      <w:r>
        <w:rPr>
          <w:rFonts w:ascii="Arial" w:cs="Arial" w:eastAsia="Arial" w:hAnsi="Arial"/>
          <w:sz w:val="16"/>
          <w:szCs w:val="16"/>
          <w:color w:val="auto"/>
        </w:rPr>
        <w:t>. We make a variety of loans to individuals, including auto loans, through both direct and indirect channels,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owner-occupied 1-4 family real estate loans. We also offer finance and investment loans to individuals and entities investing in</w:t>
      </w:r>
    </w:p>
    <w:p>
      <w:pPr>
        <w:spacing w:after="0" w:line="288" w:lineRule="auto"/>
        <w:rPr>
          <w:sz w:val="20"/>
          <w:szCs w:val="20"/>
          <w:color w:val="auto"/>
        </w:rPr>
      </w:pPr>
      <w:r>
        <w:rPr>
          <w:rFonts w:ascii="Arial" w:cs="Arial" w:eastAsia="Arial" w:hAnsi="Arial"/>
          <w:sz w:val="16"/>
          <w:szCs w:val="16"/>
          <w:color w:val="auto"/>
        </w:rPr>
        <w:t>1-4 family real estate investment vehicles. Consumer loans are underwritten based on the individual borrower’s income, current debt level, past credit history and the value of any available collateral. The terms of consumer loans vary considerably based upon the loan type, nature of collateral and size of the loan. Indirect dealer loans, which include primarily automobile loans, but also loans for recreational vehicles, boats, and personal watercraft, are the fastest growing portion of our consumer loans. However, residential real estate loans comprise the largest portion of our consumer loans. We offer first and second lien one-to-four family mortgage loans, as well as home equity lines of credit, in each case primarily on owner occupied primary residences. Our retail consumer real estate lending products are offered primarily to consumer customers within our geographic markets.</w:t>
      </w:r>
    </w:p>
    <w:p>
      <w:pPr>
        <w:spacing w:after="0" w:line="61"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Consumer and other loans increased $81.8 million, or 15.6%, to $608.0 million as of December 31, 2018, from $526.2 million as of December 31, 2017. The increases in these loans were primarily a result of expanded lending in the indirect dealer loan portfolio in the Lubbock/South Plains market.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92" w:name="page93"/>
    <w:bookmarkEnd w:id="9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b w:val="1"/>
          <w:bCs w:val="1"/>
          <w:i w:val="1"/>
          <w:iCs w:val="1"/>
          <w:color w:val="auto"/>
        </w:rPr>
        <w:t>Construction Loans</w:t>
      </w:r>
      <w:r>
        <w:rPr>
          <w:rFonts w:ascii="Arial" w:cs="Arial" w:eastAsia="Arial" w:hAnsi="Arial"/>
          <w:sz w:val="18"/>
          <w:szCs w:val="18"/>
          <w:color w:val="auto"/>
        </w:rPr>
        <w:t>. Our construction portfolio includes loans to individual clients for construction of single family homes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market areas. These construction loans are generally made with a term of one to two years with interest paid monthly. Our underwriting policy does allow for exceptions in which the term of a construction and development loan may be longer than two years, however, the term must be realistic and consistent with the borrower’s documented ability to repay. The ratio of the loan principal to the value of the collateral, as established by independent appraisal, typically will not exceed regulatory supervisory guidelines. Loan proceeds are generally disbursed based on the percentage of completion and after the project has been reviewed by an independent internal or external inspector.</w:t>
      </w:r>
    </w:p>
    <w:p>
      <w:pPr>
        <w:spacing w:after="0" w:line="81" w:lineRule="exact"/>
        <w:rPr>
          <w:sz w:val="20"/>
          <w:szCs w:val="20"/>
          <w:color w:val="auto"/>
        </w:rPr>
      </w:pPr>
    </w:p>
    <w:p>
      <w:pPr>
        <w:ind w:right="460" w:firstLine="360"/>
        <w:spacing w:after="0" w:line="342" w:lineRule="auto"/>
        <w:rPr>
          <w:sz w:val="20"/>
          <w:szCs w:val="20"/>
          <w:color w:val="auto"/>
        </w:rPr>
      </w:pPr>
      <w:r>
        <w:rPr>
          <w:rFonts w:ascii="Arial" w:cs="Arial" w:eastAsia="Arial" w:hAnsi="Arial"/>
          <w:sz w:val="16"/>
          <w:szCs w:val="16"/>
          <w:color w:val="auto"/>
        </w:rPr>
        <w:t>Construction loans increased $12.5 million, or 18.9%, to $78.4 million as of December 31, 2018 from $65.9 million as of December 31, 2017. The increase resulted from continued organic growth, especially in our Lubbock/South Plains markets.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The principal economic risk associated with our loans is creditworthiness of our borrowers and collateral support for our loans. We limit our risk by monitoring and analyzing borrowers’ cash flow and collateral value. We actively monitor potential credit risk on individual loans, which may include the reassignment of marginal credits and development of intervention plans for problem loans. We carefully maintain and manage credit risk on a portfolio basis as well, including through management of key asset quality ratios. Our classified assets to capital ratio as of December 31, 2018 was 13.0%. We also seek to improve and expand within our loan staff, most recently through expansion of our in-house appraisal department to incorporate additional commercial and residential appraisals.</w:t>
      </w:r>
    </w:p>
    <w:p>
      <w:pPr>
        <w:spacing w:after="0" w:line="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risks associated with specific types of loans in our portfolio, see “Risk Factors.”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Policies and Procedures</w:t>
      </w:r>
    </w:p>
    <w:p>
      <w:pPr>
        <w:spacing w:after="0" w:line="121" w:lineRule="exact"/>
        <w:rPr>
          <w:sz w:val="20"/>
          <w:szCs w:val="20"/>
          <w:color w:val="auto"/>
        </w:rPr>
      </w:pPr>
    </w:p>
    <w:p>
      <w:pPr>
        <w:ind w:right="60" w:firstLine="360"/>
        <w:spacing w:after="0" w:line="291" w:lineRule="auto"/>
        <w:rPr>
          <w:sz w:val="20"/>
          <w:szCs w:val="20"/>
          <w:color w:val="auto"/>
        </w:rPr>
      </w:pPr>
      <w:r>
        <w:rPr>
          <w:rFonts w:ascii="Arial" w:cs="Arial" w:eastAsia="Arial" w:hAnsi="Arial"/>
          <w:sz w:val="16"/>
          <w:szCs w:val="16"/>
          <w:b w:val="1"/>
          <w:bCs w:val="1"/>
          <w:i w:val="1"/>
          <w:iCs w:val="1"/>
          <w:color w:val="auto"/>
        </w:rPr>
        <w:t>General</w:t>
      </w:r>
      <w:r>
        <w:rPr>
          <w:rFonts w:ascii="Arial" w:cs="Arial" w:eastAsia="Arial" w:hAnsi="Arial"/>
          <w:sz w:val="16"/>
          <w:szCs w:val="16"/>
          <w:color w:val="auto"/>
        </w:rPr>
        <w:t>. We adhere to what we believe are disciplined underwriting standards, but also remain cognizant of serving the credit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needs of customers in our primary market areas by offering flexible loan solutions in a responsive and timely manner. We maintain asset quality through an emphasis on local market knowledge, long-term customer relationships, consistent and thorough underwriting and a conservative credit culture. We also seek to maintain a broadly diversified loan portfolio across customer, product and industry types. Our lending policies do not provide for loans that are highly speculative, subprime or that have high loan-to-value ratios. These components, together with active credit management, are the foundation of our credit culture, which we believe is critical to enhancing the long-term value of our organization to our customers, employees, shareholders and communities.</w:t>
      </w:r>
    </w:p>
    <w:p>
      <w:pPr>
        <w:spacing w:after="0" w:line="59" w:lineRule="exact"/>
        <w:rPr>
          <w:sz w:val="20"/>
          <w:szCs w:val="20"/>
          <w:color w:val="auto"/>
        </w:rPr>
      </w:pPr>
    </w:p>
    <w:p>
      <w:pPr>
        <w:ind w:right="220" w:firstLine="360"/>
        <w:spacing w:after="0" w:line="259" w:lineRule="auto"/>
        <w:rPr>
          <w:sz w:val="20"/>
          <w:szCs w:val="20"/>
          <w:color w:val="auto"/>
        </w:rPr>
      </w:pPr>
      <w:r>
        <w:rPr>
          <w:rFonts w:ascii="Arial" w:cs="Arial" w:eastAsia="Arial" w:hAnsi="Arial"/>
          <w:sz w:val="18"/>
          <w:szCs w:val="18"/>
          <w:color w:val="auto"/>
        </w:rPr>
        <w:t>We have a service-driven, relationship-based, business-focused credit culture, rather than a price-driven, transaction-based culture. Substantially all of our loans are made to borrowers located or operating in our primary market areas with whom we have ongoing relationships across various product lines. The few loans secured by properties outside of our primary market areas were made to borrowers who are otherwise well-known to us.</w:t>
      </w:r>
    </w:p>
    <w:p>
      <w:pPr>
        <w:spacing w:after="0" w:line="79"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b w:val="1"/>
          <w:bCs w:val="1"/>
          <w:i w:val="1"/>
          <w:iCs w:val="1"/>
          <w:color w:val="auto"/>
        </w:rPr>
        <w:t>Credit Concentrations</w:t>
      </w:r>
      <w:r>
        <w:rPr>
          <w:rFonts w:ascii="Arial" w:cs="Arial" w:eastAsia="Arial" w:hAnsi="Arial"/>
          <w:sz w:val="18"/>
          <w:szCs w:val="18"/>
          <w:color w:val="auto"/>
        </w:rPr>
        <w:t>. In connection with the management of our credit portfolio, we actively manage the composition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loan portfolio, including credit concentrations. Our loan approval policies establish concentrations limits with respect to industry and loan product type to enhance portfolio diversification. These limits are reviewed bi-monthly as part of our credit analytics Board Credit Risk Committee program. Commercial real estate concentrations are monitored by the Board of Directors at least quarterly. The Board Credit Risk Committee is comprised of outside directors and two Bank officers, including the Chairman of the Board and the Bank’s Chief Executive Officer.</w:t>
      </w:r>
    </w:p>
    <w:p>
      <w:pPr>
        <w:spacing w:after="0" w:line="85"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b w:val="1"/>
          <w:bCs w:val="1"/>
          <w:i w:val="1"/>
          <w:iCs w:val="1"/>
          <w:color w:val="auto"/>
        </w:rPr>
        <w:t>Loan Approval Process</w:t>
      </w:r>
      <w:r>
        <w:rPr>
          <w:rFonts w:ascii="Arial" w:cs="Arial" w:eastAsia="Arial" w:hAnsi="Arial"/>
          <w:sz w:val="18"/>
          <w:szCs w:val="18"/>
          <w:color w:val="auto"/>
        </w:rPr>
        <w:t>. We seek to achieve an appropriate balance between prudent, disciplined underwriting and flexibility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our decision-making and responsiveness to our customers. Our board requires loans to relationships in excess of $15 million to be approved by the Board Credit Risk Committee. As of December 31, 2018, the Bank had a legal lending limit of approximately $67.8 million. As of that date, our largest 20 largest borrowing relationships ranged from approximately $15.5 million to $31.0 million (including unfunded commitments) and totaled approximately $419.8 million in total commitments (representing, in the aggregate, 18.2% of our total outstanding commitments).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93" w:name="page94"/>
    <w:bookmarkEnd w:id="9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00" w:firstLine="360"/>
        <w:spacing w:after="0" w:line="255" w:lineRule="auto"/>
        <w:rPr>
          <w:sz w:val="20"/>
          <w:szCs w:val="20"/>
          <w:color w:val="auto"/>
        </w:rPr>
      </w:pPr>
      <w:r>
        <w:rPr>
          <w:rFonts w:ascii="Arial" w:cs="Arial" w:eastAsia="Arial" w:hAnsi="Arial"/>
          <w:sz w:val="18"/>
          <w:szCs w:val="18"/>
          <w:color w:val="auto"/>
        </w:rPr>
        <w:t>Our credit approval policies provide for various levels of officer and senior management lending authority for new credits and renewals, which are based on position, capability and experience. Loans in excess of an individual officer’s lending limit up to $1 million may be approved by one of three lending and credit senior officers. Loans to relationships between $1 million and $15 million are approved by our Lending Market Committee or the Executive Loan Committee depending on size. These limits are reviewed periodically by the Bank’s board of directors. We believe that our credit approval process provides for thorough underwriting and efficient decision making.</w:t>
      </w:r>
    </w:p>
    <w:p>
      <w:pPr>
        <w:spacing w:after="0" w:line="85"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b w:val="1"/>
          <w:bCs w:val="1"/>
          <w:i w:val="1"/>
          <w:iCs w:val="1"/>
          <w:color w:val="auto"/>
        </w:rPr>
        <w:t>Credit Risk Management</w:t>
      </w:r>
      <w:r>
        <w:rPr>
          <w:rFonts w:ascii="Arial" w:cs="Arial" w:eastAsia="Arial" w:hAnsi="Arial"/>
          <w:sz w:val="16"/>
          <w:szCs w:val="16"/>
          <w:color w:val="auto"/>
        </w:rPr>
        <w:t>. Credit risk management involves a partnership between our loan officers and our credit approval,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credit administration and collections personnel. Loan delinquencies and exceptions are constantly monitored by credit personnel and consultations with lenders occur as often as daily. Our evaluation program for our loan officers includes significant goals, such as the percentages of past due loans and charge-offs to total loans in the officer’s portfolio, that we believe motivate the loan officers to focus on the origination and maintenance of high quality credits consistent with our strategic focus on asset quality.</w:t>
      </w:r>
    </w:p>
    <w:p>
      <w:pPr>
        <w:spacing w:after="0" w:line="50" w:lineRule="exact"/>
        <w:rPr>
          <w:sz w:val="20"/>
          <w:szCs w:val="20"/>
          <w:color w:val="auto"/>
        </w:rPr>
      </w:pPr>
    </w:p>
    <w:p>
      <w:pPr>
        <w:ind w:right="720" w:firstLine="360"/>
        <w:spacing w:after="0" w:line="277" w:lineRule="auto"/>
        <w:rPr>
          <w:sz w:val="20"/>
          <w:szCs w:val="20"/>
          <w:color w:val="auto"/>
        </w:rPr>
      </w:pPr>
      <w:r>
        <w:rPr>
          <w:rFonts w:ascii="Arial" w:cs="Arial" w:eastAsia="Arial" w:hAnsi="Arial"/>
          <w:sz w:val="18"/>
          <w:szCs w:val="18"/>
          <w:color w:val="auto"/>
        </w:rPr>
        <w:t>Our policies require rapid notification of delinquency and prompt initiation of collection actions. Loan officers, credit administration personnel and senior management proactively support collection activities.</w:t>
      </w:r>
    </w:p>
    <w:p>
      <w:pPr>
        <w:spacing w:after="0" w:line="62" w:lineRule="exact"/>
        <w:rPr>
          <w:sz w:val="20"/>
          <w:szCs w:val="20"/>
          <w:color w:val="auto"/>
        </w:rPr>
      </w:pPr>
    </w:p>
    <w:p>
      <w:pPr>
        <w:ind w:right="140" w:firstLine="360"/>
        <w:spacing w:after="0" w:line="272" w:lineRule="auto"/>
        <w:rPr>
          <w:sz w:val="20"/>
          <w:szCs w:val="20"/>
          <w:color w:val="auto"/>
        </w:rPr>
      </w:pPr>
      <w:r>
        <w:rPr>
          <w:rFonts w:ascii="Arial" w:cs="Arial" w:eastAsia="Arial" w:hAnsi="Arial"/>
          <w:sz w:val="17"/>
          <w:szCs w:val="17"/>
          <w:color w:val="auto"/>
        </w:rPr>
        <w:t>In accordance with our procedures, we perform annual asset reviews of our larger relationships. As part of these asset review procedures, we analyze recent financial statements of the property, borrower and any guarantor, the borrower’s revenues and expenses, and any deterioration in the relationship or in the borrower’s and any guarantor’s financial condition. Upon completion, we update the grade assigned to each loan. Our credit policy requires that loan officers promptly update risk ratings for all loans as warranted by changing circumstances of the borrower or the credit and to notify credit administration personnel of any risks developing in a portfolio or in an individual borrowing relationship. We maintain a list of loans that receive additional attention if we believe there may be a potential credit risk.</w:t>
      </w:r>
    </w:p>
    <w:p>
      <w:pPr>
        <w:spacing w:after="0" w:line="70" w:lineRule="exact"/>
        <w:rPr>
          <w:sz w:val="20"/>
          <w:szCs w:val="20"/>
          <w:color w:val="auto"/>
        </w:rPr>
      </w:pPr>
    </w:p>
    <w:p>
      <w:pPr>
        <w:ind w:right="80" w:firstLine="360"/>
        <w:spacing w:after="0" w:line="270" w:lineRule="auto"/>
        <w:rPr>
          <w:sz w:val="20"/>
          <w:szCs w:val="20"/>
          <w:color w:val="auto"/>
        </w:rPr>
      </w:pPr>
      <w:r>
        <w:rPr>
          <w:rFonts w:ascii="Arial" w:cs="Arial" w:eastAsia="Arial" w:hAnsi="Arial"/>
          <w:sz w:val="17"/>
          <w:szCs w:val="17"/>
          <w:color w:val="auto"/>
        </w:rPr>
        <w:t>Loans that are adversely classified undergo a detailed quarterly review by Loan Review personnel. This review includes an evaluation of the market conditions, the property’s trends, the borrower and guarantor status, the level of reserves required and loan accrual status. These reports are reviewed by a group of lending and credit personnel to evaluate collection effectiveness for each loan reported. Additionally, we periodically have an independent, third-party review performed on our loan grades and our credit administration functions. Our external loan review firm schedules three to four visits per year and attempts to achieve a penetration of 60%. Finally, we perform, at least annually, a stress test of our loan portfolio, in which we evaluate the impact of declining economic conditions on the portfolio based on previous recessionary periods. Credit personnel review these reports and present them to the Board Credit Risk Committee. These asset review procedures provide management with additional information for assessing our asset quality.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Deposits</w:t>
      </w:r>
    </w:p>
    <w:p>
      <w:pPr>
        <w:spacing w:after="0" w:line="121" w:lineRule="exact"/>
        <w:rPr>
          <w:sz w:val="20"/>
          <w:szCs w:val="20"/>
          <w:color w:val="auto"/>
        </w:rPr>
      </w:pPr>
    </w:p>
    <w:p>
      <w:pPr>
        <w:ind w:right="180" w:firstLine="360"/>
        <w:spacing w:after="0" w:line="272" w:lineRule="auto"/>
        <w:rPr>
          <w:sz w:val="20"/>
          <w:szCs w:val="20"/>
          <w:color w:val="auto"/>
        </w:rPr>
      </w:pPr>
      <w:r>
        <w:rPr>
          <w:rFonts w:ascii="Arial" w:cs="Arial" w:eastAsia="Arial" w:hAnsi="Arial"/>
          <w:sz w:val="17"/>
          <w:szCs w:val="17"/>
          <w:color w:val="auto"/>
        </w:rPr>
        <w:t>We fund the majority of our loans using our low-cost core deposit base and do not rely heavily on wholesale funding or other more volatile sources of liquidity. Core deposits include deposits obtained directly from depositors and exclude time deposits in excess of $250,000, deposits obtained from listing services, and brokered deposits obtained through an intermediary. We consider our core deposits to be our primary and most valuable low-cost funding source for our lending business. We believe our markets provide a stable source of funding and will be a greater source of core deposits as interest rates continue to increase and core deposits become increasingly difficult to attract. As of December 31, 2018, core deposits and noninterest-bearing deposits represented 90.4% and 22.4% of our total deposits, respectively.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94" w:name="page95"/>
    <w:bookmarkEnd w:id="9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graph shows each major category of our deposit base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1663700</wp:posOffset>
            </wp:positionH>
            <wp:positionV relativeFrom="paragraph">
              <wp:posOffset>83820</wp:posOffset>
            </wp:positionV>
            <wp:extent cx="2718435" cy="24180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718435" cy="2418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December 31, 2018 and 2017, our deposits consisted of the following:</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2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2"/>
              </w:rPr>
              <w:t>As of December 31,</w:t>
            </w:r>
          </w:p>
        </w:tc>
      </w:tr>
      <w:tr>
        <w:trPr>
          <w:trHeight w:val="183"/>
        </w:trPr>
        <w:tc>
          <w:tcPr>
            <w:tcW w:w="696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r>
      <w:tr>
        <w:trPr>
          <w:trHeight w:val="196"/>
        </w:trPr>
        <w:tc>
          <w:tcPr>
            <w:tcW w:w="6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2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1"/>
              </w:rPr>
              <w:t>(Dollars in thousands)</w:t>
            </w:r>
          </w:p>
        </w:tc>
      </w:tr>
      <w:tr>
        <w:trPr>
          <w:trHeight w:val="243"/>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Noninterest-Bearing</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510,067</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475,162</w:t>
            </w:r>
          </w:p>
        </w:tc>
        <w:tc>
          <w:tcPr>
            <w:tcW w:w="100" w:type="dxa"/>
            <w:vAlign w:val="bottom"/>
            <w:shd w:val="clear" w:color="auto" w:fill="CCEEFF"/>
          </w:tcPr>
          <w:p>
            <w:pPr>
              <w:spacing w:after="0"/>
              <w:rPr>
                <w:sz w:val="21"/>
                <w:szCs w:val="21"/>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NOW &amp; Other Trans. Accounts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277,041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277,053</w:t>
            </w:r>
          </w:p>
        </w:tc>
        <w:tc>
          <w:tcPr>
            <w:tcW w:w="100" w:type="dxa"/>
            <w:vAlign w:val="bottom"/>
          </w:tcPr>
          <w:p>
            <w:pPr>
              <w:spacing w:after="0"/>
              <w:rPr>
                <w:sz w:val="20"/>
                <w:szCs w:val="20"/>
                <w:color w:val="auto"/>
              </w:rPr>
            </w:pPr>
          </w:p>
        </w:tc>
      </w:tr>
      <w:tr>
        <w:trPr>
          <w:trHeight w:val="25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MMDA &amp; Other Savings</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1,085,309</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960,637</w:t>
            </w:r>
          </w:p>
        </w:tc>
        <w:tc>
          <w:tcPr>
            <w:tcW w:w="100" w:type="dxa"/>
            <w:vAlign w:val="bottom"/>
            <w:shd w:val="clear" w:color="auto" w:fill="CCEEFF"/>
          </w:tcPr>
          <w:p>
            <w:pPr>
              <w:spacing w:after="0"/>
              <w:rPr>
                <w:sz w:val="22"/>
                <w:szCs w:val="22"/>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Brokered Deposits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93,500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109,716</w:t>
            </w:r>
          </w:p>
        </w:tc>
        <w:tc>
          <w:tcPr>
            <w:tcW w:w="100" w:type="dxa"/>
            <w:vAlign w:val="bottom"/>
          </w:tcPr>
          <w:p>
            <w:pPr>
              <w:spacing w:after="0"/>
              <w:rPr>
                <w:sz w:val="20"/>
                <w:szCs w:val="20"/>
                <w:color w:val="auto"/>
              </w:rPr>
            </w:pPr>
          </w:p>
        </w:tc>
      </w:tr>
      <w:tr>
        <w:trPr>
          <w:trHeight w:val="25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Retail Time Deposits</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185,997</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191,450</w:t>
            </w:r>
          </w:p>
        </w:tc>
        <w:tc>
          <w:tcPr>
            <w:tcW w:w="100" w:type="dxa"/>
            <w:vAlign w:val="bottom"/>
            <w:shd w:val="clear" w:color="auto" w:fill="CCEEFF"/>
          </w:tcPr>
          <w:p>
            <w:pPr>
              <w:spacing w:after="0"/>
              <w:rPr>
                <w:sz w:val="22"/>
                <w:szCs w:val="22"/>
                <w:color w:val="auto"/>
              </w:rPr>
            </w:pPr>
          </w:p>
        </w:tc>
      </w:tr>
      <w:tr>
        <w:trPr>
          <w:trHeight w:val="237"/>
        </w:trPr>
        <w:tc>
          <w:tcPr>
            <w:tcW w:w="6960" w:type="dxa"/>
            <w:vAlign w:val="bottom"/>
          </w:tcPr>
          <w:p>
            <w:pPr>
              <w:spacing w:after="0"/>
              <w:rPr>
                <w:sz w:val="20"/>
                <w:szCs w:val="20"/>
                <w:color w:val="auto"/>
              </w:rPr>
            </w:pPr>
            <w:r>
              <w:rPr>
                <w:rFonts w:ascii="Arial" w:cs="Arial" w:eastAsia="Arial" w:hAnsi="Arial"/>
                <w:sz w:val="18"/>
                <w:szCs w:val="18"/>
                <w:color w:val="auto"/>
              </w:rPr>
              <w:t>Jumbo Time Deposits</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125,540</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140,063</w:t>
            </w:r>
          </w:p>
        </w:tc>
        <w:tc>
          <w:tcPr>
            <w:tcW w:w="100" w:type="dxa"/>
            <w:vAlign w:val="bottom"/>
          </w:tcPr>
          <w:p>
            <w:pPr>
              <w:spacing w:after="0"/>
              <w:rPr>
                <w:sz w:val="20"/>
                <w:szCs w:val="20"/>
                <w:color w:val="auto"/>
              </w:rPr>
            </w:pPr>
          </w:p>
        </w:tc>
      </w:tr>
      <w:tr>
        <w:trPr>
          <w:trHeight w:val="277"/>
        </w:trPr>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Deposits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2,277,454</w:t>
            </w:r>
          </w:p>
        </w:tc>
        <w:tc>
          <w:tcPr>
            <w:tcW w:w="1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2,154,081</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94" w:lineRule="exact"/>
        <w:rPr>
          <w:sz w:val="20"/>
          <w:szCs w:val="20"/>
          <w:color w:val="auto"/>
        </w:rPr>
      </w:pPr>
    </w:p>
    <w:p>
      <w:pPr>
        <w:ind w:right="60" w:firstLine="360"/>
        <w:spacing w:after="0" w:line="269" w:lineRule="auto"/>
        <w:rPr>
          <w:sz w:val="20"/>
          <w:szCs w:val="20"/>
          <w:color w:val="auto"/>
        </w:rPr>
      </w:pPr>
      <w:r>
        <w:rPr>
          <w:rFonts w:ascii="Arial" w:cs="Arial" w:eastAsia="Arial" w:hAnsi="Arial"/>
          <w:sz w:val="17"/>
          <w:szCs w:val="17"/>
          <w:color w:val="auto"/>
        </w:rPr>
        <w:t>We offer customers traditional deposit products through our branch network and the ability to access their accounts through online and mobile banking platforms. Our deposit services include retail and commercial products, including a competitive array of treasury management products. We offer a variety of deposit accounts with a range of interest rates and terms including demand, savings, money market and certificates of deposit with the goal of attracting a wide variety of customers, including individuals, small- to medium-sized businesses, associations, financial institutions and government entities in our geographic markets. We strive to retain an attractive deposit mix from both large and small customers as well as a broad market reach. We believe our competitive pricing and products, convenient branch locations and quality personal customer service enable us to attract and retain deposits. We employ conventional marketing initiatives and advertising and, in addition, leverage our community commitment activities to generate new accounts. We generally seek a full banking relationship from our customers, which has contributed to our internal deposit growth. This often includes encouraging a new customer to consider both business and personal checking accounts and other deposit services. Our bankers offer our deposit products to our loan customers in an effort to cross-sell our services to existing relationships.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Portfolio</w:t>
      </w:r>
    </w:p>
    <w:p>
      <w:pPr>
        <w:spacing w:after="0" w:line="121" w:lineRule="exact"/>
        <w:rPr>
          <w:sz w:val="20"/>
          <w:szCs w:val="20"/>
          <w:color w:val="auto"/>
        </w:rPr>
      </w:pPr>
    </w:p>
    <w:p>
      <w:pPr>
        <w:ind w:right="40" w:firstLine="360"/>
        <w:spacing w:after="0" w:line="293" w:lineRule="auto"/>
        <w:rPr>
          <w:sz w:val="20"/>
          <w:szCs w:val="20"/>
          <w:color w:val="auto"/>
        </w:rPr>
      </w:pPr>
      <w:r>
        <w:rPr>
          <w:rFonts w:ascii="Arial" w:cs="Arial" w:eastAsia="Arial" w:hAnsi="Arial"/>
          <w:sz w:val="16"/>
          <w:szCs w:val="16"/>
          <w:color w:val="auto"/>
        </w:rPr>
        <w:t>We manage our securities portfolio primarily for liquidity purposes, including depositor and borrower funding requirements and availability as collateral for public fund deposits, with a secondary focus on interest income. Our portfolio is classified as either available-for-sale or held-to-maturity and can be used for pledging on public deposits, selling under repurchase agreements and meeting unforeseen liquidity needs. The investments are a variety of high-grade securities, including government agency securities, government guaranteed mortgage backed securities and municipal securities. Prior to December 2017, we historically have sold few securities. We did reposition the portfolio from December 2017 to August 2018 as a response to the passage of the Tax</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95" w:name="page96"/>
    <w:bookmarkEnd w:id="9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Reform Act as well as our conversion to a C Corporation. We adjusted the concentration of our securities portfolio from a municipal and lower yield agency securities base into a mortgage-backed and other asset-backed securities composition.</w:t>
      </w:r>
    </w:p>
    <w:p>
      <w:pPr>
        <w:spacing w:after="0" w:line="38" w:lineRule="exact"/>
        <w:rPr>
          <w:sz w:val="20"/>
          <w:szCs w:val="20"/>
          <w:color w:val="auto"/>
        </w:rPr>
      </w:pPr>
    </w:p>
    <w:p>
      <w:pPr>
        <w:jc w:val="both"/>
        <w:ind w:right="200" w:firstLine="360"/>
        <w:spacing w:after="0" w:line="286" w:lineRule="auto"/>
        <w:rPr>
          <w:sz w:val="20"/>
          <w:szCs w:val="20"/>
          <w:color w:val="auto"/>
        </w:rPr>
      </w:pPr>
      <w:r>
        <w:rPr>
          <w:rFonts w:ascii="Arial" w:cs="Arial" w:eastAsia="Arial" w:hAnsi="Arial"/>
          <w:sz w:val="17"/>
          <w:szCs w:val="17"/>
          <w:color w:val="auto"/>
        </w:rPr>
        <w:t>Our investment policy is reviewed annually by the Bank’s board of directors. Overall investment goals are established by the Bank’s board of directors and the Bank’s Investment/Asset Liability Committee. The Bank’s board of directors has delegated the responsibility of monitoring our investment activities to the Investment/Asset Liability Committee.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Fee Income</w:t>
      </w:r>
    </w:p>
    <w:p>
      <w:pPr>
        <w:spacing w:after="0" w:line="121"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Our noninterest income comprises a significant portion of our total revenue and represented 35.3% of such in 2018. The largest components of our noninterest income include revenues from our mortgage banking activities, service charges on deposit accounts, income from insurance activities, and bank card services and interchange fees.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Banking</w:t>
      </w:r>
    </w:p>
    <w:p>
      <w:pPr>
        <w:spacing w:after="0" w:line="117" w:lineRule="exact"/>
        <w:rPr>
          <w:sz w:val="20"/>
          <w:szCs w:val="20"/>
          <w:color w:val="auto"/>
        </w:rPr>
      </w:pPr>
    </w:p>
    <w:p>
      <w:pPr>
        <w:ind w:firstLine="360"/>
        <w:spacing w:after="0" w:line="253" w:lineRule="auto"/>
        <w:rPr>
          <w:sz w:val="20"/>
          <w:szCs w:val="20"/>
          <w:color w:val="auto"/>
        </w:rPr>
      </w:pPr>
      <w:r>
        <w:rPr>
          <w:rFonts w:ascii="Arial" w:cs="Arial" w:eastAsia="Arial" w:hAnsi="Arial"/>
          <w:sz w:val="18"/>
          <w:szCs w:val="18"/>
          <w:color w:val="auto"/>
        </w:rPr>
        <w:t>Our mortgage originations totaled $544.7 million for the year ended December 31, 2018. In 2018, we sold approximately 94% of the mortgages we originated. We originate mortgages primarily from our branches or loan production offices in Lubbock, El Paso, College Station, Abilene, Arlington, Beaumont, Dallas, Forney, Grand Prairie, Houston, Plano, and Southlake, Texas, and Overland Park, Kansas. We refer to our loan production offices as mortgage offices. While our mortgage operation represents a sizable component of our total revenue, comprising 14.5%, or $21.4 million, for the year ended December 31, 2018, we view the mortgage business as an ancillary part of our operations. Within our mortgage origination portfolio, refinances of existing mortgages represented 20% of total mortgage originations in 2018. We retain mortgage servicing rights from time to time when we sell mortgages to third parties. As of December 31, 2018, we serviced $133.1 million of mortgages that we originated and sold to third parties.</w:t>
      </w:r>
    </w:p>
    <w:p>
      <w:pPr>
        <w:spacing w:after="0" w:line="89" w:lineRule="exact"/>
        <w:rPr>
          <w:sz w:val="20"/>
          <w:szCs w:val="20"/>
          <w:color w:val="auto"/>
        </w:rPr>
      </w:pPr>
    </w:p>
    <w:p>
      <w:pPr>
        <w:ind w:right="60" w:firstLine="360"/>
        <w:spacing w:after="0" w:line="271" w:lineRule="auto"/>
        <w:rPr>
          <w:sz w:val="20"/>
          <w:szCs w:val="20"/>
          <w:color w:val="auto"/>
        </w:rPr>
      </w:pPr>
      <w:r>
        <w:rPr>
          <w:rFonts w:ascii="Arial" w:cs="Arial" w:eastAsia="Arial" w:hAnsi="Arial"/>
          <w:sz w:val="17"/>
          <w:szCs w:val="17"/>
          <w:color w:val="auto"/>
        </w:rPr>
        <w:t>We leverage a variety of digital reporting tools to increase the efficiency of the underwriting process, enhance loan production and boost overall margins while keeping expenses to a minimum. We have recently added mortgage offices in the Austin/Round Rock metropolitan area and further expansion opportunities will continue to be explored. New market expansion will depend primarily on opportunities to hire and retain high quality loan origination staff. We acquired an online mortgage platform and staff from an Overland Park, Kansas-based mortgage company at the end of November 2018. We acquired this platform as part of our strategy to enhance our consumer-direct business model for our mortgage operations to accompany our traditional brick-and-mortar delivery channels, and we employ 35 full-time employees at this location. We believe this operational strategy will improve profitability through reduced costs and increased mortgage origination volume.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w:t>
      </w:r>
    </w:p>
    <w:p>
      <w:pPr>
        <w:spacing w:after="0" w:line="117" w:lineRule="exact"/>
        <w:rPr>
          <w:sz w:val="20"/>
          <w:szCs w:val="20"/>
          <w:color w:val="auto"/>
        </w:rPr>
      </w:pPr>
    </w:p>
    <w:p>
      <w:pPr>
        <w:ind w:firstLine="360"/>
        <w:spacing w:after="0" w:line="289" w:lineRule="auto"/>
        <w:rPr>
          <w:sz w:val="20"/>
          <w:szCs w:val="20"/>
          <w:color w:val="auto"/>
        </w:rPr>
      </w:pPr>
      <w:r>
        <w:rPr>
          <w:rFonts w:ascii="Arial" w:cs="Arial" w:eastAsia="Arial" w:hAnsi="Arial"/>
          <w:sz w:val="16"/>
          <w:szCs w:val="16"/>
          <w:color w:val="auto"/>
        </w:rPr>
        <w:t>Windmark Insurance, a wholly-owned subsidiary of the Bank, offers a variety of crop insurance products through our offices in Texas and Colorado and by acting as the general agency for independent agents in seventeen states. Windmark Insurance’s operations contributed $6.9 million of total revenues for the year ended December 31, 2018. That revenue was derived from a total premium base of over $132 million. Crop insurance is offered to producers of many different crops from 15 approved providers who operate under agreements with the USDA. We conduct business with five of these approved providers. The USDA shares underwriting losses with those providers and also reimburses them for certain administrative and operational expenses. Our revenue is based on a share of those reimbursements and profit sharing when underwriting losses are minimized by those providers. This program has been in place under prior federal farm bills and has been reauthorized until December 31, 2023 under the recently enacted Agriculture Improvement Act of 2018, more commonly referred to as the 2018 Farm Bill.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Trust Services</w:t>
      </w:r>
    </w:p>
    <w:p>
      <w:pPr>
        <w:spacing w:after="0" w:line="117" w:lineRule="exact"/>
        <w:rPr>
          <w:sz w:val="20"/>
          <w:szCs w:val="20"/>
          <w:color w:val="auto"/>
        </w:rPr>
      </w:pPr>
    </w:p>
    <w:p>
      <w:pPr>
        <w:ind w:right="260" w:firstLine="360"/>
        <w:spacing w:after="0" w:line="259" w:lineRule="auto"/>
        <w:rPr>
          <w:sz w:val="20"/>
          <w:szCs w:val="20"/>
          <w:color w:val="auto"/>
        </w:rPr>
      </w:pPr>
      <w:r>
        <w:rPr>
          <w:rFonts w:ascii="Arial" w:cs="Arial" w:eastAsia="Arial" w:hAnsi="Arial"/>
          <w:sz w:val="18"/>
          <w:szCs w:val="18"/>
          <w:color w:val="auto"/>
        </w:rPr>
        <w:t>City Bank Trust, a division of the Bank, has a range of traditional trust products and services along with several retirement services and products including estate administration, family trust administration, revocable and irrevocable trusts (including life insurance trusts), real estate administration, charitable trusts for individuals and corporations, 401(k) plans, self-directed IRAs, simplified employee pensions plans, ESOPs, defined benefit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96" w:name="page97"/>
    <w:bookmarkEnd w:id="9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plans, profit-sharing plans, Keoghs and managed IRAs. Our trust department had $276.2 million of assets under management at December 31, 2018, and contributed $1.4 million of fee income for the year ended December 31, 2018. Trust assets under management have grown at a CAGR of 8.3% since December 31, 2013.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Services</w:t>
      </w:r>
    </w:p>
    <w:p>
      <w:pPr>
        <w:spacing w:after="0" w:line="117" w:lineRule="exact"/>
        <w:rPr>
          <w:sz w:val="20"/>
          <w:szCs w:val="20"/>
          <w:color w:val="auto"/>
        </w:rPr>
      </w:pPr>
    </w:p>
    <w:p>
      <w:pPr>
        <w:ind w:right="140" w:firstLine="360"/>
        <w:spacing w:after="0" w:line="302" w:lineRule="auto"/>
        <w:rPr>
          <w:sz w:val="20"/>
          <w:szCs w:val="20"/>
          <w:color w:val="auto"/>
        </w:rPr>
      </w:pPr>
      <w:r>
        <w:rPr>
          <w:rFonts w:ascii="Arial" w:cs="Arial" w:eastAsia="Arial" w:hAnsi="Arial"/>
          <w:sz w:val="16"/>
          <w:szCs w:val="16"/>
          <w:color w:val="auto"/>
        </w:rPr>
        <w:t>The Investment Center at City Bank provides a variety of investments offered through Raymond James Financial Services (Member FINRA/SIPC) including self-directed IRAs, money market funds, 401(k) plans, mutual funds, annuities and tax-deferred annuities, stocks and bonds, investments for non-U.S. residents, treasury bills, treasury notes and bonds and tax-exempt municipal bonds. Gross revenue for 2018 was $1.8 million with $429.2 million in assets under management at December 31, 2018.</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Products and Services</w:t>
      </w:r>
    </w:p>
    <w:p>
      <w:pPr>
        <w:spacing w:after="0" w:line="121"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We offer banking products and services that are competitively priced with a focus on convenience and accessibility. We offer a full suite of online banking solutions including access to account balances, online transfers, online bill payment and electronic delivery of customer statements, mobile banking solutions, including remote check deposit with mobile bill pay. We offer ATMs and banking by telephone, mail and personal appointment. We offer debit cards with no ATM surcharges within our network for checking customers, direct deposit, cashier’s checks, as well as wire transfer services and automated clearing house, or ACH, services.</w:t>
      </w:r>
    </w:p>
    <w:p>
      <w:pPr>
        <w:spacing w:after="0" w:line="85"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We offer a full array of commercial treasury management services designed to be competitive with banks of all sizes. Treasury management services include balance reporting (including current day and previous day activity), transfers between accounts, wire transfer initiation, ACH origination and stop payments. Cash management deposit products consist of remote deposit capture, positive pay, zero balance accounts and sweep accounts.</w:t>
      </w:r>
    </w:p>
    <w:p>
      <w:pPr>
        <w:spacing w:after="0" w:line="79" w:lineRule="exact"/>
        <w:rPr>
          <w:sz w:val="20"/>
          <w:szCs w:val="20"/>
          <w:color w:val="auto"/>
        </w:rPr>
      </w:pPr>
    </w:p>
    <w:p>
      <w:pPr>
        <w:ind w:firstLine="360"/>
        <w:spacing w:after="0" w:line="312" w:lineRule="auto"/>
        <w:rPr>
          <w:sz w:val="20"/>
          <w:szCs w:val="20"/>
          <w:color w:val="auto"/>
        </w:rPr>
      </w:pPr>
      <w:r>
        <w:rPr>
          <w:rFonts w:ascii="Arial" w:cs="Arial" w:eastAsia="Arial" w:hAnsi="Arial"/>
          <w:sz w:val="16"/>
          <w:szCs w:val="16"/>
          <w:color w:val="auto"/>
        </w:rPr>
        <w:t>We evaluate our services on an ongoing basis, and will add or remove services based upon the perceived needs and financial requirements of our customers, competitive factors and our financial and other capabilities. Future services may also be significantly influenced by improvements and developments in technology and evolving state and federal laws and regulations.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40" w:firstLine="360"/>
        <w:spacing w:after="0" w:line="297" w:lineRule="auto"/>
        <w:rPr>
          <w:sz w:val="20"/>
          <w:szCs w:val="20"/>
          <w:color w:val="auto"/>
        </w:rPr>
      </w:pPr>
      <w:r>
        <w:rPr>
          <w:rFonts w:ascii="Arial" w:cs="Arial" w:eastAsia="Arial" w:hAnsi="Arial"/>
          <w:sz w:val="16"/>
          <w:szCs w:val="16"/>
          <w:color w:val="auto"/>
        </w:rPr>
        <w:t>The banking and financial services industry is highly competitive, and we compete with a wide range of financial institutions within our markets, including local, regional and national commercial banks and credit unions. We also compete with mortgage companies, trust companies, brokerage firms, consumer finance companies, mutual funds, securities firms, insurance companies, third-party payment processors, financial technology companies and other financial intermediaries for certain of our products and services. Some of our competitors are not subject to the regulatory restrictions and level of regulatory supervision applicable to us.</w:t>
      </w:r>
    </w:p>
    <w:p>
      <w:pPr>
        <w:spacing w:after="0" w:line="50" w:lineRule="exact"/>
        <w:rPr>
          <w:sz w:val="20"/>
          <w:szCs w:val="20"/>
          <w:color w:val="auto"/>
        </w:rPr>
      </w:pPr>
    </w:p>
    <w:p>
      <w:pPr>
        <w:ind w:right="40" w:firstLine="360"/>
        <w:spacing w:after="0" w:line="270" w:lineRule="auto"/>
        <w:rPr>
          <w:sz w:val="20"/>
          <w:szCs w:val="20"/>
          <w:color w:val="auto"/>
        </w:rPr>
      </w:pPr>
      <w:r>
        <w:rPr>
          <w:rFonts w:ascii="Arial" w:cs="Arial" w:eastAsia="Arial" w:hAnsi="Arial"/>
          <w:sz w:val="17"/>
          <w:szCs w:val="17"/>
          <w:color w:val="auto"/>
        </w:rPr>
        <w:t>Interest rates on loans and deposits, as well as prices on fee-based services, are typically significant competitive factors within the banking and financial services industry. Many of our competitors are much larger financial institutions that have greater financial resources than we do and compete aggressively for market share. These competitors attempt to gain market share through their financial product mix, pricing strategies and banking center locations. Other important competitive factors in our industry and markets include office locations and hours, quality of customer service, community reputation, continuity of personnel and services, capacity and willingness to extend credit, and ability to offer excellent banking products and services. While we seek to remain competitive with respect to fees charged, interest rates and pricing, we believe that our broad suite of financial solutions, our high-quality customer service culture, our positive reputation and our long-standing community relationships will enable us to compete successfully within our markets and enhance our ability to attract and retain customers.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 Systems</w:t>
      </w:r>
    </w:p>
    <w:p>
      <w:pPr>
        <w:spacing w:after="0" w:line="121" w:lineRule="exact"/>
        <w:rPr>
          <w:sz w:val="20"/>
          <w:szCs w:val="20"/>
          <w:color w:val="auto"/>
        </w:rPr>
      </w:pPr>
    </w:p>
    <w:p>
      <w:pPr>
        <w:ind w:right="180" w:firstLine="360"/>
        <w:spacing w:after="0" w:line="259" w:lineRule="auto"/>
        <w:rPr>
          <w:sz w:val="20"/>
          <w:szCs w:val="20"/>
          <w:color w:val="auto"/>
        </w:rPr>
      </w:pPr>
      <w:r>
        <w:rPr>
          <w:rFonts w:ascii="Arial" w:cs="Arial" w:eastAsia="Arial" w:hAnsi="Arial"/>
          <w:sz w:val="18"/>
          <w:szCs w:val="18"/>
          <w:color w:val="auto"/>
        </w:rPr>
        <w:t>We have made and continue to make significant investments in our information technology systems and staff for our banking and lending operations and treasury management activities. We believe that these investments are essential to enhancing our capabilities to offer new products and the overall customer experience, to provide scale for future growth and acquisitions and to increase controls and efficiencies in our back-office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97" w:name="page98"/>
    <w:bookmarkEnd w:id="9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operations. We have obtained our core data processing platform from a nationally recognized bank processing vendor providing us with capabilities to support the continued growth of the Bank. Our internal network and e-mail systems are maintained in-house. We leverage the capabilities of a third-party service provider to provide the technical expertise around network design and architecture that is required for us to operate as an effective and efficient organization. We actively manage our business continuity plan. We strive to follow all recommendations outlined by the Federal Financial Institutions Examination Council in an effort to establish that we have effectively identified our risks and documented contingency plans for key functions and systems, including providing for back-up sites for all critical applications. We perform tests of the adequacy of these contingency plans on at least an annual basis.</w:t>
      </w:r>
    </w:p>
    <w:p>
      <w:pPr>
        <w:spacing w:after="0" w:line="59" w:lineRule="exact"/>
        <w:rPr>
          <w:sz w:val="20"/>
          <w:szCs w:val="20"/>
          <w:color w:val="auto"/>
        </w:rPr>
      </w:pPr>
    </w:p>
    <w:p>
      <w:pPr>
        <w:ind w:right="400" w:firstLine="360"/>
        <w:spacing w:after="0" w:line="279" w:lineRule="auto"/>
        <w:rPr>
          <w:sz w:val="20"/>
          <w:szCs w:val="20"/>
          <w:color w:val="auto"/>
        </w:rPr>
      </w:pPr>
      <w:r>
        <w:rPr>
          <w:rFonts w:ascii="Arial" w:cs="Arial" w:eastAsia="Arial" w:hAnsi="Arial"/>
          <w:sz w:val="17"/>
          <w:szCs w:val="17"/>
          <w:color w:val="auto"/>
        </w:rPr>
        <w:t>We utilize other select third-party providers to enhance our in-house data processing activities. The scalability of this infrastructure is designed to support our growth strategy. We regularly test our ability to automatically switch over to standby systems to allow us to recover our systems and provide business continuity quickly in case of a disaster. These critical business applications and processes are included in the business continuity plans referenced above.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Enterprise Risk Management</w:t>
      </w:r>
    </w:p>
    <w:p>
      <w:pPr>
        <w:spacing w:after="0" w:line="121" w:lineRule="exact"/>
        <w:rPr>
          <w:sz w:val="20"/>
          <w:szCs w:val="20"/>
          <w:color w:val="auto"/>
        </w:rPr>
      </w:pPr>
    </w:p>
    <w:p>
      <w:pPr>
        <w:ind w:right="40" w:firstLine="360"/>
        <w:spacing w:after="0" w:line="271" w:lineRule="auto"/>
        <w:rPr>
          <w:sz w:val="20"/>
          <w:szCs w:val="20"/>
          <w:color w:val="auto"/>
        </w:rPr>
      </w:pPr>
      <w:r>
        <w:rPr>
          <w:rFonts w:ascii="Arial" w:cs="Arial" w:eastAsia="Arial" w:hAnsi="Arial"/>
          <w:sz w:val="17"/>
          <w:szCs w:val="17"/>
          <w:color w:val="auto"/>
        </w:rPr>
        <w:t>We place significant emphasis on risk mitigation as an integral component of our organizational culture. Our comprehensive risk management framework and risk identification is a continuous process and occurs at both the transaction level and the portfolio level. We control risks through limits that are communicated through policies, standards, procedures and processes that define responsibility and authority. Such limits serve as a means to control exposures to the various risks associated with our activities, and are meaningful management tools that can be adjusted if conditions or risk tolerances change. In addition, we maintain a process to authorize exceptions or changes to risk limits when warranted. These risk management practices help to ensure effective reporting, compliance with all laws, rules and regulations, avoid damage to our reputation and related consequences, and attain our strategic goals while avoiding pitfalls and surprises along the way.</w:t>
      </w:r>
    </w:p>
    <w:p>
      <w:pPr>
        <w:spacing w:after="0" w:line="71" w:lineRule="exact"/>
        <w:rPr>
          <w:sz w:val="20"/>
          <w:szCs w:val="20"/>
          <w:color w:val="auto"/>
        </w:rPr>
      </w:pPr>
    </w:p>
    <w:p>
      <w:pPr>
        <w:ind w:right="80" w:firstLine="360"/>
        <w:spacing w:after="0" w:line="312" w:lineRule="auto"/>
        <w:rPr>
          <w:sz w:val="20"/>
          <w:szCs w:val="20"/>
          <w:color w:val="auto"/>
        </w:rPr>
      </w:pPr>
      <w:r>
        <w:rPr>
          <w:rFonts w:ascii="Arial" w:cs="Arial" w:eastAsia="Arial" w:hAnsi="Arial"/>
          <w:sz w:val="16"/>
          <w:szCs w:val="16"/>
          <w:color w:val="auto"/>
        </w:rPr>
        <w:t>The board of directors of the Bank approves policies that set operational standards and risk limits, and any changes require approval by the Bank’s board of directors. Executive Management is responsible for the implementation, integrity and maintenance of our risk management systems ensuring the directives are implemented and administered in compliance with the approved policy.</w:t>
      </w:r>
    </w:p>
    <w:p>
      <w:pPr>
        <w:spacing w:after="0" w:line="39"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Our focus on risk management covers all major functions within the Bank, including the loan underwriting function, continuous asset quality monitoring, asset/liability management, regulatory compliance, strategic and operational risk, cyber risk, and reputational risk. With regard to interest rate risk, we have implemented an extensive asset/liability management process, and utilize a well-known interest rate risk model to evaluate interest rate risk on a quarterly basis. We have also established a management compliance committee that is responsible for the Bank’s state and federal regulatory compliance performance. Major functions of the committee include oversight of all consumer related compliance, including, but not limited to: the Home Mortgage Disclosure Act, the CRA, the Truth-in-Lending Act / Real Estate Settlement Procedures Act, the Truth in Savings Act, Regulation H (flood matters), the Fair Credit Reporting Act / Fair and Accurate Credit Transactions Act, Fair Lending and Redlining. The committee members are stakeholders from all areas of the Bank who work together to execute, monitor, and report on all compliance related aspects of the Bank’s operation. The full committee meets on a monthly basis to report on the previous month’s activities, review open action items, and to discuss upcoming regulatory implementations and changes. A selected member of the committee reports the activities of the committee to the Bank’s board of directors on a monthly basis.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firstLine="360"/>
        <w:spacing w:after="0" w:line="286" w:lineRule="auto"/>
        <w:rPr>
          <w:sz w:val="20"/>
          <w:szCs w:val="20"/>
          <w:color w:val="auto"/>
        </w:rPr>
      </w:pPr>
      <w:r>
        <w:rPr>
          <w:rFonts w:ascii="Arial" w:cs="Arial" w:eastAsia="Arial" w:hAnsi="Arial"/>
          <w:sz w:val="17"/>
          <w:szCs w:val="17"/>
          <w:color w:val="auto"/>
        </w:rPr>
        <w:t>As of December 31, 2018, we had approximately 684 full-time equivalent employees. None of our employees are represented by any collective bargaining unit or is a party to a collective bargaining agreement. We consider our relationship with our employees to be satisfactory and have not experienced interruptions of operations due to labor disagreements.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121" w:lineRule="exact"/>
        <w:rPr>
          <w:sz w:val="20"/>
          <w:szCs w:val="20"/>
          <w:color w:val="auto"/>
        </w:rPr>
      </w:pPr>
    </w:p>
    <w:p>
      <w:pPr>
        <w:jc w:val="both"/>
        <w:ind w:right="200" w:firstLine="360"/>
        <w:spacing w:after="0" w:line="264" w:lineRule="auto"/>
        <w:rPr>
          <w:sz w:val="20"/>
          <w:szCs w:val="20"/>
          <w:color w:val="auto"/>
        </w:rPr>
      </w:pPr>
      <w:r>
        <w:rPr>
          <w:rFonts w:ascii="Arial" w:cs="Arial" w:eastAsia="Arial" w:hAnsi="Arial"/>
          <w:sz w:val="18"/>
          <w:szCs w:val="18"/>
          <w:color w:val="auto"/>
        </w:rPr>
        <w:t>The Company’s corporate offices are located at 5219 City Bank Parkway, Lubbock, Texas. The Company’s corporate office space also serves as the main office of, and is owned by, the Bank. The Bank currently operates full-service banking branches and mortgage offices in the following markets: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98" w:name="page99"/>
    <w:bookmarkEnd w:id="9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620" w:type="dxa"/>
            <w:vAlign w:val="bottom"/>
            <w:tcBorders>
              <w:bottom w:val="single" w:sz="8" w:color="auto"/>
            </w:tcBorders>
            <w:gridSpan w:val="4"/>
          </w:tcPr>
          <w:p>
            <w:pPr>
              <w:jc w:val="center"/>
              <w:ind w:right="13"/>
              <w:spacing w:after="0"/>
              <w:rPr>
                <w:sz w:val="20"/>
                <w:szCs w:val="20"/>
                <w:color w:val="auto"/>
              </w:rPr>
            </w:pPr>
            <w:r>
              <w:rPr>
                <w:rFonts w:ascii="Arial" w:cs="Arial" w:eastAsia="Arial" w:hAnsi="Arial"/>
                <w:sz w:val="14"/>
                <w:szCs w:val="14"/>
                <w:b w:val="1"/>
                <w:bCs w:val="1"/>
                <w:color w:val="auto"/>
                <w:w w:val="92"/>
              </w:rPr>
              <w:t>Lubbock/South Plains</w:t>
            </w:r>
          </w:p>
        </w:tc>
      </w:tr>
      <w:tr>
        <w:trPr>
          <w:trHeight w:val="183"/>
        </w:trPr>
        <w:tc>
          <w:tcPr>
            <w:tcW w:w="20" w:type="dxa"/>
            <w:vAlign w:val="bottom"/>
          </w:tcPr>
          <w:p>
            <w:pPr>
              <w:spacing w:after="0"/>
              <w:rPr>
                <w:sz w:val="15"/>
                <w:szCs w:val="15"/>
                <w:color w:val="auto"/>
              </w:rPr>
            </w:pPr>
          </w:p>
        </w:tc>
        <w:tc>
          <w:tcPr>
            <w:tcW w:w="176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Location</w:t>
            </w:r>
          </w:p>
        </w:tc>
        <w:tc>
          <w:tcPr>
            <w:tcW w:w="3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Branch or LPO</w:t>
            </w:r>
          </w:p>
        </w:tc>
      </w:tr>
      <w:tr>
        <w:trPr>
          <w:trHeight w:val="224"/>
        </w:trPr>
        <w:tc>
          <w:tcPr>
            <w:tcW w:w="20" w:type="dxa"/>
            <w:vAlign w:val="bottom"/>
          </w:tcPr>
          <w:p>
            <w:pPr>
              <w:spacing w:after="0"/>
              <w:rPr>
                <w:sz w:val="19"/>
                <w:szCs w:val="19"/>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Lubbock</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2"/>
              </w:rPr>
              <w:t>Main Branch</w:t>
            </w:r>
          </w:p>
        </w:tc>
      </w:tr>
      <w:tr>
        <w:trPr>
          <w:trHeight w:val="245"/>
        </w:trPr>
        <w:tc>
          <w:tcPr>
            <w:tcW w:w="1780" w:type="dxa"/>
            <w:vAlign w:val="bottom"/>
            <w:gridSpan w:val="2"/>
          </w:tcPr>
          <w:p>
            <w:pPr>
              <w:spacing w:after="0"/>
              <w:rPr>
                <w:sz w:val="20"/>
                <w:szCs w:val="20"/>
                <w:color w:val="auto"/>
              </w:rPr>
            </w:pPr>
            <w:r>
              <w:rPr>
                <w:rFonts w:ascii="Arial" w:cs="Arial" w:eastAsia="Arial" w:hAnsi="Arial"/>
                <w:sz w:val="18"/>
                <w:szCs w:val="18"/>
                <w:color w:val="auto"/>
              </w:rPr>
              <w:t>Lubbock</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80" w:type="dxa"/>
            <w:vAlign w:val="bottom"/>
          </w:tcPr>
          <w:p>
            <w:pPr>
              <w:jc w:val="center"/>
              <w:spacing w:after="0" w:line="245" w:lineRule="exact"/>
              <w:rPr>
                <w:sz w:val="20"/>
                <w:szCs w:val="20"/>
                <w:color w:val="auto"/>
              </w:rPr>
            </w:pPr>
            <w:r>
              <w:rPr>
                <w:rFonts w:ascii="Arial" w:cs="Arial" w:eastAsia="Arial" w:hAnsi="Arial"/>
                <w:sz w:val="17"/>
                <w:szCs w:val="17"/>
                <w:color w:val="auto"/>
                <w:w w:val="92"/>
              </w:rPr>
              <w:t>4</w:t>
            </w:r>
            <w:r>
              <w:rPr>
                <w:rFonts w:ascii="Arial" w:cs="Arial" w:eastAsia="Arial" w:hAnsi="Arial"/>
                <w:sz w:val="28"/>
                <w:szCs w:val="28"/>
                <w:color w:val="auto"/>
                <w:w w:val="92"/>
                <w:vertAlign w:val="superscript"/>
              </w:rPr>
              <w:t>th</w:t>
            </w:r>
            <w:r>
              <w:rPr>
                <w:rFonts w:ascii="Arial" w:cs="Arial" w:eastAsia="Arial" w:hAnsi="Arial"/>
                <w:sz w:val="17"/>
                <w:szCs w:val="17"/>
                <w:color w:val="auto"/>
                <w:w w:val="92"/>
              </w:rPr>
              <w:t xml:space="preserve"> Street Branch</w:t>
            </w:r>
          </w:p>
        </w:tc>
      </w:tr>
      <w:tr>
        <w:trPr>
          <w:trHeight w:val="253"/>
        </w:trPr>
        <w:tc>
          <w:tcPr>
            <w:tcW w:w="1780" w:type="dxa"/>
            <w:vAlign w:val="bottom"/>
            <w:gridSpan w:val="2"/>
          </w:tcPr>
          <w:p>
            <w:pPr>
              <w:spacing w:after="0"/>
              <w:rPr>
                <w:sz w:val="20"/>
                <w:szCs w:val="20"/>
                <w:color w:val="auto"/>
              </w:rPr>
            </w:pPr>
            <w:r>
              <w:rPr>
                <w:rFonts w:ascii="Arial" w:cs="Arial" w:eastAsia="Arial" w:hAnsi="Arial"/>
                <w:sz w:val="18"/>
                <w:szCs w:val="18"/>
                <w:color w:val="auto"/>
              </w:rPr>
              <w:t>Lubbock</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80" w:type="dxa"/>
            <w:vAlign w:val="bottom"/>
          </w:tcPr>
          <w:p>
            <w:pPr>
              <w:jc w:val="center"/>
              <w:spacing w:after="0" w:line="252" w:lineRule="exact"/>
              <w:rPr>
                <w:sz w:val="20"/>
                <w:szCs w:val="20"/>
                <w:color w:val="auto"/>
              </w:rPr>
            </w:pPr>
            <w:r>
              <w:rPr>
                <w:rFonts w:ascii="Arial" w:cs="Arial" w:eastAsia="Arial" w:hAnsi="Arial"/>
                <w:sz w:val="18"/>
                <w:szCs w:val="18"/>
                <w:color w:val="auto"/>
                <w:w w:val="89"/>
              </w:rPr>
              <w:t>50</w:t>
            </w:r>
            <w:r>
              <w:rPr>
                <w:rFonts w:ascii="Arial" w:cs="Arial" w:eastAsia="Arial" w:hAnsi="Arial"/>
                <w:sz w:val="29"/>
                <w:szCs w:val="29"/>
                <w:color w:val="auto"/>
                <w:w w:val="89"/>
                <w:vertAlign w:val="superscript"/>
              </w:rPr>
              <w:t>th</w:t>
            </w:r>
            <w:r>
              <w:rPr>
                <w:rFonts w:ascii="Arial" w:cs="Arial" w:eastAsia="Arial" w:hAnsi="Arial"/>
                <w:sz w:val="18"/>
                <w:szCs w:val="18"/>
                <w:color w:val="auto"/>
                <w:w w:val="89"/>
              </w:rPr>
              <w:t xml:space="preserve"> and Indiana Branch</w:t>
            </w:r>
          </w:p>
        </w:tc>
      </w:tr>
      <w:tr>
        <w:trPr>
          <w:trHeight w:val="230"/>
        </w:trPr>
        <w:tc>
          <w:tcPr>
            <w:tcW w:w="1780" w:type="dxa"/>
            <w:vAlign w:val="bottom"/>
            <w:gridSpan w:val="2"/>
          </w:tcPr>
          <w:p>
            <w:pPr>
              <w:spacing w:after="0"/>
              <w:rPr>
                <w:sz w:val="20"/>
                <w:szCs w:val="20"/>
                <w:color w:val="auto"/>
              </w:rPr>
            </w:pPr>
            <w:r>
              <w:rPr>
                <w:rFonts w:ascii="Arial" w:cs="Arial" w:eastAsia="Arial" w:hAnsi="Arial"/>
                <w:sz w:val="18"/>
                <w:szCs w:val="18"/>
                <w:color w:val="auto"/>
              </w:rPr>
              <w:t>Lubbock</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Kingsgate Branch</w:t>
            </w:r>
          </w:p>
        </w:tc>
      </w:tr>
      <w:tr>
        <w:trPr>
          <w:trHeight w:val="243"/>
        </w:trPr>
        <w:tc>
          <w:tcPr>
            <w:tcW w:w="1780" w:type="dxa"/>
            <w:vAlign w:val="bottom"/>
            <w:gridSpan w:val="2"/>
          </w:tcPr>
          <w:p>
            <w:pPr>
              <w:spacing w:after="0"/>
              <w:rPr>
                <w:sz w:val="20"/>
                <w:szCs w:val="20"/>
                <w:color w:val="auto"/>
              </w:rPr>
            </w:pPr>
            <w:r>
              <w:rPr>
                <w:rFonts w:ascii="Arial" w:cs="Arial" w:eastAsia="Arial" w:hAnsi="Arial"/>
                <w:sz w:val="18"/>
                <w:szCs w:val="18"/>
                <w:color w:val="auto"/>
              </w:rPr>
              <w:t>Lubbock</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3"/>
              </w:rPr>
              <w:t>Milwaukee Branch</w:t>
            </w:r>
          </w:p>
        </w:tc>
      </w:tr>
      <w:tr>
        <w:trPr>
          <w:trHeight w:val="243"/>
        </w:trPr>
        <w:tc>
          <w:tcPr>
            <w:tcW w:w="1780" w:type="dxa"/>
            <w:vAlign w:val="bottom"/>
            <w:gridSpan w:val="2"/>
          </w:tcPr>
          <w:p>
            <w:pPr>
              <w:spacing w:after="0"/>
              <w:rPr>
                <w:sz w:val="20"/>
                <w:szCs w:val="20"/>
                <w:color w:val="auto"/>
              </w:rPr>
            </w:pPr>
            <w:r>
              <w:rPr>
                <w:rFonts w:ascii="Arial" w:cs="Arial" w:eastAsia="Arial" w:hAnsi="Arial"/>
                <w:sz w:val="18"/>
                <w:szCs w:val="18"/>
                <w:color w:val="auto"/>
              </w:rPr>
              <w:t>Lubbock</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Overton Branch</w:t>
            </w:r>
          </w:p>
        </w:tc>
      </w:tr>
      <w:tr>
        <w:trPr>
          <w:trHeight w:val="243"/>
        </w:trPr>
        <w:tc>
          <w:tcPr>
            <w:tcW w:w="1780" w:type="dxa"/>
            <w:vAlign w:val="bottom"/>
            <w:gridSpan w:val="2"/>
          </w:tcPr>
          <w:p>
            <w:pPr>
              <w:spacing w:after="0"/>
              <w:rPr>
                <w:sz w:val="20"/>
                <w:szCs w:val="20"/>
                <w:color w:val="auto"/>
              </w:rPr>
            </w:pPr>
            <w:r>
              <w:rPr>
                <w:rFonts w:ascii="Arial" w:cs="Arial" w:eastAsia="Arial" w:hAnsi="Arial"/>
                <w:sz w:val="18"/>
                <w:szCs w:val="18"/>
                <w:color w:val="auto"/>
              </w:rPr>
              <w:t>Lubbock</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3"/>
              </w:rPr>
              <w:t>University Branch</w:t>
            </w:r>
          </w:p>
        </w:tc>
      </w:tr>
      <w:tr>
        <w:trPr>
          <w:trHeight w:val="243"/>
        </w:trPr>
        <w:tc>
          <w:tcPr>
            <w:tcW w:w="1780" w:type="dxa"/>
            <w:vAlign w:val="bottom"/>
            <w:gridSpan w:val="2"/>
          </w:tcPr>
          <w:p>
            <w:pPr>
              <w:spacing w:after="0"/>
              <w:rPr>
                <w:sz w:val="20"/>
                <w:szCs w:val="20"/>
                <w:color w:val="auto"/>
              </w:rPr>
            </w:pPr>
            <w:r>
              <w:rPr>
                <w:rFonts w:ascii="Arial" w:cs="Arial" w:eastAsia="Arial" w:hAnsi="Arial"/>
                <w:sz w:val="18"/>
                <w:szCs w:val="18"/>
                <w:color w:val="auto"/>
              </w:rPr>
              <w:t>Lubbock</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2"/>
              </w:rPr>
              <w:t>Frankford Ave. Branch</w:t>
            </w:r>
          </w:p>
        </w:tc>
      </w:tr>
      <w:tr>
        <w:trPr>
          <w:trHeight w:val="243"/>
        </w:trPr>
        <w:tc>
          <w:tcPr>
            <w:tcW w:w="1780" w:type="dxa"/>
            <w:vAlign w:val="bottom"/>
            <w:gridSpan w:val="2"/>
          </w:tcPr>
          <w:p>
            <w:pPr>
              <w:spacing w:after="0"/>
              <w:rPr>
                <w:sz w:val="20"/>
                <w:szCs w:val="20"/>
                <w:color w:val="auto"/>
              </w:rPr>
            </w:pPr>
            <w:r>
              <w:rPr>
                <w:rFonts w:ascii="Arial" w:cs="Arial" w:eastAsia="Arial" w:hAnsi="Arial"/>
                <w:sz w:val="18"/>
                <w:szCs w:val="18"/>
                <w:color w:val="auto"/>
              </w:rPr>
              <w:t>Morton</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Branch</w:t>
            </w:r>
          </w:p>
        </w:tc>
      </w:tr>
      <w:tr>
        <w:trPr>
          <w:trHeight w:val="243"/>
        </w:trPr>
        <w:tc>
          <w:tcPr>
            <w:tcW w:w="1780" w:type="dxa"/>
            <w:vAlign w:val="bottom"/>
            <w:gridSpan w:val="2"/>
          </w:tcPr>
          <w:p>
            <w:pPr>
              <w:spacing w:after="0"/>
              <w:rPr>
                <w:sz w:val="20"/>
                <w:szCs w:val="20"/>
                <w:color w:val="auto"/>
              </w:rPr>
            </w:pPr>
            <w:r>
              <w:rPr>
                <w:rFonts w:ascii="Arial" w:cs="Arial" w:eastAsia="Arial" w:hAnsi="Arial"/>
                <w:sz w:val="18"/>
                <w:szCs w:val="18"/>
                <w:color w:val="auto"/>
              </w:rPr>
              <w:t>Springlake</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Branch</w:t>
            </w:r>
          </w:p>
        </w:tc>
      </w:tr>
      <w:tr>
        <w:trPr>
          <w:trHeight w:val="243"/>
        </w:trPr>
        <w:tc>
          <w:tcPr>
            <w:tcW w:w="1780" w:type="dxa"/>
            <w:vAlign w:val="bottom"/>
            <w:gridSpan w:val="2"/>
          </w:tcPr>
          <w:p>
            <w:pPr>
              <w:spacing w:after="0"/>
              <w:rPr>
                <w:sz w:val="20"/>
                <w:szCs w:val="20"/>
                <w:color w:val="auto"/>
              </w:rPr>
            </w:pPr>
            <w:r>
              <w:rPr>
                <w:rFonts w:ascii="Arial" w:cs="Arial" w:eastAsia="Arial" w:hAnsi="Arial"/>
                <w:sz w:val="18"/>
                <w:szCs w:val="18"/>
                <w:color w:val="auto"/>
              </w:rPr>
              <w:t>Idalou</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Branch</w:t>
            </w:r>
          </w:p>
        </w:tc>
      </w:tr>
      <w:tr>
        <w:trPr>
          <w:trHeight w:val="243"/>
        </w:trPr>
        <w:tc>
          <w:tcPr>
            <w:tcW w:w="1780" w:type="dxa"/>
            <w:vAlign w:val="bottom"/>
            <w:gridSpan w:val="2"/>
          </w:tcPr>
          <w:p>
            <w:pPr>
              <w:spacing w:after="0"/>
              <w:rPr>
                <w:sz w:val="20"/>
                <w:szCs w:val="20"/>
                <w:color w:val="auto"/>
              </w:rPr>
            </w:pPr>
            <w:r>
              <w:rPr>
                <w:rFonts w:ascii="Arial" w:cs="Arial" w:eastAsia="Arial" w:hAnsi="Arial"/>
                <w:sz w:val="18"/>
                <w:szCs w:val="18"/>
                <w:color w:val="auto"/>
              </w:rPr>
              <w:t>Levelland</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Branch</w:t>
            </w:r>
          </w:p>
        </w:tc>
      </w:tr>
      <w:tr>
        <w:trPr>
          <w:trHeight w:val="257"/>
        </w:trPr>
        <w:tc>
          <w:tcPr>
            <w:tcW w:w="20" w:type="dxa"/>
            <w:vAlign w:val="bottom"/>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c>
          <w:tcPr>
            <w:tcW w:w="2860" w:type="dxa"/>
            <w:vAlign w:val="bottom"/>
            <w:tcBorders>
              <w:bottom w:val="single" w:sz="8" w:color="auto"/>
            </w:tcBorders>
            <w:gridSpan w:val="3"/>
          </w:tcPr>
          <w:p>
            <w:pPr>
              <w:jc w:val="center"/>
              <w:ind w:right="1753"/>
              <w:spacing w:after="0"/>
              <w:rPr>
                <w:sz w:val="20"/>
                <w:szCs w:val="20"/>
                <w:color w:val="auto"/>
              </w:rPr>
            </w:pPr>
            <w:r>
              <w:rPr>
                <w:rFonts w:ascii="Arial" w:cs="Arial" w:eastAsia="Arial" w:hAnsi="Arial"/>
                <w:sz w:val="14"/>
                <w:szCs w:val="14"/>
                <w:b w:val="1"/>
                <w:bCs w:val="1"/>
                <w:color w:val="auto"/>
                <w:w w:val="90"/>
              </w:rPr>
              <w:t>El Paso</w:t>
            </w:r>
          </w:p>
        </w:tc>
      </w:tr>
      <w:tr>
        <w:trPr>
          <w:trHeight w:val="183"/>
        </w:trPr>
        <w:tc>
          <w:tcPr>
            <w:tcW w:w="20" w:type="dxa"/>
            <w:vAlign w:val="bottom"/>
          </w:tcPr>
          <w:p>
            <w:pPr>
              <w:spacing w:after="0"/>
              <w:rPr>
                <w:sz w:val="15"/>
                <w:szCs w:val="15"/>
                <w:color w:val="auto"/>
              </w:rPr>
            </w:pPr>
          </w:p>
        </w:tc>
        <w:tc>
          <w:tcPr>
            <w:tcW w:w="176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Location</w:t>
            </w:r>
          </w:p>
        </w:tc>
        <w:tc>
          <w:tcPr>
            <w:tcW w:w="3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Branch or LPO</w:t>
            </w:r>
          </w:p>
        </w:tc>
      </w:tr>
      <w:tr>
        <w:trPr>
          <w:trHeight w:val="224"/>
        </w:trPr>
        <w:tc>
          <w:tcPr>
            <w:tcW w:w="20" w:type="dxa"/>
            <w:vAlign w:val="bottom"/>
          </w:tcPr>
          <w:p>
            <w:pPr>
              <w:spacing w:after="0"/>
              <w:rPr>
                <w:sz w:val="19"/>
                <w:szCs w:val="19"/>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El Paso</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89"/>
              </w:rPr>
              <w:t>East Branch</w:t>
            </w:r>
          </w:p>
        </w:tc>
      </w:tr>
      <w:tr>
        <w:trPr>
          <w:trHeight w:val="242"/>
        </w:trPr>
        <w:tc>
          <w:tcPr>
            <w:tcW w:w="1780" w:type="dxa"/>
            <w:vAlign w:val="bottom"/>
            <w:gridSpan w:val="2"/>
          </w:tcPr>
          <w:p>
            <w:pPr>
              <w:spacing w:after="0"/>
              <w:rPr>
                <w:sz w:val="20"/>
                <w:szCs w:val="20"/>
                <w:color w:val="auto"/>
              </w:rPr>
            </w:pPr>
            <w:r>
              <w:rPr>
                <w:rFonts w:ascii="Arial" w:cs="Arial" w:eastAsia="Arial" w:hAnsi="Arial"/>
                <w:sz w:val="18"/>
                <w:szCs w:val="18"/>
                <w:color w:val="auto"/>
              </w:rPr>
              <w:t>El Paso</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89"/>
              </w:rPr>
              <w:t>West Branch</w:t>
            </w:r>
          </w:p>
        </w:tc>
      </w:tr>
      <w:tr>
        <w:trPr>
          <w:trHeight w:val="243"/>
        </w:trPr>
        <w:tc>
          <w:tcPr>
            <w:tcW w:w="1780" w:type="dxa"/>
            <w:vAlign w:val="bottom"/>
            <w:gridSpan w:val="2"/>
          </w:tcPr>
          <w:p>
            <w:pPr>
              <w:spacing w:after="0"/>
              <w:rPr>
                <w:sz w:val="20"/>
                <w:szCs w:val="20"/>
                <w:color w:val="auto"/>
              </w:rPr>
            </w:pPr>
            <w:r>
              <w:rPr>
                <w:rFonts w:ascii="Arial" w:cs="Arial" w:eastAsia="Arial" w:hAnsi="Arial"/>
                <w:sz w:val="18"/>
                <w:szCs w:val="18"/>
                <w:color w:val="auto"/>
              </w:rPr>
              <w:t>El Paso</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3"/>
              </w:rPr>
              <w:t>Mesa Hills LPO</w:t>
            </w:r>
          </w:p>
        </w:tc>
      </w:tr>
      <w:tr>
        <w:trPr>
          <w:trHeight w:val="257"/>
        </w:trPr>
        <w:tc>
          <w:tcPr>
            <w:tcW w:w="20" w:type="dxa"/>
            <w:vAlign w:val="bottom"/>
          </w:tcPr>
          <w:p>
            <w:pPr>
              <w:spacing w:after="0"/>
              <w:rPr>
                <w:sz w:val="22"/>
                <w:szCs w:val="22"/>
                <w:color w:val="auto"/>
              </w:rPr>
            </w:pPr>
          </w:p>
        </w:tc>
        <w:tc>
          <w:tcPr>
            <w:tcW w:w="4620" w:type="dxa"/>
            <w:vAlign w:val="bottom"/>
            <w:tcBorders>
              <w:bottom w:val="single" w:sz="8" w:color="auto"/>
            </w:tcBorders>
            <w:gridSpan w:val="4"/>
          </w:tcPr>
          <w:p>
            <w:pPr>
              <w:jc w:val="center"/>
              <w:ind w:right="13"/>
              <w:spacing w:after="0"/>
              <w:rPr>
                <w:sz w:val="20"/>
                <w:szCs w:val="20"/>
                <w:color w:val="auto"/>
              </w:rPr>
            </w:pPr>
            <w:r>
              <w:rPr>
                <w:rFonts w:ascii="Arial" w:cs="Arial" w:eastAsia="Arial" w:hAnsi="Arial"/>
                <w:sz w:val="14"/>
                <w:szCs w:val="14"/>
                <w:b w:val="1"/>
                <w:bCs w:val="1"/>
                <w:color w:val="auto"/>
                <w:w w:val="93"/>
              </w:rPr>
              <w:t>Bryan/College State</w:t>
            </w:r>
          </w:p>
        </w:tc>
      </w:tr>
      <w:tr>
        <w:trPr>
          <w:trHeight w:val="183"/>
        </w:trPr>
        <w:tc>
          <w:tcPr>
            <w:tcW w:w="20" w:type="dxa"/>
            <w:vAlign w:val="bottom"/>
          </w:tcPr>
          <w:p>
            <w:pPr>
              <w:spacing w:after="0"/>
              <w:rPr>
                <w:sz w:val="15"/>
                <w:szCs w:val="15"/>
                <w:color w:val="auto"/>
              </w:rPr>
            </w:pPr>
          </w:p>
        </w:tc>
        <w:tc>
          <w:tcPr>
            <w:tcW w:w="176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Location</w:t>
            </w:r>
          </w:p>
        </w:tc>
        <w:tc>
          <w:tcPr>
            <w:tcW w:w="3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Branch or LPO</w:t>
            </w:r>
          </w:p>
        </w:tc>
      </w:tr>
      <w:tr>
        <w:trPr>
          <w:trHeight w:val="224"/>
        </w:trPr>
        <w:tc>
          <w:tcPr>
            <w:tcW w:w="20" w:type="dxa"/>
            <w:vAlign w:val="bottom"/>
          </w:tcPr>
          <w:p>
            <w:pPr>
              <w:spacing w:after="0"/>
              <w:rPr>
                <w:sz w:val="19"/>
                <w:szCs w:val="19"/>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College Station</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Branch</w:t>
            </w:r>
          </w:p>
        </w:tc>
      </w:tr>
      <w:tr>
        <w:trPr>
          <w:trHeight w:val="242"/>
        </w:trPr>
        <w:tc>
          <w:tcPr>
            <w:tcW w:w="1780" w:type="dxa"/>
            <w:vAlign w:val="bottom"/>
            <w:gridSpan w:val="2"/>
          </w:tcPr>
          <w:p>
            <w:pPr>
              <w:spacing w:after="0"/>
              <w:rPr>
                <w:sz w:val="20"/>
                <w:szCs w:val="20"/>
                <w:color w:val="auto"/>
              </w:rPr>
            </w:pPr>
            <w:r>
              <w:rPr>
                <w:rFonts w:ascii="Arial" w:cs="Arial" w:eastAsia="Arial" w:hAnsi="Arial"/>
                <w:sz w:val="18"/>
                <w:szCs w:val="18"/>
                <w:color w:val="auto"/>
              </w:rPr>
              <w:t>College Station</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4"/>
              </w:rPr>
              <w:t>LPO</w:t>
            </w:r>
          </w:p>
        </w:tc>
      </w:tr>
      <w:tr>
        <w:trPr>
          <w:trHeight w:val="257"/>
        </w:trPr>
        <w:tc>
          <w:tcPr>
            <w:tcW w:w="20" w:type="dxa"/>
            <w:vAlign w:val="bottom"/>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c>
          <w:tcPr>
            <w:tcW w:w="2860" w:type="dxa"/>
            <w:vAlign w:val="bottom"/>
            <w:tcBorders>
              <w:bottom w:val="single" w:sz="8" w:color="auto"/>
            </w:tcBorders>
            <w:gridSpan w:val="3"/>
          </w:tcPr>
          <w:p>
            <w:pPr>
              <w:jc w:val="center"/>
              <w:ind w:right="1773"/>
              <w:spacing w:after="0"/>
              <w:rPr>
                <w:sz w:val="20"/>
                <w:szCs w:val="20"/>
                <w:color w:val="auto"/>
              </w:rPr>
            </w:pPr>
            <w:r>
              <w:rPr>
                <w:rFonts w:ascii="Arial" w:cs="Arial" w:eastAsia="Arial" w:hAnsi="Arial"/>
                <w:sz w:val="14"/>
                <w:szCs w:val="14"/>
                <w:b w:val="1"/>
                <w:bCs w:val="1"/>
                <w:color w:val="auto"/>
                <w:w w:val="97"/>
              </w:rPr>
              <w:t>Other Markets</w:t>
            </w:r>
          </w:p>
        </w:tc>
      </w:tr>
      <w:tr>
        <w:trPr>
          <w:trHeight w:val="183"/>
        </w:trPr>
        <w:tc>
          <w:tcPr>
            <w:tcW w:w="20" w:type="dxa"/>
            <w:vAlign w:val="bottom"/>
          </w:tcPr>
          <w:p>
            <w:pPr>
              <w:spacing w:after="0"/>
              <w:rPr>
                <w:sz w:val="15"/>
                <w:szCs w:val="15"/>
                <w:color w:val="auto"/>
              </w:rPr>
            </w:pPr>
          </w:p>
        </w:tc>
        <w:tc>
          <w:tcPr>
            <w:tcW w:w="176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Location</w:t>
            </w:r>
          </w:p>
        </w:tc>
        <w:tc>
          <w:tcPr>
            <w:tcW w:w="3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Branch or LPO</w:t>
            </w:r>
          </w:p>
        </w:tc>
      </w:tr>
      <w:tr>
        <w:trPr>
          <w:trHeight w:val="224"/>
        </w:trPr>
        <w:tc>
          <w:tcPr>
            <w:tcW w:w="20" w:type="dxa"/>
            <w:vAlign w:val="bottom"/>
          </w:tcPr>
          <w:p>
            <w:pPr>
              <w:spacing w:after="0"/>
              <w:rPr>
                <w:sz w:val="19"/>
                <w:szCs w:val="19"/>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Abilene, Texas</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4"/>
              </w:rPr>
              <w:t>LPO</w:t>
            </w:r>
          </w:p>
        </w:tc>
      </w:tr>
      <w:tr>
        <w:trPr>
          <w:trHeight w:val="242"/>
        </w:trPr>
        <w:tc>
          <w:tcPr>
            <w:tcW w:w="1780" w:type="dxa"/>
            <w:vAlign w:val="bottom"/>
            <w:gridSpan w:val="2"/>
          </w:tcPr>
          <w:p>
            <w:pPr>
              <w:spacing w:after="0"/>
              <w:rPr>
                <w:sz w:val="20"/>
                <w:szCs w:val="20"/>
                <w:color w:val="auto"/>
              </w:rPr>
            </w:pPr>
            <w:r>
              <w:rPr>
                <w:rFonts w:ascii="Arial" w:cs="Arial" w:eastAsia="Arial" w:hAnsi="Arial"/>
                <w:sz w:val="18"/>
                <w:szCs w:val="18"/>
                <w:color w:val="auto"/>
              </w:rPr>
              <w:t>Austin, Texas</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4"/>
              </w:rPr>
              <w:t>LPO</w:t>
            </w:r>
          </w:p>
        </w:tc>
      </w:tr>
      <w:tr>
        <w:trPr>
          <w:trHeight w:val="243"/>
        </w:trPr>
        <w:tc>
          <w:tcPr>
            <w:tcW w:w="1780" w:type="dxa"/>
            <w:vAlign w:val="bottom"/>
            <w:gridSpan w:val="2"/>
          </w:tcPr>
          <w:p>
            <w:pPr>
              <w:spacing w:after="0"/>
              <w:rPr>
                <w:sz w:val="20"/>
                <w:szCs w:val="20"/>
                <w:color w:val="auto"/>
              </w:rPr>
            </w:pPr>
            <w:r>
              <w:rPr>
                <w:rFonts w:ascii="Arial" w:cs="Arial" w:eastAsia="Arial" w:hAnsi="Arial"/>
                <w:sz w:val="18"/>
                <w:szCs w:val="18"/>
                <w:color w:val="auto"/>
              </w:rPr>
              <w:t>Beaumont, Texas</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4"/>
              </w:rPr>
              <w:t>LPO</w:t>
            </w:r>
          </w:p>
        </w:tc>
      </w:tr>
      <w:tr>
        <w:trPr>
          <w:trHeight w:val="243"/>
        </w:trPr>
        <w:tc>
          <w:tcPr>
            <w:tcW w:w="1780" w:type="dxa"/>
            <w:vAlign w:val="bottom"/>
            <w:gridSpan w:val="2"/>
          </w:tcPr>
          <w:p>
            <w:pPr>
              <w:spacing w:after="0"/>
              <w:rPr>
                <w:sz w:val="20"/>
                <w:szCs w:val="20"/>
                <w:color w:val="auto"/>
              </w:rPr>
            </w:pPr>
            <w:r>
              <w:rPr>
                <w:rFonts w:ascii="Arial" w:cs="Arial" w:eastAsia="Arial" w:hAnsi="Arial"/>
                <w:sz w:val="18"/>
                <w:szCs w:val="18"/>
                <w:color w:val="auto"/>
                <w:w w:val="91"/>
              </w:rPr>
              <w:t>Dripping Springs, Texas</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4"/>
              </w:rPr>
              <w:t>LPO</w:t>
            </w:r>
          </w:p>
        </w:tc>
      </w:tr>
      <w:tr>
        <w:trPr>
          <w:trHeight w:val="243"/>
        </w:trPr>
        <w:tc>
          <w:tcPr>
            <w:tcW w:w="1780" w:type="dxa"/>
            <w:vAlign w:val="bottom"/>
            <w:gridSpan w:val="2"/>
          </w:tcPr>
          <w:p>
            <w:pPr>
              <w:spacing w:after="0"/>
              <w:rPr>
                <w:sz w:val="20"/>
                <w:szCs w:val="20"/>
                <w:color w:val="auto"/>
              </w:rPr>
            </w:pPr>
            <w:r>
              <w:rPr>
                <w:rFonts w:ascii="Arial" w:cs="Arial" w:eastAsia="Arial" w:hAnsi="Arial"/>
                <w:sz w:val="18"/>
                <w:szCs w:val="18"/>
                <w:color w:val="auto"/>
                <w:w w:val="95"/>
              </w:rPr>
              <w:t>Overland Park, Kansas</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4"/>
              </w:rPr>
              <w:t>LPO</w:t>
            </w:r>
          </w:p>
        </w:tc>
      </w:tr>
    </w:tbl>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148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3"/>
          </w:tcPr>
          <w:p>
            <w:pPr>
              <w:jc w:val="center"/>
              <w:ind w:right="1334"/>
              <w:spacing w:after="0"/>
              <w:rPr>
                <w:sz w:val="20"/>
                <w:szCs w:val="20"/>
                <w:color w:val="auto"/>
              </w:rPr>
            </w:pPr>
            <w:r>
              <w:rPr>
                <w:rFonts w:ascii="Arial" w:cs="Arial" w:eastAsia="Arial" w:hAnsi="Arial"/>
                <w:sz w:val="14"/>
                <w:szCs w:val="14"/>
                <w:b w:val="1"/>
                <w:bCs w:val="1"/>
                <w:color w:val="auto"/>
                <w:w w:val="92"/>
              </w:rPr>
              <w:t>Dallas</w:t>
            </w:r>
          </w:p>
        </w:tc>
      </w:tr>
      <w:tr>
        <w:trPr>
          <w:trHeight w:val="183"/>
        </w:trPr>
        <w:tc>
          <w:tcPr>
            <w:tcW w:w="1480" w:type="dxa"/>
            <w:vAlign w:val="bottom"/>
            <w:tcBorders>
              <w:bottom w:val="single" w:sz="8" w:color="auto"/>
            </w:tcBorders>
          </w:tcPr>
          <w:p>
            <w:pPr>
              <w:ind w:left="920"/>
              <w:spacing w:after="0"/>
              <w:rPr>
                <w:sz w:val="20"/>
                <w:szCs w:val="20"/>
                <w:color w:val="auto"/>
              </w:rPr>
            </w:pPr>
            <w:r>
              <w:rPr>
                <w:rFonts w:ascii="Arial" w:cs="Arial" w:eastAsia="Arial" w:hAnsi="Arial"/>
                <w:sz w:val="14"/>
                <w:szCs w:val="14"/>
                <w:b w:val="1"/>
                <w:bCs w:val="1"/>
                <w:color w:val="auto"/>
                <w:w w:val="92"/>
              </w:rPr>
              <w:t>Location</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Branch or LPO</w:t>
            </w:r>
          </w:p>
        </w:tc>
      </w:tr>
      <w:tr>
        <w:trPr>
          <w:trHeight w:val="224"/>
        </w:trPr>
        <w:tc>
          <w:tcPr>
            <w:tcW w:w="1480" w:type="dxa"/>
            <w:vAlign w:val="bottom"/>
          </w:tcPr>
          <w:p>
            <w:pPr>
              <w:ind w:left="40"/>
              <w:spacing w:after="0"/>
              <w:rPr>
                <w:sz w:val="20"/>
                <w:szCs w:val="20"/>
                <w:color w:val="auto"/>
              </w:rPr>
            </w:pPr>
            <w:r>
              <w:rPr>
                <w:rFonts w:ascii="Arial" w:cs="Arial" w:eastAsia="Arial" w:hAnsi="Arial"/>
                <w:sz w:val="18"/>
                <w:szCs w:val="18"/>
                <w:color w:val="auto"/>
              </w:rPr>
              <w:t>Plano</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1"/>
              </w:rPr>
              <w:t>Branch</w:t>
            </w:r>
          </w:p>
        </w:tc>
      </w:tr>
      <w:tr>
        <w:trPr>
          <w:trHeight w:val="242"/>
        </w:trPr>
        <w:tc>
          <w:tcPr>
            <w:tcW w:w="1480" w:type="dxa"/>
            <w:vAlign w:val="bottom"/>
          </w:tcPr>
          <w:p>
            <w:pPr>
              <w:ind w:left="40"/>
              <w:spacing w:after="0"/>
              <w:rPr>
                <w:sz w:val="20"/>
                <w:szCs w:val="20"/>
                <w:color w:val="auto"/>
              </w:rPr>
            </w:pPr>
            <w:r>
              <w:rPr>
                <w:rFonts w:ascii="Arial" w:cs="Arial" w:eastAsia="Arial" w:hAnsi="Arial"/>
                <w:sz w:val="18"/>
                <w:szCs w:val="18"/>
                <w:color w:val="auto"/>
              </w:rPr>
              <w:t>Dallas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Uptown Branch</w:t>
            </w:r>
          </w:p>
        </w:tc>
      </w:tr>
      <w:tr>
        <w:trPr>
          <w:trHeight w:val="243"/>
        </w:trPr>
        <w:tc>
          <w:tcPr>
            <w:tcW w:w="1480" w:type="dxa"/>
            <w:vAlign w:val="bottom"/>
          </w:tcPr>
          <w:p>
            <w:pPr>
              <w:ind w:left="40"/>
              <w:spacing w:after="0"/>
              <w:rPr>
                <w:sz w:val="20"/>
                <w:szCs w:val="20"/>
                <w:color w:val="auto"/>
              </w:rPr>
            </w:pPr>
            <w:r>
              <w:rPr>
                <w:rFonts w:ascii="Arial" w:cs="Arial" w:eastAsia="Arial" w:hAnsi="Arial"/>
                <w:sz w:val="18"/>
                <w:szCs w:val="18"/>
                <w:color w:val="auto"/>
              </w:rPr>
              <w:t>Forney</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1"/>
              </w:rPr>
              <w:t>Branch</w:t>
            </w:r>
          </w:p>
        </w:tc>
      </w:tr>
      <w:tr>
        <w:trPr>
          <w:trHeight w:val="243"/>
        </w:trPr>
        <w:tc>
          <w:tcPr>
            <w:tcW w:w="1480" w:type="dxa"/>
            <w:vAlign w:val="bottom"/>
          </w:tcPr>
          <w:p>
            <w:pPr>
              <w:ind w:left="40"/>
              <w:spacing w:after="0"/>
              <w:rPr>
                <w:sz w:val="20"/>
                <w:szCs w:val="20"/>
                <w:color w:val="auto"/>
              </w:rPr>
            </w:pPr>
            <w:r>
              <w:rPr>
                <w:rFonts w:ascii="Arial" w:cs="Arial" w:eastAsia="Arial" w:hAnsi="Arial"/>
                <w:sz w:val="18"/>
                <w:szCs w:val="18"/>
                <w:color w:val="auto"/>
              </w:rPr>
              <w:t>Arlington</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4"/>
              </w:rPr>
              <w:t>LPO</w:t>
            </w:r>
          </w:p>
        </w:tc>
      </w:tr>
      <w:tr>
        <w:trPr>
          <w:trHeight w:val="243"/>
        </w:trPr>
        <w:tc>
          <w:tcPr>
            <w:tcW w:w="1480" w:type="dxa"/>
            <w:vAlign w:val="bottom"/>
          </w:tcPr>
          <w:p>
            <w:pPr>
              <w:ind w:left="40"/>
              <w:spacing w:after="0"/>
              <w:rPr>
                <w:sz w:val="20"/>
                <w:szCs w:val="20"/>
                <w:color w:val="auto"/>
              </w:rPr>
            </w:pPr>
            <w:r>
              <w:rPr>
                <w:rFonts w:ascii="Arial" w:cs="Arial" w:eastAsia="Arial" w:hAnsi="Arial"/>
                <w:sz w:val="18"/>
                <w:szCs w:val="18"/>
                <w:color w:val="auto"/>
              </w:rPr>
              <w:t>Dallas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5"/>
              </w:rPr>
              <w:t>Hillcrest LPO</w:t>
            </w:r>
          </w:p>
        </w:tc>
      </w:tr>
      <w:tr>
        <w:trPr>
          <w:trHeight w:val="243"/>
        </w:trPr>
        <w:tc>
          <w:tcPr>
            <w:tcW w:w="1480" w:type="dxa"/>
            <w:vAlign w:val="bottom"/>
          </w:tcPr>
          <w:p>
            <w:pPr>
              <w:ind w:left="40"/>
              <w:spacing w:after="0"/>
              <w:rPr>
                <w:sz w:val="20"/>
                <w:szCs w:val="20"/>
                <w:color w:val="auto"/>
              </w:rPr>
            </w:pPr>
            <w:r>
              <w:rPr>
                <w:rFonts w:ascii="Arial" w:cs="Arial" w:eastAsia="Arial" w:hAnsi="Arial"/>
                <w:sz w:val="18"/>
                <w:szCs w:val="18"/>
                <w:color w:val="auto"/>
              </w:rPr>
              <w:t>Dallas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5"/>
              </w:rPr>
              <w:t>Addison Baldwin LPO</w:t>
            </w:r>
          </w:p>
        </w:tc>
      </w:tr>
      <w:tr>
        <w:trPr>
          <w:trHeight w:val="243"/>
        </w:trPr>
        <w:tc>
          <w:tcPr>
            <w:tcW w:w="1480" w:type="dxa"/>
            <w:vAlign w:val="bottom"/>
          </w:tcPr>
          <w:p>
            <w:pPr>
              <w:ind w:left="40"/>
              <w:spacing w:after="0"/>
              <w:rPr>
                <w:sz w:val="20"/>
                <w:szCs w:val="20"/>
                <w:color w:val="auto"/>
              </w:rPr>
            </w:pPr>
            <w:r>
              <w:rPr>
                <w:rFonts w:ascii="Arial" w:cs="Arial" w:eastAsia="Arial" w:hAnsi="Arial"/>
                <w:sz w:val="18"/>
                <w:szCs w:val="18"/>
                <w:color w:val="auto"/>
              </w:rPr>
              <w:t>Plano</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4"/>
              </w:rPr>
              <w:t>LPO</w:t>
            </w:r>
          </w:p>
        </w:tc>
      </w:tr>
      <w:tr>
        <w:trPr>
          <w:trHeight w:val="243"/>
        </w:trPr>
        <w:tc>
          <w:tcPr>
            <w:tcW w:w="1480" w:type="dxa"/>
            <w:vAlign w:val="bottom"/>
          </w:tcPr>
          <w:p>
            <w:pPr>
              <w:ind w:left="40"/>
              <w:spacing w:after="0"/>
              <w:rPr>
                <w:sz w:val="20"/>
                <w:szCs w:val="20"/>
                <w:color w:val="auto"/>
              </w:rPr>
            </w:pPr>
            <w:r>
              <w:rPr>
                <w:rFonts w:ascii="Arial" w:cs="Arial" w:eastAsia="Arial" w:hAnsi="Arial"/>
                <w:sz w:val="18"/>
                <w:szCs w:val="18"/>
                <w:color w:val="auto"/>
              </w:rPr>
              <w:t>Grand Prairie</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4"/>
              </w:rPr>
              <w:t>LPO</w:t>
            </w:r>
          </w:p>
        </w:tc>
      </w:tr>
      <w:tr>
        <w:trPr>
          <w:trHeight w:val="243"/>
        </w:trPr>
        <w:tc>
          <w:tcPr>
            <w:tcW w:w="1480" w:type="dxa"/>
            <w:vAlign w:val="bottom"/>
          </w:tcPr>
          <w:p>
            <w:pPr>
              <w:ind w:left="40"/>
              <w:spacing w:after="0"/>
              <w:rPr>
                <w:sz w:val="20"/>
                <w:szCs w:val="20"/>
                <w:color w:val="auto"/>
              </w:rPr>
            </w:pPr>
            <w:r>
              <w:rPr>
                <w:rFonts w:ascii="Arial" w:cs="Arial" w:eastAsia="Arial" w:hAnsi="Arial"/>
                <w:sz w:val="18"/>
                <w:szCs w:val="18"/>
                <w:color w:val="auto"/>
              </w:rPr>
              <w:t>Southlake</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4"/>
              </w:rPr>
              <w:t>LPO</w:t>
            </w:r>
          </w:p>
        </w:tc>
      </w:tr>
      <w:tr>
        <w:trPr>
          <w:trHeight w:val="986"/>
        </w:trPr>
        <w:tc>
          <w:tcPr>
            <w:tcW w:w="14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3"/>
          </w:tcPr>
          <w:p>
            <w:pPr>
              <w:jc w:val="center"/>
              <w:ind w:right="1354"/>
              <w:spacing w:after="0"/>
              <w:rPr>
                <w:sz w:val="20"/>
                <w:szCs w:val="20"/>
                <w:color w:val="auto"/>
              </w:rPr>
            </w:pPr>
            <w:r>
              <w:rPr>
                <w:rFonts w:ascii="Arial" w:cs="Arial" w:eastAsia="Arial" w:hAnsi="Arial"/>
                <w:sz w:val="14"/>
                <w:szCs w:val="14"/>
                <w:b w:val="1"/>
                <w:bCs w:val="1"/>
                <w:color w:val="auto"/>
                <w:w w:val="91"/>
              </w:rPr>
              <w:t>Houston</w:t>
            </w:r>
          </w:p>
        </w:tc>
      </w:tr>
      <w:tr>
        <w:trPr>
          <w:trHeight w:val="183"/>
        </w:trPr>
        <w:tc>
          <w:tcPr>
            <w:tcW w:w="1480" w:type="dxa"/>
            <w:vAlign w:val="bottom"/>
            <w:tcBorders>
              <w:bottom w:val="single" w:sz="8" w:color="auto"/>
            </w:tcBorders>
          </w:tcPr>
          <w:p>
            <w:pPr>
              <w:ind w:left="920"/>
              <w:spacing w:after="0"/>
              <w:rPr>
                <w:sz w:val="20"/>
                <w:szCs w:val="20"/>
                <w:color w:val="auto"/>
              </w:rPr>
            </w:pPr>
            <w:r>
              <w:rPr>
                <w:rFonts w:ascii="Arial" w:cs="Arial" w:eastAsia="Arial" w:hAnsi="Arial"/>
                <w:sz w:val="14"/>
                <w:szCs w:val="14"/>
                <w:b w:val="1"/>
                <w:bCs w:val="1"/>
                <w:color w:val="auto"/>
                <w:w w:val="92"/>
              </w:rPr>
              <w:t>Location</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Branch or LPO</w:t>
            </w:r>
          </w:p>
        </w:tc>
      </w:tr>
      <w:tr>
        <w:trPr>
          <w:trHeight w:val="224"/>
        </w:trPr>
        <w:tc>
          <w:tcPr>
            <w:tcW w:w="1480" w:type="dxa"/>
            <w:vAlign w:val="bottom"/>
          </w:tcPr>
          <w:p>
            <w:pPr>
              <w:ind w:left="40"/>
              <w:spacing w:after="0"/>
              <w:rPr>
                <w:sz w:val="20"/>
                <w:szCs w:val="20"/>
                <w:color w:val="auto"/>
              </w:rPr>
            </w:pPr>
            <w:r>
              <w:rPr>
                <w:rFonts w:ascii="Arial" w:cs="Arial" w:eastAsia="Arial" w:hAnsi="Arial"/>
                <w:sz w:val="18"/>
                <w:szCs w:val="18"/>
                <w:color w:val="auto"/>
              </w:rPr>
              <w:t>Houston</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1"/>
              </w:rPr>
              <w:t>Branch</w:t>
            </w:r>
          </w:p>
        </w:tc>
      </w:tr>
      <w:tr>
        <w:trPr>
          <w:trHeight w:val="742"/>
        </w:trPr>
        <w:tc>
          <w:tcPr>
            <w:tcW w:w="14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3"/>
          </w:tcPr>
          <w:p>
            <w:pPr>
              <w:jc w:val="center"/>
              <w:ind w:right="1334"/>
              <w:spacing w:after="0"/>
              <w:rPr>
                <w:sz w:val="20"/>
                <w:szCs w:val="20"/>
                <w:color w:val="auto"/>
              </w:rPr>
            </w:pPr>
            <w:r>
              <w:rPr>
                <w:rFonts w:ascii="Arial" w:cs="Arial" w:eastAsia="Arial" w:hAnsi="Arial"/>
                <w:sz w:val="14"/>
                <w:szCs w:val="14"/>
                <w:b w:val="1"/>
                <w:bCs w:val="1"/>
                <w:color w:val="auto"/>
                <w:w w:val="93"/>
              </w:rPr>
              <w:t>Ruidoso/Eastern New Mexico</w:t>
            </w:r>
          </w:p>
        </w:tc>
      </w:tr>
      <w:tr>
        <w:trPr>
          <w:trHeight w:val="183"/>
        </w:trPr>
        <w:tc>
          <w:tcPr>
            <w:tcW w:w="1480" w:type="dxa"/>
            <w:vAlign w:val="bottom"/>
            <w:tcBorders>
              <w:bottom w:val="single" w:sz="8" w:color="auto"/>
            </w:tcBorders>
          </w:tcPr>
          <w:p>
            <w:pPr>
              <w:ind w:left="920"/>
              <w:spacing w:after="0"/>
              <w:rPr>
                <w:sz w:val="20"/>
                <w:szCs w:val="20"/>
                <w:color w:val="auto"/>
              </w:rPr>
            </w:pPr>
            <w:r>
              <w:rPr>
                <w:rFonts w:ascii="Arial" w:cs="Arial" w:eastAsia="Arial" w:hAnsi="Arial"/>
                <w:sz w:val="14"/>
                <w:szCs w:val="14"/>
                <w:b w:val="1"/>
                <w:bCs w:val="1"/>
                <w:color w:val="auto"/>
                <w:w w:val="92"/>
              </w:rPr>
              <w:t>Location</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Branch or LPO</w:t>
            </w:r>
          </w:p>
        </w:tc>
      </w:tr>
      <w:tr>
        <w:trPr>
          <w:trHeight w:val="224"/>
        </w:trPr>
        <w:tc>
          <w:tcPr>
            <w:tcW w:w="1480" w:type="dxa"/>
            <w:vAlign w:val="bottom"/>
          </w:tcPr>
          <w:p>
            <w:pPr>
              <w:ind w:left="40"/>
              <w:spacing w:after="0"/>
              <w:rPr>
                <w:sz w:val="20"/>
                <w:szCs w:val="20"/>
                <w:color w:val="auto"/>
              </w:rPr>
            </w:pPr>
            <w:r>
              <w:rPr>
                <w:rFonts w:ascii="Arial" w:cs="Arial" w:eastAsia="Arial" w:hAnsi="Arial"/>
                <w:sz w:val="18"/>
                <w:szCs w:val="18"/>
                <w:color w:val="auto"/>
              </w:rPr>
              <w:t>Ruidoso</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0"/>
              </w:rPr>
              <w:t>Gateway Branch</w:t>
            </w:r>
          </w:p>
        </w:tc>
      </w:tr>
      <w:tr>
        <w:trPr>
          <w:trHeight w:val="242"/>
        </w:trPr>
        <w:tc>
          <w:tcPr>
            <w:tcW w:w="1480" w:type="dxa"/>
            <w:vAlign w:val="bottom"/>
          </w:tcPr>
          <w:p>
            <w:pPr>
              <w:ind w:left="40"/>
              <w:spacing w:after="0"/>
              <w:rPr>
                <w:sz w:val="20"/>
                <w:szCs w:val="20"/>
                <w:color w:val="auto"/>
              </w:rPr>
            </w:pPr>
            <w:r>
              <w:rPr>
                <w:rFonts w:ascii="Arial" w:cs="Arial" w:eastAsia="Arial" w:hAnsi="Arial"/>
                <w:sz w:val="18"/>
                <w:szCs w:val="18"/>
                <w:color w:val="auto"/>
              </w:rPr>
              <w:t>Ruidoso</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River Crossing Branch</w:t>
            </w:r>
          </w:p>
        </w:tc>
      </w:tr>
    </w:tbl>
    <w:p>
      <w:pPr>
        <w:spacing w:after="0" w:line="1781" w:lineRule="exact"/>
        <w:rPr>
          <w:sz w:val="20"/>
          <w:szCs w:val="20"/>
          <w:color w:val="auto"/>
        </w:rPr>
      </w:pPr>
    </w:p>
    <w:p>
      <w:pPr>
        <w:sectPr>
          <w:pgSz w:w="11900" w:h="16838" w:orient="portrait"/>
          <w:cols w:equalWidth="0" w:num="2">
            <w:col w:w="4640" w:space="100"/>
            <w:col w:w="4800"/>
          </w:cols>
          <w:pgMar w:left="1180" w:top="279" w:right="1179" w:bottom="1440" w:gutter="0" w:footer="0" w:header="0"/>
        </w:sectPr>
      </w:pPr>
    </w:p>
    <w:p>
      <w:pPr>
        <w:ind w:right="140" w:firstLine="360"/>
        <w:spacing w:after="0" w:line="259" w:lineRule="auto"/>
        <w:rPr>
          <w:sz w:val="20"/>
          <w:szCs w:val="20"/>
          <w:color w:val="auto"/>
        </w:rPr>
      </w:pPr>
      <w:r>
        <w:rPr>
          <w:rFonts w:ascii="Arial" w:cs="Arial" w:eastAsia="Arial" w:hAnsi="Arial"/>
          <w:sz w:val="18"/>
          <w:szCs w:val="18"/>
          <w:color w:val="auto"/>
        </w:rPr>
        <w:t>We lease certain of our banking facilities and believe that the leases to which we are subject are generally on terms consistent with prevailing market terms, and none of the leases are with our directors, officers, beneficial owners of more than 5% of our voting securities or any affiliates of the foregoing. We believe that our facilities are in good condition and are adequate to meet our operating needs for the foreseeable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ind w:right="340" w:firstLine="360"/>
        <w:spacing w:after="0" w:line="264" w:lineRule="auto"/>
        <w:rPr>
          <w:sz w:val="20"/>
          <w:szCs w:val="20"/>
          <w:color w:val="auto"/>
        </w:rPr>
      </w:pPr>
      <w:r>
        <w:rPr>
          <w:rFonts w:ascii="Arial" w:cs="Arial" w:eastAsia="Arial" w:hAnsi="Arial"/>
          <w:sz w:val="18"/>
          <w:szCs w:val="18"/>
          <w:color w:val="auto"/>
        </w:rPr>
        <w:t>From time to time, the Company or the Bank is a party to claims and legal proceedings arising in the ordinary course of business. Management does not believe any present litigation or the resolution thereof will have a material adverse effect on the business, consolidated financial condition or results of operations of the Company.</w:t>
      </w:r>
    </w:p>
    <w:p>
      <w:pPr>
        <w:spacing w:after="0" w:line="73" w:lineRule="exact"/>
        <w:rPr>
          <w:sz w:val="20"/>
          <w:szCs w:val="20"/>
          <w:color w:val="auto"/>
        </w:rPr>
      </w:pPr>
    </w:p>
    <w:p>
      <w:pPr>
        <w:ind w:right="60" w:firstLine="360"/>
        <w:spacing w:after="0" w:line="271" w:lineRule="auto"/>
        <w:rPr>
          <w:sz w:val="20"/>
          <w:szCs w:val="20"/>
          <w:color w:val="auto"/>
        </w:rPr>
      </w:pPr>
      <w:r>
        <w:rPr>
          <w:rFonts w:ascii="Arial" w:cs="Arial" w:eastAsia="Arial" w:hAnsi="Arial"/>
          <w:sz w:val="17"/>
          <w:szCs w:val="17"/>
          <w:color w:val="auto"/>
        </w:rPr>
        <w:t>The most significant litigation in which the Bank is currently involved has been brought by a townhome association and an owner of one of the townhomes. The Bank was the lender on property acquisition and construction loans on a townhome project in Arlington, Texas. After the developer defaulted on the loans, the Bank took title to the property in 2011 and later sold the remaining unsold townhouse units. The townhome association plaintiff alleges on behalf of the individual homeowners that the developer, the developer’s general partner, the general contractor, and the Bank are liable for damages suffered in connection with the townhome project. The townhome association plaintiff asserts causes of action for negligence, breach of implied warranties, violations of the Texas Deceptive Trade Practices Act, or the DTPA, fraud, negligent misrepresentation, breach of fiduciary duty, equitable estoppel, and breach of contract. The townhome association plaintiff seeks actual</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type w:val="continuous"/>
        </w:sectPr>
      </w:pPr>
    </w:p>
    <w:bookmarkStart w:id="99" w:name="page100"/>
    <w:bookmarkEnd w:id="9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damages, including costs of repair that its expert estimates to be approximately $8,000,000; treble damages under the DTPA; exemplary damages; attorneys’ fees; expert fees; and court costs. The individual owner is also asserting similar causes of action. The individual owner has not disclosed a damages amount he is seeking but has produced a repair cost estimate of at least $92,000.</w:t>
      </w:r>
    </w:p>
    <w:p>
      <w:pPr>
        <w:spacing w:after="0" w:line="39"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color w:val="auto"/>
        </w:rPr>
        <w:t>The Bank has filed cross-claims against the other defendants, and a third-party claim against a repair company that worked on the property after the deed in lieu of foreclosure. The Bank has also filed a motion for summary judgement as to the claims asserted against the Bank by the townhome association plaintiff . The trial court recently granted the Bank’s motion for summary judgment and dismissed all of the townhome association plantiff’s claims against the Bank, ruling that the association take nothing by those claims. That ruling is not yet a final judgment. Once it is a final judgement, the townhome association plaintiff might appeal the summary judgment ruling. The claims filed against the Bank by the individual owner of a townhome remain pending.</w:t>
      </w:r>
    </w:p>
    <w:p>
      <w:pPr>
        <w:spacing w:after="0" w:line="57"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The Bank’s general liability and directors and officers liability insurance carriers have acknowledged their obligation to defend the Bank in this matter. The general liability policies during the relevant policy years have limits of $1,000,000, and potentially up to $2,000,000, and the related excess policies have limits of $15,000,000. The directors and officers liability insurance policy has a limit of $10,000,000 and a retention of $250,000. Each of those insurance carriers has issued one or more “Reservation of Rights” letters, asserting that certain terms of the insurance policies might relieve them of the obligation to indemnify the Bank in the event it suffers a loss in the litigation. While the litigation is pending, the insurers may choose to seek an out-of-court settlement of the claims against the Bank. Furthermore, the Bank has tendered this matter to other insurance carriers that issued policies to the townhome association, the developer or the general contractor, and who might be obligated to provide coverage to the Bank under an additional insured endorsement or other obligation, and the Bank continues to conduct discovery of other insurance policies that may be applicable to this matter. At this time, one of those other insurance carriers has agreed to defend the Bank but has reserved its rights to deny coverage. The remaining other carriers to which the Bank has tendered this matter have not agreed to defend or indemnify the Bank.</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100" w:name="page101"/>
    <w:bookmarkEnd w:id="10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SUPERVISION AND REGULATION</w:t>
      </w:r>
    </w:p>
    <w:p>
      <w:pPr>
        <w:spacing w:after="0" w:line="121"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i w:val="1"/>
          <w:iCs w:val="1"/>
          <w:color w:val="auto"/>
        </w:rPr>
        <w:t>The following is a general summary of the material aspects of certain statutes and regulations that are applicable to us. These summary descriptions are not complete, and you should refer to the full text of the statutes, regulations, and corresponding guidance for more information. These statutes and regulations are subject to change, and additional statutes, regulations, and corresponding guidance may be adopted. We are unable to predict these future changes or the effects, if any, that these changes could have on our business or our revenues.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60" w:firstLine="360"/>
        <w:spacing w:after="0" w:line="271" w:lineRule="auto"/>
        <w:rPr>
          <w:sz w:val="20"/>
          <w:szCs w:val="20"/>
          <w:color w:val="auto"/>
        </w:rPr>
      </w:pPr>
      <w:r>
        <w:rPr>
          <w:rFonts w:ascii="Arial" w:cs="Arial" w:eastAsia="Arial" w:hAnsi="Arial"/>
          <w:sz w:val="17"/>
          <w:szCs w:val="17"/>
          <w:color w:val="auto"/>
        </w:rPr>
        <w:t>We are extensively regulated under U.S. federal and state law. As a result, our growth and earnings performance may be affected not only by management decisions and general economic conditions, but also by federal and state statutes and by the regulations and policies of various bank regulatory agencies, including the TDB, the Federal Reserve, the FDIC and the CFPB. Furthermore, tax laws administered by the IRS, and state taxing authorities, accounting rules developed by the FASB, securities laws administered by the SEC and state securities authorities and AML laws enforced by the U.S. Department of the Treasury, or Treasury, also impact our business. The effect of these statutes, regulations, regulatory policies and rules are significant to our financial condition and results of operations. Further, the nature and extent of future legislative, regulatory or other changes affecting financial institutions are impossible to predict with any certainty.</w:t>
      </w:r>
    </w:p>
    <w:p>
      <w:pPr>
        <w:spacing w:after="0" w:line="71" w:lineRule="exact"/>
        <w:rPr>
          <w:sz w:val="20"/>
          <w:szCs w:val="20"/>
          <w:color w:val="auto"/>
        </w:rPr>
      </w:pPr>
    </w:p>
    <w:p>
      <w:pPr>
        <w:ind w:right="120" w:firstLine="360"/>
        <w:spacing w:after="0" w:line="293" w:lineRule="auto"/>
        <w:rPr>
          <w:sz w:val="20"/>
          <w:szCs w:val="20"/>
          <w:color w:val="auto"/>
        </w:rPr>
      </w:pPr>
      <w:r>
        <w:rPr>
          <w:rFonts w:ascii="Arial" w:cs="Arial" w:eastAsia="Arial" w:hAnsi="Arial"/>
          <w:sz w:val="16"/>
          <w:szCs w:val="16"/>
          <w:color w:val="auto"/>
        </w:rPr>
        <w:t>Federal and state banking laws impose a comprehensive system of supervision, regulation and enforcement on the operations of banks, their holding companies and their affiliates. These laws are intended primarily for the protection of depositors, customers and the DIF rather than for shareholders. Federal and state laws, and the related regulations of the bank regulatory agencies, affect, among other things, the scope of business, the kinds and amounts of investments banks may make, reserve requirements, capital levels relative to operations, the nature and amount of collateral for loans, the establishment of branches, the ability to merge, consolidate and acquire, dealings with insiders and affiliates and the payment of dividends.</w:t>
      </w:r>
    </w:p>
    <w:p>
      <w:pPr>
        <w:spacing w:after="0" w:line="57" w:lineRule="exact"/>
        <w:rPr>
          <w:sz w:val="20"/>
          <w:szCs w:val="20"/>
          <w:color w:val="auto"/>
        </w:rPr>
      </w:pPr>
    </w:p>
    <w:p>
      <w:pPr>
        <w:ind w:right="20" w:firstLine="360"/>
        <w:spacing w:after="0" w:line="291" w:lineRule="auto"/>
        <w:rPr>
          <w:sz w:val="20"/>
          <w:szCs w:val="20"/>
          <w:color w:val="auto"/>
        </w:rPr>
      </w:pPr>
      <w:r>
        <w:rPr>
          <w:rFonts w:ascii="Arial" w:cs="Arial" w:eastAsia="Arial" w:hAnsi="Arial"/>
          <w:sz w:val="16"/>
          <w:szCs w:val="16"/>
          <w:color w:val="auto"/>
        </w:rPr>
        <w:t>This supervisory and regulatory framework subjects banks and bank holding companies to regular examination by their respective regulatory agencies, which results in examination reports and ratings that, while not publicly available, can affect the conduct and growth of their businesses. These examinations consider not only compliance with applicable laws and regulations, but also capital levels, asset quality and risk, management’s ability and performance, earnings, liquidity and various other factors. These regulatory agencies have broad discretion to impose restrictions and limitations on the operations of a regulated entity where the agencies determine, among other things, that such operations are unsafe or unsound, fail to comply with applicable law or are otherwise inconsistent with laws and regulations or with the supervisory policies of these agencies.</w:t>
      </w:r>
    </w:p>
    <w:p>
      <w:pPr>
        <w:spacing w:after="0" w:line="59"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The following is a summary of the material elements of the supervisory and regulatory framework applicable to the Company and the Bank. It does not describe all of the statutes, regulations and regulatory policies that apply, nor does it restate all of the requirements of those that are described. The descriptions are qualified in their entirety by reference to the particular statutory and regulatory provision.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 Requirements</w:t>
      </w:r>
    </w:p>
    <w:p>
      <w:pPr>
        <w:spacing w:after="0" w:line="121" w:lineRule="exact"/>
        <w:rPr>
          <w:sz w:val="20"/>
          <w:szCs w:val="20"/>
          <w:color w:val="auto"/>
        </w:rPr>
      </w:pPr>
    </w:p>
    <w:p>
      <w:pPr>
        <w:ind w:right="40" w:firstLine="360"/>
        <w:spacing w:after="0" w:line="271" w:lineRule="auto"/>
        <w:rPr>
          <w:sz w:val="20"/>
          <w:szCs w:val="20"/>
          <w:color w:val="auto"/>
        </w:rPr>
      </w:pPr>
      <w:r>
        <w:rPr>
          <w:rFonts w:ascii="Arial" w:cs="Arial" w:eastAsia="Arial" w:hAnsi="Arial"/>
          <w:sz w:val="17"/>
          <w:szCs w:val="17"/>
          <w:color w:val="auto"/>
        </w:rPr>
        <w:t>The federal banking agencies require that banking organizations meet several risk-based capital adequacy requirements. These risk-based capital adequacy requirements are intended to provide a measure of capital adequacy that reflects the perceived degree of risk associated with a banking organization’s operations, both for transactions reported on the banking organization’s balance sheet as assets and for transactions that are recorded as off-balance sheet items, such as letters of credit and recourse arrangements. In 2013, the federal bank regulatory agencies issued final rules, or the Basel III Capital Rules, establishing a new comprehensive capital framework for banking organizations. The Basel III Capital Rules implement the Basel Committee’s December 2010 framework for strengthening international capital standards and certain provisions of the Dodd-Frank Act. The Basel III Capital Rules became effective on January 1, 2015.</w:t>
      </w:r>
    </w:p>
    <w:p>
      <w:pPr>
        <w:spacing w:after="0" w:line="71" w:lineRule="exact"/>
        <w:rPr>
          <w:sz w:val="20"/>
          <w:szCs w:val="20"/>
          <w:color w:val="auto"/>
        </w:rPr>
      </w:pPr>
    </w:p>
    <w:p>
      <w:pPr>
        <w:ind w:right="180" w:firstLine="360"/>
        <w:spacing w:after="0" w:line="264" w:lineRule="auto"/>
        <w:rPr>
          <w:sz w:val="20"/>
          <w:szCs w:val="20"/>
          <w:color w:val="auto"/>
        </w:rPr>
      </w:pPr>
      <w:r>
        <w:rPr>
          <w:rFonts w:ascii="Arial" w:cs="Arial" w:eastAsia="Arial" w:hAnsi="Arial"/>
          <w:sz w:val="18"/>
          <w:szCs w:val="18"/>
          <w:color w:val="auto"/>
        </w:rPr>
        <w:t>The Basel III Capital Rules require the Bank and, upon completion of this offering, the Company, to comply with four minimum capital standards: a tier 1 leverage ratio of at least 4.0%; a CET1 to risk-weighted assets of 4.5%; a tier 1 capital to risk-weighted assets of at least 6.0%; and a total capital to risk-weighted assets of at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01" w:name="page102"/>
    <w:bookmarkEnd w:id="10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least 8.0%. CET1 capital is generally comprised of common shareholders’ equity and retained earnings. Tier 1 capital is generally comprised of CET1 and additional tier 1 capital. Additional tier 1 capital generally includes certain noncumulative perpetual preferred stock and related surplus and minority interests in equity accounts of consolidated subsidiaries. Total capital includes tier 1 capital (CET1 capital plus additional tier 1 capital) and tier 2 capital. Tier 2 capital is generally comprised of capital instruments and related surplus meeting specified requirements, and may include cumulative preferred stock and long-term perpetual preferred stock, mandatory convertible securities, intermediate preferred stock and subordinated debt. Also included in tier 2 capital is the allowance limited to a maximum of 1.25% of risk-weighted assets and, for institutions that have exercised an opt-out election regarding the treatment of Accumulated Other Comprehensive Income, or AOCI, up to 45% of net unrealized gains on available-for-sale equity securities with readily determinable fair market values. Institutions that have not exercised the AOCI opt-out have AOCI incorporated into CET1 capital (including unrealized gains and losses on available-for-sale-securities). The calculation of all types of regulatory capital is subject to deductions and adjustments specified in the regulations.</w:t>
      </w:r>
    </w:p>
    <w:p>
      <w:pPr>
        <w:spacing w:after="0" w:line="65" w:lineRule="exact"/>
        <w:rPr>
          <w:sz w:val="20"/>
          <w:szCs w:val="20"/>
          <w:color w:val="auto"/>
        </w:rPr>
      </w:pPr>
    </w:p>
    <w:p>
      <w:pPr>
        <w:ind w:right="40" w:firstLine="360"/>
        <w:spacing w:after="0" w:line="279" w:lineRule="auto"/>
        <w:rPr>
          <w:sz w:val="20"/>
          <w:szCs w:val="20"/>
          <w:color w:val="auto"/>
        </w:rPr>
      </w:pPr>
      <w:r>
        <w:rPr>
          <w:rFonts w:ascii="Arial" w:cs="Arial" w:eastAsia="Arial" w:hAnsi="Arial"/>
          <w:sz w:val="17"/>
          <w:szCs w:val="17"/>
          <w:color w:val="auto"/>
        </w:rPr>
        <w:t>The Basel III Capital Rules also establish a “capital conservation buffer” of 2.5% above the regulatory minimum risk-based capital requirements. The capital conservation buffer requirement was phased in beginning in January 2016 and, as of January 2019, is now fully implemented. An institution is subject to limitations on certain activities, including payment of dividends, share repurchases and discretionary bonuses to executive officers, if its capital level is below the buffered ratio.</w:t>
      </w:r>
    </w:p>
    <w:p>
      <w:pPr>
        <w:spacing w:after="0" w:line="63"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The Basel III minimum capital ratios as applicable to the Bank, and to the Company upon completion of this offering, in 2019 after the full phase-in period of the capital conservation buffer are summarized in the table below.</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15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Basel III Minimum</w:t>
            </w:r>
          </w:p>
        </w:tc>
        <w:tc>
          <w:tcPr>
            <w:tcW w:w="14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Basel III</w:t>
            </w:r>
          </w:p>
        </w:tc>
        <w:tc>
          <w:tcPr>
            <w:tcW w:w="12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7"/>
              </w:rPr>
              <w:t>Basel III Ratio</w:t>
            </w:r>
          </w:p>
        </w:tc>
      </w:tr>
      <w:tr>
        <w:trPr>
          <w:trHeight w:val="162"/>
        </w:trPr>
        <w:tc>
          <w:tcPr>
            <w:tcW w:w="5280" w:type="dxa"/>
            <w:vAlign w:val="bottom"/>
          </w:tcPr>
          <w:p>
            <w:pPr>
              <w:spacing w:after="0"/>
              <w:rPr>
                <w:sz w:val="14"/>
                <w:szCs w:val="14"/>
                <w:color w:val="auto"/>
              </w:rPr>
            </w:pPr>
          </w:p>
        </w:tc>
        <w:tc>
          <w:tcPr>
            <w:tcW w:w="1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for Capital</w:t>
            </w:r>
          </w:p>
        </w:tc>
        <w:tc>
          <w:tcPr>
            <w:tcW w:w="14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Additional Capital</w:t>
            </w:r>
          </w:p>
        </w:tc>
        <w:tc>
          <w:tcPr>
            <w:tcW w:w="12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with Capital</w:t>
            </w:r>
          </w:p>
        </w:tc>
      </w:tr>
      <w:tr>
        <w:trPr>
          <w:trHeight w:val="162"/>
        </w:trPr>
        <w:tc>
          <w:tcPr>
            <w:tcW w:w="5280" w:type="dxa"/>
            <w:vAlign w:val="bottom"/>
          </w:tcPr>
          <w:p>
            <w:pPr>
              <w:spacing w:after="0"/>
              <w:rPr>
                <w:sz w:val="14"/>
                <w:szCs w:val="14"/>
                <w:color w:val="auto"/>
              </w:rPr>
            </w:pPr>
          </w:p>
        </w:tc>
        <w:tc>
          <w:tcPr>
            <w:tcW w:w="15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Adequacy</w:t>
            </w:r>
          </w:p>
        </w:tc>
        <w:tc>
          <w:tcPr>
            <w:tcW w:w="14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Conservation</w:t>
            </w:r>
          </w:p>
        </w:tc>
        <w:tc>
          <w:tcPr>
            <w:tcW w:w="12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Conservation</w:t>
            </w:r>
          </w:p>
        </w:tc>
      </w:tr>
      <w:tr>
        <w:trPr>
          <w:trHeight w:val="185"/>
        </w:trPr>
        <w:tc>
          <w:tcPr>
            <w:tcW w:w="5280" w:type="dxa"/>
            <w:vAlign w:val="bottom"/>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Purposes</w:t>
            </w:r>
          </w:p>
        </w:tc>
        <w:tc>
          <w:tcPr>
            <w:tcW w:w="18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Buffer</w:t>
            </w:r>
          </w:p>
        </w:tc>
        <w:tc>
          <w:tcPr>
            <w:tcW w:w="16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Buffer</w:t>
            </w:r>
          </w:p>
        </w:tc>
        <w:tc>
          <w:tcPr>
            <w:tcW w:w="100" w:type="dxa"/>
            <w:vAlign w:val="bottom"/>
          </w:tcPr>
          <w:p>
            <w:pPr>
              <w:spacing w:after="0"/>
              <w:rPr>
                <w:sz w:val="16"/>
                <w:szCs w:val="16"/>
                <w:color w:val="auto"/>
              </w:rPr>
            </w:pPr>
          </w:p>
        </w:tc>
      </w:tr>
      <w:tr>
        <w:trPr>
          <w:trHeight w:val="237"/>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Total risk based capital (total capital to risk-weighted assets)</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10.50%</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Tier 1 risk based capital (tier 1 to risk-weighted assets)</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6.00%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8.50%</w:t>
            </w:r>
          </w:p>
        </w:tc>
      </w:tr>
      <w:tr>
        <w:trPr>
          <w:trHeight w:val="25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w w:val="92"/>
              </w:rPr>
              <w:t>Common equity tier 1 risk based capital (CET1 to risk-weighted assets)</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7.00%</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Tier 1 leverage ratio (tier 1 to average assets)</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4.00%</w:t>
            </w:r>
          </w:p>
        </w:tc>
      </w:tr>
    </w:tbl>
    <w:p>
      <w:pPr>
        <w:spacing w:after="0" w:line="106"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In determining the amount of risk-weighted assets for purposes of calculating risk-based capital ratios, a banking organization’s assets, including certain off-balance sheet assets (e.g., recourse obligations, direct credit substitutes, residual interests), are multiplied by a risk weight factor assigned by the regulations based on perceived risks inherent in the type of asset. As a result, higher levels of capital are required for asset categories believed to present greater risk. For example, a risk weight of 0% is assigned to cash and U.S. government securities, a risk weight of 50% is generally assigned to prudently underwritten first lien 1-4 family residential mortgages, a risk weight of 100% is assigned to commercial and consumer loans, a risk weight of 150% is assigned to certain past due loans and a risk weight of between 0% to 600% is assigned to permissible equity interests, depending on certain specified factors. The Basel III Capital Rules increased the risk weights for a variety of asset classes, including certain CRE mortgages. Additional aspects of the Basel III Capital Rules’ risk-weighting requirements that are relevant to the Company and the Bank include:</w:t>
      </w:r>
    </w:p>
    <w:p>
      <w:pPr>
        <w:spacing w:after="0" w:line="70" w:lineRule="exact"/>
        <w:rPr>
          <w:sz w:val="20"/>
          <w:szCs w:val="20"/>
          <w:color w:val="auto"/>
        </w:rPr>
      </w:pPr>
    </w:p>
    <w:p>
      <w:pPr>
        <w:ind w:left="700" w:right="20" w:hanging="356"/>
        <w:spacing w:after="0" w:line="277" w:lineRule="auto"/>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assigning exposures secured by single-family residential properties to either a 50% risk weight for first-lien mortgages that meet prudent underwriting standards or a 100% risk weight category for all other mortgages;</w:t>
      </w:r>
    </w:p>
    <w:p>
      <w:pPr>
        <w:spacing w:after="0" w:line="62" w:lineRule="exact"/>
        <w:rPr>
          <w:rFonts w:ascii="Arial" w:cs="Arial" w:eastAsia="Arial" w:hAnsi="Arial"/>
          <w:sz w:val="18"/>
          <w:szCs w:val="18"/>
          <w:color w:val="auto"/>
        </w:rPr>
      </w:pPr>
    </w:p>
    <w:p>
      <w:pPr>
        <w:ind w:left="700" w:right="40" w:hanging="356"/>
        <w:spacing w:after="0" w:line="308" w:lineRule="auto"/>
        <w:tabs>
          <w:tab w:leader="none" w:pos="7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providing for a 20% credit conversion factor for the unused portion of a commitment with an original maturity of one year or less that is not unconditionally cancellable (increased from 0% under the previous risk-based capital rules);</w:t>
      </w:r>
    </w:p>
    <w:p>
      <w:pPr>
        <w:spacing w:after="0" w:line="38" w:lineRule="exact"/>
        <w:rPr>
          <w:rFonts w:ascii="Arial" w:cs="Arial" w:eastAsia="Arial" w:hAnsi="Arial"/>
          <w:sz w:val="17"/>
          <w:szCs w:val="17"/>
          <w:color w:val="auto"/>
        </w:rPr>
      </w:pPr>
    </w:p>
    <w:p>
      <w:pPr>
        <w:ind w:left="700" w:right="20" w:hanging="356"/>
        <w:spacing w:after="0" w:line="264" w:lineRule="auto"/>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assigning a 150% risk weight to all exposures that are nonaccrual or 90 days or more past due (increased from 100% under the previous risk-based capital rules), except for those secured by single-family residential properties, which will be assigned a 100% risk weight, consistent with the previous risk-based capital rules;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02" w:name="page103"/>
    <w:bookmarkEnd w:id="10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right="120" w:hanging="356"/>
        <w:spacing w:after="0" w:line="277" w:lineRule="auto"/>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applying a 150% risk weight instead of a 100% risk weight for certain high-volatility commercial real estate, or HVCRE, ADC loans; and</w:t>
      </w:r>
    </w:p>
    <w:p>
      <w:pPr>
        <w:spacing w:after="0" w:line="62" w:lineRule="exact"/>
        <w:rPr>
          <w:rFonts w:ascii="Arial" w:cs="Arial" w:eastAsia="Arial" w:hAnsi="Arial"/>
          <w:sz w:val="18"/>
          <w:szCs w:val="18"/>
          <w:color w:val="auto"/>
        </w:rPr>
      </w:pPr>
    </w:p>
    <w:p>
      <w:pPr>
        <w:ind w:left="700" w:right="280" w:hanging="356"/>
        <w:spacing w:after="0" w:line="264" w:lineRule="auto"/>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applying a 250% risk weight to the portion of mortgage servicing rights and deferred tax assets arising from temporary differences that could not be realized through net operating loss carrybacks that are not deducted from CET1 capital (increased from 100% under the previous risk-based capital rules).</w:t>
      </w:r>
    </w:p>
    <w:p>
      <w:pPr>
        <w:spacing w:after="0" w:line="73" w:lineRule="exact"/>
        <w:rPr>
          <w:sz w:val="20"/>
          <w:szCs w:val="20"/>
          <w:color w:val="auto"/>
        </w:rPr>
      </w:pPr>
    </w:p>
    <w:p>
      <w:pPr>
        <w:ind w:right="380" w:firstLine="360"/>
        <w:spacing w:after="0" w:line="277" w:lineRule="auto"/>
        <w:rPr>
          <w:sz w:val="20"/>
          <w:szCs w:val="20"/>
          <w:color w:val="auto"/>
        </w:rPr>
      </w:pPr>
      <w:r>
        <w:rPr>
          <w:rFonts w:ascii="Arial" w:cs="Arial" w:eastAsia="Arial" w:hAnsi="Arial"/>
          <w:sz w:val="18"/>
          <w:szCs w:val="18"/>
          <w:color w:val="auto"/>
        </w:rPr>
        <w:t>As of December 31, 2018, the Company’s and the Bank’s capital ratios exceeded the minimum capital adequacy guideline percentage requirements under the Basel III Capital Rules on a fully phased-in basis.</w:t>
      </w:r>
    </w:p>
    <w:p>
      <w:pPr>
        <w:spacing w:after="0" w:line="62"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On November 21, 2018, federal regulators released a proposed rulemaking that would, if enacted, provide certain banks and their holding companies with the option to elect out of complying with the Basel III Capital Rules. Under the proposal, a qualifying community banking organization would be eligible to elect the community bank leverage ratio framework if it has a community bank leverage ratio, or CBLR, greater than 9% at the time of election.</w:t>
      </w:r>
    </w:p>
    <w:p>
      <w:pPr>
        <w:spacing w:after="0" w:line="79"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A qualifying community banking organization, or QCBO, is defined as a bank, a savings association, a bank holding company or a savings and loan holding company with:</w:t>
      </w:r>
    </w:p>
    <w:p>
      <w:pPr>
        <w:spacing w:after="0" w:line="62" w:lineRule="exact"/>
        <w:rPr>
          <w:sz w:val="20"/>
          <w:szCs w:val="20"/>
          <w:color w:val="auto"/>
        </w:rPr>
      </w:pPr>
    </w:p>
    <w:p>
      <w:pPr>
        <w:ind w:left="700" w:hanging="356"/>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total consolidated assets of less than $10 billion;</w:t>
      </w:r>
    </w:p>
    <w:p>
      <w:pPr>
        <w:spacing w:after="0" w:line="117" w:lineRule="exact"/>
        <w:rPr>
          <w:rFonts w:ascii="Arial" w:cs="Arial" w:eastAsia="Arial" w:hAnsi="Arial"/>
          <w:sz w:val="18"/>
          <w:szCs w:val="18"/>
          <w:color w:val="auto"/>
        </w:rPr>
      </w:pPr>
    </w:p>
    <w:p>
      <w:pPr>
        <w:ind w:left="700" w:right="500" w:hanging="356"/>
        <w:spacing w:after="0" w:line="277" w:lineRule="auto"/>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total off-balance sheet exposures (excluding derivatives other than credit derivatives and unconditionally cancelable commitments) of 25% or less of total consolidated assets;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total trading assets and trading liabilities of 5% or less of total consolidated assets;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MSAs of 25% or less of CBLR tangible equity;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temporary difference DTAs of 25% or less of CBLR tangible equity.</w:t>
      </w:r>
    </w:p>
    <w:p>
      <w:pPr>
        <w:spacing w:after="0" w:line="117" w:lineRule="exact"/>
        <w:rPr>
          <w:sz w:val="20"/>
          <w:szCs w:val="20"/>
          <w:color w:val="auto"/>
        </w:rPr>
      </w:pPr>
    </w:p>
    <w:p>
      <w:pPr>
        <w:jc w:val="both"/>
        <w:ind w:right="300" w:firstLine="360"/>
        <w:spacing w:after="0" w:line="259" w:lineRule="auto"/>
        <w:rPr>
          <w:sz w:val="20"/>
          <w:szCs w:val="20"/>
          <w:color w:val="auto"/>
        </w:rPr>
      </w:pPr>
      <w:r>
        <w:rPr>
          <w:rFonts w:ascii="Arial" w:cs="Arial" w:eastAsia="Arial" w:hAnsi="Arial"/>
          <w:sz w:val="18"/>
          <w:szCs w:val="18"/>
          <w:color w:val="auto"/>
        </w:rPr>
        <w:t>A QCBO may elect out of complying with the Basel III Capital Rules if, at the time of the election, the QCBO has a CBLR above 9%. The numerator of the CBLR is referred to as “CBLR tangible equity” and is calculated as the QCBO’s total capital as reported in compliance with Call Report and FR Y-9C instructions, or Reporting Instructions (prior to including non-controlling interests in consolidated subsidiaries) less:</w:t>
      </w:r>
    </w:p>
    <w:p>
      <w:pPr>
        <w:spacing w:after="0" w:line="79" w:lineRule="exact"/>
        <w:rPr>
          <w:sz w:val="20"/>
          <w:szCs w:val="20"/>
          <w:color w:val="auto"/>
        </w:rPr>
      </w:pPr>
    </w:p>
    <w:p>
      <w:pPr>
        <w:ind w:left="700" w:hanging="356"/>
        <w:spacing w:after="0"/>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Accumulated other comprehensive income (referred to in the industry as AOCI);</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Intangible assets, calculated in accordance with Reporting Instructions, other than mortgage servicing assets; and</w:t>
      </w:r>
    </w:p>
    <w:p>
      <w:pPr>
        <w:spacing w:after="0" w:line="128" w:lineRule="exact"/>
        <w:rPr>
          <w:rFonts w:ascii="Arial" w:cs="Arial" w:eastAsia="Arial" w:hAnsi="Arial"/>
          <w:sz w:val="17"/>
          <w:szCs w:val="17"/>
          <w:color w:val="auto"/>
        </w:rPr>
      </w:pPr>
    </w:p>
    <w:p>
      <w:pPr>
        <w:ind w:left="700" w:right="860" w:hanging="356"/>
        <w:spacing w:after="0" w:line="277" w:lineRule="auto"/>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Deferred tax assets that arise from net operating loss and tax credit carry forwards net of any related valuations allowances.</w:t>
      </w:r>
    </w:p>
    <w:p>
      <w:pPr>
        <w:spacing w:after="0" w:line="6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denominator of the CBLR is the QCBO’s average assets, calculated in accordance with Reporting Instructions and less intangible assets and deferred tax assets deducted from CBLR tangible equity.</w:t>
      </w:r>
    </w:p>
    <w:p>
      <w:pPr>
        <w:spacing w:after="0" w:line="62"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The Company will continue to monitor this rulemaking. If and when the rulemaking goes into effect, the Company and the Bank will consider whether it would be possible and advantageous at that time to elect to comply with the community bank leverage ratio framework.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Prompt Corrective Action</w:t>
      </w:r>
    </w:p>
    <w:p>
      <w:pPr>
        <w:spacing w:after="0" w:line="121"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The Federal Deposit Insurance Act requires federal banking agencies to take “prompt corrective action” with respect to depository institutions that do not meet minimum capital requirements. For purposes of prompt corrective action, the law establishes five capital tiers: “well-capitalized,” “adequately capitalized,” “undercapitalized,” “significantly undercapitalized,” and “critically undercapitalized.” A depository institution’s capital tier depends on its capital levels and certain other factors established by regulation. The applicable FDIC regulations have been amended to incorporate the increased capital requirements required by the Basel III Capital Rules that became effective on January 1, 2015. Under the amended regulations, an institution is deemed to be “well-capitalized” if it has a total risk-based capital ratio of 10.0% or greater, a tier 1 risk-based capital ratio of 8.0% or greater, a CET1 ratio of 6.5% or greater and a leverage ratio of 5.0% or greater.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03" w:name="page104"/>
    <w:bookmarkEnd w:id="10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80" w:firstLine="360"/>
        <w:spacing w:after="0" w:line="286" w:lineRule="auto"/>
        <w:rPr>
          <w:sz w:val="20"/>
          <w:szCs w:val="20"/>
          <w:color w:val="auto"/>
        </w:rPr>
      </w:pPr>
      <w:r>
        <w:rPr>
          <w:rFonts w:ascii="Arial" w:cs="Arial" w:eastAsia="Arial" w:hAnsi="Arial"/>
          <w:sz w:val="16"/>
          <w:szCs w:val="16"/>
          <w:color w:val="auto"/>
        </w:rPr>
        <w:t>At each successively lower capital category, a bank is subject to increased restrictions on its operations. For example, a bank is generally prohibited from making capital distributions and paying management fees to its holding company if doing so would make the bank “undercapitalized.” Asset growth and branching restrictions apply to undercapitalized banks, which are required to submit written capital restoration plans meeting specified requirements (including a guarantee by the parent holding company, if any).</w:t>
      </w:r>
    </w:p>
    <w:p>
      <w:pPr>
        <w:spacing w:after="0" w:line="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“Significantly undercapitalized” banks are subject to broad regulatory restrictions, including among other things, capital directives, forced mergers, restrictions on the rates of interest they may pay on deposits, restrictions on asset growth and activities, and prohibitions on paying bonuses or increasing compensation to senior executive officers without FDIC approval. “Critically undercapitalized” are subject to even more severe restrictions, including, subject to a narrow exception, the appointment of a conservator or receiver within 90 days after becoming critically undercapitalized.</w:t>
      </w:r>
    </w:p>
    <w:p>
      <w:pPr>
        <w:spacing w:after="0" w:line="83"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The appropriate federal banking agency may determine (after notice and opportunity for a hearing) that the institution is in an unsafe or unsound condition or deems the institution to be engaging in an unsafe or unsound practice. The appropriate agency is also permitted to require an adequately capitalized or undercapitalized institution to comply with the supervisory provisions as if the institution were in the next lower category (but not treat a significantly undercapitalized institution as critically undercapitalized) based on supervisory information other than the capital levels of the institution.</w:t>
      </w:r>
    </w:p>
    <w:p>
      <w:pPr>
        <w:spacing w:after="0" w:line="64"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The capital classification of a bank affects the frequency of regulatory examinations, the bank’s ability to engage in certain activities and the deposit insurance premium paid by the bank. A bank’s capital category is determined solely for the purpose of applying prompt correct action regulations and the capital category may not accurately reflect the bank’s overall financial condition or prospects.</w:t>
      </w:r>
    </w:p>
    <w:p>
      <w:pPr>
        <w:spacing w:after="0" w:line="79" w:lineRule="exact"/>
        <w:rPr>
          <w:sz w:val="20"/>
          <w:szCs w:val="20"/>
          <w:color w:val="auto"/>
        </w:rPr>
      </w:pPr>
    </w:p>
    <w:p>
      <w:pPr>
        <w:ind w:right="420" w:firstLine="360"/>
        <w:spacing w:after="0" w:line="277" w:lineRule="auto"/>
        <w:rPr>
          <w:sz w:val="20"/>
          <w:szCs w:val="20"/>
          <w:color w:val="auto"/>
        </w:rPr>
      </w:pPr>
      <w:r>
        <w:rPr>
          <w:rFonts w:ascii="Arial" w:cs="Arial" w:eastAsia="Arial" w:hAnsi="Arial"/>
          <w:sz w:val="18"/>
          <w:szCs w:val="18"/>
          <w:color w:val="auto"/>
        </w:rPr>
        <w:t>As of December 31, 2018, the Bank met the requirements for being deemed “well-capitalized” for purposes of the prompt corrective action regulations.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Enforcement Powers of Federal and State Banking Agencies</w:t>
      </w:r>
    </w:p>
    <w:p>
      <w:pPr>
        <w:spacing w:after="0" w:line="121" w:lineRule="exact"/>
        <w:rPr>
          <w:sz w:val="20"/>
          <w:szCs w:val="20"/>
          <w:color w:val="auto"/>
        </w:rPr>
      </w:pPr>
    </w:p>
    <w:p>
      <w:pPr>
        <w:ind w:right="60" w:firstLine="360"/>
        <w:spacing w:after="0" w:line="288" w:lineRule="auto"/>
        <w:rPr>
          <w:sz w:val="20"/>
          <w:szCs w:val="20"/>
          <w:color w:val="auto"/>
        </w:rPr>
      </w:pPr>
      <w:r>
        <w:rPr>
          <w:rFonts w:ascii="Arial" w:cs="Arial" w:eastAsia="Arial" w:hAnsi="Arial"/>
          <w:sz w:val="16"/>
          <w:szCs w:val="16"/>
          <w:color w:val="auto"/>
        </w:rPr>
        <w:t>The federal bank regulatory agencies have broad enforcement powers, including the power to terminate deposit insurance, impose substantial fines and other civil and criminal penalties, and appoint a conservator or receiver for financial institutions. Failure to comply with applicable laws and regulations could subject us and our officers and directors to administrative sanctions and potentially substantial civil money penalties. In addition to the grounds discussed above under “—Prompt Corrective Actions,” the appropriate federal bank regulatory agency may appoint the FDIC as conservator or receiver for a depository institution (or the FDIC may appoint itself, under certain circumstances) if any one or more of a number of circumstances exist, including, without limitation, the fact that the depository institution is undercapitalized and has no reasonable prospect of becoming adequately capitalized, fails to become adequately capitalized when required to do so, fails to submit a timely and acceptable capital restoration plan or materially fails to implement an accepted capital restoration plan. The TDB also has broad enforcement powers over us, including the power to impose orders, remove officers and directors, impose fines and appoint supervisors and conservators.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121"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b w:val="1"/>
          <w:bCs w:val="1"/>
          <w:i w:val="1"/>
          <w:iCs w:val="1"/>
          <w:color w:val="auto"/>
        </w:rPr>
        <w:t>General</w:t>
      </w:r>
      <w:r>
        <w:rPr>
          <w:rFonts w:ascii="Arial" w:cs="Arial" w:eastAsia="Arial" w:hAnsi="Arial"/>
          <w:sz w:val="18"/>
          <w:szCs w:val="18"/>
          <w:color w:val="auto"/>
        </w:rPr>
        <w:t>. As a bank holding company, the Company is subject to regulation and supervision by the Federal Reserve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Bank Holding Company Act of 1956, as amended, or the BHCA. Under the BHCA, the Company is subject to periodic examination by the Federal Reserve. The Company is required to file with the Federal Reserve periodic reports of its operations and such additional information as the Federal Reserve may require.</w:t>
      </w:r>
    </w:p>
    <w:p>
      <w:pPr>
        <w:spacing w:after="0" w:line="79"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b w:val="1"/>
          <w:bCs w:val="1"/>
          <w:i w:val="1"/>
          <w:iCs w:val="1"/>
          <w:color w:val="auto"/>
        </w:rPr>
        <w:t>Acquisitions, Activities and Change in Control</w:t>
      </w:r>
      <w:r>
        <w:rPr>
          <w:rFonts w:ascii="Arial" w:cs="Arial" w:eastAsia="Arial" w:hAnsi="Arial"/>
          <w:sz w:val="17"/>
          <w:szCs w:val="17"/>
          <w:color w:val="auto"/>
        </w:rPr>
        <w:t>. The BHCA generally requires the prior approval by the Federal Reserve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any merger involving a bank holding company or a bank holding company’s acquisition of more than 5% of a class of voting securities of any additional bank or bank holding company or to acquire all or substantially all of the assets of any additional bank or bank holding company. In reviewing applications seeking approval of merger and acquisition transactions, the Federal Reserve considers, among other things, the competitive effect and public benefits of the transactions, the capital position and managerial resources of the combined organization, the risks to the stability of the U.S. banking or financial system, the applicant’s performance record under the CRA and the effectiveness of all organizations involved in the merger or acquisition in combating money laundering activities. In addition, failure to implement or maintain adequate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04" w:name="page105"/>
    <w:bookmarkEnd w:id="10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compliance programs could cause bank regulators not to approve an acquisition where regulatory approval is required or to prohibit an acquisition even if approval is not required.</w:t>
      </w:r>
    </w:p>
    <w:p>
      <w:pPr>
        <w:spacing w:after="0" w:line="62"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Subject to certain conditions (including deposit concentration limits established by the BHCA and the Dodd-Frank Act), the Federal Reserve may allow a bank holding company to acquire banks located in any state of the United States. In approving interstate acquisitions, the Federal Reserve is required to give effect to applicable state law limitations on the aggregate amount of deposits that may be held by the acquiring bank holding company and its insured depository institution affiliates in the state in which the target bank is located (provided that those limits do not discriminate against out-of-state depository institutions or their holding companies) and state laws that require that the target bank have been in existence for a minimum period of time (not to exceed five years) before being acquired by an out-of-state bank holding company. Furthermore, in accordance with the Dodd-Frank Act, bank holding companies must be well-capitalized and well-managed in order to complete interstate mergers or acquisitions. For a discussion of the capital requirements, see “Regulatory Capital Requirements” above.</w:t>
      </w:r>
    </w:p>
    <w:p>
      <w:pPr>
        <w:spacing w:after="0" w:line="74"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Federal law also prohibits any person or company from acquiring “control” of an FDIC-insured depository institution or its holding company without prior notice to the appropriate federal bank regulator. “Control” is conclusively presumed to exist upon the acquisition of 25% or more of the outstanding voting securities of a bank or bank holding company, but may arise under certain circumstances between 5.00% and 24.99% ownership.</w:t>
      </w:r>
    </w:p>
    <w:p>
      <w:pPr>
        <w:spacing w:after="0" w:line="79"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b w:val="1"/>
          <w:bCs w:val="1"/>
          <w:i w:val="1"/>
          <w:iCs w:val="1"/>
          <w:color w:val="auto"/>
        </w:rPr>
        <w:t>Permitted Activities</w:t>
      </w:r>
      <w:r>
        <w:rPr>
          <w:rFonts w:ascii="Arial" w:cs="Arial" w:eastAsia="Arial" w:hAnsi="Arial"/>
          <w:sz w:val="17"/>
          <w:szCs w:val="17"/>
          <w:color w:val="auto"/>
        </w:rPr>
        <w:t>. The BHCA generally prohibits the Company from controlling or engaging in any business other than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banking, managing and controlling banks or furnishing services to banks and their subsidiaries. This general prohibition is subject to a number of exceptions. The principal exception allows bank holding companies to engage in, and to own shares of companies engaged in, certain businesses found by the Federal Reserve prior to November 11, 1999 to be “so closely related to banking as to be a proper incident thereto.” This authority would permit the Company to engage in a variety of banking-related businesses, including the ownership and operation of a savings association, or any entity engaged in consumer finance, equipment leasing, the operation of a computer service bureau (including software development) and mortgage banking and brokerage. The BHCA generally does not place territorial restrictions on the domestic activities of non-bank subsidiaries of bank holding companies. The Federal Reserve has the power to order any bank holding company or its subsidiaries to terminate any activity or to terminate its ownership or control of any subsidiary when the Federal Reserve has reasonable grounds to believe that continuing such activity, ownership or control constitutes a serious risk to the financial soundness, safety or stability of any bank subsidiary of the bank holding company.</w:t>
      </w:r>
    </w:p>
    <w:p>
      <w:pPr>
        <w:spacing w:after="0" w:line="72" w:lineRule="exact"/>
        <w:rPr>
          <w:sz w:val="20"/>
          <w:szCs w:val="20"/>
          <w:color w:val="auto"/>
        </w:rPr>
      </w:pPr>
    </w:p>
    <w:p>
      <w:pPr>
        <w:ind w:right="20" w:firstLine="360"/>
        <w:spacing w:after="0" w:line="290" w:lineRule="auto"/>
        <w:rPr>
          <w:sz w:val="20"/>
          <w:szCs w:val="20"/>
          <w:color w:val="auto"/>
        </w:rPr>
      </w:pPr>
      <w:r>
        <w:rPr>
          <w:rFonts w:ascii="Arial" w:cs="Arial" w:eastAsia="Arial" w:hAnsi="Arial"/>
          <w:sz w:val="16"/>
          <w:szCs w:val="16"/>
          <w:color w:val="auto"/>
        </w:rPr>
        <w:t>Additionally, bank holding companies that meet certain eligibility requirements prescribed by the BHCA and elect to operate as financial holding companies may engage in, or own shares in companies engaged in, a wider range of non-banking activities, including securities and insurance underwriting and sales, merchant banking and any other activity that the Federal Reserve, in consultation with the Secretary of the Treasury, determines by regulation or order is financial in nature or incidental to any such financial activity or that the Federal Reserve determines by order to be complementary to any such financial activity and does not pose a substantial risk to the safety or soundness of depository institutions or the financial system generally. The Company has not elected to be a financial holding company, and we have not engaged in any activities determined by the Federal Reserve to be financial in nature or incidental or complementary to activities that are financial in nature.</w:t>
      </w:r>
    </w:p>
    <w:p>
      <w:pPr>
        <w:spacing w:after="0" w:line="58" w:lineRule="exact"/>
        <w:rPr>
          <w:sz w:val="20"/>
          <w:szCs w:val="20"/>
          <w:color w:val="auto"/>
        </w:rPr>
      </w:pPr>
    </w:p>
    <w:p>
      <w:pPr>
        <w:ind w:right="120" w:firstLine="360"/>
        <w:spacing w:after="0" w:line="271" w:lineRule="auto"/>
        <w:rPr>
          <w:sz w:val="20"/>
          <w:szCs w:val="20"/>
          <w:color w:val="auto"/>
        </w:rPr>
      </w:pPr>
      <w:r>
        <w:rPr>
          <w:rFonts w:ascii="Arial" w:cs="Arial" w:eastAsia="Arial" w:hAnsi="Arial"/>
          <w:sz w:val="17"/>
          <w:szCs w:val="17"/>
          <w:color w:val="auto"/>
        </w:rPr>
        <w:t>If the Company should elect to become a financial holding company, the Company and the Bank must be well-capitalized, well-managed, and have a least a satisfactory CRA rating. If the Company were to become a financial holding company and the Federal Reserve subsequently determined that the Company, as a financial holding company, is not well-capitalized or well-managed, the Company would have a period of time during which to achieve compliance, but during the period of noncompliance, the Federal Reserve may place any limitations on the Company that the Federal Reserve believes to be appropriate. Furthermore, if the Company became a financial holding company and the Federal Reserve subsequently determined that the Bank, as a financial holding company subsidiary, has not received a satisfactory CRA rating, the Company would not be able to commence any new financial activities or acquire a company that engages in such activities.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05" w:name="page106"/>
    <w:bookmarkEnd w:id="10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b w:val="1"/>
          <w:bCs w:val="1"/>
          <w:i w:val="1"/>
          <w:iCs w:val="1"/>
          <w:color w:val="auto"/>
        </w:rPr>
        <w:t>Source of Strength</w:t>
      </w:r>
      <w:r>
        <w:rPr>
          <w:rFonts w:ascii="Arial" w:cs="Arial" w:eastAsia="Arial" w:hAnsi="Arial"/>
          <w:sz w:val="16"/>
          <w:szCs w:val="16"/>
          <w:color w:val="auto"/>
        </w:rPr>
        <w:t>. Federal Reserve policy historically required bank holding companies to act as a source of financial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managerial strength to their subsidiary banks. The Dodd-Frank Act codified this policy as a statutory requirement. Under this requirement the Company is expected to commit resources to support the Bank, including at times when the Company may not be in a financial position to provide it. The Company must stand ready to use its available resources to provide adequate capital to the Bank during periods of financial stress or adversity. The Company must also maintain the financial flexibility and capital raising capacity to obtain additional resources for assisting the Bank. The Company’s failure to meet its source of strength obligations may constitute an unsafe and unsound practice or a violation of the Federal Reserve’s regulations or both. The source of strength obligation most directly affects bank holding companies where a bank holding company’s subsidiary bank fails to maintain adequate capital levels. Any capital loans by a bank holding company to the subsidiary bank are subordinate in right of payment to deposits and to certain other indebtedness of the subsidiary bank. The BHCA provides that in the event of a bank holding company’s bankruptcy any commitment by a bank holding company to a federal bank regulatory agency to maintain the capital of its subsidiary bank will be assumed by the bankruptcy trustee and entitled to priority of payment.</w:t>
      </w:r>
    </w:p>
    <w:p>
      <w:pPr>
        <w:spacing w:after="0" w:line="61"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b w:val="1"/>
          <w:bCs w:val="1"/>
          <w:i w:val="1"/>
          <w:iCs w:val="1"/>
          <w:color w:val="auto"/>
        </w:rPr>
        <w:t>Safe and Sound Banking Practices</w:t>
      </w:r>
      <w:r>
        <w:rPr>
          <w:rFonts w:ascii="Arial" w:cs="Arial" w:eastAsia="Arial" w:hAnsi="Arial"/>
          <w:sz w:val="17"/>
          <w:szCs w:val="17"/>
          <w:color w:val="auto"/>
        </w:rPr>
        <w:t>. Bank holding companies and their non-banking subsidiaries are prohibited from engaging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activities that represent unsafe and unsound banking practices or that constitute a violation of law or regulations. Under certain conditions the Federal Reserve may conclude that certain actions of a bank holding company, such as a payment of a cash dividend, would constitute an unsafe and unsound banking practice. The Federal Reserve also has the authority to regulate the debt of bank holding companies, including the authority to impose interest rate ceilings and reserve requirements on such debt. Under certain circumstances the Federal Reserve may require a bank holding company to file written notice and obtain its approval prior to purchasing or redeeming its equity securities, unless certain conditions are met.</w:t>
      </w:r>
    </w:p>
    <w:p>
      <w:pPr>
        <w:spacing w:after="0" w:line="70"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b w:val="1"/>
          <w:bCs w:val="1"/>
          <w:i w:val="1"/>
          <w:iCs w:val="1"/>
          <w:color w:val="auto"/>
        </w:rPr>
        <w:t>Tie in Arrangements</w:t>
      </w:r>
      <w:r>
        <w:rPr>
          <w:rFonts w:ascii="Arial" w:cs="Arial" w:eastAsia="Arial" w:hAnsi="Arial"/>
          <w:sz w:val="18"/>
          <w:szCs w:val="18"/>
          <w:color w:val="auto"/>
        </w:rPr>
        <w:t>. Federal law prohibits bank holding companies and any subsidiary banks from engaging in certain tie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arrangements in connection with the extension of credit. For example, the Bank may not extend credit, lease or sell property, or furnish any services, or fix or vary the consideration for any of the foregoing on the condition that (i) the customer must obtain or provide some additional credit, property or services from or to the Bank other than a loan, discount, deposit or trust services, (ii) the customer must obtain or provide some additional credit, property or service from or to the Company or the Bank, or (iii) the customer must not obtain some other credit, property or services from competitors, except reasonable requirements to assure soundness of credit extended.</w:t>
      </w:r>
    </w:p>
    <w:p>
      <w:pPr>
        <w:spacing w:after="0" w:line="81"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b w:val="1"/>
          <w:bCs w:val="1"/>
          <w:i w:val="1"/>
          <w:iCs w:val="1"/>
          <w:color w:val="auto"/>
        </w:rPr>
        <w:t>Dividend Payments, Stock Redemptions and Repurchases</w:t>
      </w:r>
      <w:r>
        <w:rPr>
          <w:rFonts w:ascii="Arial" w:cs="Arial" w:eastAsia="Arial" w:hAnsi="Arial"/>
          <w:sz w:val="17"/>
          <w:szCs w:val="17"/>
          <w:color w:val="auto"/>
        </w:rPr>
        <w:t>. The Company’s ability to pay dividends to its shareholders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affected by both general corporate law considerations and the regulations and policies of the Federal Reserve applicable to bank holding companies, including the Basel III Capital Rules. Generally, a Texas corporation may not make distributions to its shareholders if (i) after giving effect to the dividend, the corporation would be insolvent, or (ii) the amount of the dividend exceeds the surplus of the corporation. Dividends may be declared and paid in a corporation’s own treasury shares that have been reacquired by the corporation out of surplus. Dividends may be declared and paid in a corporation’s own authorized but unissued shares out of the surplus of the corporation upon the satisfaction of certain conditions.</w:t>
      </w:r>
    </w:p>
    <w:p>
      <w:pPr>
        <w:spacing w:after="0" w:line="70"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It is the Federal Reserve’s policy that bank holding companies should generally pay dividends on common stock only out of income available over the past year, and only if prospective earnings retention is consistent with the organization’s expected future needs and financial condition. It is also the Federal Reserve’s policy that bank holding companies should not maintain dividend levels that undermine their ability to be a source of strength to its banking subsidiaries. Additionally, the Federal Reserve has indicated that bank holding companies should carefully review their dividend policy and has discouraged payment ratios that are at maximum allowable levels unless both asset quality and capital are very strong. The Federal Reserve possesses enforcement powers over bank holding companies and their nonbank subsidiaries to prevent or remedy actions that represent unsafe or unsound practices or violations of applicable statutes and regulations. Among these powers is the ability to proscribe the payment of dividends by banks and bank holding companies.</w:t>
      </w:r>
    </w:p>
    <w:p>
      <w:pPr>
        <w:spacing w:after="0" w:line="74"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Bank holding companies must consult with the Federal Reserve before redeeming any equity or other capital instrument included in tier 1 or tier 2 capital prior to stated maturity, if such redemption could have a material effect on the level or composition of the organization’s capital base. In addition, bank holding companies are unable to repurchase shares equal to 10% or more of its net worth if it would not be well-capitalized (as defined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06" w:name="page107"/>
    <w:bookmarkEnd w:id="10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by the Federal Reserve) after giving effect to such repurchase. Bank holding companies experiencing financial weaknesses, or that are at significant risk of developing financial weaknesses, must consult with the Federal Reserve before redeeming or repurchasing common stock or other regulatory capital instruments.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Bank</w:t>
      </w:r>
    </w:p>
    <w:p>
      <w:pPr>
        <w:spacing w:after="0" w:line="121" w:lineRule="exact"/>
        <w:rPr>
          <w:sz w:val="20"/>
          <w:szCs w:val="20"/>
          <w:color w:val="auto"/>
        </w:rPr>
      </w:pPr>
    </w:p>
    <w:p>
      <w:pPr>
        <w:ind w:right="40" w:firstLine="360"/>
        <w:spacing w:after="0" w:line="253" w:lineRule="auto"/>
        <w:rPr>
          <w:sz w:val="20"/>
          <w:szCs w:val="20"/>
          <w:color w:val="auto"/>
        </w:rPr>
      </w:pPr>
      <w:r>
        <w:rPr>
          <w:rFonts w:ascii="Arial" w:cs="Arial" w:eastAsia="Arial" w:hAnsi="Arial"/>
          <w:sz w:val="18"/>
          <w:szCs w:val="18"/>
          <w:b w:val="1"/>
          <w:bCs w:val="1"/>
          <w:i w:val="1"/>
          <w:iCs w:val="1"/>
          <w:color w:val="auto"/>
        </w:rPr>
        <w:t>General</w:t>
      </w:r>
      <w:r>
        <w:rPr>
          <w:rFonts w:ascii="Arial" w:cs="Arial" w:eastAsia="Arial" w:hAnsi="Arial"/>
          <w:sz w:val="18"/>
          <w:szCs w:val="18"/>
          <w:color w:val="auto"/>
        </w:rPr>
        <w:t>. The Bank is a Texas banking association and is subject to supervision and regulation by the TDB and the FDIC.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Bank is also subject to certain regulations of the CFPB. As a Texas banking association, the Bank is subject to the examination, supervision and regulation by the TDB, the chartering authority for Texas banks, and by the FDIC. The TDB supervises and regulates all areas of the Bank’s operations including, without limitation, the making of loans, the issuance of securities, the conduct of the Bank’s corporate affairs, the satisfaction of capital adequacy requirements, the payment of dividends and the establishment or closing of banking offices. The FDIC is the Bank’s primary federal regulatory agency and periodically examines the Bank’s operations and financial condition and compliance with federal law. In addition, the Bank’s deposit accounts are insured by the DIF to the maximum extent provided under federal law and FDIC regulations, and the FDIC has certain enforcement powers over the Bank.</w:t>
      </w:r>
    </w:p>
    <w:p>
      <w:pPr>
        <w:spacing w:after="0" w:line="89" w:lineRule="exact"/>
        <w:rPr>
          <w:sz w:val="20"/>
          <w:szCs w:val="20"/>
          <w:color w:val="auto"/>
        </w:rPr>
      </w:pPr>
    </w:p>
    <w:p>
      <w:pPr>
        <w:ind w:right="200" w:firstLine="360"/>
        <w:spacing w:after="0" w:line="255" w:lineRule="auto"/>
        <w:rPr>
          <w:sz w:val="20"/>
          <w:szCs w:val="20"/>
          <w:color w:val="auto"/>
        </w:rPr>
      </w:pPr>
      <w:r>
        <w:rPr>
          <w:rFonts w:ascii="Arial" w:cs="Arial" w:eastAsia="Arial" w:hAnsi="Arial"/>
          <w:sz w:val="18"/>
          <w:szCs w:val="18"/>
          <w:b w:val="1"/>
          <w:bCs w:val="1"/>
          <w:i w:val="1"/>
          <w:iCs w:val="1"/>
          <w:color w:val="auto"/>
        </w:rPr>
        <w:t>Depositor Preference</w:t>
      </w:r>
      <w:r>
        <w:rPr>
          <w:rFonts w:ascii="Arial" w:cs="Arial" w:eastAsia="Arial" w:hAnsi="Arial"/>
          <w:sz w:val="18"/>
          <w:szCs w:val="18"/>
          <w:color w:val="auto"/>
        </w:rPr>
        <w:t>. In the event of the “liquidation or other resolution” of an insured depository institution, the claims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depositors of the institution, including the claims of the FDIC as subrogee of insured depositors, and certain claims for administrative expenses of the FDIC as a receiver, will have priority over other general unsecured claims against the institution. If an insured depository institution fails, insured and uninsured depositors, along with the FDIC, will have priority in payment ahead of unsecured, non-deposit creditors including the parent bank holding company with respect to any extensions of credit they have made to that insured depository institution.</w:t>
      </w:r>
    </w:p>
    <w:p>
      <w:pPr>
        <w:spacing w:after="0" w:line="85"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b w:val="1"/>
          <w:bCs w:val="1"/>
          <w:i w:val="1"/>
          <w:iCs w:val="1"/>
          <w:color w:val="auto"/>
        </w:rPr>
        <w:t>Brokered Deposit Restrictions</w:t>
      </w:r>
      <w:r>
        <w:rPr>
          <w:rFonts w:ascii="Arial" w:cs="Arial" w:eastAsia="Arial" w:hAnsi="Arial"/>
          <w:sz w:val="18"/>
          <w:szCs w:val="18"/>
          <w:color w:val="auto"/>
        </w:rPr>
        <w:t>. Well-capitalized institutions are not subject to limitations on brokered deposits, while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adequately capitalized institutions are able to accept, renew or roll over brokered deposits only with a waiver from the FDIC and subject to certain restrictions on the yield paid on such deposits. Undercapitalized institutions are generally not permitted to accept, renew or roll over brokered deposits. As of December 31, 2018, the Bank was eligible to accept brokered deposits without a waiver from the FDIC.</w:t>
      </w:r>
    </w:p>
    <w:p>
      <w:pPr>
        <w:spacing w:after="0" w:line="80" w:lineRule="exact"/>
        <w:rPr>
          <w:sz w:val="20"/>
          <w:szCs w:val="20"/>
          <w:color w:val="auto"/>
        </w:rPr>
      </w:pPr>
    </w:p>
    <w:p>
      <w:pPr>
        <w:ind w:right="140" w:firstLine="360"/>
        <w:spacing w:after="0" w:line="253" w:lineRule="auto"/>
        <w:rPr>
          <w:sz w:val="20"/>
          <w:szCs w:val="20"/>
          <w:color w:val="auto"/>
        </w:rPr>
      </w:pPr>
      <w:r>
        <w:rPr>
          <w:rFonts w:ascii="Arial" w:cs="Arial" w:eastAsia="Arial" w:hAnsi="Arial"/>
          <w:sz w:val="18"/>
          <w:szCs w:val="18"/>
          <w:b w:val="1"/>
          <w:bCs w:val="1"/>
          <w:i w:val="1"/>
          <w:iCs w:val="1"/>
          <w:color w:val="auto"/>
        </w:rPr>
        <w:t>Deposit Insurance</w:t>
      </w:r>
      <w:r>
        <w:rPr>
          <w:rFonts w:ascii="Arial" w:cs="Arial" w:eastAsia="Arial" w:hAnsi="Arial"/>
          <w:sz w:val="18"/>
          <w:szCs w:val="18"/>
          <w:color w:val="auto"/>
        </w:rPr>
        <w:t>. As an FDIC-insured institution, the Bank is required to pay deposit insurance premiums to the FDIC.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FDIC has adopted a risk-based assessment system whereby FDIC-insured depository institutions pay insurance premiums at rates based on their risk classification. An institution’s risk classification is assigned based on its capital levels and the level of supervisory concern the institution poses to the regulators. For deposit insurance assessment purposes, an insured depository institution is placed in one of four risk categories each quarter. An institution’s assessment is determined by multiplying its assessment rate by its assessment base. The total base assessment rates range from 1.5 basis points to 40 basis points. While in the past an insured depository institution’s assessment base was determined by its deposit base, amendments to the Federal Deposit Insurance Act revised the assessment base so that it is calculated using average consolidated total assets minus average tangible equity.</w:t>
      </w:r>
    </w:p>
    <w:p>
      <w:pPr>
        <w:spacing w:after="0" w:line="8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Additionally, the Dodd-Frank Act altered the minimum designated reserve ratio of the DIF, increasing the minimum from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1.15% to 1.35% of the estimated amount of total insured deposits, and eliminating the requirement that the FDIC pay dividends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depository institutions when the reserve ratio exceeds certain thresholds. The FDIC had until September 3, 2020 to meet the 1.35%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reserve ratio target, but it announced in November 2018 that the DIF had reached 1.36%, exceeding the 1.35% reserve ratio target.</w:t>
      </w:r>
    </w:p>
    <w:p>
      <w:pPr>
        <w:spacing w:after="0" w:line="126" w:lineRule="exact"/>
        <w:rPr>
          <w:sz w:val="20"/>
          <w:szCs w:val="20"/>
          <w:color w:val="auto"/>
        </w:rPr>
      </w:pPr>
    </w:p>
    <w:p>
      <w:pPr>
        <w:ind w:right="160" w:firstLine="360"/>
        <w:spacing w:after="0" w:line="259" w:lineRule="auto"/>
        <w:rPr>
          <w:sz w:val="20"/>
          <w:szCs w:val="20"/>
          <w:color w:val="auto"/>
        </w:rPr>
      </w:pPr>
      <w:r>
        <w:rPr>
          <w:rFonts w:ascii="Arial" w:cs="Arial" w:eastAsia="Arial" w:hAnsi="Arial"/>
          <w:sz w:val="18"/>
          <w:szCs w:val="18"/>
          <w:color w:val="auto"/>
        </w:rPr>
        <w:t>At least semi-annually, the FDIC updates its loss and income projections for the DIF and, if needed, may increase or decrease the assessment rates following notice and comment on proposed rulemaking. As a result, the Bank’s FDIC deposit insurance premiums could increase. During the year ended December 31, 2018, the Bank paid $1.0 million in FDIC deposit insurance premiums.</w:t>
      </w:r>
    </w:p>
    <w:p>
      <w:pPr>
        <w:spacing w:after="0" w:line="79"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b w:val="1"/>
          <w:bCs w:val="1"/>
          <w:i w:val="1"/>
          <w:iCs w:val="1"/>
          <w:color w:val="auto"/>
        </w:rPr>
        <w:t>Audit Reports</w:t>
      </w:r>
      <w:r>
        <w:rPr>
          <w:rFonts w:ascii="Arial" w:cs="Arial" w:eastAsia="Arial" w:hAnsi="Arial"/>
          <w:sz w:val="16"/>
          <w:szCs w:val="16"/>
          <w:color w:val="auto"/>
        </w:rPr>
        <w:t>. For insured institutions with total assets of $1.0 billion or more, financial statements prepared in accordance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GAAP, management’s certifications signed by our and the Bank’s chief executive officer and chief accounting or financial officer concerning management’s responsibility for the financial statements, and an attestation by the auditors regarding the Bank’s internal controls must be submitted. For institutions with total assets of more than $3.0 billion, independent auditors may be required to review quarterly financial statements. FDICIA requires that the Bank have an independent audit committee, consisting of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07" w:name="page108"/>
    <w:bookmarkEnd w:id="10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outside directors only, or that we have an audit committee that is entirely independent. The committees of such institutions must include members with experience in banking or financial management, must have access to outside counsel and must not include representatives of large customers. The Bank’s audit committee consists entirely of independent directors.</w:t>
      </w:r>
    </w:p>
    <w:p>
      <w:pPr>
        <w:spacing w:after="0" w:line="57"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b w:val="1"/>
          <w:bCs w:val="1"/>
          <w:i w:val="1"/>
          <w:iCs w:val="1"/>
          <w:color w:val="auto"/>
        </w:rPr>
        <w:t>FICO Assessments</w:t>
      </w:r>
      <w:r>
        <w:rPr>
          <w:rFonts w:ascii="Arial" w:cs="Arial" w:eastAsia="Arial" w:hAnsi="Arial"/>
          <w:sz w:val="17"/>
          <w:szCs w:val="17"/>
          <w:color w:val="auto"/>
        </w:rPr>
        <w:t>. In addition to paying basic deposit insurance assessments, insured depository institutions must pay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Financing Corporation, or FICO, assessments. FICO is a mixed-ownership governmental corporation chartered by the former Federal Home Loan Bank Board to recapitalize the former Federal Savings and Loan Insurance Corporation. FICO issued 30-year non-callable bonds of approximately $8.1 billion that mature in 2017 through 2019. Since 1996, federal legislation requires that all FDIC-insured depository institutions pay assessments to cover interest payments on FICO’s outstanding obligations. During the year ended December 31, 2018, the Bank paid $70,000 in FICO assessments.</w:t>
      </w:r>
    </w:p>
    <w:p>
      <w:pPr>
        <w:spacing w:after="0" w:line="70" w:lineRule="exact"/>
        <w:rPr>
          <w:sz w:val="20"/>
          <w:szCs w:val="20"/>
          <w:color w:val="auto"/>
        </w:rPr>
      </w:pPr>
    </w:p>
    <w:p>
      <w:pPr>
        <w:ind w:right="60" w:firstLine="360"/>
        <w:spacing w:after="0" w:line="286" w:lineRule="auto"/>
        <w:rPr>
          <w:sz w:val="20"/>
          <w:szCs w:val="20"/>
          <w:color w:val="auto"/>
        </w:rPr>
      </w:pPr>
      <w:r>
        <w:rPr>
          <w:rFonts w:ascii="Arial" w:cs="Arial" w:eastAsia="Arial" w:hAnsi="Arial"/>
          <w:sz w:val="17"/>
          <w:szCs w:val="17"/>
          <w:b w:val="1"/>
          <w:bCs w:val="1"/>
          <w:i w:val="1"/>
          <w:iCs w:val="1"/>
          <w:color w:val="auto"/>
        </w:rPr>
        <w:t>Examination Assessments</w:t>
      </w:r>
      <w:r>
        <w:rPr>
          <w:rFonts w:ascii="Arial" w:cs="Arial" w:eastAsia="Arial" w:hAnsi="Arial"/>
          <w:sz w:val="17"/>
          <w:szCs w:val="17"/>
          <w:color w:val="auto"/>
        </w:rPr>
        <w:t>. Texas-chartered banks are required to pay an annual assessment fee to the TDB to fund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operations. The fee is based on the amount of the bank’s assets at rates established by the Finance Commission of Texas. During the year ended December 31, 2018, the Bank paid examination assessments to the TDB totaling $230,000.</w:t>
      </w:r>
    </w:p>
    <w:p>
      <w:pPr>
        <w:spacing w:after="0" w:line="57" w:lineRule="exact"/>
        <w:rPr>
          <w:sz w:val="20"/>
          <w:szCs w:val="20"/>
          <w:color w:val="auto"/>
        </w:rPr>
      </w:pPr>
    </w:p>
    <w:p>
      <w:pPr>
        <w:ind w:right="600" w:firstLine="360"/>
        <w:spacing w:after="0" w:line="277" w:lineRule="auto"/>
        <w:rPr>
          <w:sz w:val="20"/>
          <w:szCs w:val="20"/>
          <w:color w:val="auto"/>
        </w:rPr>
      </w:pPr>
      <w:r>
        <w:rPr>
          <w:rFonts w:ascii="Arial" w:cs="Arial" w:eastAsia="Arial" w:hAnsi="Arial"/>
          <w:sz w:val="18"/>
          <w:szCs w:val="18"/>
          <w:b w:val="1"/>
          <w:bCs w:val="1"/>
          <w:i w:val="1"/>
          <w:iCs w:val="1"/>
          <w:color w:val="auto"/>
        </w:rPr>
        <w:t>Capital Requirements</w:t>
      </w:r>
      <w:r>
        <w:rPr>
          <w:rFonts w:ascii="Arial" w:cs="Arial" w:eastAsia="Arial" w:hAnsi="Arial"/>
          <w:sz w:val="18"/>
          <w:szCs w:val="18"/>
          <w:color w:val="auto"/>
        </w:rPr>
        <w:t>. Banks are generally required to maintain minimum capital ratios. For a discussion of the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applicable to the Bank, see “Regulatory Capital Requirements” above.</w:t>
      </w:r>
    </w:p>
    <w:p>
      <w:pPr>
        <w:spacing w:after="0" w:line="62" w:lineRule="exact"/>
        <w:rPr>
          <w:sz w:val="20"/>
          <w:szCs w:val="20"/>
          <w:color w:val="auto"/>
        </w:rPr>
      </w:pPr>
    </w:p>
    <w:p>
      <w:pPr>
        <w:ind w:right="40" w:firstLine="360"/>
        <w:spacing w:after="0" w:line="279" w:lineRule="auto"/>
        <w:rPr>
          <w:sz w:val="20"/>
          <w:szCs w:val="20"/>
          <w:color w:val="auto"/>
        </w:rPr>
      </w:pPr>
      <w:r>
        <w:rPr>
          <w:rFonts w:ascii="Arial" w:cs="Arial" w:eastAsia="Arial" w:hAnsi="Arial"/>
          <w:sz w:val="17"/>
          <w:szCs w:val="17"/>
          <w:b w:val="1"/>
          <w:bCs w:val="1"/>
          <w:i w:val="1"/>
          <w:iCs w:val="1"/>
          <w:color w:val="auto"/>
        </w:rPr>
        <w:t>Bank Reserves</w:t>
      </w:r>
      <w:r>
        <w:rPr>
          <w:rFonts w:ascii="Arial" w:cs="Arial" w:eastAsia="Arial" w:hAnsi="Arial"/>
          <w:sz w:val="17"/>
          <w:szCs w:val="17"/>
          <w:color w:val="auto"/>
        </w:rPr>
        <w:t>. The Federal Reserve requires all depository institutions to maintain reserves against some transaction accounts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(primarily NOW and Super NOW checking accounts). The balances maintained to meet the reserve requirements imposed by the Federal Reserve may be used to satisfy liquidity requirements. An institution may borrow from the Federal Reserve “discount window” as a secondary source of funds if the institution meets the Federal Reserve’s credit standards.</w:t>
      </w:r>
    </w:p>
    <w:p>
      <w:pPr>
        <w:spacing w:after="0" w:line="63" w:lineRule="exact"/>
        <w:rPr>
          <w:sz w:val="20"/>
          <w:szCs w:val="20"/>
          <w:color w:val="auto"/>
        </w:rPr>
      </w:pPr>
    </w:p>
    <w:p>
      <w:pPr>
        <w:ind w:right="100" w:firstLine="360"/>
        <w:spacing w:after="0" w:line="271" w:lineRule="auto"/>
        <w:rPr>
          <w:sz w:val="20"/>
          <w:szCs w:val="20"/>
          <w:color w:val="auto"/>
        </w:rPr>
      </w:pPr>
      <w:r>
        <w:rPr>
          <w:rFonts w:ascii="Arial" w:cs="Arial" w:eastAsia="Arial" w:hAnsi="Arial"/>
          <w:sz w:val="17"/>
          <w:szCs w:val="17"/>
          <w:b w:val="1"/>
          <w:bCs w:val="1"/>
          <w:i w:val="1"/>
          <w:iCs w:val="1"/>
          <w:color w:val="auto"/>
        </w:rPr>
        <w:t>Liquidity Requirements</w:t>
      </w:r>
      <w:r>
        <w:rPr>
          <w:rFonts w:ascii="Arial" w:cs="Arial" w:eastAsia="Arial" w:hAnsi="Arial"/>
          <w:sz w:val="17"/>
          <w:szCs w:val="17"/>
          <w:color w:val="auto"/>
        </w:rPr>
        <w:t>. Historically, regulation and monitoring of bank and bank holding company liquidity has been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addressed as a supervisory matter, without required formulaic measures. The Basel III liquidity framework requires banks and bank holding companies to measure their liquidity against specific liquidity tests. The federal banking agencies adopted final Liquidity Coverage Ratio rules in September 2014 and proposed Net Stable Funding Ratio rules in May 2016. These rules introduced two liquidity related metrics: Liquidity Coverage Ratio is intended to require financial institutions to maintain sufficient high-quality liquid resources to survive an acute stress scenario that lasts for one month; and Net Stable Funding Ratio is intended to require financial institutions to maintain a minimum amount of stable sources relative to the liquidity profiles of the institution’s assets and contingent liquidity needs over a one-year period.</w:t>
      </w:r>
    </w:p>
    <w:p>
      <w:pPr>
        <w:spacing w:after="0" w:line="71" w:lineRule="exact"/>
        <w:rPr>
          <w:sz w:val="20"/>
          <w:szCs w:val="20"/>
          <w:color w:val="auto"/>
        </w:rPr>
      </w:pPr>
    </w:p>
    <w:p>
      <w:pPr>
        <w:ind w:right="540" w:firstLine="360"/>
        <w:spacing w:after="0" w:line="264" w:lineRule="auto"/>
        <w:rPr>
          <w:sz w:val="20"/>
          <w:szCs w:val="20"/>
          <w:color w:val="auto"/>
        </w:rPr>
      </w:pPr>
      <w:r>
        <w:rPr>
          <w:rFonts w:ascii="Arial" w:cs="Arial" w:eastAsia="Arial" w:hAnsi="Arial"/>
          <w:sz w:val="18"/>
          <w:szCs w:val="18"/>
          <w:color w:val="auto"/>
        </w:rPr>
        <w:t>While the Liquidity Coverage Ratio and the proposed Net Stable Funding Ratio rules apply only to the largest banking organizations in the country, certain elements may filter down and become applicable to or expected of all insured depository institutions and bank holding companies.</w:t>
      </w:r>
    </w:p>
    <w:p>
      <w:pPr>
        <w:spacing w:after="0" w:line="73" w:lineRule="exact"/>
        <w:rPr>
          <w:sz w:val="20"/>
          <w:szCs w:val="20"/>
          <w:color w:val="auto"/>
        </w:rPr>
      </w:pPr>
    </w:p>
    <w:p>
      <w:pPr>
        <w:ind w:right="20" w:firstLine="360"/>
        <w:spacing w:after="0" w:line="290" w:lineRule="auto"/>
        <w:rPr>
          <w:sz w:val="20"/>
          <w:szCs w:val="20"/>
          <w:color w:val="auto"/>
        </w:rPr>
      </w:pPr>
      <w:r>
        <w:rPr>
          <w:rFonts w:ascii="Arial" w:cs="Arial" w:eastAsia="Arial" w:hAnsi="Arial"/>
          <w:sz w:val="16"/>
          <w:szCs w:val="16"/>
          <w:b w:val="1"/>
          <w:bCs w:val="1"/>
          <w:i w:val="1"/>
          <w:iCs w:val="1"/>
          <w:color w:val="auto"/>
        </w:rPr>
        <w:t>Dividend Payments</w:t>
      </w:r>
      <w:r>
        <w:rPr>
          <w:rFonts w:ascii="Arial" w:cs="Arial" w:eastAsia="Arial" w:hAnsi="Arial"/>
          <w:sz w:val="16"/>
          <w:szCs w:val="16"/>
          <w:color w:val="auto"/>
        </w:rPr>
        <w:t>. The primary source of funds for the Company is dividends from the Bank. Unless the approval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FDIC is obtained, the Bank may not declare or pay a dividend if the total of all dividends declared during the calendar year, including the proposed dividend, exceeds the sum of the Bank’s net income during the current calendar year and the retained net income of the prior two calendar years. In addition, pursuant to the Texas Finance Code, as a Texas banking association, the Bank generally may not pay a dividend that would reduce its outstanding capital and surplus unless it obtains the prior approval of the Texas Banking Commissioner. As a Texas corporation, we may, under the TBOC, pay dividends out of net profits after deducting expenses, including loan losses. The FDIC and the TDB also may, under certain circumstances, prohibit the payment of dividends to the Company from the Bank. Texas corporate law also requires that dividends only be paid out of funds legally available therefor.</w:t>
      </w:r>
    </w:p>
    <w:p>
      <w:pPr>
        <w:spacing w:after="0" w:line="58"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The payment of dividends by any financial institution is affected by the requirement to maintain adequate capital pursuant to applicable capital adequacy guidelines and regulations, and a financial institution generally is prohibited from paying any dividends if, following payment thereof, the institution would be undercapitalized. As described above, the Bank exceeded its minimum capital requirements under applicable regulatory guidelines as of December 31, 2018.</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08" w:name="page109"/>
    <w:bookmarkEnd w:id="10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firstLine="360"/>
        <w:spacing w:after="0" w:line="268" w:lineRule="auto"/>
        <w:rPr>
          <w:sz w:val="20"/>
          <w:szCs w:val="20"/>
          <w:color w:val="auto"/>
        </w:rPr>
      </w:pPr>
      <w:r>
        <w:rPr>
          <w:rFonts w:ascii="Arial" w:cs="Arial" w:eastAsia="Arial" w:hAnsi="Arial"/>
          <w:sz w:val="17"/>
          <w:szCs w:val="17"/>
          <w:b w:val="1"/>
          <w:bCs w:val="1"/>
          <w:i w:val="1"/>
          <w:iCs w:val="1"/>
          <w:color w:val="auto"/>
        </w:rPr>
        <w:t>Transactions with Affiliates</w:t>
      </w:r>
      <w:r>
        <w:rPr>
          <w:rFonts w:ascii="Arial" w:cs="Arial" w:eastAsia="Arial" w:hAnsi="Arial"/>
          <w:sz w:val="17"/>
          <w:szCs w:val="17"/>
          <w:color w:val="auto"/>
        </w:rPr>
        <w:t>. The Bank is subject to sections 23A and 23B of the Federal Reserve Act, or the Affiliates Act,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the Federal Reserve’s implementing Regulation W. An affiliate of a bank is any company or entity that controls, is controlled by or is under common control with the bank. Accordingly, transactions between the Company, the Bank and any non-bank subsidiaries will be subject to a number of restrictions. The Affiliates Act imposes restrictions and limitations on the Bank from making extensions of credit to, or the issuance of a guarantee or letter of credit on behalf of, the Company or other affiliates, the purchase of, or investment in, stock or other securities thereof, the taking of such securities as collateral for loans and the purchase of assets of the Company or other affiliates. Such restrictions and limitations prevent the Company or other affiliates from borrowing from the Bank unless the loans are secured by marketable obligations of designated amounts. Furthermore, such secured loans and investments by the Bank to or in the Company or to or in any other non-banking affiliate are limited, individually, to 10% of the Bank’s capital and surplus, and such transactions are limited in the aggregate to 20% of the Bank’s capital and surplus. All such transactions, as well as contracts entered into between the Bank and affiliates, must be on terms that are no less favorable to the Bank than those that would be available from non-affiliated third parties. Federal Reserve policies also forbid the payment by bank subsidiaries of management fees which are unreasonable in amount or exceed the fair market value of the services rendered or, if no market exists, actual costs plus a reasonable profit.</w:t>
      </w:r>
    </w:p>
    <w:p>
      <w:pPr>
        <w:spacing w:after="0" w:line="77" w:lineRule="exact"/>
        <w:rPr>
          <w:sz w:val="20"/>
          <w:szCs w:val="20"/>
          <w:color w:val="auto"/>
        </w:rPr>
      </w:pPr>
    </w:p>
    <w:p>
      <w:pPr>
        <w:ind w:right="160" w:firstLine="360"/>
        <w:spacing w:after="0" w:line="271" w:lineRule="auto"/>
        <w:rPr>
          <w:sz w:val="20"/>
          <w:szCs w:val="20"/>
          <w:color w:val="auto"/>
        </w:rPr>
      </w:pPr>
      <w:r>
        <w:rPr>
          <w:rFonts w:ascii="Arial" w:cs="Arial" w:eastAsia="Arial" w:hAnsi="Arial"/>
          <w:sz w:val="17"/>
          <w:szCs w:val="17"/>
          <w:b w:val="1"/>
          <w:bCs w:val="1"/>
          <w:i w:val="1"/>
          <w:iCs w:val="1"/>
          <w:color w:val="auto"/>
        </w:rPr>
        <w:t>Financial Subsidiaries</w:t>
      </w:r>
      <w:r>
        <w:rPr>
          <w:rFonts w:ascii="Arial" w:cs="Arial" w:eastAsia="Arial" w:hAnsi="Arial"/>
          <w:sz w:val="17"/>
          <w:szCs w:val="17"/>
          <w:color w:val="auto"/>
        </w:rPr>
        <w:t>. Under the GLBA, subject to certain conditions imposed by their respective banking regulators,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national and state-chartered banks are permitted to form “financial subsidiaries” that may conduct financial activities or activities incidental thereto, thereby permitting bank subsidiaries to engage in certain activities that previously were impermissible. The GLBA imposes several safeguards and restrictions on financial subsidiaries, including that the parent bank’s equity investment in the financial subsidiary be deducted from the bank’s assets and tangible equity for purposes of calculating the bank’s capital adequacy. In addition, the GLBA imposed new restrictions on transactions between a bank and its financial subsidiaries similar to restrictions applicable to transactions between banks and non-bank affiliates. As of December 31, 2018, the Bank did not have any financial subsidiaries.</w:t>
      </w:r>
    </w:p>
    <w:p>
      <w:pPr>
        <w:spacing w:after="0" w:line="71"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b w:val="1"/>
          <w:bCs w:val="1"/>
          <w:i w:val="1"/>
          <w:iCs w:val="1"/>
          <w:color w:val="auto"/>
        </w:rPr>
        <w:t>Loans to Directors, Executive Officers and Principal Shareholders</w:t>
      </w:r>
      <w:r>
        <w:rPr>
          <w:rFonts w:ascii="Arial" w:cs="Arial" w:eastAsia="Arial" w:hAnsi="Arial"/>
          <w:sz w:val="17"/>
          <w:szCs w:val="17"/>
          <w:color w:val="auto"/>
        </w:rPr>
        <w:t>. The authority of the Bank to extend credit to its directors,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 officers and principal shareholders, including their immediate family members and corporations and other entities that they control, is subject to substantial restrictions and requirements under the Federal Reserve’s Regulation O, as well as the Sarbanes-Oxley Act. These statutes and regulations impose limits on the amount of loans the Bank may make to directors and other insiders and require that the loans must be made on substantially the same terms, including interest rates and collateral, as prevailing at the time for comparable transactions with persons not affiliated with the Company or the Bank, that the Bank must follow credit underwriting procedures at least as stringent as those applicable to comparable transactions with persons who are not affiliated with the Company or the Bank and that the loans must not involve a greater than normal risk of non-payment or include other features not favorable to the Bank. Furthermore, the Bank must periodically report all loans made to directors and other insiders to the bank regulators. As of December 31, 2018, the Bank’s total amount of lines of credit for loans to insiders and loans outstanding to insiders was $10.0 million.</w:t>
      </w:r>
    </w:p>
    <w:p>
      <w:pPr>
        <w:spacing w:after="0" w:line="75" w:lineRule="exact"/>
        <w:rPr>
          <w:sz w:val="20"/>
          <w:szCs w:val="20"/>
          <w:color w:val="auto"/>
        </w:rPr>
      </w:pPr>
    </w:p>
    <w:p>
      <w:pPr>
        <w:ind w:right="120" w:firstLine="360"/>
        <w:spacing w:after="0" w:line="255" w:lineRule="auto"/>
        <w:rPr>
          <w:sz w:val="20"/>
          <w:szCs w:val="20"/>
          <w:color w:val="auto"/>
        </w:rPr>
      </w:pPr>
      <w:r>
        <w:rPr>
          <w:rFonts w:ascii="Arial" w:cs="Arial" w:eastAsia="Arial" w:hAnsi="Arial"/>
          <w:sz w:val="18"/>
          <w:szCs w:val="18"/>
          <w:b w:val="1"/>
          <w:bCs w:val="1"/>
          <w:i w:val="1"/>
          <w:iCs w:val="1"/>
          <w:color w:val="auto"/>
        </w:rPr>
        <w:t>Limits on Loans to One Borrower</w:t>
      </w:r>
      <w:r>
        <w:rPr>
          <w:rFonts w:ascii="Arial" w:cs="Arial" w:eastAsia="Arial" w:hAnsi="Arial"/>
          <w:sz w:val="18"/>
          <w:szCs w:val="18"/>
          <w:color w:val="auto"/>
        </w:rPr>
        <w:t>. As a Texas banking association, the Bank is subject to limits on the amount of loans it can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make to one borrower. With certain limited exceptions, loans and extensions of credit from Texas banking associations outstanding to any borrower (including certain related entities of the borrower) at any one time may not exceed 25% of the tier 1 capital of the Bank. A Texas banking association may lend an additional amount if the loan is fully secured by certain types of collateral, like bonds or notes of the United States. Certain types of loans are exempted from the lending limits, including loans secured by segregated deposits held by the Bank. The Bank’s legal lending limit to any one borrower was approximately $67.8 million as of December 31, 2018.</w:t>
      </w:r>
    </w:p>
    <w:p>
      <w:pPr>
        <w:spacing w:after="0" w:line="81" w:lineRule="exact"/>
        <w:rPr>
          <w:sz w:val="20"/>
          <w:szCs w:val="20"/>
          <w:color w:val="auto"/>
        </w:rPr>
      </w:pPr>
    </w:p>
    <w:p>
      <w:pPr>
        <w:ind w:right="400" w:firstLine="360"/>
        <w:spacing w:after="0" w:line="327" w:lineRule="auto"/>
        <w:rPr>
          <w:sz w:val="20"/>
          <w:szCs w:val="20"/>
          <w:color w:val="auto"/>
        </w:rPr>
      </w:pPr>
      <w:r>
        <w:rPr>
          <w:rFonts w:ascii="Arial" w:cs="Arial" w:eastAsia="Arial" w:hAnsi="Arial"/>
          <w:sz w:val="15"/>
          <w:szCs w:val="15"/>
          <w:b w:val="1"/>
          <w:bCs w:val="1"/>
          <w:i w:val="1"/>
          <w:iCs w:val="1"/>
          <w:color w:val="auto"/>
        </w:rPr>
        <w:t>Safety and Soundness Standards / Risk Management</w:t>
      </w:r>
      <w:r>
        <w:rPr>
          <w:rFonts w:ascii="Arial" w:cs="Arial" w:eastAsia="Arial" w:hAnsi="Arial"/>
          <w:sz w:val="15"/>
          <w:szCs w:val="15"/>
          <w:color w:val="auto"/>
        </w:rPr>
        <w:t>. The federal banking agencies have adopted guidelines establishing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operational and managerial standards to promote the safety and soundness of federally insured depository institutions. The guidelines set forth standards for internal controls, information systems, internal audit systems, loan documentation, credit underwriting, interest rate exposure, asset growth, compensation, fees and benefits, asset quality and earnings.</w:t>
      </w:r>
    </w:p>
    <w:p>
      <w:pPr>
        <w:spacing w:after="0" w:line="32"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In general, the safety and soundness guidelines prescribe the goals to be achieved in each area, and each institution is responsible for establishing its own procedures to achieve those goals. If an institution fails to comply with any of the standards set forth in the guidelines, the financial institution’s primary federal regulator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09" w:name="page110"/>
    <w:bookmarkEnd w:id="10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may require the institution to submit a plan for achieving and maintaining compliance. If a financial institution fails to submit an acceptable compliance plan, or fails in any material respect to implement a compliance plan that has been accepted by its primary federal regulator, the regulator is required to issue an order directing the institution to cure the deficiency. Until the deficiency cited in the regulator’s order is cured, the regulator may restrict the financial institution’s rate of growth, require the financial institution to increase its capital, restrict the rates the institution pays on deposits or require the institution to take any action the regulator deems appropriate under the circumstances. Noncompliance with the standards established by the safety and soundness guidelines may also constitute grounds for other enforcement action by the federal bank regulatory agencies, including cease and desist orders and civil money penalty assessments.</w:t>
      </w:r>
    </w:p>
    <w:p>
      <w:pPr>
        <w:spacing w:after="0" w:line="71" w:lineRule="exact"/>
        <w:rPr>
          <w:sz w:val="20"/>
          <w:szCs w:val="20"/>
          <w:color w:val="auto"/>
        </w:rPr>
      </w:pPr>
    </w:p>
    <w:p>
      <w:pPr>
        <w:ind w:right="60" w:firstLine="360"/>
        <w:spacing w:after="0" w:line="287" w:lineRule="auto"/>
        <w:rPr>
          <w:sz w:val="20"/>
          <w:szCs w:val="20"/>
          <w:color w:val="auto"/>
        </w:rPr>
      </w:pPr>
      <w:r>
        <w:rPr>
          <w:rFonts w:ascii="Arial" w:cs="Arial" w:eastAsia="Arial" w:hAnsi="Arial"/>
          <w:sz w:val="16"/>
          <w:szCs w:val="16"/>
          <w:color w:val="auto"/>
        </w:rPr>
        <w:t>During the past decade, the bank regulatory agencies have increasingly emphasized the importance of sound risk management processes and strong internal controls when evaluating the activities of the financial institutions they supervise. Properly managing risks has been identified as critical to the conduct of safe and sound banking activities and has become even more important as new technologies, product innovation and the size and speed of financial transactions have changed the nature of banking markets. The agencies have identified a spectrum of risks facing a banking institution including, but not limited to, credit, market, liquidity, operational, legal and reputational risk. In particular, recent regulatory pronouncements have focused on operational risk, which arises from the potential that inadequate information systems, operational problems, breaches in internal controls, fraud or unforeseen catastrophes will result in unexpected losses. New products and services, third party risk management and cybersecurity are critical sources of operational risk that financial institutions are expected to address in the current environment. The Bank is expected to have active board and senior management oversight; adequate policies, procedures and limits; adequate risk measurement, monitoring and management information systems; and comprehensive internal controls.</w:t>
      </w:r>
    </w:p>
    <w:p>
      <w:pPr>
        <w:spacing w:after="0" w:line="65" w:lineRule="exact"/>
        <w:rPr>
          <w:sz w:val="20"/>
          <w:szCs w:val="20"/>
          <w:color w:val="auto"/>
        </w:rPr>
      </w:pPr>
    </w:p>
    <w:p>
      <w:pPr>
        <w:ind w:right="180" w:firstLine="360"/>
        <w:spacing w:after="0" w:line="255" w:lineRule="auto"/>
        <w:rPr>
          <w:sz w:val="20"/>
          <w:szCs w:val="20"/>
          <w:color w:val="auto"/>
        </w:rPr>
      </w:pPr>
      <w:r>
        <w:rPr>
          <w:rFonts w:ascii="Arial" w:cs="Arial" w:eastAsia="Arial" w:hAnsi="Arial"/>
          <w:sz w:val="18"/>
          <w:szCs w:val="18"/>
          <w:b w:val="1"/>
          <w:bCs w:val="1"/>
          <w:i w:val="1"/>
          <w:iCs w:val="1"/>
          <w:color w:val="auto"/>
        </w:rPr>
        <w:t>Branching Authority</w:t>
      </w:r>
      <w:r>
        <w:rPr>
          <w:rFonts w:ascii="Arial" w:cs="Arial" w:eastAsia="Arial" w:hAnsi="Arial"/>
          <w:sz w:val="18"/>
          <w:szCs w:val="18"/>
          <w:color w:val="auto"/>
        </w:rPr>
        <w:t>. Deposit-taking banking offices must be approved by the FDIC and, if such office is established within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Texas, the TDB, which consider a number of factors including financial history, capital adequacy, earnings prospects, character of management, needs of the community and consistency with corporate power. The Dodd-Frank Act permits insured state banks to engage in interstate branching if the laws of the state where the new banking office is to be established would permit the establishment of the banking office if it were chartered by a bank in such state. Finally, the Company may also establish banking offices in other states by merging with banks or by purchasing banking offices of other banks in other states, subject to certain restrictions.</w:t>
      </w:r>
    </w:p>
    <w:p>
      <w:pPr>
        <w:spacing w:after="0" w:line="81" w:lineRule="exact"/>
        <w:rPr>
          <w:sz w:val="20"/>
          <w:szCs w:val="20"/>
          <w:color w:val="auto"/>
        </w:rPr>
      </w:pPr>
    </w:p>
    <w:p>
      <w:pPr>
        <w:ind w:right="240" w:firstLine="360"/>
        <w:spacing w:after="0" w:line="264" w:lineRule="auto"/>
        <w:rPr>
          <w:sz w:val="20"/>
          <w:szCs w:val="20"/>
          <w:color w:val="auto"/>
        </w:rPr>
      </w:pPr>
      <w:r>
        <w:rPr>
          <w:rFonts w:ascii="Arial" w:cs="Arial" w:eastAsia="Arial" w:hAnsi="Arial"/>
          <w:sz w:val="18"/>
          <w:szCs w:val="18"/>
          <w:b w:val="1"/>
          <w:bCs w:val="1"/>
          <w:i w:val="1"/>
          <w:iCs w:val="1"/>
          <w:color w:val="auto"/>
        </w:rPr>
        <w:t>Interstate Deposit Restrictions</w:t>
      </w:r>
      <w:r>
        <w:rPr>
          <w:rFonts w:ascii="Arial" w:cs="Arial" w:eastAsia="Arial" w:hAnsi="Arial"/>
          <w:sz w:val="18"/>
          <w:szCs w:val="18"/>
          <w:color w:val="auto"/>
        </w:rPr>
        <w:t>. The Interstate Act, together with the Dodd-Frank Act, relaxed prior branching restrictions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federal law by permitting, subject to regulatory approval, banks to establish branches in states where the laws permit banks chartered in such states to establish branches.</w:t>
      </w:r>
    </w:p>
    <w:p>
      <w:pPr>
        <w:spacing w:after="0" w:line="73" w:lineRule="exact"/>
        <w:rPr>
          <w:sz w:val="20"/>
          <w:szCs w:val="20"/>
          <w:color w:val="auto"/>
        </w:rPr>
      </w:pPr>
    </w:p>
    <w:p>
      <w:pPr>
        <w:ind w:right="60" w:firstLine="360"/>
        <w:spacing w:after="0" w:line="289" w:lineRule="auto"/>
        <w:rPr>
          <w:sz w:val="20"/>
          <w:szCs w:val="20"/>
          <w:color w:val="auto"/>
        </w:rPr>
      </w:pPr>
      <w:r>
        <w:rPr>
          <w:rFonts w:ascii="Arial" w:cs="Arial" w:eastAsia="Arial" w:hAnsi="Arial"/>
          <w:sz w:val="16"/>
          <w:szCs w:val="16"/>
          <w:color w:val="auto"/>
        </w:rPr>
        <w:t>Section 109 of the Interstate Act prohibits a bank from establishing or acquiring a branch or branches outside of its home state primarily for the purpose of deposit production. To determine compliance with Section 109, the appropriate federal banking agency first compares a bank’s estimated statewide loan-to-deposit ratio to the estimated host state loan-to-deposit ratio for a particular state. If a bank’s statewide loan-to-deposit ratio is at least one-half of the published host state loan-to-deposit ratio, the bank has complied with Section 109. A second step is conducted if a bank’s estimated statewide loan-to-deposit ratio is less than one-half of the published ratio for that state. The second step requires the appropriate agency to determine whether the bank is reasonably helping to meet the credit needs of the communities served by the bank’s interstate branches. A bank that fails both steps is in violation of Section 109 and subject to sanctions by the appropriate agency. Those sanctions may include requiring the bank’s interstate branches in the non-compliant state be closed or not permitting the bank to open new branches in the non-compliant state.</w:t>
      </w:r>
    </w:p>
    <w:p>
      <w:pPr>
        <w:spacing w:after="0" w:line="59"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For purposes of Section 109, the Bank’s home state is Texas and the Bank operates branches in one host state: New Mexico. The most recently published host state loan-to-deposit ratio using data as of June 30, 2017 reflects a statewide loan-to-deposit ratio in New Mexico of 62%. As of December 31, 2018, the Bank’s statewide loan-to-deposit ratio in New Mexico was 34%. Accordingly, management believes that the Bank is in compliance with Section 109 in New Mexico after application of the first step of the two-step test.</w:t>
      </w:r>
    </w:p>
    <w:p>
      <w:pPr>
        <w:spacing w:after="0" w:line="80" w:lineRule="exact"/>
        <w:rPr>
          <w:sz w:val="20"/>
          <w:szCs w:val="20"/>
          <w:color w:val="auto"/>
        </w:rPr>
      </w:pPr>
    </w:p>
    <w:p>
      <w:pPr>
        <w:ind w:right="180" w:firstLine="360"/>
        <w:spacing w:after="0" w:line="259" w:lineRule="auto"/>
        <w:rPr>
          <w:sz w:val="20"/>
          <w:szCs w:val="20"/>
          <w:color w:val="auto"/>
        </w:rPr>
      </w:pPr>
      <w:r>
        <w:rPr>
          <w:rFonts w:ascii="Arial" w:cs="Arial" w:eastAsia="Arial" w:hAnsi="Arial"/>
          <w:sz w:val="18"/>
          <w:szCs w:val="18"/>
          <w:b w:val="1"/>
          <w:bCs w:val="1"/>
          <w:i w:val="1"/>
          <w:iCs w:val="1"/>
          <w:color w:val="auto"/>
        </w:rPr>
        <w:t>Community Reinvestment Act</w:t>
      </w:r>
      <w:r>
        <w:rPr>
          <w:rFonts w:ascii="Arial" w:cs="Arial" w:eastAsia="Arial" w:hAnsi="Arial"/>
          <w:sz w:val="18"/>
          <w:szCs w:val="18"/>
          <w:color w:val="auto"/>
        </w:rPr>
        <w:t>. The CRA is intended to encourage insured depository institutions, while operating safely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soundly, to help meet the credit needs of their communities. The CRA specifically directs the federal bank regulatory agencies, in examining insured depository institutions, to assess their record of helping to meet the credit needs of their entire community, including low and moderate income neighborhoods,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10" w:name="page111"/>
    <w:bookmarkEnd w:id="11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consistent with safe and sound banking practices. The CRA further requires the agencies to take a financial institution’s record of meeting its community credit needs into account when evaluating applications for, among other things, domestic branches, consummating mergers or acquisitions or holding company formations.</w:t>
      </w:r>
    </w:p>
    <w:p>
      <w:pPr>
        <w:spacing w:after="0" w:line="73" w:lineRule="exact"/>
        <w:rPr>
          <w:sz w:val="20"/>
          <w:szCs w:val="20"/>
          <w:color w:val="auto"/>
        </w:rPr>
      </w:pPr>
    </w:p>
    <w:p>
      <w:pPr>
        <w:ind w:right="20" w:firstLine="360"/>
        <w:spacing w:after="0" w:line="276" w:lineRule="auto"/>
        <w:rPr>
          <w:sz w:val="20"/>
          <w:szCs w:val="20"/>
          <w:color w:val="auto"/>
        </w:rPr>
      </w:pPr>
      <w:r>
        <w:rPr>
          <w:rFonts w:ascii="Arial" w:cs="Arial" w:eastAsia="Arial" w:hAnsi="Arial"/>
          <w:sz w:val="17"/>
          <w:szCs w:val="17"/>
          <w:color w:val="auto"/>
        </w:rPr>
        <w:t>The federal banking agencies have adopted regulations which measure a bank’s compliance with its CRA obligations on a performance based evaluation system. This system bases CRA ratings on an institution’s actual lending service and investment performance rather than the extent to which the institution conducts needs assessments, documents community outreach or complies with other procedural requirements. The ratings range from a high of “outstanding” to a low of “substantial noncompliance.” The Bank had a CRA rating of “satisfactory” as of its most recent CRA assessment.</w:t>
      </w:r>
    </w:p>
    <w:p>
      <w:pPr>
        <w:spacing w:after="0" w:line="64" w:lineRule="exact"/>
        <w:rPr>
          <w:sz w:val="20"/>
          <w:szCs w:val="20"/>
          <w:color w:val="auto"/>
        </w:rPr>
      </w:pPr>
    </w:p>
    <w:p>
      <w:pPr>
        <w:ind w:firstLine="360"/>
        <w:spacing w:after="0" w:line="268" w:lineRule="auto"/>
        <w:rPr>
          <w:sz w:val="20"/>
          <w:szCs w:val="20"/>
          <w:color w:val="auto"/>
        </w:rPr>
      </w:pPr>
      <w:r>
        <w:rPr>
          <w:rFonts w:ascii="Arial" w:cs="Arial" w:eastAsia="Arial" w:hAnsi="Arial"/>
          <w:sz w:val="17"/>
          <w:szCs w:val="17"/>
          <w:b w:val="1"/>
          <w:bCs w:val="1"/>
          <w:i w:val="1"/>
          <w:iCs w:val="1"/>
          <w:color w:val="auto"/>
        </w:rPr>
        <w:t>Anti-Money Laundering and the Office of Foreign Assets Control Regulation</w:t>
      </w:r>
      <w:r>
        <w:rPr>
          <w:rFonts w:ascii="Arial" w:cs="Arial" w:eastAsia="Arial" w:hAnsi="Arial"/>
          <w:sz w:val="17"/>
          <w:szCs w:val="17"/>
          <w:color w:val="auto"/>
        </w:rPr>
        <w:t>. The USA PATRIOT Act is designed to deny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terrorists and criminals the ability to obtain access to the U.S. financial system and has significant implications for depository institutions, brokers, dealers and other businesses involved in the transfer of money. The USA PATRIOT Act substantially broadened the scope of United States AML laws and regulations by imposing significant compliance and due diligence obligations, created new crimes and penalties and expanded the extra territorial jurisdiction of the United States. Financial institutions are also prohibited from entering into specified financial transactions and account relationships, must use enhanced due diligence procedures in their dealings with certain types of high risk customers and must implement a written customer identification program. Financial institutions must take certain steps to assist government agencies in detecting and preventing money laundering and report certain types of suspicious transactions. Regulatory authorities routinely examine financial institutions for compliance with these obligations and failure of a financial institution to maintain and implement adequate programs to combat money laundering and terrorist financing, or to comply with the USA PATRIOT Act or its regulations, could have serious legal and reputational consequences for the institution, including causing applicable bank regulatory authorities not to approve merger or acquisition transactions when regulatory approval is required or to prohibit such transactions even if approval is not required. Regulatory authorities have imposed cease and desist orders and civil money penalties against institutions found to be in violation of these obligations.</w:t>
      </w:r>
    </w:p>
    <w:p>
      <w:pPr>
        <w:spacing w:after="0" w:line="75" w:lineRule="exact"/>
        <w:rPr>
          <w:sz w:val="20"/>
          <w:szCs w:val="20"/>
          <w:color w:val="auto"/>
        </w:rPr>
      </w:pPr>
    </w:p>
    <w:p>
      <w:pPr>
        <w:ind w:right="220" w:firstLine="360"/>
        <w:spacing w:after="0" w:line="277" w:lineRule="auto"/>
        <w:rPr>
          <w:sz w:val="20"/>
          <w:szCs w:val="20"/>
          <w:color w:val="auto"/>
        </w:rPr>
      </w:pPr>
      <w:r>
        <w:rPr>
          <w:rFonts w:ascii="Arial" w:cs="Arial" w:eastAsia="Arial" w:hAnsi="Arial"/>
          <w:sz w:val="18"/>
          <w:szCs w:val="18"/>
          <w:color w:val="auto"/>
        </w:rPr>
        <w:t>Among other requirements, the USA PATRIOT Act and implementing regulations require banks to establish AML programs that include, at a minimum:</w:t>
      </w:r>
    </w:p>
    <w:p>
      <w:pPr>
        <w:spacing w:after="0" w:line="62" w:lineRule="exact"/>
        <w:rPr>
          <w:sz w:val="20"/>
          <w:szCs w:val="20"/>
          <w:color w:val="auto"/>
        </w:rPr>
      </w:pPr>
    </w:p>
    <w:p>
      <w:pPr>
        <w:ind w:left="700" w:right="520" w:hanging="356"/>
        <w:spacing w:after="0" w:line="277" w:lineRule="auto"/>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internal policies, procedures and controls designed to implement and maintain the bank’s compliance with all of the requirements of the USA PATRIOT Act, the BSA and related laws and regulations;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systems and procedures for monitoring and reporting suspicious transactions and activities;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designated compliance officer;</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employee training;</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 independent audit function to test the AML program;</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procedures to verify the identity of each customer upon the opening of accounts;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heightened due diligence policies, procedures and controls applicable to certain foreign accounts and relationships.</w:t>
      </w:r>
    </w:p>
    <w:p>
      <w:pPr>
        <w:spacing w:after="0" w:line="129" w:lineRule="exact"/>
        <w:rPr>
          <w:sz w:val="20"/>
          <w:szCs w:val="20"/>
          <w:color w:val="auto"/>
        </w:rPr>
      </w:pPr>
    </w:p>
    <w:p>
      <w:pPr>
        <w:ind w:right="40" w:firstLine="360"/>
        <w:spacing w:after="0" w:line="270" w:lineRule="auto"/>
        <w:rPr>
          <w:sz w:val="20"/>
          <w:szCs w:val="20"/>
          <w:color w:val="auto"/>
        </w:rPr>
      </w:pPr>
      <w:r>
        <w:rPr>
          <w:rFonts w:ascii="Arial" w:cs="Arial" w:eastAsia="Arial" w:hAnsi="Arial"/>
          <w:sz w:val="17"/>
          <w:szCs w:val="17"/>
          <w:color w:val="auto"/>
        </w:rPr>
        <w:t>Additionally, the USA PATRIOT Act requires each financial institution to develop a customer identification program, or CIP, as part of its AML program. The key components of the CIP are identification, verification, government list comparison, notice and record retention. The purpose of the CIP is to enable the financial institution to determine the true identity and anticipated account activity of each customer. To make this determination, among other things, the financial institution must collect certain information from customers at the time they enter into the customer relationship with the financial institution. This information must be verified within a reasonable time through documentary and non-documentary methods. Furthermore, all customers must be screened against any CIP-related government lists of known or suspected terrorists. Financial institutions are also required to comply with various reporting and recordkeeping requirements. The Federal Reserve and the FDIC consider an applicant’s effectiveness in combating money laundering, among other factors, in connection with an application to approve a bank merger or acquisition of control of a bank or bank holding company.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11" w:name="page112"/>
    <w:bookmarkEnd w:id="11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Likewise, OFAC administers and enforces economic and trade sanctions against targeted foreign countries and regimes under authority of various laws, including designated foreign countries, nationals and others. OFAC publishes lists of specially designated targets and countries. Financial institutions are responsible for, among other things, blocking accounts of, and transactions with, such targets and countries, prohibiting unlicensed trade and financial transactions with them and reporting blocked transactions after their occurrence.</w:t>
      </w:r>
    </w:p>
    <w:p>
      <w:pPr>
        <w:spacing w:after="0" w:line="80" w:lineRule="exact"/>
        <w:rPr>
          <w:sz w:val="20"/>
          <w:szCs w:val="20"/>
          <w:color w:val="auto"/>
        </w:rPr>
      </w:pPr>
    </w:p>
    <w:p>
      <w:pPr>
        <w:ind w:right="220" w:firstLine="360"/>
        <w:spacing w:after="0" w:line="277" w:lineRule="auto"/>
        <w:rPr>
          <w:sz w:val="20"/>
          <w:szCs w:val="20"/>
          <w:color w:val="auto"/>
        </w:rPr>
      </w:pPr>
      <w:r>
        <w:rPr>
          <w:rFonts w:ascii="Arial" w:cs="Arial" w:eastAsia="Arial" w:hAnsi="Arial"/>
          <w:sz w:val="18"/>
          <w:szCs w:val="18"/>
          <w:color w:val="auto"/>
        </w:rPr>
        <w:t>Failure of a financial institution to maintain and implement adequate AML and OFAC programs, or to comply with all of the relevant laws or regulations, could have serious legal and reputational consequences for the institution.</w:t>
      </w:r>
    </w:p>
    <w:p>
      <w:pPr>
        <w:spacing w:after="0" w:line="62"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b w:val="1"/>
          <w:bCs w:val="1"/>
          <w:i w:val="1"/>
          <w:iCs w:val="1"/>
          <w:color w:val="auto"/>
        </w:rPr>
        <w:t>Concentrations in Commercial Real Estate</w:t>
      </w:r>
      <w:r>
        <w:rPr>
          <w:rFonts w:ascii="Arial" w:cs="Arial" w:eastAsia="Arial" w:hAnsi="Arial"/>
          <w:sz w:val="16"/>
          <w:szCs w:val="16"/>
          <w:color w:val="auto"/>
        </w:rPr>
        <w:t>. The federal banking agencies have promulgated guidance governing financial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institutions with concentrations in commercial real estate lending. The guidance provides that a bank has a concentration in commercial real estate lending if (i) total reported loans for construction, land development, and other land represent 100% or more of total capital or (ii) total reported loans secured by multifamily and non-farm nonresidential properties (excluding loans secured by owner-occupied properties) and loans for construction, land development, and other land represent 300% or more of total capital and the bank’s commercial real estate loan portfolio has increased 50% or more during the prior 36 months. If a concentration is present, management must employ heightened risk management practices that address the following key elements: including board and management oversight and strategic planning, portfolio management, development of underwriting standards, risk assessment and monitoring through market analysis and stress testing, and maintenance of increased capital levels as needed to support the level of commercial real estate lending. On December 18, 2015, the federal banking agencies jointly issued a “statement on prudent risk management for commercial real estate lending”. As of December 31, 2018, the Company did not exceed the levels to be considered to have a concentration in commercial real estate lending and believes its credit administration to be consistent with the recently published policy statement.</w:t>
      </w:r>
    </w:p>
    <w:p>
      <w:pPr>
        <w:spacing w:after="0" w:line="67" w:lineRule="exact"/>
        <w:rPr>
          <w:sz w:val="20"/>
          <w:szCs w:val="20"/>
          <w:color w:val="auto"/>
        </w:rPr>
      </w:pPr>
    </w:p>
    <w:p>
      <w:pPr>
        <w:ind w:right="380" w:firstLine="360"/>
        <w:spacing w:after="0" w:line="302" w:lineRule="auto"/>
        <w:rPr>
          <w:sz w:val="20"/>
          <w:szCs w:val="20"/>
          <w:color w:val="auto"/>
        </w:rPr>
      </w:pPr>
      <w:r>
        <w:rPr>
          <w:rFonts w:ascii="Arial" w:cs="Arial" w:eastAsia="Arial" w:hAnsi="Arial"/>
          <w:sz w:val="16"/>
          <w:szCs w:val="16"/>
          <w:color w:val="auto"/>
        </w:rPr>
        <w:t>The Basel III Capital Rules also require loans categorized as “high-volatility commercial real estate,” or HVCRE, to be assigned a 150% risk weighting and require additional capital support. However, the EGRRCPA, signed into law in May 2018, prohibits federal banking regulators from imposing higher capital standards on HVCRE exposures unless they are for ADC and clarifying ADC status. As of December 31, 2018, we had $221.7 million in ADC loans and $4.7 million in HVCRE loans.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Financial Services</w:t>
      </w:r>
    </w:p>
    <w:p>
      <w:pPr>
        <w:spacing w:after="0" w:line="121" w:lineRule="exact"/>
        <w:rPr>
          <w:sz w:val="20"/>
          <w:szCs w:val="20"/>
          <w:color w:val="auto"/>
        </w:rPr>
      </w:pPr>
    </w:p>
    <w:p>
      <w:pPr>
        <w:ind w:right="40" w:firstLine="360"/>
        <w:spacing w:after="0" w:line="268" w:lineRule="auto"/>
        <w:rPr>
          <w:sz w:val="20"/>
          <w:szCs w:val="20"/>
          <w:color w:val="auto"/>
        </w:rPr>
      </w:pPr>
      <w:r>
        <w:rPr>
          <w:rFonts w:ascii="Arial" w:cs="Arial" w:eastAsia="Arial" w:hAnsi="Arial"/>
          <w:sz w:val="17"/>
          <w:szCs w:val="17"/>
          <w:color w:val="auto"/>
        </w:rPr>
        <w:t>We are subject to a number of federal and state consumer protection laws that extensively govern our relationship with our customers. These laws include ECOA, the Fair Credit Reporting Act, the Truth in Lending Act, the Truth in Savings Act, the Electronic Fund Transfer Act, the Expedited Funds Availability Act, the Home Mortgage Disclosure Act, FHA, the Real Estate Settlement Procedures Act, the Fair Debt Collection Practices Act, the Service Members Civil Relief Act, the Military Lending Act, and these laws’ respective state law counterparts, as well as state usury laws and laws regarding unfair and deceptive acts and practices. These and other federal laws, among other things, require disclosures of the cost of credit and terms of deposit accounts, provide substantive consumer rights, prohibit discrimination in credit transactions, regulate the use of credit report information, provide financial privacy protections, prohibit unfair, deceptive and abusive practices and subject us to substantial regulatory oversight. Violations of applicable consumer protection laws can result in significant potential liability from litigation brought by customers, including actual damages, restitution and attorneys’ fees. Federal bank regulators, state attorneys general and state and local consumer protection agencies may also seek to enforce consumer protection requirements and obtain these and other remedies, including regulatory sanctions, customer rescission rights, action by the state and local attorneys general in each jurisdiction in which we operate and civil money penalties. Failure to comply with consumer protection requirements may also result in failure to obtain any required bank regulatory approval for mergers or acquisitions or prohibition from engaging in such transactions even if approval is not required.</w:t>
      </w:r>
    </w:p>
    <w:p>
      <w:pPr>
        <w:spacing w:after="0" w:line="75" w:lineRule="exact"/>
        <w:rPr>
          <w:sz w:val="20"/>
          <w:szCs w:val="20"/>
          <w:color w:val="auto"/>
        </w:rPr>
      </w:pPr>
    </w:p>
    <w:p>
      <w:pPr>
        <w:ind w:right="20" w:firstLine="360"/>
        <w:spacing w:after="0" w:line="279" w:lineRule="auto"/>
        <w:rPr>
          <w:sz w:val="20"/>
          <w:szCs w:val="20"/>
          <w:color w:val="auto"/>
        </w:rPr>
      </w:pPr>
      <w:r>
        <w:rPr>
          <w:rFonts w:ascii="Arial" w:cs="Arial" w:eastAsia="Arial" w:hAnsi="Arial"/>
          <w:sz w:val="17"/>
          <w:szCs w:val="17"/>
          <w:color w:val="auto"/>
        </w:rPr>
        <w:t>Many states and local jurisdictions have consumer protection laws analogous, and in addition, to those listed above. These state and local laws regulate the manner in which financial institutions deal with customers when taking deposits, making loans or conducting other types of transactions. Failure to comply with these laws and regulations could give rise to regulatory sanctions, customer rescission rights, action by state and local attorneys general and civil or criminal liability.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12" w:name="page113"/>
    <w:bookmarkEnd w:id="11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color w:val="auto"/>
        </w:rPr>
        <w:t>Rulemaking authority for most federal consumer protection laws was transferred from the prudential regulators to the CFPB on July 21, 2011. In some cases, regulators such as the Federal Trade Commission and the DOJ also retain certain rulemaking or enforcement authority. The CFPB also has broad authority to prohibit unfair, deceptive and abusive acts and practices, or UDAAP, and to investigate and penalize financial institutions that violate this prohibition. While the statutory language of the Dodd-Frank Act sets forth the standards for acts and practices that violate the prohibition on UDAAP, certain aspects of these standards are untested, and thus it is currently not possible to predict how the CFPB will exercise this authority.</w:t>
      </w:r>
    </w:p>
    <w:p>
      <w:pPr>
        <w:spacing w:after="0" w:line="57" w:lineRule="exact"/>
        <w:rPr>
          <w:sz w:val="20"/>
          <w:szCs w:val="20"/>
          <w:color w:val="auto"/>
        </w:rPr>
      </w:pPr>
    </w:p>
    <w:p>
      <w:pPr>
        <w:ind w:right="20" w:firstLine="360"/>
        <w:spacing w:after="0" w:line="268" w:lineRule="auto"/>
        <w:rPr>
          <w:sz w:val="20"/>
          <w:szCs w:val="20"/>
          <w:color w:val="auto"/>
        </w:rPr>
      </w:pPr>
      <w:r>
        <w:rPr>
          <w:rFonts w:ascii="Arial" w:cs="Arial" w:eastAsia="Arial" w:hAnsi="Arial"/>
          <w:sz w:val="17"/>
          <w:szCs w:val="17"/>
          <w:color w:val="auto"/>
        </w:rPr>
        <w:t>The consumer protection provisions of the Dodd-Frank Act and the examination, supervision and enforcement of those laws and implementing regulations by the CFPB have created a more intense and complex environment for consumer finance regulation. The CFPB has significant authority to implement and enforce federal consumer protection laws and new requirements for financial services products provided for in the Dodd-Frank Act, as well as the authority to identify and prohibit UDAAP. The review of products and practices to prevent such acts and practices is a continuing focus of the CFPB, and of banking regulators more broadly. The ultimate impact of this heightened scrutiny is uncertain but could result in changes to pricing, practices, products and procedures. It could also result in increased costs related to regulatory oversight, supervision and examination, additional remediation efforts and possible penalties. In addition, the Dodd-Frank Act provides the CFPB with broad supervisory, examination and enforcement authority over various consumer financial products and services, including the ability to require reimbursements and other payments to customers for alleged legal violations and to impose significant penalties, as well as injunctive relief that prohibits lenders from engaging in allegedly unlawful practices. The CFPB also has the authority to obtain cease and desist orders providing for affirmative relief or monetary penalties. The Dodd-Frank Act does not prevent states from adopting stricter consumer protection standards. State regulation of financial products and potential enforcement actions could also adversely affect our business, financial condition or results of operations.</w:t>
      </w:r>
    </w:p>
    <w:p>
      <w:pPr>
        <w:spacing w:after="0" w:line="77" w:lineRule="exact"/>
        <w:rPr>
          <w:sz w:val="20"/>
          <w:szCs w:val="20"/>
          <w:color w:val="auto"/>
        </w:rPr>
      </w:pPr>
    </w:p>
    <w:p>
      <w:pPr>
        <w:ind w:right="120" w:firstLine="360"/>
        <w:spacing w:after="0" w:line="342" w:lineRule="auto"/>
        <w:rPr>
          <w:sz w:val="20"/>
          <w:szCs w:val="20"/>
          <w:color w:val="auto"/>
        </w:rPr>
      </w:pPr>
      <w:r>
        <w:rPr>
          <w:rFonts w:ascii="Arial" w:cs="Arial" w:eastAsia="Arial" w:hAnsi="Arial"/>
          <w:sz w:val="16"/>
          <w:szCs w:val="16"/>
          <w:color w:val="auto"/>
        </w:rPr>
        <w:t>The CFPB has examination and enforcement authority over providers with more than $10 billion in assets. Banks and savings institutions with $10 billion or less in assets, like the Bank, will continue to be examined by their applicable bank regulators.</w:t>
      </w:r>
    </w:p>
    <w:p>
      <w:pPr>
        <w:spacing w:after="0" w:line="16"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b w:val="1"/>
          <w:bCs w:val="1"/>
          <w:i w:val="1"/>
          <w:iCs w:val="1"/>
          <w:color w:val="auto"/>
        </w:rPr>
        <w:t>Mortgage and Mortgage-Related Products, Generally</w:t>
      </w:r>
      <w:r>
        <w:rPr>
          <w:rFonts w:ascii="Arial" w:cs="Arial" w:eastAsia="Arial" w:hAnsi="Arial"/>
          <w:sz w:val="17"/>
          <w:szCs w:val="17"/>
          <w:color w:val="auto"/>
        </w:rPr>
        <w:t>. Because abuses in connection with home mortgages were a significant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factor contributing to the financial crisis, many provisions of the Dodd-Frank Act and rules issued thereunder address mortgage and mortgage-related products, their underwriting, origination, servicing and sales. The Dodd-Frank Act significantly expands underwriting requirements applicable to loans secured by 1-4 family residential real property and augmented federal law combating predatory lending practices. In addition to numerous disclosure requirements, the Dodd-Frank Act imposes new standards for mortgage loan originations on all lenders, including banks, in an effort to strongly encourage lenders to verify a borrower’s ability to repay, while also establishing a presumption of compliance for certain “qualified mortgages.” The Dodd-Frank Act generally requires lenders or securitizers to retain an economic interest in the credit risk relating to loans that the lender sells, and other asset-backed securities that the securitizer issues, if the loans do not comply with the ability-to-repay standards described below. The Bank does not currently expect these provisions of the Dodd-Frank Act or any related regulations to have a significant impact on its operations, except for higher compliance costs.</w:t>
      </w:r>
    </w:p>
    <w:p>
      <w:pPr>
        <w:spacing w:after="0" w:line="75"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b w:val="1"/>
          <w:bCs w:val="1"/>
          <w:i w:val="1"/>
          <w:iCs w:val="1"/>
          <w:color w:val="auto"/>
        </w:rPr>
        <w:t>Ability-to-Repay Requirement and Qualified Mortgage Rule</w:t>
      </w:r>
      <w:r>
        <w:rPr>
          <w:rFonts w:ascii="Arial" w:cs="Arial" w:eastAsia="Arial" w:hAnsi="Arial"/>
          <w:sz w:val="17"/>
          <w:szCs w:val="17"/>
          <w:color w:val="auto"/>
        </w:rPr>
        <w:t>. In January 2013, the CFPB issued a final rule implementing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Dodd-Frank Act’s ability-to-repay requirements. Under this rule, lenders, in assessing a borrower’s ability to repay a mortgage-related obligation, must consider eight underwriting factors: (i) current or reasonably expected income or assets; (ii) current employment status; (iii) monthly payment on the subject transaction; (iv) monthly payment on any simultaneous loan; (v) monthly payment for all mortgage-related obligations; (vi) current debt obligations, alimony, and child support; (vii) monthly debt-to-income ratio or residual income; and (viii) credit history. This rule also includes guidance regarding the application of, and methodology for evaluating, these factors. The EGRRCPA provides that for certain insured depository institutions and insured credit unions with less than $10 billion in total consolidated assets, mortgage loans that are originated and retained in portfolio will automatically be deemed to satisfy the “ability to repay” requirement. To qualify for this treatment, the insured depository institutions and credit unions must meet conditions relating to prepayment penalties, points and fees, negative amortization, interest-only features and documentation.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13" w:name="page114"/>
    <w:bookmarkEnd w:id="11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Compensation Guidance</w:t>
      </w:r>
    </w:p>
    <w:p>
      <w:pPr>
        <w:spacing w:after="0" w:line="121" w:lineRule="exact"/>
        <w:rPr>
          <w:sz w:val="20"/>
          <w:szCs w:val="20"/>
          <w:color w:val="auto"/>
        </w:rPr>
      </w:pPr>
    </w:p>
    <w:p>
      <w:pPr>
        <w:ind w:right="20" w:firstLine="360"/>
        <w:spacing w:after="0" w:line="268" w:lineRule="auto"/>
        <w:rPr>
          <w:sz w:val="20"/>
          <w:szCs w:val="20"/>
          <w:color w:val="auto"/>
        </w:rPr>
      </w:pPr>
      <w:r>
        <w:rPr>
          <w:rFonts w:ascii="Arial" w:cs="Arial" w:eastAsia="Arial" w:hAnsi="Arial"/>
          <w:sz w:val="17"/>
          <w:szCs w:val="17"/>
          <w:color w:val="auto"/>
        </w:rPr>
        <w:t>The federal bank regulatory agencies have issued comprehensive guidance intended to ensure that the incentive compensation policies of banking organizations do not undermine the safety and soundness of those organizations by encouraging excessive risk-taking. The incentive compensation guidance sets expectations for banking organizations concerning their incentive compensation arrangements and related risk-management, control and governance processes. The incentive compensation guidance, which covers all employees that have the ability to materially affect the risk profile of an organization, either individually or as part of a group, is based upon three primary principles: (1) balanced risk-taking incentives; (2) compatibility with effective controls and risk management; and (3) strong corporate governance. Any deficiencies in compensation practices that are identified may be incorporated into the organization’s supervisory ratings, which can affect its ability to make acquisitions or take other actions. In addition, under the incentive compensation guidance, a banking organization’s federal supervisor may initiate enforcement action if the organization’s incentive compensation arrangements pose a risk to the safety and soundness of the organization. Further, the Basel III capital rules limit discretionary bonus payments to bank executives if the institution’s regulatory capital ratios fail to exceed certain thresholds. Although the federal bank regulatory agencies proposed additional rules in 2016 related to incentive compensation for all banks with more than $1.0 billion in assets, those rules have not yet been finalized. The scope and content of the U.S. banking regulators’ policies on executive compensation are continuing to develop and are likely to continue evolving in the near future.</w:t>
      </w:r>
    </w:p>
    <w:p>
      <w:pPr>
        <w:spacing w:after="0" w:line="75"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The Dodd-Frank Act requires public companies to include, at least once every three years, a separate non-binding “say-on-pay” vote in their proxy statement by which shareholders may vote on the compensation of the public company’s named executive officers. In addition, if such public companies are involved in a merger, acquisition, or consolidation, or if they propose to sell or dispose of all or substantially all of their assets, shareholders have a right to an advisory vote on any golden parachute arrangements in connection with such transaction (frequently referred to as “say-on-golden parachute” vote). Although we will be exempt from these requirements while we are an emerging growth company, other provisions of the Dodd-Frank Act may impact our corporate governance. For instance, the SEC adopted rules prohibiting the listing of any equity security of a company that does not have a compensation committee consisting solely of independent directors, subject to certain exceptions. In addition, the Dodd-Frank Act requires the SEC to adopt rules requiring all exchange-traded companies to adopt claw-back policies for incentive compensation paid to executive officers in the event of accounting restatements based on material non-compliance with financial reporting requirements. Those rules, however, have not yet been finalized. The scope and content of the U.S. banking regulators’ policies on executive compensation are continuing to develop and are likely to continue evolving in the near future.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Privacy</w:t>
      </w:r>
    </w:p>
    <w:p>
      <w:pPr>
        <w:spacing w:after="0" w:line="121" w:lineRule="exact"/>
        <w:rPr>
          <w:sz w:val="20"/>
          <w:szCs w:val="20"/>
          <w:color w:val="auto"/>
        </w:rPr>
      </w:pPr>
    </w:p>
    <w:p>
      <w:pPr>
        <w:ind w:right="40" w:firstLine="360"/>
        <w:spacing w:after="0" w:line="290" w:lineRule="auto"/>
        <w:rPr>
          <w:sz w:val="20"/>
          <w:szCs w:val="20"/>
          <w:color w:val="auto"/>
        </w:rPr>
      </w:pPr>
      <w:r>
        <w:rPr>
          <w:rFonts w:ascii="Arial" w:cs="Arial" w:eastAsia="Arial" w:hAnsi="Arial"/>
          <w:sz w:val="16"/>
          <w:szCs w:val="16"/>
          <w:color w:val="auto"/>
        </w:rPr>
        <w:t>The federal bank regulatory agencies have adopted rules that limit the ability of banks and other financial institutions to disclose non-public information about consumers to non-affiliated third parties. These limitations require disclosure of privacy policies to consumers and, in some circumstances, allow consumers to prevent disclosure of certain personal information to a non-affiliated third party. These regulations affect how consumer information is transmitted through financial services companies and conveyed to outside vendors. In addition, consumers may also prevent disclosure of certain information among affiliated companies that is assembled or used to determine eligibility for a product or service, such as that shown on consumer credit reports and asset and income information from applications. Consumers also have the option to direct banks and other financial institutions not to share information about transactions and experiences with affiliated companies for the purpose of marketing products or services.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Monetary Policy</w:t>
      </w:r>
    </w:p>
    <w:p>
      <w:pPr>
        <w:spacing w:after="0" w:line="121" w:lineRule="exact"/>
        <w:rPr>
          <w:sz w:val="20"/>
          <w:szCs w:val="20"/>
          <w:color w:val="auto"/>
        </w:rPr>
      </w:pPr>
    </w:p>
    <w:p>
      <w:pPr>
        <w:ind w:right="320" w:firstLine="360"/>
        <w:spacing w:after="0" w:line="297" w:lineRule="auto"/>
        <w:rPr>
          <w:sz w:val="20"/>
          <w:szCs w:val="20"/>
          <w:color w:val="auto"/>
        </w:rPr>
      </w:pPr>
      <w:r>
        <w:rPr>
          <w:rFonts w:ascii="Arial" w:cs="Arial" w:eastAsia="Arial" w:hAnsi="Arial"/>
          <w:sz w:val="16"/>
          <w:szCs w:val="16"/>
          <w:color w:val="auto"/>
        </w:rPr>
        <w:t>The monetary policy of the Federal Reserve has a significant effect on the operating results of financial or bank holding companies and their subsidiaries. Among the tools available to the Federal Reserve to affect the money supply are open market transactions in U.S. government securities, changes in the discount rate on member bank borrowings and changes in reserve requirements against member bank deposits. These tools are used in varying combinations to influence overall growth and distribution of bank loans, investments and deposits, and their use may affect interest rates charged on loans or paid on deposits.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14" w:name="page115"/>
    <w:bookmarkEnd w:id="11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Banking Reform Legislation</w:t>
      </w:r>
    </w:p>
    <w:p>
      <w:pPr>
        <w:spacing w:after="0" w:line="121"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The EGRRCPA directs the federal banking agencies to develop a specified Community Bank Leverage Ratio (i.e., the ratio of a bank’s equity capital to its consolidated assets) of not less than 8% and not more than 10%. Banks and bank holding companies with less than $10 billion in total assets that maintain capital in excess of this ratio will be deemed to be in compliance with all other capital and leverage requirements. Federal banking agencies may consider a company’s risk profile when evaluating whether it qualifies as a community bank for purposes of the Community Bank Leverage Ratio.</w:t>
      </w:r>
    </w:p>
    <w:p>
      <w:pPr>
        <w:spacing w:after="0" w:line="64" w:lineRule="exact"/>
        <w:rPr>
          <w:sz w:val="20"/>
          <w:szCs w:val="20"/>
          <w:color w:val="auto"/>
        </w:rPr>
      </w:pPr>
    </w:p>
    <w:p>
      <w:pPr>
        <w:ind w:right="20" w:firstLine="360"/>
        <w:spacing w:after="0" w:line="287" w:lineRule="auto"/>
        <w:rPr>
          <w:sz w:val="20"/>
          <w:szCs w:val="20"/>
          <w:color w:val="auto"/>
        </w:rPr>
      </w:pPr>
      <w:r>
        <w:rPr>
          <w:rFonts w:ascii="Arial" w:cs="Arial" w:eastAsia="Arial" w:hAnsi="Arial"/>
          <w:sz w:val="16"/>
          <w:szCs w:val="16"/>
          <w:color w:val="auto"/>
        </w:rPr>
        <w:t>Other key provisions of the EGRRCPA as it relates to community banks and bank holding companies include, but are not limited to: (i) designating mortgages held in portfolio as “qualified mortgages” for banks with less than $10 billion in assets, subject to certain documentation and product limitations; (ii) exempting banks with less than $10 billion in assets (and total trading assets and trading liabilities of 5% or less of total assets) from Volcker Rule requirements relating to proprietary trading; (iii) simplifying capital calculations for banks with less than $10 billion in assets by requiring federal banking agencies to establish a community bank leverage ratio of tangible equity to average consolidated assets of not less than 8% or more than 10%, and provide that banks that maintain tangible equity in excess of such ratio will be deemed to be in compliance with risk-based capital and leverage requirements; (iv) assisting smaller banks with obtaining stable funding by providing an exception for reciprocal deposits from FDIC restrictions on acceptance of brokered deposits; (v) raising the eligibility for use of short-form Call Reports from $1 billion to $5 billion in assets; (vi) clarifying definitions pertaining to HVCRE, which require higher capital allocations, so that only loans with increased risk are subject to higher risk weightings; and (vii) changing the eligibility for use of the small bank holding company policy statement from institutions with under $1 billion in assets to institutions with under $3 billion in assets.</w:t>
      </w:r>
    </w:p>
    <w:p>
      <w:pPr>
        <w:spacing w:after="0" w:line="61"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At this time, it is difficult to anticipate the continued impact this expansive legislation will have on the Company, its customers and the financial industry generally. To the extent the Dodd-Frank Act remains in place or is not further amended, it is likely to continue to increase the Company’s cost of doing business, limit the Bank’s permissible activities, and affect the competitive balance within the industry and market.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Pending and Proposed Legislation</w:t>
      </w:r>
    </w:p>
    <w:p>
      <w:pPr>
        <w:spacing w:after="0" w:line="121" w:lineRule="exact"/>
        <w:rPr>
          <w:sz w:val="20"/>
          <w:szCs w:val="20"/>
          <w:color w:val="auto"/>
        </w:rPr>
      </w:pPr>
    </w:p>
    <w:p>
      <w:pPr>
        <w:ind w:right="80" w:firstLine="360"/>
        <w:spacing w:after="0" w:line="272" w:lineRule="auto"/>
        <w:rPr>
          <w:sz w:val="20"/>
          <w:szCs w:val="20"/>
          <w:color w:val="auto"/>
        </w:rPr>
      </w:pPr>
      <w:r>
        <w:rPr>
          <w:rFonts w:ascii="Arial" w:cs="Arial" w:eastAsia="Arial" w:hAnsi="Arial"/>
          <w:sz w:val="17"/>
          <w:szCs w:val="17"/>
          <w:color w:val="auto"/>
        </w:rPr>
        <w:t>Other legislative and regulatory initiatives which could affect the Company, the Bank and the banking industry in general may be proposed or introduced before the U.S. Congress, the Texas Legislature and other governmental bodies in the future. Such proposals, if enacted, may further alter the structure, regulation and competitive relationship among financial institutions, and may subject the Company or the Bank to increased regulation, disclosure and reporting requirements. In addition, the various banking regulatory agencies often adopt new rules and regulations to implement and enforce existing legislation. It cannot be predicted whether, or in what form, any such legislation or regulations may be enacted or the extent to which the business of the Company or the Bank would be affected thereby.</w:t>
      </w:r>
    </w:p>
    <w:p>
      <w:pPr>
        <w:spacing w:after="0" w:line="70"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Although the majority of the Dodd-Frank Act’s rulemaking requirements have been met with finalized rules, approximately one-fifth of the rulemaking requirements are either still in the proposal stage or have not yet been proposed. On February 2, 2017, the President signed an executive order calling for the administration to review various U.S. financial laws and regulations. The full scope of the current administration’s legislative and regulatory agenda is not yet fully known, but it may include further deregulatory measures for the banking industry, including the structure and powers of the CFPB and other areas under the Dodd-Frank Act.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15" w:name="page116"/>
    <w:bookmarkEnd w:id="11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right="260" w:firstLine="360"/>
        <w:spacing w:after="0" w:line="329" w:lineRule="auto"/>
        <w:rPr>
          <w:sz w:val="20"/>
          <w:szCs w:val="20"/>
          <w:color w:val="auto"/>
        </w:rPr>
      </w:pPr>
      <w:r>
        <w:rPr>
          <w:rFonts w:ascii="Arial" w:cs="Arial" w:eastAsia="Arial" w:hAnsi="Arial"/>
          <w:sz w:val="16"/>
          <w:szCs w:val="16"/>
          <w:color w:val="auto"/>
        </w:rPr>
        <w:t>The table below provides information about our executive officers and directors. Our board of directors is divided into three classes, the terms of which expire at our annual shareholders’ meeting in 2020, 2021, and 2022. Ages are as of April 29, 2019.</w:t>
      </w:r>
    </w:p>
    <w:tbl>
      <w:tblPr>
        <w:tblLayout w:type="fixed"/>
        <w:tblInd w:w="0" w:type="dxa"/>
        <w:tblCellMar>
          <w:top w:w="0" w:type="dxa"/>
          <w:left w:w="0" w:type="dxa"/>
          <w:bottom w:w="0" w:type="dxa"/>
          <w:right w:w="0" w:type="dxa"/>
        </w:tblCellMar>
      </w:tblPr>
      <w:tr>
        <w:trPr>
          <w:trHeight w:val="162"/>
        </w:trPr>
        <w:tc>
          <w:tcPr>
            <w:tcW w:w="1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0"/>
              </w:rPr>
              <w:t>Company</w:t>
            </w:r>
          </w:p>
        </w:tc>
      </w:tr>
      <w:tr>
        <w:trPr>
          <w:trHeight w:val="162"/>
        </w:trPr>
        <w:tc>
          <w:tcPr>
            <w:tcW w:w="1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3"/>
              </w:rPr>
              <w:t>Company</w:t>
            </w:r>
          </w:p>
        </w:tc>
        <w:tc>
          <w:tcPr>
            <w:tcW w:w="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3"/>
              </w:rPr>
              <w:t>Director</w:t>
            </w:r>
          </w:p>
        </w:tc>
      </w:tr>
      <w:tr>
        <w:trPr>
          <w:trHeight w:val="162"/>
        </w:trPr>
        <w:tc>
          <w:tcPr>
            <w:tcW w:w="1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3"/>
              </w:rPr>
              <w:t>Director</w:t>
            </w:r>
          </w:p>
        </w:tc>
        <w:tc>
          <w:tcPr>
            <w:tcW w:w="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7"/>
              </w:rPr>
              <w:t>Until /</w:t>
            </w:r>
          </w:p>
        </w:tc>
      </w:tr>
      <w:tr>
        <w:trPr>
          <w:trHeight w:val="171"/>
        </w:trPr>
        <w:tc>
          <w:tcPr>
            <w:tcW w:w="1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40" w:type="dxa"/>
            <w:vAlign w:val="bottom"/>
          </w:tcPr>
          <w:p>
            <w:pPr>
              <w:spacing w:after="0"/>
              <w:rPr>
                <w:sz w:val="14"/>
                <w:szCs w:val="14"/>
                <w:color w:val="auto"/>
              </w:rPr>
            </w:pPr>
          </w:p>
        </w:tc>
        <w:tc>
          <w:tcPr>
            <w:tcW w:w="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40" w:type="dxa"/>
            <w:vAlign w:val="bottom"/>
          </w:tcPr>
          <w:p>
            <w:pPr>
              <w:spacing w:after="0"/>
              <w:rPr>
                <w:sz w:val="14"/>
                <w:szCs w:val="14"/>
                <w:color w:val="auto"/>
              </w:rPr>
            </w:pPr>
          </w:p>
        </w:tc>
        <w:tc>
          <w:tcPr>
            <w:tcW w:w="292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Position with the Company</w:t>
            </w:r>
          </w:p>
        </w:tc>
        <w:tc>
          <w:tcPr>
            <w:tcW w:w="40" w:type="dxa"/>
            <w:vAlign w:val="bottom"/>
          </w:tcPr>
          <w:p>
            <w:pPr>
              <w:spacing w:after="0"/>
              <w:rPr>
                <w:sz w:val="14"/>
                <w:szCs w:val="14"/>
                <w:color w:val="auto"/>
              </w:rPr>
            </w:pPr>
          </w:p>
        </w:tc>
        <w:tc>
          <w:tcPr>
            <w:tcW w:w="274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Position with the Bank</w:t>
            </w:r>
          </w:p>
        </w:tc>
        <w:tc>
          <w:tcPr>
            <w:tcW w:w="4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Since</w:t>
            </w:r>
          </w:p>
        </w:tc>
        <w:tc>
          <w:tcPr>
            <w:tcW w:w="4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Class</w:t>
            </w:r>
          </w:p>
        </w:tc>
      </w:tr>
      <w:tr>
        <w:trPr>
          <w:trHeight w:val="222"/>
        </w:trPr>
        <w:tc>
          <w:tcPr>
            <w:tcW w:w="1800" w:type="dxa"/>
            <w:vAlign w:val="bottom"/>
          </w:tcPr>
          <w:p>
            <w:pPr>
              <w:spacing w:after="0"/>
              <w:rPr>
                <w:sz w:val="20"/>
                <w:szCs w:val="20"/>
                <w:color w:val="auto"/>
              </w:rPr>
            </w:pPr>
            <w:r>
              <w:rPr>
                <w:rFonts w:ascii="Arial" w:cs="Arial" w:eastAsia="Arial" w:hAnsi="Arial"/>
                <w:sz w:val="18"/>
                <w:szCs w:val="18"/>
                <w:color w:val="auto"/>
              </w:rPr>
              <w:t>Curtis C. Griffith</w:t>
            </w:r>
          </w:p>
        </w:tc>
        <w:tc>
          <w:tcPr>
            <w:tcW w:w="300" w:type="dxa"/>
            <w:vAlign w:val="bottom"/>
            <w:gridSpan w:val="2"/>
          </w:tcPr>
          <w:p>
            <w:pPr>
              <w:jc w:val="center"/>
              <w:spacing w:after="0"/>
              <w:rPr>
                <w:sz w:val="20"/>
                <w:szCs w:val="20"/>
                <w:color w:val="auto"/>
              </w:rPr>
            </w:pPr>
            <w:r>
              <w:rPr>
                <w:rFonts w:ascii="Arial" w:cs="Arial" w:eastAsia="Arial" w:hAnsi="Arial"/>
                <w:sz w:val="18"/>
                <w:szCs w:val="18"/>
                <w:color w:val="auto"/>
                <w:w w:val="89"/>
              </w:rPr>
              <w:t>66</w:t>
            </w:r>
          </w:p>
        </w:tc>
        <w:tc>
          <w:tcPr>
            <w:tcW w:w="40" w:type="dxa"/>
            <w:vAlign w:val="bottom"/>
          </w:tcPr>
          <w:p>
            <w:pPr>
              <w:spacing w:after="0"/>
              <w:rPr>
                <w:sz w:val="19"/>
                <w:szCs w:val="19"/>
                <w:color w:val="auto"/>
              </w:rPr>
            </w:pPr>
          </w:p>
        </w:tc>
        <w:tc>
          <w:tcPr>
            <w:tcW w:w="2920" w:type="dxa"/>
            <w:vAlign w:val="bottom"/>
          </w:tcPr>
          <w:p>
            <w:pPr>
              <w:ind w:left="20"/>
              <w:spacing w:after="0"/>
              <w:rPr>
                <w:sz w:val="20"/>
                <w:szCs w:val="20"/>
                <w:color w:val="auto"/>
              </w:rPr>
            </w:pPr>
            <w:r>
              <w:rPr>
                <w:rFonts w:ascii="Arial" w:cs="Arial" w:eastAsia="Arial" w:hAnsi="Arial"/>
                <w:sz w:val="18"/>
                <w:szCs w:val="18"/>
                <w:color w:val="auto"/>
              </w:rPr>
              <w:t>Chairman of the Board; Chief</w:t>
            </w:r>
          </w:p>
        </w:tc>
        <w:tc>
          <w:tcPr>
            <w:tcW w:w="40" w:type="dxa"/>
            <w:vAlign w:val="bottom"/>
          </w:tcPr>
          <w:p>
            <w:pPr>
              <w:spacing w:after="0"/>
              <w:rPr>
                <w:sz w:val="19"/>
                <w:szCs w:val="19"/>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Chairman of the Board</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89"/>
              </w:rPr>
              <w:t>1972</w:t>
            </w:r>
          </w:p>
        </w:tc>
        <w:tc>
          <w:tcPr>
            <w:tcW w:w="4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6"/>
              </w:rPr>
              <w:t>2022 / III</w:t>
            </w:r>
          </w:p>
        </w:tc>
      </w:tr>
      <w:tr>
        <w:trPr>
          <w:trHeight w:val="230"/>
        </w:trPr>
        <w:tc>
          <w:tcPr>
            <w:tcW w:w="1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920" w:type="dxa"/>
            <w:vAlign w:val="bottom"/>
          </w:tcPr>
          <w:p>
            <w:pPr>
              <w:ind w:left="20"/>
              <w:spacing w:after="0"/>
              <w:rPr>
                <w:sz w:val="20"/>
                <w:szCs w:val="20"/>
                <w:color w:val="auto"/>
              </w:rPr>
            </w:pPr>
            <w:r>
              <w:rPr>
                <w:rFonts w:ascii="Arial" w:cs="Arial" w:eastAsia="Arial" w:hAnsi="Arial"/>
                <w:sz w:val="18"/>
                <w:szCs w:val="18"/>
                <w:color w:val="auto"/>
              </w:rPr>
              <w:t>Executive Officer</w:t>
            </w:r>
          </w:p>
        </w:tc>
        <w:tc>
          <w:tcPr>
            <w:tcW w:w="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29"/>
        </w:trPr>
        <w:tc>
          <w:tcPr>
            <w:tcW w:w="1800" w:type="dxa"/>
            <w:vAlign w:val="bottom"/>
          </w:tcPr>
          <w:p>
            <w:pPr>
              <w:spacing w:after="0"/>
              <w:rPr>
                <w:sz w:val="20"/>
                <w:szCs w:val="20"/>
                <w:color w:val="auto"/>
              </w:rPr>
            </w:pPr>
            <w:r>
              <w:rPr>
                <w:rFonts w:ascii="Arial" w:cs="Arial" w:eastAsia="Arial" w:hAnsi="Arial"/>
                <w:sz w:val="18"/>
                <w:szCs w:val="18"/>
                <w:color w:val="auto"/>
              </w:rPr>
              <w:t>Cory T. Newsom</w:t>
            </w:r>
          </w:p>
        </w:tc>
        <w:tc>
          <w:tcPr>
            <w:tcW w:w="300" w:type="dxa"/>
            <w:vAlign w:val="bottom"/>
            <w:gridSpan w:val="2"/>
          </w:tcPr>
          <w:p>
            <w:pPr>
              <w:jc w:val="center"/>
              <w:spacing w:after="0"/>
              <w:rPr>
                <w:sz w:val="20"/>
                <w:szCs w:val="20"/>
                <w:color w:val="auto"/>
              </w:rPr>
            </w:pPr>
            <w:r>
              <w:rPr>
                <w:rFonts w:ascii="Arial" w:cs="Arial" w:eastAsia="Arial" w:hAnsi="Arial"/>
                <w:sz w:val="18"/>
                <w:szCs w:val="18"/>
                <w:color w:val="auto"/>
                <w:w w:val="89"/>
              </w:rPr>
              <w:t>51</w:t>
            </w:r>
          </w:p>
        </w:tc>
        <w:tc>
          <w:tcPr>
            <w:tcW w:w="40" w:type="dxa"/>
            <w:vAlign w:val="bottom"/>
          </w:tcPr>
          <w:p>
            <w:pPr>
              <w:spacing w:after="0"/>
              <w:rPr>
                <w:sz w:val="19"/>
                <w:szCs w:val="19"/>
                <w:color w:val="auto"/>
              </w:rPr>
            </w:pPr>
          </w:p>
        </w:tc>
        <w:tc>
          <w:tcPr>
            <w:tcW w:w="2920" w:type="dxa"/>
            <w:vAlign w:val="bottom"/>
          </w:tcPr>
          <w:p>
            <w:pPr>
              <w:ind w:left="20"/>
              <w:spacing w:after="0"/>
              <w:rPr>
                <w:sz w:val="20"/>
                <w:szCs w:val="20"/>
                <w:color w:val="auto"/>
              </w:rPr>
            </w:pPr>
            <w:r>
              <w:rPr>
                <w:rFonts w:ascii="Arial" w:cs="Arial" w:eastAsia="Arial" w:hAnsi="Arial"/>
                <w:sz w:val="18"/>
                <w:szCs w:val="18"/>
                <w:color w:val="auto"/>
              </w:rPr>
              <w:t>Director; President</w:t>
            </w:r>
          </w:p>
        </w:tc>
        <w:tc>
          <w:tcPr>
            <w:tcW w:w="40" w:type="dxa"/>
            <w:vAlign w:val="bottom"/>
          </w:tcPr>
          <w:p>
            <w:pPr>
              <w:spacing w:after="0"/>
              <w:rPr>
                <w:sz w:val="19"/>
                <w:szCs w:val="19"/>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Director; President; Chief</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89"/>
              </w:rPr>
              <w:t>2008</w:t>
            </w:r>
          </w:p>
        </w:tc>
        <w:tc>
          <w:tcPr>
            <w:tcW w:w="4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2021 / II</w:t>
            </w:r>
          </w:p>
        </w:tc>
      </w:tr>
      <w:tr>
        <w:trPr>
          <w:trHeight w:val="230"/>
        </w:trPr>
        <w:tc>
          <w:tcPr>
            <w:tcW w:w="1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Executive Officer</w:t>
            </w: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3"/>
        </w:trPr>
        <w:tc>
          <w:tcPr>
            <w:tcW w:w="1800" w:type="dxa"/>
            <w:vAlign w:val="bottom"/>
          </w:tcPr>
          <w:p>
            <w:pPr>
              <w:spacing w:after="0"/>
              <w:rPr>
                <w:sz w:val="20"/>
                <w:szCs w:val="20"/>
                <w:color w:val="auto"/>
              </w:rPr>
            </w:pPr>
            <w:r>
              <w:rPr>
                <w:rFonts w:ascii="Arial" w:cs="Arial" w:eastAsia="Arial" w:hAnsi="Arial"/>
                <w:sz w:val="18"/>
                <w:szCs w:val="18"/>
                <w:color w:val="auto"/>
              </w:rPr>
              <w:t>Steven B. Crockett</w:t>
            </w:r>
          </w:p>
        </w:tc>
        <w:tc>
          <w:tcPr>
            <w:tcW w:w="300" w:type="dxa"/>
            <w:vAlign w:val="bottom"/>
            <w:gridSpan w:val="2"/>
          </w:tcPr>
          <w:p>
            <w:pPr>
              <w:jc w:val="center"/>
              <w:spacing w:after="0"/>
              <w:rPr>
                <w:sz w:val="20"/>
                <w:szCs w:val="20"/>
                <w:color w:val="auto"/>
              </w:rPr>
            </w:pPr>
            <w:r>
              <w:rPr>
                <w:rFonts w:ascii="Arial" w:cs="Arial" w:eastAsia="Arial" w:hAnsi="Arial"/>
                <w:sz w:val="18"/>
                <w:szCs w:val="18"/>
                <w:color w:val="auto"/>
                <w:w w:val="89"/>
              </w:rPr>
              <w:t>47</w:t>
            </w:r>
          </w:p>
        </w:tc>
        <w:tc>
          <w:tcPr>
            <w:tcW w:w="40" w:type="dxa"/>
            <w:vAlign w:val="bottom"/>
          </w:tcPr>
          <w:p>
            <w:pPr>
              <w:spacing w:after="0"/>
              <w:rPr>
                <w:sz w:val="21"/>
                <w:szCs w:val="21"/>
                <w:color w:val="auto"/>
              </w:rPr>
            </w:pPr>
          </w:p>
        </w:tc>
        <w:tc>
          <w:tcPr>
            <w:tcW w:w="2920" w:type="dxa"/>
            <w:vAlign w:val="bottom"/>
          </w:tcPr>
          <w:p>
            <w:pPr>
              <w:ind w:left="20"/>
              <w:spacing w:after="0"/>
              <w:rPr>
                <w:sz w:val="20"/>
                <w:szCs w:val="20"/>
                <w:color w:val="auto"/>
              </w:rPr>
            </w:pPr>
            <w:r>
              <w:rPr>
                <w:rFonts w:ascii="Arial" w:cs="Arial" w:eastAsia="Arial" w:hAnsi="Arial"/>
                <w:sz w:val="18"/>
                <w:szCs w:val="18"/>
                <w:color w:val="auto"/>
              </w:rPr>
              <w:t>Chief Financial Officer; Treasurer</w:t>
            </w:r>
          </w:p>
        </w:tc>
        <w:tc>
          <w:tcPr>
            <w:tcW w:w="40" w:type="dxa"/>
            <w:vAlign w:val="bottom"/>
          </w:tcPr>
          <w:p>
            <w:pPr>
              <w:spacing w:after="0"/>
              <w:rPr>
                <w:sz w:val="21"/>
                <w:szCs w:val="21"/>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1"/>
                <w:szCs w:val="21"/>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1800" w:type="dxa"/>
            <w:vAlign w:val="bottom"/>
          </w:tcPr>
          <w:p>
            <w:pPr>
              <w:spacing w:after="0"/>
              <w:rPr>
                <w:sz w:val="20"/>
                <w:szCs w:val="20"/>
                <w:color w:val="auto"/>
              </w:rPr>
            </w:pPr>
            <w:r>
              <w:rPr>
                <w:rFonts w:ascii="Arial" w:cs="Arial" w:eastAsia="Arial" w:hAnsi="Arial"/>
                <w:sz w:val="18"/>
                <w:szCs w:val="18"/>
                <w:color w:val="auto"/>
              </w:rPr>
              <w:t>Kevin R. Bass</w:t>
            </w:r>
          </w:p>
        </w:tc>
        <w:tc>
          <w:tcPr>
            <w:tcW w:w="300" w:type="dxa"/>
            <w:vAlign w:val="bottom"/>
            <w:gridSpan w:val="2"/>
          </w:tcPr>
          <w:p>
            <w:pPr>
              <w:jc w:val="center"/>
              <w:spacing w:after="0"/>
              <w:rPr>
                <w:sz w:val="20"/>
                <w:szCs w:val="20"/>
                <w:color w:val="auto"/>
              </w:rPr>
            </w:pPr>
            <w:r>
              <w:rPr>
                <w:rFonts w:ascii="Arial" w:cs="Arial" w:eastAsia="Arial" w:hAnsi="Arial"/>
                <w:sz w:val="18"/>
                <w:szCs w:val="18"/>
                <w:color w:val="auto"/>
                <w:w w:val="89"/>
              </w:rPr>
              <w:t>52</w:t>
            </w:r>
          </w:p>
        </w:tc>
        <w:tc>
          <w:tcPr>
            <w:tcW w:w="40" w:type="dxa"/>
            <w:vAlign w:val="bottom"/>
          </w:tcPr>
          <w:p>
            <w:pPr>
              <w:spacing w:after="0"/>
              <w:rPr>
                <w:sz w:val="21"/>
                <w:szCs w:val="21"/>
                <w:color w:val="auto"/>
              </w:rPr>
            </w:pPr>
          </w:p>
        </w:tc>
        <w:tc>
          <w:tcPr>
            <w:tcW w:w="2920" w:type="dxa"/>
            <w:vAlign w:val="bottom"/>
          </w:tcPr>
          <w:p>
            <w:pPr>
              <w:ind w:left="20"/>
              <w:spacing w:after="0"/>
              <w:rPr>
                <w:sz w:val="20"/>
                <w:szCs w:val="20"/>
                <w:color w:val="auto"/>
              </w:rPr>
            </w:pPr>
            <w:r>
              <w:rPr>
                <w:rFonts w:ascii="Arial" w:cs="Arial" w:eastAsia="Arial" w:hAnsi="Arial"/>
                <w:sz w:val="18"/>
                <w:szCs w:val="18"/>
                <w:color w:val="auto"/>
              </w:rPr>
              <w:t>Chief Credit Officer</w:t>
            </w:r>
          </w:p>
        </w:tc>
        <w:tc>
          <w:tcPr>
            <w:tcW w:w="40" w:type="dxa"/>
            <w:vAlign w:val="bottom"/>
          </w:tcPr>
          <w:p>
            <w:pPr>
              <w:spacing w:after="0"/>
              <w:rPr>
                <w:sz w:val="21"/>
                <w:szCs w:val="21"/>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Director; Chief Credit Officer</w:t>
            </w:r>
          </w:p>
        </w:tc>
        <w:tc>
          <w:tcPr>
            <w:tcW w:w="40" w:type="dxa"/>
            <w:vAlign w:val="bottom"/>
          </w:tcPr>
          <w:p>
            <w:pPr>
              <w:spacing w:after="0"/>
              <w:rPr>
                <w:sz w:val="21"/>
                <w:szCs w:val="21"/>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1800" w:type="dxa"/>
            <w:vAlign w:val="bottom"/>
          </w:tcPr>
          <w:p>
            <w:pPr>
              <w:spacing w:after="0"/>
              <w:rPr>
                <w:sz w:val="20"/>
                <w:szCs w:val="20"/>
                <w:color w:val="auto"/>
              </w:rPr>
            </w:pPr>
            <w:r>
              <w:rPr>
                <w:rFonts w:ascii="Arial" w:cs="Arial" w:eastAsia="Arial" w:hAnsi="Arial"/>
                <w:sz w:val="18"/>
                <w:szCs w:val="18"/>
                <w:color w:val="auto"/>
              </w:rPr>
              <w:t>Mikella D. Newsom</w:t>
            </w:r>
          </w:p>
        </w:tc>
        <w:tc>
          <w:tcPr>
            <w:tcW w:w="300" w:type="dxa"/>
            <w:vAlign w:val="bottom"/>
            <w:gridSpan w:val="2"/>
          </w:tcPr>
          <w:p>
            <w:pPr>
              <w:jc w:val="center"/>
              <w:spacing w:after="0"/>
              <w:rPr>
                <w:sz w:val="20"/>
                <w:szCs w:val="20"/>
                <w:color w:val="auto"/>
              </w:rPr>
            </w:pPr>
            <w:r>
              <w:rPr>
                <w:rFonts w:ascii="Arial" w:cs="Arial" w:eastAsia="Arial" w:hAnsi="Arial"/>
                <w:sz w:val="18"/>
                <w:szCs w:val="18"/>
                <w:color w:val="auto"/>
                <w:w w:val="89"/>
              </w:rPr>
              <w:t>45</w:t>
            </w:r>
          </w:p>
        </w:tc>
        <w:tc>
          <w:tcPr>
            <w:tcW w:w="40" w:type="dxa"/>
            <w:vAlign w:val="bottom"/>
          </w:tcPr>
          <w:p>
            <w:pPr>
              <w:spacing w:after="0"/>
              <w:rPr>
                <w:sz w:val="21"/>
                <w:szCs w:val="21"/>
                <w:color w:val="auto"/>
              </w:rPr>
            </w:pPr>
          </w:p>
        </w:tc>
        <w:tc>
          <w:tcPr>
            <w:tcW w:w="2920" w:type="dxa"/>
            <w:vAlign w:val="bottom"/>
          </w:tcPr>
          <w:p>
            <w:pPr>
              <w:ind w:left="20"/>
              <w:spacing w:after="0"/>
              <w:rPr>
                <w:sz w:val="20"/>
                <w:szCs w:val="20"/>
                <w:color w:val="auto"/>
              </w:rPr>
            </w:pPr>
            <w:r>
              <w:rPr>
                <w:rFonts w:ascii="Arial" w:cs="Arial" w:eastAsia="Arial" w:hAnsi="Arial"/>
                <w:sz w:val="18"/>
                <w:szCs w:val="18"/>
                <w:color w:val="auto"/>
              </w:rPr>
              <w:t>Chief Risk Officer; Secretary</w:t>
            </w:r>
          </w:p>
        </w:tc>
        <w:tc>
          <w:tcPr>
            <w:tcW w:w="40" w:type="dxa"/>
            <w:vAlign w:val="bottom"/>
          </w:tcPr>
          <w:p>
            <w:pPr>
              <w:spacing w:after="0"/>
              <w:rPr>
                <w:sz w:val="21"/>
                <w:szCs w:val="21"/>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Chief Risk Officer</w:t>
            </w:r>
          </w:p>
        </w:tc>
        <w:tc>
          <w:tcPr>
            <w:tcW w:w="40" w:type="dxa"/>
            <w:vAlign w:val="bottom"/>
          </w:tcPr>
          <w:p>
            <w:pPr>
              <w:spacing w:after="0"/>
              <w:rPr>
                <w:sz w:val="21"/>
                <w:szCs w:val="21"/>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29"/>
        </w:trPr>
        <w:tc>
          <w:tcPr>
            <w:tcW w:w="1800" w:type="dxa"/>
            <w:vAlign w:val="bottom"/>
          </w:tcPr>
          <w:p>
            <w:pPr>
              <w:spacing w:after="0"/>
              <w:rPr>
                <w:sz w:val="20"/>
                <w:szCs w:val="20"/>
                <w:color w:val="auto"/>
              </w:rPr>
            </w:pPr>
            <w:r>
              <w:rPr>
                <w:rFonts w:ascii="Arial" w:cs="Arial" w:eastAsia="Arial" w:hAnsi="Arial"/>
                <w:sz w:val="18"/>
                <w:szCs w:val="18"/>
                <w:color w:val="auto"/>
              </w:rPr>
              <w:t>Kelly L. Deterding</w:t>
            </w:r>
          </w:p>
        </w:tc>
        <w:tc>
          <w:tcPr>
            <w:tcW w:w="300" w:type="dxa"/>
            <w:vAlign w:val="bottom"/>
            <w:gridSpan w:val="2"/>
          </w:tcPr>
          <w:p>
            <w:pPr>
              <w:jc w:val="center"/>
              <w:spacing w:after="0"/>
              <w:rPr>
                <w:sz w:val="20"/>
                <w:szCs w:val="20"/>
                <w:color w:val="auto"/>
              </w:rPr>
            </w:pPr>
            <w:r>
              <w:rPr>
                <w:rFonts w:ascii="Arial" w:cs="Arial" w:eastAsia="Arial" w:hAnsi="Arial"/>
                <w:sz w:val="18"/>
                <w:szCs w:val="18"/>
                <w:color w:val="auto"/>
                <w:w w:val="89"/>
              </w:rPr>
              <w:t>61</w:t>
            </w:r>
          </w:p>
        </w:tc>
        <w:tc>
          <w:tcPr>
            <w:tcW w:w="40" w:type="dxa"/>
            <w:vAlign w:val="bottom"/>
          </w:tcPr>
          <w:p>
            <w:pPr>
              <w:spacing w:after="0"/>
              <w:rPr>
                <w:sz w:val="19"/>
                <w:szCs w:val="19"/>
                <w:color w:val="auto"/>
              </w:rPr>
            </w:pPr>
          </w:p>
        </w:tc>
        <w:tc>
          <w:tcPr>
            <w:tcW w:w="2920" w:type="dxa"/>
            <w:vAlign w:val="bottom"/>
          </w:tcPr>
          <w:p>
            <w:pPr>
              <w:ind w:lef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Senior Vice President, Insurance</w:t>
            </w:r>
          </w:p>
        </w:tc>
        <w:tc>
          <w:tcPr>
            <w:tcW w:w="4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1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Development</w:t>
            </w: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3"/>
        </w:trPr>
        <w:tc>
          <w:tcPr>
            <w:tcW w:w="1800" w:type="dxa"/>
            <w:vAlign w:val="bottom"/>
          </w:tcPr>
          <w:p>
            <w:pPr>
              <w:spacing w:after="0"/>
              <w:rPr>
                <w:sz w:val="20"/>
                <w:szCs w:val="20"/>
                <w:color w:val="auto"/>
              </w:rPr>
            </w:pPr>
            <w:r>
              <w:rPr>
                <w:rFonts w:ascii="Arial" w:cs="Arial" w:eastAsia="Arial" w:hAnsi="Arial"/>
                <w:sz w:val="18"/>
                <w:szCs w:val="18"/>
                <w:color w:val="auto"/>
              </w:rPr>
              <w:t>Richard D. Campbell</w:t>
            </w:r>
          </w:p>
        </w:tc>
        <w:tc>
          <w:tcPr>
            <w:tcW w:w="300" w:type="dxa"/>
            <w:vAlign w:val="bottom"/>
            <w:gridSpan w:val="2"/>
          </w:tcPr>
          <w:p>
            <w:pPr>
              <w:jc w:val="center"/>
              <w:spacing w:after="0"/>
              <w:rPr>
                <w:sz w:val="20"/>
                <w:szCs w:val="20"/>
                <w:color w:val="auto"/>
              </w:rPr>
            </w:pPr>
            <w:r>
              <w:rPr>
                <w:rFonts w:ascii="Arial" w:cs="Arial" w:eastAsia="Arial" w:hAnsi="Arial"/>
                <w:sz w:val="18"/>
                <w:szCs w:val="18"/>
                <w:color w:val="auto"/>
                <w:w w:val="89"/>
              </w:rPr>
              <w:t>61</w:t>
            </w:r>
          </w:p>
        </w:tc>
        <w:tc>
          <w:tcPr>
            <w:tcW w:w="40" w:type="dxa"/>
            <w:vAlign w:val="bottom"/>
          </w:tcPr>
          <w:p>
            <w:pPr>
              <w:spacing w:after="0"/>
              <w:rPr>
                <w:sz w:val="21"/>
                <w:szCs w:val="21"/>
                <w:color w:val="auto"/>
              </w:rPr>
            </w:pPr>
          </w:p>
        </w:tc>
        <w:tc>
          <w:tcPr>
            <w:tcW w:w="2920" w:type="dxa"/>
            <w:vAlign w:val="bottom"/>
          </w:tcPr>
          <w:p>
            <w:pPr>
              <w:ind w:left="20"/>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21"/>
                <w:szCs w:val="21"/>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Director</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84"/>
              </w:rPr>
              <w:t>2011</w:t>
            </w:r>
          </w:p>
        </w:tc>
        <w:tc>
          <w:tcPr>
            <w:tcW w:w="4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2020 / I</w:t>
            </w:r>
          </w:p>
        </w:tc>
      </w:tr>
      <w:tr>
        <w:trPr>
          <w:trHeight w:val="243"/>
        </w:trPr>
        <w:tc>
          <w:tcPr>
            <w:tcW w:w="1800" w:type="dxa"/>
            <w:vAlign w:val="bottom"/>
          </w:tcPr>
          <w:p>
            <w:pPr>
              <w:spacing w:after="0"/>
              <w:rPr>
                <w:sz w:val="20"/>
                <w:szCs w:val="20"/>
                <w:color w:val="auto"/>
              </w:rPr>
            </w:pPr>
            <w:r>
              <w:rPr>
                <w:rFonts w:ascii="Arial" w:cs="Arial" w:eastAsia="Arial" w:hAnsi="Arial"/>
                <w:sz w:val="18"/>
                <w:szCs w:val="18"/>
                <w:color w:val="auto"/>
              </w:rPr>
              <w:t>Cynthia B. Keith</w:t>
            </w:r>
          </w:p>
        </w:tc>
        <w:tc>
          <w:tcPr>
            <w:tcW w:w="300" w:type="dxa"/>
            <w:vAlign w:val="bottom"/>
            <w:gridSpan w:val="2"/>
          </w:tcPr>
          <w:p>
            <w:pPr>
              <w:jc w:val="center"/>
              <w:spacing w:after="0"/>
              <w:rPr>
                <w:sz w:val="20"/>
                <w:szCs w:val="20"/>
                <w:color w:val="auto"/>
              </w:rPr>
            </w:pPr>
            <w:r>
              <w:rPr>
                <w:rFonts w:ascii="Arial" w:cs="Arial" w:eastAsia="Arial" w:hAnsi="Arial"/>
                <w:sz w:val="18"/>
                <w:szCs w:val="18"/>
                <w:color w:val="auto"/>
                <w:w w:val="89"/>
              </w:rPr>
              <w:t>62</w:t>
            </w:r>
          </w:p>
        </w:tc>
        <w:tc>
          <w:tcPr>
            <w:tcW w:w="40" w:type="dxa"/>
            <w:vAlign w:val="bottom"/>
          </w:tcPr>
          <w:p>
            <w:pPr>
              <w:spacing w:after="0"/>
              <w:rPr>
                <w:sz w:val="21"/>
                <w:szCs w:val="21"/>
                <w:color w:val="auto"/>
              </w:rPr>
            </w:pPr>
          </w:p>
        </w:tc>
        <w:tc>
          <w:tcPr>
            <w:tcW w:w="2920" w:type="dxa"/>
            <w:vAlign w:val="bottom"/>
          </w:tcPr>
          <w:p>
            <w:pPr>
              <w:ind w:left="20"/>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21"/>
                <w:szCs w:val="21"/>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Director</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89"/>
              </w:rPr>
              <w:t>2019</w:t>
            </w:r>
          </w:p>
        </w:tc>
        <w:tc>
          <w:tcPr>
            <w:tcW w:w="4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2020 / I</w:t>
            </w:r>
          </w:p>
        </w:tc>
      </w:tr>
      <w:tr>
        <w:trPr>
          <w:trHeight w:val="243"/>
        </w:trPr>
        <w:tc>
          <w:tcPr>
            <w:tcW w:w="1800" w:type="dxa"/>
            <w:vAlign w:val="bottom"/>
          </w:tcPr>
          <w:p>
            <w:pPr>
              <w:spacing w:after="0"/>
              <w:rPr>
                <w:sz w:val="20"/>
                <w:szCs w:val="20"/>
                <w:color w:val="auto"/>
              </w:rPr>
            </w:pPr>
            <w:r>
              <w:rPr>
                <w:rFonts w:ascii="Arial" w:cs="Arial" w:eastAsia="Arial" w:hAnsi="Arial"/>
                <w:sz w:val="18"/>
                <w:szCs w:val="18"/>
                <w:color w:val="auto"/>
              </w:rPr>
              <w:t>Allison S. Navitskas</w:t>
            </w:r>
          </w:p>
        </w:tc>
        <w:tc>
          <w:tcPr>
            <w:tcW w:w="300" w:type="dxa"/>
            <w:vAlign w:val="bottom"/>
            <w:gridSpan w:val="2"/>
          </w:tcPr>
          <w:p>
            <w:pPr>
              <w:jc w:val="center"/>
              <w:spacing w:after="0"/>
              <w:rPr>
                <w:sz w:val="20"/>
                <w:szCs w:val="20"/>
                <w:color w:val="auto"/>
              </w:rPr>
            </w:pPr>
            <w:r>
              <w:rPr>
                <w:rFonts w:ascii="Arial" w:cs="Arial" w:eastAsia="Arial" w:hAnsi="Arial"/>
                <w:sz w:val="18"/>
                <w:szCs w:val="18"/>
                <w:color w:val="auto"/>
                <w:w w:val="89"/>
              </w:rPr>
              <w:t>43</w:t>
            </w:r>
          </w:p>
        </w:tc>
        <w:tc>
          <w:tcPr>
            <w:tcW w:w="40" w:type="dxa"/>
            <w:vAlign w:val="bottom"/>
          </w:tcPr>
          <w:p>
            <w:pPr>
              <w:spacing w:after="0"/>
              <w:rPr>
                <w:sz w:val="21"/>
                <w:szCs w:val="21"/>
                <w:color w:val="auto"/>
              </w:rPr>
            </w:pPr>
          </w:p>
        </w:tc>
        <w:tc>
          <w:tcPr>
            <w:tcW w:w="2920" w:type="dxa"/>
            <w:vAlign w:val="bottom"/>
          </w:tcPr>
          <w:p>
            <w:pPr>
              <w:ind w:left="20"/>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21"/>
                <w:szCs w:val="21"/>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Director</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89"/>
              </w:rPr>
              <w:t>2019</w:t>
            </w:r>
          </w:p>
        </w:tc>
        <w:tc>
          <w:tcPr>
            <w:tcW w:w="4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2021 / II</w:t>
            </w:r>
          </w:p>
        </w:tc>
      </w:tr>
      <w:tr>
        <w:trPr>
          <w:trHeight w:val="243"/>
        </w:trPr>
        <w:tc>
          <w:tcPr>
            <w:tcW w:w="1800" w:type="dxa"/>
            <w:vAlign w:val="bottom"/>
          </w:tcPr>
          <w:p>
            <w:pPr>
              <w:spacing w:after="0"/>
              <w:rPr>
                <w:sz w:val="20"/>
                <w:szCs w:val="20"/>
                <w:color w:val="auto"/>
              </w:rPr>
            </w:pPr>
            <w:r>
              <w:rPr>
                <w:rFonts w:ascii="Arial" w:cs="Arial" w:eastAsia="Arial" w:hAnsi="Arial"/>
                <w:sz w:val="18"/>
                <w:szCs w:val="18"/>
                <w:color w:val="auto"/>
              </w:rPr>
              <w:t>Noe G. Valles</w:t>
            </w:r>
          </w:p>
        </w:tc>
        <w:tc>
          <w:tcPr>
            <w:tcW w:w="300" w:type="dxa"/>
            <w:vAlign w:val="bottom"/>
            <w:gridSpan w:val="2"/>
          </w:tcPr>
          <w:p>
            <w:pPr>
              <w:jc w:val="center"/>
              <w:spacing w:after="0"/>
              <w:rPr>
                <w:sz w:val="20"/>
                <w:szCs w:val="20"/>
                <w:color w:val="auto"/>
              </w:rPr>
            </w:pPr>
            <w:r>
              <w:rPr>
                <w:rFonts w:ascii="Arial" w:cs="Arial" w:eastAsia="Arial" w:hAnsi="Arial"/>
                <w:sz w:val="18"/>
                <w:szCs w:val="18"/>
                <w:color w:val="auto"/>
                <w:w w:val="89"/>
              </w:rPr>
              <w:t>52</w:t>
            </w:r>
          </w:p>
        </w:tc>
        <w:tc>
          <w:tcPr>
            <w:tcW w:w="40" w:type="dxa"/>
            <w:vAlign w:val="bottom"/>
          </w:tcPr>
          <w:p>
            <w:pPr>
              <w:spacing w:after="0"/>
              <w:rPr>
                <w:sz w:val="21"/>
                <w:szCs w:val="21"/>
                <w:color w:val="auto"/>
              </w:rPr>
            </w:pPr>
          </w:p>
        </w:tc>
        <w:tc>
          <w:tcPr>
            <w:tcW w:w="2920" w:type="dxa"/>
            <w:vAlign w:val="bottom"/>
          </w:tcPr>
          <w:p>
            <w:pPr>
              <w:ind w:left="20"/>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21"/>
                <w:szCs w:val="21"/>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Director</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89"/>
              </w:rPr>
              <w:t>2019</w:t>
            </w:r>
          </w:p>
        </w:tc>
        <w:tc>
          <w:tcPr>
            <w:tcW w:w="4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2021 / II</w:t>
            </w:r>
          </w:p>
        </w:tc>
      </w:tr>
      <w:tr>
        <w:trPr>
          <w:trHeight w:val="243"/>
        </w:trPr>
        <w:tc>
          <w:tcPr>
            <w:tcW w:w="1800" w:type="dxa"/>
            <w:vAlign w:val="bottom"/>
          </w:tcPr>
          <w:p>
            <w:pPr>
              <w:spacing w:after="0"/>
              <w:rPr>
                <w:sz w:val="20"/>
                <w:szCs w:val="20"/>
                <w:color w:val="auto"/>
              </w:rPr>
            </w:pPr>
            <w:r>
              <w:rPr>
                <w:rFonts w:ascii="Arial" w:cs="Arial" w:eastAsia="Arial" w:hAnsi="Arial"/>
                <w:sz w:val="18"/>
                <w:szCs w:val="18"/>
                <w:color w:val="auto"/>
              </w:rPr>
              <w:t>Kyle R. Wargo</w:t>
            </w:r>
          </w:p>
        </w:tc>
        <w:tc>
          <w:tcPr>
            <w:tcW w:w="300" w:type="dxa"/>
            <w:vAlign w:val="bottom"/>
            <w:gridSpan w:val="2"/>
          </w:tcPr>
          <w:p>
            <w:pPr>
              <w:jc w:val="center"/>
              <w:spacing w:after="0"/>
              <w:rPr>
                <w:sz w:val="20"/>
                <w:szCs w:val="20"/>
                <w:color w:val="auto"/>
              </w:rPr>
            </w:pPr>
            <w:r>
              <w:rPr>
                <w:rFonts w:ascii="Arial" w:cs="Arial" w:eastAsia="Arial" w:hAnsi="Arial"/>
                <w:sz w:val="18"/>
                <w:szCs w:val="18"/>
                <w:color w:val="auto"/>
                <w:w w:val="89"/>
              </w:rPr>
              <w:t>59</w:t>
            </w:r>
          </w:p>
        </w:tc>
        <w:tc>
          <w:tcPr>
            <w:tcW w:w="40" w:type="dxa"/>
            <w:vAlign w:val="bottom"/>
          </w:tcPr>
          <w:p>
            <w:pPr>
              <w:spacing w:after="0"/>
              <w:rPr>
                <w:sz w:val="21"/>
                <w:szCs w:val="21"/>
                <w:color w:val="auto"/>
              </w:rPr>
            </w:pPr>
          </w:p>
        </w:tc>
        <w:tc>
          <w:tcPr>
            <w:tcW w:w="2920" w:type="dxa"/>
            <w:vAlign w:val="bottom"/>
          </w:tcPr>
          <w:p>
            <w:pPr>
              <w:ind w:left="20"/>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21"/>
                <w:szCs w:val="21"/>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Director</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89"/>
              </w:rPr>
              <w:t>2016</w:t>
            </w:r>
          </w:p>
        </w:tc>
        <w:tc>
          <w:tcPr>
            <w:tcW w:w="4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6"/>
              </w:rPr>
              <w:t>2022 / III</w:t>
            </w:r>
          </w:p>
        </w:tc>
      </w:tr>
    </w:tbl>
    <w:p>
      <w:pPr>
        <w:spacing w:after="0" w:line="107" w:lineRule="exact"/>
        <w:rPr>
          <w:sz w:val="20"/>
          <w:szCs w:val="20"/>
          <w:color w:val="auto"/>
        </w:rPr>
      </w:pPr>
    </w:p>
    <w:p>
      <w:pPr>
        <w:ind w:right="420" w:firstLine="360"/>
        <w:spacing w:after="0" w:line="277" w:lineRule="auto"/>
        <w:rPr>
          <w:sz w:val="20"/>
          <w:szCs w:val="20"/>
          <w:color w:val="auto"/>
        </w:rPr>
      </w:pPr>
      <w:r>
        <w:rPr>
          <w:rFonts w:ascii="Arial" w:cs="Arial" w:eastAsia="Arial" w:hAnsi="Arial"/>
          <w:sz w:val="18"/>
          <w:szCs w:val="18"/>
          <w:color w:val="auto"/>
        </w:rPr>
        <w:t>The following is a brief discussion of the business and banking background and experience of our directors and executive officers.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17" w:lineRule="exact"/>
        <w:rPr>
          <w:sz w:val="20"/>
          <w:szCs w:val="20"/>
          <w:color w:val="auto"/>
        </w:rPr>
      </w:pPr>
    </w:p>
    <w:p>
      <w:pPr>
        <w:ind w:right="40" w:firstLine="360"/>
        <w:spacing w:after="0" w:line="286" w:lineRule="auto"/>
        <w:rPr>
          <w:sz w:val="20"/>
          <w:szCs w:val="20"/>
          <w:color w:val="auto"/>
        </w:rPr>
      </w:pPr>
      <w:r>
        <w:rPr>
          <w:rFonts w:ascii="Arial" w:cs="Arial" w:eastAsia="Arial" w:hAnsi="Arial"/>
          <w:sz w:val="16"/>
          <w:szCs w:val="16"/>
          <w:i w:val="1"/>
          <w:iCs w:val="1"/>
          <w:color w:val="auto"/>
        </w:rPr>
        <w:t>Curtis C. Griffith – Chairman and Chief Executive Officer</w:t>
      </w:r>
      <w:r>
        <w:rPr>
          <w:rFonts w:ascii="Arial" w:cs="Arial" w:eastAsia="Arial" w:hAnsi="Arial"/>
          <w:sz w:val="16"/>
          <w:szCs w:val="16"/>
          <w:color w:val="auto"/>
        </w:rPr>
        <w:t>. Mr. Griffith has been with the Company since its inception and has</w:t>
      </w:r>
      <w:r>
        <w:rPr>
          <w:rFonts w:ascii="Arial" w:cs="Arial" w:eastAsia="Arial" w:hAnsi="Arial"/>
          <w:sz w:val="16"/>
          <w:szCs w:val="16"/>
          <w:i w:val="1"/>
          <w:iCs w:val="1"/>
          <w:color w:val="auto"/>
        </w:rPr>
        <w:t xml:space="preserve"> </w:t>
      </w:r>
      <w:r>
        <w:rPr>
          <w:rFonts w:ascii="Arial" w:cs="Arial" w:eastAsia="Arial" w:hAnsi="Arial"/>
          <w:sz w:val="16"/>
          <w:szCs w:val="16"/>
          <w:color w:val="auto"/>
        </w:rPr>
        <w:t>worked with the Bank and its predecessor institutions for over 47 years. Mr. Griffith became our Chairman and President in 1993, with his title shifting to Chairman and Chief Executive Officer earlier this year in connection with a general update of our executive team's titles. Mr. Griffith has also served as Chairman of the Bank since 1984. In 1972, he was elected to the board of directors of First State Bank of Morton, Texas, a predecessor institution to the Bank, and continues to serve on the board of directors of the Bank. Mr. Griffith also served as Vice President of the Bank beginning in 1979. Mr. Griffith owns and operates several agriculture-related businesses. In addition, he is a member of the State Bar of Texas, National Cotton Council, Plains Cotton Growers, Texas Cotton Ginners Association and the Texas Independent Ginners Association. He has served on the board of directors of IBAT and continues to serve on the Legislative and PAC committees for IBAT. He has served on the boards of several civic and charitable organizations, including Lubbock Economic Development Alliance, Texas Tech University Foundation, Lubbock Symphony Orchestra, Texas Tech Cotton Economics Advisory Committee, and the Bayer Museum of Agriculture. He currently serves on the Board of Managers of University Medical Center in Lubbock. Mr. Griffith earned degrees in agricultural economics and law from Texas Tech University in 1973 and 1977, respectively. Mr. Griffith’s extensive banking experience, reputable position in the community and invaluable leadership qualify him to serve on our board of directors.</w:t>
      </w:r>
    </w:p>
    <w:p>
      <w:pPr>
        <w:spacing w:after="0" w:line="64" w:lineRule="exact"/>
        <w:rPr>
          <w:sz w:val="20"/>
          <w:szCs w:val="20"/>
          <w:color w:val="auto"/>
        </w:rPr>
      </w:pPr>
    </w:p>
    <w:p>
      <w:pPr>
        <w:ind w:right="100" w:firstLine="360"/>
        <w:spacing w:after="0" w:line="291" w:lineRule="auto"/>
        <w:rPr>
          <w:sz w:val="20"/>
          <w:szCs w:val="20"/>
          <w:color w:val="auto"/>
        </w:rPr>
      </w:pPr>
      <w:r>
        <w:rPr>
          <w:rFonts w:ascii="Arial" w:cs="Arial" w:eastAsia="Arial" w:hAnsi="Arial"/>
          <w:sz w:val="16"/>
          <w:szCs w:val="16"/>
          <w:i w:val="1"/>
          <w:iCs w:val="1"/>
          <w:color w:val="auto"/>
        </w:rPr>
        <w:t>Cory T. Newsom – Director and President</w:t>
      </w:r>
      <w:r>
        <w:rPr>
          <w:rFonts w:ascii="Arial" w:cs="Arial" w:eastAsia="Arial" w:hAnsi="Arial"/>
          <w:sz w:val="16"/>
          <w:szCs w:val="16"/>
          <w:color w:val="auto"/>
        </w:rPr>
        <w:t>. Mr. Newsom was named President of the Company earlier this year and has served</w:t>
      </w:r>
      <w:r>
        <w:rPr>
          <w:rFonts w:ascii="Arial" w:cs="Arial" w:eastAsia="Arial" w:hAnsi="Arial"/>
          <w:sz w:val="16"/>
          <w:szCs w:val="16"/>
          <w:i w:val="1"/>
          <w:iCs w:val="1"/>
          <w:color w:val="auto"/>
        </w:rPr>
        <w:t xml:space="preserve"> </w:t>
      </w:r>
      <w:r>
        <w:rPr>
          <w:rFonts w:ascii="Arial" w:cs="Arial" w:eastAsia="Arial" w:hAnsi="Arial"/>
          <w:sz w:val="16"/>
          <w:szCs w:val="16"/>
          <w:color w:val="auto"/>
        </w:rPr>
        <w:t>on the board of directors of the Company since 2008. From 2004 to 2019, he served in various roles at the Company, including Chief Operating Officer, Senior Vice President, and Executive Vice President. Mr. Newsom also served as Chief Operating Officer of the Bank from 1993 to 2007 before being named as President and Chief Executive Officer of the Bank in 2008, positions he continues to hold. He has also served on the board of directors of the Bank since 2002. Mr. Newsom began his 36-year career in banking by progressing through the retail and operations areas. He currently serves on the board of directors of IBAT, Lubbock Children’s Home Foundation and the University Medical Center Foundation and has previously served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16" w:name="page117"/>
    <w:bookmarkEnd w:id="11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the Board of Managers of University Medical Center in Lubbock. Mr. Newsom earned a Bachelor of Business degree in management from Texas Tech University in 1989 and holds licenses as a managing general agent and general lines agent with the Texas Department of Insurance. His many years of banking experience, and his long-standing business and banking relationships in our markets, qualify him to serve on our board of directors.</w:t>
      </w:r>
    </w:p>
    <w:p>
      <w:pPr>
        <w:spacing w:after="0" w:line="79" w:lineRule="exact"/>
        <w:rPr>
          <w:sz w:val="20"/>
          <w:szCs w:val="20"/>
          <w:color w:val="auto"/>
        </w:rPr>
      </w:pPr>
    </w:p>
    <w:p>
      <w:pPr>
        <w:ind w:right="100" w:firstLine="360"/>
        <w:spacing w:after="0" w:line="271" w:lineRule="auto"/>
        <w:rPr>
          <w:sz w:val="20"/>
          <w:szCs w:val="20"/>
          <w:color w:val="auto"/>
        </w:rPr>
      </w:pPr>
      <w:r>
        <w:rPr>
          <w:rFonts w:ascii="Arial" w:cs="Arial" w:eastAsia="Arial" w:hAnsi="Arial"/>
          <w:sz w:val="17"/>
          <w:szCs w:val="17"/>
          <w:i w:val="1"/>
          <w:iCs w:val="1"/>
          <w:color w:val="auto"/>
        </w:rPr>
        <w:t>Steven B. Crockett – Chief Financial Officer and Treasurer</w:t>
      </w:r>
      <w:r>
        <w:rPr>
          <w:rFonts w:ascii="Arial" w:cs="Arial" w:eastAsia="Arial" w:hAnsi="Arial"/>
          <w:sz w:val="17"/>
          <w:szCs w:val="17"/>
          <w:color w:val="auto"/>
        </w:rPr>
        <w:t>. Mr. Crockett has served as Chief Financial Officer and Treasurer</w:t>
      </w:r>
      <w:r>
        <w:rPr>
          <w:rFonts w:ascii="Arial" w:cs="Arial" w:eastAsia="Arial" w:hAnsi="Arial"/>
          <w:sz w:val="17"/>
          <w:szCs w:val="17"/>
          <w:i w:val="1"/>
          <w:iCs w:val="1"/>
          <w:color w:val="auto"/>
        </w:rPr>
        <w:t xml:space="preserve"> </w:t>
      </w:r>
      <w:r>
        <w:rPr>
          <w:rFonts w:ascii="Arial" w:cs="Arial" w:eastAsia="Arial" w:hAnsi="Arial"/>
          <w:sz w:val="17"/>
          <w:szCs w:val="17"/>
          <w:color w:val="auto"/>
        </w:rPr>
        <w:t>of the Company and as Chief Financial Officer of the Bank since 2015. He served as Senior Vice President and Controller of the Company from 2010 to 2014 and as Controller of the Bank from 2001 to 2014. Mr. Crockett began his career in public accounting in 1994, working for seven years with the Lubbock accounting firm Robinson Burdette Martin &amp; Cowan, LLP, which previously functioned as a practicing office of PricewaterhouseCoopers, LLP. As Controller of the Company and the Bank, he was responsible for financial and regulatory reporting, coordinating financial statement audits, budgeting, capital forecasting, and financial projections. He currently serves on the Board of Trustees for Lubbock Christian University. Mr. Crockett earned a degree in accounting from Abilene Christian University and is a licensed Certified Public Accountant.</w:t>
      </w:r>
    </w:p>
    <w:p>
      <w:pPr>
        <w:spacing w:after="0" w:line="71"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i w:val="1"/>
          <w:iCs w:val="1"/>
          <w:color w:val="auto"/>
        </w:rPr>
        <w:t>Kevin R. Bass – Chief Credit Officer</w:t>
      </w:r>
      <w:r>
        <w:rPr>
          <w:rFonts w:ascii="Arial" w:cs="Arial" w:eastAsia="Arial" w:hAnsi="Arial"/>
          <w:sz w:val="16"/>
          <w:szCs w:val="16"/>
          <w:color w:val="auto"/>
        </w:rPr>
        <w:t>. Mr. Bass was named Chief Credit Officer of the Company earlier this year and has served</w:t>
      </w:r>
      <w:r>
        <w:rPr>
          <w:rFonts w:ascii="Arial" w:cs="Arial" w:eastAsia="Arial" w:hAnsi="Arial"/>
          <w:sz w:val="16"/>
          <w:szCs w:val="16"/>
          <w:i w:val="1"/>
          <w:iCs w:val="1"/>
          <w:color w:val="auto"/>
        </w:rPr>
        <w:t xml:space="preserve"> </w:t>
      </w:r>
      <w:r>
        <w:rPr>
          <w:rFonts w:ascii="Arial" w:cs="Arial" w:eastAsia="Arial" w:hAnsi="Arial"/>
          <w:sz w:val="16"/>
          <w:szCs w:val="16"/>
          <w:color w:val="auto"/>
        </w:rPr>
        <w:t>as Chief Credit Officer of the Bank since 2012. He has also served on the board of directors of the Bank since 2006 and served on the board of directors of the Company from 2010 to 2019. Mr. Bass began his 31-year career in banking as a credit analyst with American Bank of Haltom City before serving as a bank regulator with the Texas Department of Banking for four years. He started his career at the Bank in 1995 as an asset review officer. Mr. Bass earned his degree in finance from McMurry University in 1988, and he currently serves as a board member for the Johnson School of Business at McMurry University.</w:t>
      </w:r>
    </w:p>
    <w:p>
      <w:pPr>
        <w:spacing w:after="0" w:line="57" w:lineRule="exact"/>
        <w:rPr>
          <w:sz w:val="20"/>
          <w:szCs w:val="20"/>
          <w:color w:val="auto"/>
        </w:rPr>
      </w:pPr>
    </w:p>
    <w:p>
      <w:pPr>
        <w:ind w:right="180" w:firstLine="360"/>
        <w:spacing w:after="0" w:line="290" w:lineRule="auto"/>
        <w:rPr>
          <w:sz w:val="20"/>
          <w:szCs w:val="20"/>
          <w:color w:val="auto"/>
        </w:rPr>
      </w:pPr>
      <w:r>
        <w:rPr>
          <w:rFonts w:ascii="Arial" w:cs="Arial" w:eastAsia="Arial" w:hAnsi="Arial"/>
          <w:sz w:val="16"/>
          <w:szCs w:val="16"/>
          <w:i w:val="1"/>
          <w:iCs w:val="1"/>
          <w:color w:val="auto"/>
        </w:rPr>
        <w:t>Mikella D. Newsom – Chief Risk Officer and Secretary</w:t>
      </w:r>
      <w:r>
        <w:rPr>
          <w:rFonts w:ascii="Arial" w:cs="Arial" w:eastAsia="Arial" w:hAnsi="Arial"/>
          <w:sz w:val="16"/>
          <w:szCs w:val="16"/>
          <w:color w:val="auto"/>
        </w:rPr>
        <w:t>. Ms. Newsom was named Chief Risk Officer of the Company earlier</w:t>
      </w:r>
      <w:r>
        <w:rPr>
          <w:rFonts w:ascii="Arial" w:cs="Arial" w:eastAsia="Arial" w:hAnsi="Arial"/>
          <w:sz w:val="16"/>
          <w:szCs w:val="16"/>
          <w:i w:val="1"/>
          <w:iCs w:val="1"/>
          <w:color w:val="auto"/>
        </w:rPr>
        <w:t xml:space="preserve"> </w:t>
      </w:r>
      <w:r>
        <w:rPr>
          <w:rFonts w:ascii="Arial" w:cs="Arial" w:eastAsia="Arial" w:hAnsi="Arial"/>
          <w:sz w:val="16"/>
          <w:szCs w:val="16"/>
          <w:color w:val="auto"/>
        </w:rPr>
        <w:t>this year and has served as Secretary of the Company since 2013. She previously served in a number of other capacities at the Company since 2013, including Senior Vice President, Chief Financial Officer, and Treasurer through 2015. She has a 23-year banking career and has served as Chief Risk Officer of the Bank since 2015 and previously held the positions of Senior Vice President and Chief Financial Officer of the Bank. She is a member of the Risk Management Association and the Texas Bankers Association where she serves on the Chief Risk Officer steering committee. She currently serves on the Board of Trustees for Frenship Independent School District and the board of directors of the Frenship Foundation for Leadership. Ms. Newsom earned a Bachelor of Science degree in agricultural economics from Texas Tech University in 1996.</w:t>
      </w:r>
    </w:p>
    <w:p>
      <w:pPr>
        <w:spacing w:after="0" w:line="58"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i w:val="1"/>
          <w:iCs w:val="1"/>
          <w:color w:val="auto"/>
        </w:rPr>
        <w:t>Kelly L. Deterding – President of Windmark Insurance and Senior Vice President, Insurance Development of City Bank</w:t>
      </w:r>
      <w:r>
        <w:rPr>
          <w:rFonts w:ascii="Arial" w:cs="Arial" w:eastAsia="Arial" w:hAnsi="Arial"/>
          <w:sz w:val="17"/>
          <w:szCs w:val="17"/>
          <w:color w:val="auto"/>
        </w:rPr>
        <w:t>. Mr.</w:t>
      </w:r>
      <w:r>
        <w:rPr>
          <w:rFonts w:ascii="Arial" w:cs="Arial" w:eastAsia="Arial" w:hAnsi="Arial"/>
          <w:sz w:val="17"/>
          <w:szCs w:val="17"/>
          <w:i w:val="1"/>
          <w:iCs w:val="1"/>
          <w:color w:val="auto"/>
        </w:rPr>
        <w:t xml:space="preserve"> </w:t>
      </w:r>
      <w:r>
        <w:rPr>
          <w:rFonts w:ascii="Arial" w:cs="Arial" w:eastAsia="Arial" w:hAnsi="Arial"/>
          <w:sz w:val="17"/>
          <w:szCs w:val="17"/>
          <w:color w:val="auto"/>
        </w:rPr>
        <w:t>Deterding has served as President of Windmark Insurance and as Senior Vice President of Insurance Development at the Bank since he joined us in 2003. He has been involved in the crop insurance industry since 1996, serving as an adjuster, a claims supervisor and a marketing representative for American Agrisurance until 2002. Mr. Deterding has served on the board of directors of several civic, church and charitable organizations including the Calvary Lutheran Church, Chief Creek Chapter Ducks Unlimited, the Wray Recreational Activities Center, Eastern Yuma County Historical Society, the Colorado Football Officials Association and the Big 12 Football Officials Association. Mr. Deterding is also involved in several U.S. industry trade associations that provide experienced representation of its members, advising on federal legislation and regulatory issues impacting the private sector crop insurance industry. Those associations include the Crop Insurance Professionals of America and the American Association of Crop Insurers, or AACI. He currently serves on the board of directors for AACI and as the Chairman of the Agent Division of AACI. Mr. Deterding earned a Bachelor of Arts degree from Hastings College in 1980.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17"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i w:val="1"/>
          <w:iCs w:val="1"/>
          <w:color w:val="auto"/>
        </w:rPr>
        <w:t>Richard “Danny” Campbell</w:t>
      </w:r>
      <w:r>
        <w:rPr>
          <w:rFonts w:ascii="Arial" w:cs="Arial" w:eastAsia="Arial" w:hAnsi="Arial"/>
          <w:sz w:val="17"/>
          <w:szCs w:val="17"/>
          <w:color w:val="auto"/>
        </w:rPr>
        <w:t>. Mr. Campbell serves as the Lead Independent Director on the board of directors of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and has served on the board of directors of each of the Company and the Bank since 2011. He currently serves as Co-Manager of Henry Resources LLC, President and Chief Executive Officer of Henry TAW LP and as a member of the board of directors and head of the investment team of The Henry Companies Control Trust, part of the Henry family office. He is the former President of Henry Resources LLC, an oil and gas company, Vice President and Chief Investment Officer to the Henry family and Vice President of Business Development for Henry Resources. Mr. Campbell joined Henry Resources in May 2007 after 26 years of oil and gas and banking experience. He served as Executive Vice President and as a member of the board of</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17" w:name="page118"/>
    <w:bookmarkEnd w:id="11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260"/>
        <w:spacing w:after="0" w:line="293" w:lineRule="auto"/>
        <w:rPr>
          <w:sz w:val="20"/>
          <w:szCs w:val="20"/>
          <w:color w:val="auto"/>
        </w:rPr>
      </w:pPr>
      <w:r>
        <w:rPr>
          <w:rFonts w:ascii="Arial" w:cs="Arial" w:eastAsia="Arial" w:hAnsi="Arial"/>
          <w:sz w:val="16"/>
          <w:szCs w:val="16"/>
          <w:color w:val="auto"/>
        </w:rPr>
        <w:t>directors of Community National Bank in Midland, Texas, from 2002 until 2007. He brings energy lending oversight and energy advisor experience to the Company from his role as Executive Vice President at Chase Bank in the Permian Basin from 1998 to 2000. In addition to many community service organizations, he has served as a trustee of Wayland Baptist University and on the board of directors for each of the Permian Basin Petroleum Association, Midland Petroleum Club and the Mabee Foundation. He obtained a degree in petroleum engineering from Louisiana State University in 1980. Mr. Campbell’s extensive experience in the energy lending and banking industries qualify him to serve on our board of directors.</w:t>
      </w:r>
    </w:p>
    <w:p>
      <w:pPr>
        <w:spacing w:after="0" w:line="57" w:lineRule="exact"/>
        <w:rPr>
          <w:sz w:val="20"/>
          <w:szCs w:val="20"/>
          <w:color w:val="auto"/>
        </w:rPr>
      </w:pPr>
    </w:p>
    <w:p>
      <w:pPr>
        <w:ind w:right="40" w:firstLine="360"/>
        <w:spacing w:after="0" w:line="268" w:lineRule="auto"/>
        <w:rPr>
          <w:sz w:val="20"/>
          <w:szCs w:val="20"/>
          <w:color w:val="auto"/>
        </w:rPr>
      </w:pPr>
      <w:r>
        <w:rPr>
          <w:rFonts w:ascii="Arial" w:cs="Arial" w:eastAsia="Arial" w:hAnsi="Arial"/>
          <w:sz w:val="17"/>
          <w:szCs w:val="17"/>
          <w:i w:val="1"/>
          <w:iCs w:val="1"/>
          <w:color w:val="auto"/>
        </w:rPr>
        <w:t xml:space="preserve">Cynthia B. “Cindi” Keith. </w:t>
      </w:r>
      <w:r>
        <w:rPr>
          <w:rFonts w:ascii="Arial" w:cs="Arial" w:eastAsia="Arial" w:hAnsi="Arial"/>
          <w:sz w:val="17"/>
          <w:szCs w:val="17"/>
          <w:color w:val="auto"/>
        </w:rPr>
        <w:t>Ms. Keith joined the board of directors of the Company earlier this year and has served on the board</w:t>
      </w:r>
      <w:r>
        <w:rPr>
          <w:rFonts w:ascii="Arial" w:cs="Arial" w:eastAsia="Arial" w:hAnsi="Arial"/>
          <w:sz w:val="17"/>
          <w:szCs w:val="17"/>
          <w:i w:val="1"/>
          <w:iCs w:val="1"/>
          <w:color w:val="auto"/>
        </w:rPr>
        <w:t xml:space="preserve"> </w:t>
      </w:r>
      <w:r>
        <w:rPr>
          <w:rFonts w:ascii="Arial" w:cs="Arial" w:eastAsia="Arial" w:hAnsi="Arial"/>
          <w:sz w:val="17"/>
          <w:szCs w:val="17"/>
          <w:color w:val="auto"/>
        </w:rPr>
        <w:t>of directors of the Bank since 2016. She enjoyed a 25 year career with PricewaterhouseCoopers, LLP, the world's largest multinational professional services firm. She joined the firm in 1989 and became a partner in 2000. Throughout her career, she specialized in audits of and consulting with technology and communications clients, including global public companies focused on mergers and acquisitions as well as companies in various stages of growth. From 2010 to her retirement in 2014, Ms. Keith served as Operations Leader for the National Professional Services Group of PricewaterhouseCoopers, LLP, and she previously served as North Texas Technology Team Leader from 2002 to 2010. Since early 2018, she has served on the board of directors and audit committee of PCTEL, Inc., a publicly traded company that provides technology solutions to the wireless industry. Ms. Keith holds a degree from the University of Texas at Dallas, is a Certified Public Accountant and has served on the Entrepreneurs for North Texas Board, University of Texas at Dallas Jindal School of Management Advisory Council, the Greater Dallas Chamber Board and the Metroplex Technology Business Council Board of Directors. The depth and breadth of Ms. Keith's 25 years of experience as a CPA serving various companies, as well as her leadership positions with PricewaterhouseCoopers, LLP, qualify her to serve on the our board of directors.</w:t>
      </w:r>
    </w:p>
    <w:p>
      <w:pPr>
        <w:spacing w:after="0" w:line="80" w:lineRule="exact"/>
        <w:rPr>
          <w:sz w:val="20"/>
          <w:szCs w:val="20"/>
          <w:color w:val="auto"/>
        </w:rPr>
      </w:pPr>
    </w:p>
    <w:p>
      <w:pPr>
        <w:ind w:firstLine="360"/>
        <w:spacing w:after="0" w:line="267" w:lineRule="auto"/>
        <w:rPr>
          <w:sz w:val="20"/>
          <w:szCs w:val="20"/>
          <w:color w:val="auto"/>
        </w:rPr>
      </w:pPr>
      <w:r>
        <w:rPr>
          <w:rFonts w:ascii="Arial" w:cs="Arial" w:eastAsia="Arial" w:hAnsi="Arial"/>
          <w:sz w:val="17"/>
          <w:szCs w:val="17"/>
          <w:i w:val="1"/>
          <w:iCs w:val="1"/>
          <w:color w:val="auto"/>
        </w:rPr>
        <w:t>Allison S. Navitskas</w:t>
      </w:r>
      <w:r>
        <w:rPr>
          <w:rFonts w:ascii="Arial" w:cs="Arial" w:eastAsia="Arial" w:hAnsi="Arial"/>
          <w:sz w:val="17"/>
          <w:szCs w:val="17"/>
          <w:color w:val="auto"/>
        </w:rPr>
        <w:t>. Ms. Navitskas joined the board of directors of each of the Company and the Bank earlier this year. She</w:t>
      </w:r>
      <w:r>
        <w:rPr>
          <w:rFonts w:ascii="Arial" w:cs="Arial" w:eastAsia="Arial" w:hAnsi="Arial"/>
          <w:sz w:val="17"/>
          <w:szCs w:val="17"/>
          <w:i w:val="1"/>
          <w:iCs w:val="1"/>
          <w:color w:val="auto"/>
        </w:rPr>
        <w:t xml:space="preserve"> </w:t>
      </w:r>
      <w:r>
        <w:rPr>
          <w:rFonts w:ascii="Arial" w:cs="Arial" w:eastAsia="Arial" w:hAnsi="Arial"/>
          <w:sz w:val="17"/>
          <w:szCs w:val="17"/>
          <w:color w:val="auto"/>
        </w:rPr>
        <w:t>recently served as Managing Director, Global Business Development and Strategy, for Lone Star Funds, or Lone Star, a global private equity fund investing in debt and equity, a position she held until 2018. Ms. Navitskas continues to provide consulting services to Hudson Advisors L.P., or Hudson, an affiliate of Lone Star. Ms. Navitskas was a Managing Director with Hudson serving in a variety of roles including Head of Asset Management for LStar Capital, a corporate direct lending platform. During her time at Hudson, which began in 2012, Ms. Navitskas provided services in both business and legal capacities, which included negotiating and closing numerous acquisitions, asset sales and lending transactions as an in-house attorney, as well as heading the asset management and workout practice for LStar Capital. Ms. Navitskas has served on the board of directors for several of Lone Star’s private portfolio companies in the past and currently serves on the board of directors of two public companies controlled by Lone Star, Forterra, Inc. (Nasdaq: FRTA) and Foundation Building Materials, Inc. (NYSE: FBM). Prior to joining Hudson, Ms. Navitskas was Vice President/Associate General Counsel at FelCor Lodging Trust Incorporated (NYSE: FCH), a real estate investment trust in the hospitality sector. Ms. Navitskas was engaged in the private practice of law with Jenkens &amp; Gilchrist P.C. and later at Hunton &amp; Williams LLP, specializing in financial institutions, mergers and acquisitions, corporate finance, and securities law. She is a graduate of Columbia College. She earned a juris doctor degree from the University of Michigan Law School and an MBA from the University of Michigan’s Ross School of Business. Ms. Navitskas holds the Chartered Financial Analyst designation. Her public company experience and prior service on multiple public boards of directors, together with her financial knowledge and experience, qualify Ms. Navitskas to serve on our board of directors.</w:t>
      </w:r>
    </w:p>
    <w:p>
      <w:pPr>
        <w:spacing w:after="0" w:line="85"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i w:val="1"/>
          <w:iCs w:val="1"/>
          <w:color w:val="auto"/>
        </w:rPr>
        <w:t>Noe G. Valles</w:t>
      </w:r>
      <w:r>
        <w:rPr>
          <w:rFonts w:ascii="Arial" w:cs="Arial" w:eastAsia="Arial" w:hAnsi="Arial"/>
          <w:sz w:val="17"/>
          <w:szCs w:val="17"/>
          <w:color w:val="auto"/>
        </w:rPr>
        <w:t>. Mr. Valles joined the board of directors of the Company earlier this year and has served on the board of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of the Bank since 2015. He is an attorney and has acted as the pre-litigation managing partner of Glasheen, Valles and Inderman, LLP since 2004. Mr. Valles is experienced in handling cases involving all types of injuries and has provided personal injury services in English and Spanish for 24 years. He is licensed to practice law in Texas and New Mexico state courts as well as the U.S. District Court for the Northern and Eastern Districts of Texas. Mr. Valles has served on the Board of Managers of University Medical Center in Lubbock for 11 years. He is a current member of the South Plains Trial Lawyers association and the Texas Trial Lawyers association. In 2018, he was awarded the Community Leader of the Year by the Lubbock League of Latin American Citizens. Mr. Valles earned a Bachelor of Arts degree from Wayland Baptist University in 1988 and was awarded the Distinguished Alumni Award from the University in 2018. He also earned a law degree from Texas Tech University in 1993. Mr. Valles is qualified to serve on our board of directors because of his vast legal expertise and his intimate knowledge of the Texas and New Mexico communities that we serve.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18" w:name="page119"/>
    <w:bookmarkEnd w:id="11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firstLine="360"/>
        <w:spacing w:after="0" w:line="269" w:lineRule="auto"/>
        <w:rPr>
          <w:sz w:val="20"/>
          <w:szCs w:val="20"/>
          <w:color w:val="auto"/>
        </w:rPr>
      </w:pPr>
      <w:r>
        <w:rPr>
          <w:rFonts w:ascii="Arial" w:cs="Arial" w:eastAsia="Arial" w:hAnsi="Arial"/>
          <w:sz w:val="17"/>
          <w:szCs w:val="17"/>
          <w:i w:val="1"/>
          <w:iCs w:val="1"/>
          <w:color w:val="auto"/>
        </w:rPr>
        <w:t>Kyle R. Wargo</w:t>
      </w:r>
      <w:r>
        <w:rPr>
          <w:rFonts w:ascii="Arial" w:cs="Arial" w:eastAsia="Arial" w:hAnsi="Arial"/>
          <w:sz w:val="17"/>
          <w:szCs w:val="17"/>
          <w:color w:val="auto"/>
        </w:rPr>
        <w:t>. Dr. Wargo has served on the board of directors of the Company since 2016 and on the board of directors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Bank since 2013. He also served as an advisory director to the Bank since 2002. Dr. Wargo has served as Executive Director of Region 17 Education Service Center since 1996 and has previously been a member of the Texas Tech University graduate faculty. Prior to these roles, he served as superintendent of Levelland Independent School District from 1993 to 1996. He also served as Assistant to Superintendent at La Marque Independent School District from 1989 to 1993. Dr. Wargo is a member of the Texas Association of School Administrators and the American Association of School Administrators. Since 1996, he has served as a member of the board of directors and treasurer of the Science Spectrum Museum in Lubbock and since 2008, he has served as a member of the board of directors of Workforce Solutions South Plains. He earned Bachelor of Science degree from Baylor University in 1982, a Masters of Education from the University of Houston in 1984, and a Doctorate in Education from the University of Houston in 1995. Dr. Wargo’s experience in administration and leadership, as well as his understanding of state and local government, qualify him to serve on our board of directors.</w:t>
      </w:r>
    </w:p>
    <w:p>
      <w:pPr>
        <w:spacing w:after="0" w:line="75" w:lineRule="exact"/>
        <w:rPr>
          <w:sz w:val="20"/>
          <w:szCs w:val="20"/>
          <w:color w:val="auto"/>
        </w:rPr>
      </w:pPr>
    </w:p>
    <w:p>
      <w:pPr>
        <w:ind w:right="260" w:firstLine="360"/>
        <w:spacing w:after="0" w:line="277" w:lineRule="auto"/>
        <w:rPr>
          <w:sz w:val="20"/>
          <w:szCs w:val="20"/>
          <w:color w:val="auto"/>
        </w:rPr>
      </w:pPr>
      <w:r>
        <w:rPr>
          <w:rFonts w:ascii="Arial" w:cs="Arial" w:eastAsia="Arial" w:hAnsi="Arial"/>
          <w:sz w:val="18"/>
          <w:szCs w:val="18"/>
          <w:b w:val="1"/>
          <w:bCs w:val="1"/>
          <w:i w:val="1"/>
          <w:iCs w:val="1"/>
          <w:color w:val="auto"/>
        </w:rPr>
        <w:t>Board Composition</w:t>
      </w:r>
      <w:r>
        <w:rPr>
          <w:rFonts w:ascii="Arial" w:cs="Arial" w:eastAsia="Arial" w:hAnsi="Arial"/>
          <w:sz w:val="18"/>
          <w:szCs w:val="18"/>
          <w:color w:val="auto"/>
        </w:rPr>
        <w:t>. Our board of directors has seven members, divided into three classes, Class I, Class II and Class III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follows:</w:t>
      </w:r>
    </w:p>
    <w:p>
      <w:pPr>
        <w:spacing w:after="0" w:line="62" w:lineRule="exact"/>
        <w:rPr>
          <w:sz w:val="20"/>
          <w:szCs w:val="20"/>
          <w:color w:val="auto"/>
        </w:rPr>
      </w:pPr>
    </w:p>
    <w:p>
      <w:pPr>
        <w:ind w:left="700" w:right="180" w:hanging="356"/>
        <w:spacing w:after="0" w:line="277" w:lineRule="auto"/>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Class I directors are Richard D. Campbell and Cynthia B. Keith, and their term will expire at the annual meeting of shareholders expected to be held in 2020;</w:t>
      </w:r>
    </w:p>
    <w:p>
      <w:pPr>
        <w:spacing w:after="0" w:line="62" w:lineRule="exact"/>
        <w:rPr>
          <w:rFonts w:ascii="Arial" w:cs="Arial" w:eastAsia="Arial" w:hAnsi="Arial"/>
          <w:sz w:val="18"/>
          <w:szCs w:val="18"/>
          <w:color w:val="auto"/>
        </w:rPr>
      </w:pPr>
    </w:p>
    <w:p>
      <w:pPr>
        <w:ind w:left="700" w:right="420" w:hanging="356"/>
        <w:spacing w:after="0" w:line="277" w:lineRule="auto"/>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Class II directors are Cory T. Newsom, Allison S. Navitskas and Noe G. Valles, and their term will expire at the annual meeting of shareholders expected to be held in 2021; and</w:t>
      </w:r>
    </w:p>
    <w:p>
      <w:pPr>
        <w:spacing w:after="0" w:line="62" w:lineRule="exact"/>
        <w:rPr>
          <w:rFonts w:ascii="Arial" w:cs="Arial" w:eastAsia="Arial" w:hAnsi="Arial"/>
          <w:sz w:val="18"/>
          <w:szCs w:val="18"/>
          <w:color w:val="auto"/>
        </w:rPr>
      </w:pPr>
    </w:p>
    <w:p>
      <w:pPr>
        <w:ind w:left="700" w:right="500" w:hanging="356"/>
        <w:spacing w:after="0" w:line="277" w:lineRule="auto"/>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Class III directors are Curtis C. Griffith and Kyle R. Wargo, and their term will expire at the annual meeting of shareholders expected to be held in 2022.</w:t>
      </w:r>
    </w:p>
    <w:p>
      <w:pPr>
        <w:spacing w:after="0" w:line="62" w:lineRule="exact"/>
        <w:rPr>
          <w:sz w:val="20"/>
          <w:szCs w:val="20"/>
          <w:color w:val="auto"/>
        </w:rPr>
      </w:pPr>
    </w:p>
    <w:p>
      <w:pPr>
        <w:ind w:right="220" w:firstLine="360"/>
        <w:spacing w:after="0" w:line="257" w:lineRule="auto"/>
        <w:rPr>
          <w:sz w:val="20"/>
          <w:szCs w:val="20"/>
          <w:color w:val="auto"/>
        </w:rPr>
      </w:pPr>
      <w:r>
        <w:rPr>
          <w:rFonts w:ascii="Arial" w:cs="Arial" w:eastAsia="Arial" w:hAnsi="Arial"/>
          <w:sz w:val="18"/>
          <w:szCs w:val="18"/>
          <w:color w:val="auto"/>
        </w:rPr>
        <w:t>The number of directors constituting our board of directors will be fixed from time to time by resolution of our board of directors. Directors are elected for a term of three years, with approximately one-third of the directors elected annually. Mr. Campbell was originally appointed as a director pursuant to the terms of a Stock Purchase Agreement between the Company and Mr. Henry and his spouse. See “Certain Relationships and Related Party Transactions—Board Representation Agreement” for additional information.</w:t>
      </w:r>
    </w:p>
    <w:p>
      <w:pPr>
        <w:spacing w:after="0" w:line="80"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b w:val="1"/>
          <w:bCs w:val="1"/>
          <w:i w:val="1"/>
          <w:iCs w:val="1"/>
          <w:color w:val="auto"/>
        </w:rPr>
        <w:t>Board Leadership Structure</w:t>
      </w:r>
      <w:r>
        <w:rPr>
          <w:rFonts w:ascii="Arial" w:cs="Arial" w:eastAsia="Arial" w:hAnsi="Arial"/>
          <w:sz w:val="18"/>
          <w:szCs w:val="18"/>
          <w:color w:val="auto"/>
        </w:rPr>
        <w:t>. Our Corporate Governance Guidelines require that at any time the Chairman of the Board is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independent, the independent directors will designate a Lead Independent Director. It is the board of directors’ view that rather than having a rigid policy, the board of directors, with the advice and assistance of the Nominating and Corporate Governance Committee, and upon consideration of all relevant factors and circumstances, will determine, as and when appropriate, whether the two offices should be separate. Currently, our leadership structure does not separate the offices of Chief Executive Officer and Chairman of the Board.</w:t>
      </w:r>
    </w:p>
    <w:p>
      <w:pPr>
        <w:spacing w:after="0" w:line="85"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Annually, the independent directors elect a director to serve as the Lead Independent Director. The Lead Independent Director serves as a liaison between the Chairman and the independent directors and has the authority to call and chair meetings or executive sessions of the independent directors, which are held periodically as appropriate but at least twice annually. The Lead Independent Director also chairs full board of directors’ meetings in the absence of the Chairman. Our board of directors has designated Richard D. Campbell to serve as Lead Independent Director.</w:t>
      </w:r>
    </w:p>
    <w:p>
      <w:pPr>
        <w:spacing w:after="0" w:line="80" w:lineRule="exact"/>
        <w:rPr>
          <w:sz w:val="20"/>
          <w:szCs w:val="20"/>
          <w:color w:val="auto"/>
        </w:rPr>
      </w:pPr>
    </w:p>
    <w:p>
      <w:pPr>
        <w:ind w:right="120" w:firstLine="360"/>
        <w:spacing w:after="0" w:line="255" w:lineRule="auto"/>
        <w:rPr>
          <w:sz w:val="20"/>
          <w:szCs w:val="20"/>
          <w:color w:val="auto"/>
        </w:rPr>
      </w:pPr>
      <w:r>
        <w:rPr>
          <w:rFonts w:ascii="Arial" w:cs="Arial" w:eastAsia="Arial" w:hAnsi="Arial"/>
          <w:sz w:val="18"/>
          <w:szCs w:val="18"/>
          <w:b w:val="1"/>
          <w:bCs w:val="1"/>
          <w:i w:val="1"/>
          <w:iCs w:val="1"/>
          <w:color w:val="auto"/>
        </w:rPr>
        <w:t>Director Independence</w:t>
      </w:r>
      <w:r>
        <w:rPr>
          <w:rFonts w:ascii="Arial" w:cs="Arial" w:eastAsia="Arial" w:hAnsi="Arial"/>
          <w:sz w:val="18"/>
          <w:szCs w:val="18"/>
          <w:color w:val="auto"/>
        </w:rPr>
        <w:t>. We have applied to list our common stock on the NASDAQ Global Select Market and,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successful listing, we will be required to comply with the rules of the NASDAQ Stock Market with respect to the independence of directors who serve on our board of directors and its committees. Under the rules of the NASDAQ Stock Market, independent directors must comprise a majority of our board of directors within a specified period of time after this offering. The rules of the NASDAQ Stock Market, as well as those of the SEC, also impose several other requirements with respect to the independence of our directors.</w:t>
      </w:r>
    </w:p>
    <w:p>
      <w:pPr>
        <w:spacing w:after="0" w:line="85"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Our board of directors has evaluated the independence of its members based upon the rules of the NASDAQ Stock Market and the SEC and has considered the relationships that each director has with the Company, including the transactions described under the section titled “Certain Relationships and Related Party Transactions.” Applying these standards, our board of directors has affirmatively determined that each of Richard</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119" w:name="page120"/>
    <w:bookmarkEnd w:id="11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 Campbell, Cynthia B. Keith, Allison S. Navitskas, Noe G. Valles, and Kyle R. Wargo is an independent director, as defined under the applicable rules. The board of directors determined that each of Curtis C. Griffith and Cory T. Newsom does not qualify as an independent director because each is an executive officer of the Company.</w:t>
      </w:r>
    </w:p>
    <w:p>
      <w:pPr>
        <w:spacing w:after="0" w:line="73" w:lineRule="exact"/>
        <w:rPr>
          <w:sz w:val="20"/>
          <w:szCs w:val="20"/>
          <w:color w:val="auto"/>
        </w:rPr>
      </w:pPr>
    </w:p>
    <w:p>
      <w:pPr>
        <w:ind w:right="140" w:firstLine="360"/>
        <w:spacing w:after="0" w:line="273" w:lineRule="auto"/>
        <w:rPr>
          <w:sz w:val="20"/>
          <w:szCs w:val="20"/>
          <w:color w:val="auto"/>
        </w:rPr>
      </w:pPr>
      <w:r>
        <w:rPr>
          <w:rFonts w:ascii="Arial" w:cs="Arial" w:eastAsia="Arial" w:hAnsi="Arial"/>
          <w:sz w:val="17"/>
          <w:szCs w:val="17"/>
          <w:b w:val="1"/>
          <w:bCs w:val="1"/>
          <w:i w:val="1"/>
          <w:iCs w:val="1"/>
          <w:color w:val="auto"/>
        </w:rPr>
        <w:t>Director Qualifications</w:t>
      </w:r>
      <w:r>
        <w:rPr>
          <w:rFonts w:ascii="Arial" w:cs="Arial" w:eastAsia="Arial" w:hAnsi="Arial"/>
          <w:sz w:val="17"/>
          <w:szCs w:val="17"/>
          <w:color w:val="auto"/>
        </w:rPr>
        <w:t>. We believe that our directors should have the highest professional and personal ethics and values.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They should have broad experience at the policy-making level in areas relevant to our business. They should be committed to enhancing shareholder value and should have sufficient time to carry out their duties and to provide insight and practical wisdom based on experience. Each director must represent the interests of all shareholders. When considering potential director candidates, our board of directors also considers the candidate’s character, judgment, diversity, skill set, specific business background and experience in the context of our needs and those of the board of directors.</w:t>
      </w:r>
    </w:p>
    <w:p>
      <w:pPr>
        <w:spacing w:after="0" w:line="70"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b w:val="1"/>
          <w:bCs w:val="1"/>
          <w:i w:val="1"/>
          <w:iCs w:val="1"/>
          <w:color w:val="auto"/>
        </w:rPr>
        <w:t>Certain Relationships</w:t>
      </w:r>
      <w:r>
        <w:rPr>
          <w:rFonts w:ascii="Arial" w:cs="Arial" w:eastAsia="Arial" w:hAnsi="Arial"/>
          <w:sz w:val="18"/>
          <w:szCs w:val="18"/>
          <w:color w:val="auto"/>
        </w:rPr>
        <w:t>. There are no family relationships between any of our directors or executive officers, as defined in Item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401 of Regulation S-K.</w:t>
      </w:r>
    </w:p>
    <w:p>
      <w:pPr>
        <w:spacing w:after="0" w:line="62" w:lineRule="exact"/>
        <w:rPr>
          <w:sz w:val="20"/>
          <w:szCs w:val="20"/>
          <w:color w:val="auto"/>
        </w:rPr>
      </w:pPr>
    </w:p>
    <w:p>
      <w:pPr>
        <w:ind w:right="140" w:firstLine="360"/>
        <w:spacing w:after="0" w:line="271" w:lineRule="auto"/>
        <w:rPr>
          <w:sz w:val="20"/>
          <w:szCs w:val="20"/>
          <w:color w:val="auto"/>
        </w:rPr>
      </w:pPr>
      <w:r>
        <w:rPr>
          <w:rFonts w:ascii="Arial" w:cs="Arial" w:eastAsia="Arial" w:hAnsi="Arial"/>
          <w:sz w:val="17"/>
          <w:szCs w:val="17"/>
          <w:b w:val="1"/>
          <w:bCs w:val="1"/>
          <w:i w:val="1"/>
          <w:iCs w:val="1"/>
          <w:color w:val="auto"/>
        </w:rPr>
        <w:t>Risk Management and Oversight</w:t>
      </w:r>
      <w:r>
        <w:rPr>
          <w:rFonts w:ascii="Arial" w:cs="Arial" w:eastAsia="Arial" w:hAnsi="Arial"/>
          <w:sz w:val="17"/>
          <w:szCs w:val="17"/>
          <w:color w:val="auto"/>
        </w:rPr>
        <w:t>. The board of directors has ultimate authority and responsibility for overseeing our risk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management. The board of directors monitors, reviews and reacts to material enterprise risks identified by management. The board of directors receives specific reports from executive management on credit, interest rate, liquidity, transactional, compliance and legal, strategic, and reputational risks and the degree of exposure to those risks. The board of directors helps ensure that management is properly focused on risk by, among other things, reviewing and discussing the performance of senior management and business line leaders. Committees of the board of directors have responsibility for risk oversight in specific areas. The Audit Committee oversees financial, accounting and internal control risk management policies. The Compensation Committee assesses and monitors risks in our compensation program.</w:t>
      </w:r>
    </w:p>
    <w:p>
      <w:pPr>
        <w:spacing w:after="0" w:line="71" w:lineRule="exact"/>
        <w:rPr>
          <w:sz w:val="20"/>
          <w:szCs w:val="20"/>
          <w:color w:val="auto"/>
        </w:rPr>
      </w:pPr>
    </w:p>
    <w:p>
      <w:pPr>
        <w:ind w:right="40" w:firstLine="360"/>
        <w:spacing w:after="0" w:line="302" w:lineRule="auto"/>
        <w:rPr>
          <w:sz w:val="20"/>
          <w:szCs w:val="20"/>
          <w:color w:val="auto"/>
        </w:rPr>
      </w:pPr>
      <w:r>
        <w:rPr>
          <w:rFonts w:ascii="Arial" w:cs="Arial" w:eastAsia="Arial" w:hAnsi="Arial"/>
          <w:sz w:val="16"/>
          <w:szCs w:val="16"/>
          <w:b w:val="1"/>
          <w:bCs w:val="1"/>
          <w:i w:val="1"/>
          <w:iCs w:val="1"/>
          <w:color w:val="auto"/>
        </w:rPr>
        <w:t>Compensation Committee Interlocks and Insider Participation</w:t>
      </w:r>
      <w:r>
        <w:rPr>
          <w:rFonts w:ascii="Arial" w:cs="Arial" w:eastAsia="Arial" w:hAnsi="Arial"/>
          <w:sz w:val="16"/>
          <w:szCs w:val="16"/>
          <w:color w:val="auto"/>
        </w:rPr>
        <w:t>. Upon completion of this offering, none of the members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Committee will be or will have been one of our officers or employees. None of our executive officers serves or has served as a member of the Compensation Committee or other board committee performing equivalent functions of any entity that has one or more executive officers serving as one of our directors or on our Compensation Committee.</w:t>
      </w:r>
    </w:p>
    <w:p>
      <w:pPr>
        <w:spacing w:after="0" w:line="46" w:lineRule="exact"/>
        <w:rPr>
          <w:sz w:val="20"/>
          <w:szCs w:val="20"/>
          <w:color w:val="auto"/>
        </w:rPr>
      </w:pPr>
    </w:p>
    <w:p>
      <w:pPr>
        <w:ind w:right="60" w:firstLine="360"/>
        <w:spacing w:after="0" w:line="293" w:lineRule="auto"/>
        <w:rPr>
          <w:sz w:val="20"/>
          <w:szCs w:val="20"/>
          <w:color w:val="auto"/>
        </w:rPr>
      </w:pPr>
      <w:r>
        <w:rPr>
          <w:rFonts w:ascii="Arial" w:cs="Arial" w:eastAsia="Arial" w:hAnsi="Arial"/>
          <w:sz w:val="16"/>
          <w:szCs w:val="16"/>
          <w:b w:val="1"/>
          <w:bCs w:val="1"/>
          <w:i w:val="1"/>
          <w:iCs w:val="1"/>
          <w:color w:val="auto"/>
        </w:rPr>
        <w:t>Code of Business Conduct and Ethics</w:t>
      </w:r>
      <w:r>
        <w:rPr>
          <w:rFonts w:ascii="Arial" w:cs="Arial" w:eastAsia="Arial" w:hAnsi="Arial"/>
          <w:sz w:val="16"/>
          <w:szCs w:val="16"/>
          <w:color w:val="auto"/>
        </w:rPr>
        <w:t>. Our board of directors has adopted a Code of Business Conduct and Ethics that applies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all of our directors, officers and employees. The Code of Business Conduct and Ethics sets forth the standard of conduct that we expect all of our directors, officers and employees to follow, including our Chief Executive Officer and Chief Financial Officer. Our Code of Business Conduct and Ethics will be available on our website at www.city.bank upon completion of this offering. We expect that any amendments to the Code of Business Conduct and Ethics, or any waivers of their respective requirements, will be disclosed on our website, as well as any other means required by NASDAQ Global Select Market rules or the SEC.</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Our board of directors has established standing committees in connection with the discharge of its responsibilities. These committees include the Audit Committee, the Compensation Committee and the Nominating and Corporate Governance Committee. Our board of directors also may establish such other committees as it deems appropriate, in accordance with applicable law and regulations and our amended and restated certificate of formation, or the certificate of formation, and our amended and restated bylaws, or the bylaws.</w:t>
      </w:r>
    </w:p>
    <w:p>
      <w:pPr>
        <w:spacing w:after="0" w:line="80"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b w:val="1"/>
          <w:bCs w:val="1"/>
          <w:i w:val="1"/>
          <w:iCs w:val="1"/>
          <w:color w:val="auto"/>
        </w:rPr>
        <w:t>Audit Committee</w:t>
      </w:r>
      <w:r>
        <w:rPr>
          <w:rFonts w:ascii="Arial" w:cs="Arial" w:eastAsia="Arial" w:hAnsi="Arial"/>
          <w:sz w:val="18"/>
          <w:szCs w:val="18"/>
          <w:color w:val="auto"/>
        </w:rPr>
        <w:t>. The Company has a separately designated standing Audit Committee as required by the rules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NASDAQ Stock Market. The Audit Committee charter adopted by the board of directors sets out the responsibilities, authority and specific duties of the Audit Committee. The Audit Committee charter will be available on the Company’s website at www.city.bank under the “Investor Relations” tab upon completion of this offering.</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responsibilities of the Audit Committee include the following:</w:t>
      </w:r>
    </w:p>
    <w:p>
      <w:pPr>
        <w:spacing w:after="0" w:line="117" w:lineRule="exact"/>
        <w:rPr>
          <w:sz w:val="20"/>
          <w:szCs w:val="20"/>
          <w:color w:val="auto"/>
        </w:rPr>
      </w:pPr>
    </w:p>
    <w:p>
      <w:pPr>
        <w:ind w:left="700" w:right="80" w:hanging="356"/>
        <w:spacing w:after="0" w:line="277" w:lineRule="auto"/>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overseeing the quality and integrity of and the Company’s financial reporting processes, financial statements, and systems of internal accounting and financial controls;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20" w:name="page121"/>
    <w:bookmarkEnd w:id="120"/>
    <w:p>
      <w:pPr>
        <w:ind w:left="7"/>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7" w:right="60" w:hanging="356"/>
        <w:spacing w:after="0" w:line="312" w:lineRule="auto"/>
        <w:tabs>
          <w:tab w:leader="none" w:pos="707" w:val="left"/>
        </w:tabs>
        <w:numPr>
          <w:ilvl w:val="0"/>
          <w:numId w:val="53"/>
        </w:numPr>
        <w:rPr>
          <w:rFonts w:ascii="Arial" w:cs="Arial" w:eastAsia="Arial" w:hAnsi="Arial"/>
          <w:sz w:val="16"/>
          <w:szCs w:val="16"/>
          <w:color w:val="auto"/>
        </w:rPr>
      </w:pPr>
      <w:r>
        <w:rPr>
          <w:rFonts w:ascii="Arial" w:cs="Arial" w:eastAsia="Arial" w:hAnsi="Arial"/>
          <w:sz w:val="16"/>
          <w:szCs w:val="16"/>
          <w:color w:val="auto"/>
        </w:rPr>
        <w:t>overseeing the annual independent audit of the Company’s financial statements and internal control over the Bank’s financial reporting, the engagement, compensation and retention of the independent registered public accounting firm and the evaluation of the independent registered public accounting firm’s qualifications, independence and performance;</w:t>
      </w:r>
    </w:p>
    <w:p>
      <w:pPr>
        <w:spacing w:after="0" w:line="38" w:lineRule="exact"/>
        <w:rPr>
          <w:rFonts w:ascii="Arial" w:cs="Arial" w:eastAsia="Arial" w:hAnsi="Arial"/>
          <w:sz w:val="16"/>
          <w:szCs w:val="16"/>
          <w:color w:val="auto"/>
        </w:rPr>
      </w:pPr>
    </w:p>
    <w:p>
      <w:pPr>
        <w:ind w:left="707" w:right="340" w:hanging="356"/>
        <w:spacing w:after="0" w:line="279" w:lineRule="auto"/>
        <w:tabs>
          <w:tab w:leader="none" w:pos="707" w:val="left"/>
        </w:tabs>
        <w:numPr>
          <w:ilvl w:val="0"/>
          <w:numId w:val="53"/>
        </w:numPr>
        <w:rPr>
          <w:rFonts w:ascii="Arial" w:cs="Arial" w:eastAsia="Arial" w:hAnsi="Arial"/>
          <w:sz w:val="17"/>
          <w:szCs w:val="17"/>
          <w:color w:val="auto"/>
        </w:rPr>
      </w:pPr>
      <w:r>
        <w:rPr>
          <w:rFonts w:ascii="Arial" w:cs="Arial" w:eastAsia="Arial" w:hAnsi="Arial"/>
          <w:sz w:val="17"/>
          <w:szCs w:val="17"/>
          <w:color w:val="auto"/>
        </w:rPr>
        <w:t>obtaining from our independent auditor, at least annually, a report regarding our independent auditor’s internal quality control procedures and any material issues raised by the most recent internal quality-control or peer review or by any inquiry or investigations by governmental or professional authorities, and any steps taken to deal with such issues and obtaining and reviewing each inspection report issued by the PCAOB;</w:t>
      </w:r>
    </w:p>
    <w:p>
      <w:pPr>
        <w:spacing w:after="0" w:line="63" w:lineRule="exact"/>
        <w:rPr>
          <w:rFonts w:ascii="Arial" w:cs="Arial" w:eastAsia="Arial" w:hAnsi="Arial"/>
          <w:sz w:val="17"/>
          <w:szCs w:val="17"/>
          <w:color w:val="auto"/>
        </w:rPr>
      </w:pPr>
    </w:p>
    <w:p>
      <w:pPr>
        <w:ind w:left="707" w:hanging="356"/>
        <w:spacing w:after="0"/>
        <w:tabs>
          <w:tab w:leader="none" w:pos="707"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resolving any disagreements regarding financial reporting between management and the independent auditor;</w:t>
      </w:r>
    </w:p>
    <w:p>
      <w:pPr>
        <w:spacing w:after="0" w:line="117" w:lineRule="exact"/>
        <w:rPr>
          <w:rFonts w:ascii="Arial" w:cs="Arial" w:eastAsia="Arial" w:hAnsi="Arial"/>
          <w:sz w:val="18"/>
          <w:szCs w:val="18"/>
          <w:color w:val="auto"/>
        </w:rPr>
      </w:pPr>
    </w:p>
    <w:p>
      <w:pPr>
        <w:ind w:left="707" w:hanging="356"/>
        <w:spacing w:after="0"/>
        <w:tabs>
          <w:tab w:leader="none" w:pos="707" w:val="left"/>
        </w:tabs>
        <w:numPr>
          <w:ilvl w:val="0"/>
          <w:numId w:val="53"/>
        </w:numPr>
        <w:rPr>
          <w:rFonts w:ascii="Arial" w:cs="Arial" w:eastAsia="Arial" w:hAnsi="Arial"/>
          <w:sz w:val="18"/>
          <w:szCs w:val="18"/>
          <w:color w:val="auto"/>
        </w:rPr>
      </w:pPr>
      <w:r>
        <w:rPr>
          <w:rFonts w:ascii="Arial" w:cs="Arial" w:eastAsia="Arial" w:hAnsi="Arial"/>
          <w:sz w:val="18"/>
          <w:szCs w:val="18"/>
          <w:color w:val="auto"/>
        </w:rPr>
        <w:t>overseeing and evaluating the performance of the internal audit function and review;</w:t>
      </w:r>
    </w:p>
    <w:p>
      <w:pPr>
        <w:spacing w:after="0" w:line="117" w:lineRule="exact"/>
        <w:rPr>
          <w:rFonts w:ascii="Arial" w:cs="Arial" w:eastAsia="Arial" w:hAnsi="Arial"/>
          <w:sz w:val="18"/>
          <w:szCs w:val="18"/>
          <w:color w:val="auto"/>
        </w:rPr>
      </w:pPr>
    </w:p>
    <w:p>
      <w:pPr>
        <w:ind w:left="707" w:right="220" w:hanging="356"/>
        <w:spacing w:after="0" w:line="277" w:lineRule="auto"/>
        <w:tabs>
          <w:tab w:leader="none" w:pos="707" w:val="left"/>
        </w:tabs>
        <w:numPr>
          <w:ilvl w:val="0"/>
          <w:numId w:val="53"/>
        </w:numPr>
        <w:rPr>
          <w:rFonts w:ascii="Arial" w:cs="Arial" w:eastAsia="Arial" w:hAnsi="Arial"/>
          <w:sz w:val="18"/>
          <w:szCs w:val="18"/>
          <w:color w:val="auto"/>
        </w:rPr>
      </w:pPr>
      <w:r>
        <w:rPr>
          <w:rFonts w:ascii="Arial" w:cs="Arial" w:eastAsia="Arial" w:hAnsi="Arial"/>
          <w:sz w:val="18"/>
          <w:szCs w:val="18"/>
          <w:color w:val="auto"/>
        </w:rPr>
        <w:t>meeting with management and the independent auditor to review the effectiveness of our system of internal control and internal audit procedures, and to address any deficiencies in such procedures;</w:t>
      </w:r>
    </w:p>
    <w:p>
      <w:pPr>
        <w:spacing w:after="0" w:line="62" w:lineRule="exact"/>
        <w:rPr>
          <w:rFonts w:ascii="Arial" w:cs="Arial" w:eastAsia="Arial" w:hAnsi="Arial"/>
          <w:sz w:val="18"/>
          <w:szCs w:val="18"/>
          <w:color w:val="auto"/>
        </w:rPr>
      </w:pPr>
    </w:p>
    <w:p>
      <w:pPr>
        <w:ind w:left="707" w:hanging="356"/>
        <w:spacing w:after="0"/>
        <w:tabs>
          <w:tab w:leader="none" w:pos="707"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reviewing and overseeing all related person transactions in accordance with our policies and procedures;</w:t>
      </w:r>
    </w:p>
    <w:p>
      <w:pPr>
        <w:spacing w:after="0" w:line="117" w:lineRule="exact"/>
        <w:rPr>
          <w:rFonts w:ascii="Arial" w:cs="Arial" w:eastAsia="Arial" w:hAnsi="Arial"/>
          <w:sz w:val="18"/>
          <w:szCs w:val="18"/>
          <w:color w:val="auto"/>
        </w:rPr>
      </w:pPr>
    </w:p>
    <w:p>
      <w:pPr>
        <w:ind w:left="707" w:right="300" w:hanging="356"/>
        <w:spacing w:after="0" w:line="264" w:lineRule="auto"/>
        <w:tabs>
          <w:tab w:leader="none" w:pos="707"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reviewing reports and recommendations provided by senior management or third party consultants retained by the committee related to Company’s financial, operational, credit, strategic, market, investment, liquidity, reputational and compliance risks;</w:t>
      </w:r>
    </w:p>
    <w:p>
      <w:pPr>
        <w:spacing w:after="0" w:line="73" w:lineRule="exact"/>
        <w:rPr>
          <w:rFonts w:ascii="Arial" w:cs="Arial" w:eastAsia="Arial" w:hAnsi="Arial"/>
          <w:sz w:val="18"/>
          <w:szCs w:val="18"/>
          <w:color w:val="auto"/>
        </w:rPr>
      </w:pPr>
    </w:p>
    <w:p>
      <w:pPr>
        <w:ind w:left="707" w:right="340" w:hanging="356"/>
        <w:spacing w:after="0" w:line="277" w:lineRule="auto"/>
        <w:tabs>
          <w:tab w:leader="none" w:pos="707"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reviewing significant aggregate risk concentrations and other escalations, and approving significant corrective actions recommended by senior management;</w:t>
      </w:r>
    </w:p>
    <w:p>
      <w:pPr>
        <w:spacing w:after="0" w:line="62" w:lineRule="exact"/>
        <w:rPr>
          <w:rFonts w:ascii="Arial" w:cs="Arial" w:eastAsia="Arial" w:hAnsi="Arial"/>
          <w:sz w:val="18"/>
          <w:szCs w:val="18"/>
          <w:color w:val="auto"/>
        </w:rPr>
      </w:pPr>
    </w:p>
    <w:p>
      <w:pPr>
        <w:ind w:left="707" w:right="760" w:hanging="356"/>
        <w:spacing w:after="0" w:line="277" w:lineRule="auto"/>
        <w:tabs>
          <w:tab w:leader="none" w:pos="707"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conducting an annual evaluation of the performance of the Audit Committee and the adequacy of its charter and recommending to our board of directors any changes that it deems necessary; and</w:t>
      </w:r>
    </w:p>
    <w:p>
      <w:pPr>
        <w:spacing w:after="0" w:line="62" w:lineRule="exact"/>
        <w:rPr>
          <w:rFonts w:ascii="Arial" w:cs="Arial" w:eastAsia="Arial" w:hAnsi="Arial"/>
          <w:sz w:val="18"/>
          <w:szCs w:val="18"/>
          <w:color w:val="auto"/>
        </w:rPr>
      </w:pPr>
    </w:p>
    <w:p>
      <w:pPr>
        <w:ind w:left="707" w:right="120" w:hanging="356"/>
        <w:spacing w:after="0" w:line="277" w:lineRule="auto"/>
        <w:tabs>
          <w:tab w:leader="none" w:pos="707" w:val="left"/>
        </w:tabs>
        <w:numPr>
          <w:ilvl w:val="0"/>
          <w:numId w:val="53"/>
        </w:numPr>
        <w:rPr>
          <w:rFonts w:ascii="Arial" w:cs="Arial" w:eastAsia="Arial" w:hAnsi="Arial"/>
          <w:sz w:val="18"/>
          <w:szCs w:val="18"/>
          <w:color w:val="auto"/>
        </w:rPr>
      </w:pPr>
      <w:r>
        <w:rPr>
          <w:rFonts w:ascii="Arial" w:cs="Arial" w:eastAsia="Arial" w:hAnsi="Arial"/>
          <w:sz w:val="18"/>
          <w:szCs w:val="18"/>
          <w:color w:val="auto"/>
        </w:rPr>
        <w:t>handling such other matters that are specifically delegated to the Audit Committee by our board of directors from time to time.</w:t>
      </w:r>
    </w:p>
    <w:p>
      <w:pPr>
        <w:spacing w:after="0" w:line="62" w:lineRule="exact"/>
        <w:rPr>
          <w:sz w:val="20"/>
          <w:szCs w:val="20"/>
          <w:color w:val="auto"/>
        </w:rPr>
      </w:pPr>
    </w:p>
    <w:p>
      <w:pPr>
        <w:ind w:left="7" w:right="20" w:firstLine="360"/>
        <w:spacing w:after="0" w:line="288" w:lineRule="auto"/>
        <w:rPr>
          <w:sz w:val="20"/>
          <w:szCs w:val="20"/>
          <w:color w:val="auto"/>
        </w:rPr>
      </w:pPr>
      <w:r>
        <w:rPr>
          <w:rFonts w:ascii="Arial" w:cs="Arial" w:eastAsia="Arial" w:hAnsi="Arial"/>
          <w:sz w:val="16"/>
          <w:szCs w:val="16"/>
          <w:color w:val="auto"/>
        </w:rPr>
        <w:t>The members of the Audit Committee are Kyle R. Wargo (Committee Chairman), Richard D. Campbell, and Cynthia B. Keith. Our board of directors has evaluated the independence of each of the members of our Audit Committee and has affirmatively determined that each of the members of our Audit Committee (1) is an independent director under NASDAQ Stock Market rules,</w:t>
      </w:r>
    </w:p>
    <w:p>
      <w:pPr>
        <w:ind w:left="7" w:right="20" w:hanging="7"/>
        <w:spacing w:after="0" w:line="261" w:lineRule="auto"/>
        <w:tabs>
          <w:tab w:leader="none" w:pos="262" w:val="left"/>
        </w:tabs>
        <w:numPr>
          <w:ilvl w:val="0"/>
          <w:numId w:val="54"/>
        </w:numPr>
        <w:rPr>
          <w:rFonts w:ascii="Arial" w:cs="Arial" w:eastAsia="Arial" w:hAnsi="Arial"/>
          <w:sz w:val="18"/>
          <w:szCs w:val="18"/>
          <w:color w:val="auto"/>
        </w:rPr>
      </w:pPr>
      <w:r>
        <w:rPr>
          <w:rFonts w:ascii="Arial" w:cs="Arial" w:eastAsia="Arial" w:hAnsi="Arial"/>
          <w:sz w:val="18"/>
          <w:szCs w:val="18"/>
          <w:color w:val="auto"/>
        </w:rPr>
        <w:t>satisfies the additional independence standards under applicable SEC rules for audit committee service, and (3) has the ability to read and understand fundamental financial statements.</w:t>
      </w:r>
    </w:p>
    <w:p>
      <w:pPr>
        <w:spacing w:after="0" w:line="76" w:lineRule="exact"/>
        <w:rPr>
          <w:sz w:val="20"/>
          <w:szCs w:val="20"/>
          <w:color w:val="auto"/>
        </w:rPr>
      </w:pPr>
    </w:p>
    <w:p>
      <w:pPr>
        <w:ind w:left="7" w:right="20" w:firstLine="360"/>
        <w:spacing w:after="0" w:line="277" w:lineRule="auto"/>
        <w:rPr>
          <w:sz w:val="20"/>
          <w:szCs w:val="20"/>
          <w:color w:val="auto"/>
        </w:rPr>
      </w:pPr>
      <w:r>
        <w:rPr>
          <w:rFonts w:ascii="Arial" w:cs="Arial" w:eastAsia="Arial" w:hAnsi="Arial"/>
          <w:sz w:val="18"/>
          <w:szCs w:val="18"/>
          <w:color w:val="auto"/>
        </w:rPr>
        <w:t>The board of directors has determined that each of Richard D. Campbell and Cynthia B. Keith qualifies as an “audit committee financial expert,” as defined by the SEC.</w:t>
      </w:r>
    </w:p>
    <w:p>
      <w:pPr>
        <w:spacing w:after="0" w:line="62" w:lineRule="exact"/>
        <w:rPr>
          <w:sz w:val="20"/>
          <w:szCs w:val="20"/>
          <w:color w:val="auto"/>
        </w:rPr>
      </w:pPr>
    </w:p>
    <w:p>
      <w:pPr>
        <w:ind w:left="7" w:firstLine="360"/>
        <w:spacing w:after="0" w:line="257" w:lineRule="auto"/>
        <w:rPr>
          <w:sz w:val="20"/>
          <w:szCs w:val="20"/>
          <w:color w:val="auto"/>
        </w:rPr>
      </w:pPr>
      <w:r>
        <w:rPr>
          <w:rFonts w:ascii="Arial" w:cs="Arial" w:eastAsia="Arial" w:hAnsi="Arial"/>
          <w:sz w:val="18"/>
          <w:szCs w:val="18"/>
          <w:b w:val="1"/>
          <w:bCs w:val="1"/>
          <w:i w:val="1"/>
          <w:iCs w:val="1"/>
          <w:color w:val="auto"/>
        </w:rPr>
        <w:t>Compensation Committee</w:t>
      </w:r>
      <w:r>
        <w:rPr>
          <w:rFonts w:ascii="Arial" w:cs="Arial" w:eastAsia="Arial" w:hAnsi="Arial"/>
          <w:sz w:val="18"/>
          <w:szCs w:val="18"/>
          <w:color w:val="auto"/>
        </w:rPr>
        <w:t>. The Company has a separately designated Compensation Committee, which consists entirely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independent directors as defined by the applicable rules and regulations of the NASDAQ Stock Market. The Compensation Committee charter adopted by the board of directors sets out the responsibilities, authority and specific duties of the Compensation Committee. The Compensation Committee charter will be available on our website at www.city.bank under the “Investor Relations” tab upon completion of this offering.</w:t>
      </w:r>
    </w:p>
    <w:p>
      <w:pPr>
        <w:spacing w:after="0" w:line="80" w:lineRule="exact"/>
        <w:rPr>
          <w:sz w:val="20"/>
          <w:szCs w:val="20"/>
          <w:color w:val="auto"/>
        </w:rPr>
      </w:pPr>
    </w:p>
    <w:p>
      <w:pPr>
        <w:ind w:left="367"/>
        <w:spacing w:after="0"/>
        <w:rPr>
          <w:sz w:val="20"/>
          <w:szCs w:val="20"/>
          <w:color w:val="auto"/>
        </w:rPr>
      </w:pPr>
      <w:r>
        <w:rPr>
          <w:rFonts w:ascii="Arial" w:cs="Arial" w:eastAsia="Arial" w:hAnsi="Arial"/>
          <w:sz w:val="18"/>
          <w:szCs w:val="18"/>
          <w:color w:val="auto"/>
        </w:rPr>
        <w:t>The Compensation Committee has the following responsibilities:</w:t>
      </w:r>
    </w:p>
    <w:p>
      <w:pPr>
        <w:spacing w:after="0" w:line="117" w:lineRule="exact"/>
        <w:rPr>
          <w:sz w:val="20"/>
          <w:szCs w:val="20"/>
          <w:color w:val="auto"/>
        </w:rPr>
      </w:pPr>
    </w:p>
    <w:p>
      <w:pPr>
        <w:ind w:left="707" w:hanging="356"/>
        <w:spacing w:after="0" w:line="342" w:lineRule="auto"/>
        <w:tabs>
          <w:tab w:leader="none" w:pos="707"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reviewing, determining, and recommending to the board of directors for its confirmation, the annual compensation, annual incentive opportunities and any other matter relating to the compensation of the Company’s executive officers;</w:t>
      </w:r>
    </w:p>
    <w:p>
      <w:pPr>
        <w:spacing w:after="0" w:line="15" w:lineRule="exact"/>
        <w:rPr>
          <w:rFonts w:ascii="Arial" w:cs="Arial" w:eastAsia="Arial" w:hAnsi="Arial"/>
          <w:sz w:val="16"/>
          <w:szCs w:val="16"/>
          <w:color w:val="auto"/>
        </w:rPr>
      </w:pPr>
    </w:p>
    <w:p>
      <w:pPr>
        <w:ind w:left="707" w:hanging="356"/>
        <w:spacing w:after="0"/>
        <w:tabs>
          <w:tab w:leader="none" w:pos="707" w:val="left"/>
        </w:tabs>
        <w:numPr>
          <w:ilvl w:val="0"/>
          <w:numId w:val="55"/>
        </w:numPr>
        <w:rPr>
          <w:rFonts w:ascii="Arial" w:cs="Arial" w:eastAsia="Arial" w:hAnsi="Arial"/>
          <w:sz w:val="18"/>
          <w:szCs w:val="18"/>
          <w:color w:val="auto"/>
        </w:rPr>
      </w:pPr>
      <w:r>
        <w:rPr>
          <w:rFonts w:ascii="Arial" w:cs="Arial" w:eastAsia="Arial" w:hAnsi="Arial"/>
          <w:sz w:val="18"/>
          <w:szCs w:val="18"/>
          <w:color w:val="auto"/>
        </w:rPr>
        <w:t>monitoring and evaluating the risks related to the Company’s compensation programs and practices;</w:t>
      </w:r>
    </w:p>
    <w:p>
      <w:pPr>
        <w:spacing w:after="0" w:line="117" w:lineRule="exact"/>
        <w:rPr>
          <w:rFonts w:ascii="Arial" w:cs="Arial" w:eastAsia="Arial" w:hAnsi="Arial"/>
          <w:sz w:val="18"/>
          <w:szCs w:val="18"/>
          <w:color w:val="auto"/>
        </w:rPr>
      </w:pPr>
    </w:p>
    <w:p>
      <w:pPr>
        <w:ind w:left="707" w:right="700" w:hanging="356"/>
        <w:spacing w:after="0" w:line="308" w:lineRule="auto"/>
        <w:tabs>
          <w:tab w:leader="none" w:pos="707" w:val="left"/>
        </w:tabs>
        <w:numPr>
          <w:ilvl w:val="0"/>
          <w:numId w:val="55"/>
        </w:numPr>
        <w:rPr>
          <w:rFonts w:ascii="Arial" w:cs="Arial" w:eastAsia="Arial" w:hAnsi="Arial"/>
          <w:sz w:val="17"/>
          <w:szCs w:val="17"/>
          <w:color w:val="auto"/>
        </w:rPr>
      </w:pPr>
      <w:r>
        <w:rPr>
          <w:rFonts w:ascii="Arial" w:cs="Arial" w:eastAsia="Arial" w:hAnsi="Arial"/>
          <w:sz w:val="17"/>
          <w:szCs w:val="17"/>
          <w:color w:val="auto"/>
        </w:rPr>
        <w:t>reviewing and comparing compensation practices of any relevant peer group in order to assist in the committee’s evaluation of the appropriateness of the Company’s compensation practices and programs;</w:t>
      </w:r>
    </w:p>
    <w:p>
      <w:pPr>
        <w:spacing w:after="0" w:line="147" w:lineRule="exact"/>
        <w:rPr>
          <w:sz w:val="20"/>
          <w:szCs w:val="20"/>
          <w:color w:val="auto"/>
        </w:rPr>
      </w:pPr>
    </w:p>
    <w:p>
      <w:pPr>
        <w:jc w:val="center"/>
        <w:ind w:right="-46"/>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7"/>
          </w:cols>
          <w:pgMar w:left="1173" w:top="279" w:right="1199" w:bottom="1440" w:gutter="0" w:footer="0" w:header="0"/>
        </w:sectPr>
      </w:pPr>
    </w:p>
    <w:bookmarkStart w:id="121" w:name="page122"/>
    <w:bookmarkEnd w:id="12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right="20" w:hanging="356"/>
        <w:spacing w:after="0" w:line="264" w:lineRule="auto"/>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reviewing, approving and administering each of the Company’s non-qualified deferred compensation plans and annual incentive plans, and performing such other duties and responsibilities as may be assigned to the committee under the terms of those plans;</w:t>
      </w:r>
    </w:p>
    <w:p>
      <w:pPr>
        <w:spacing w:after="0" w:line="73" w:lineRule="exact"/>
        <w:rPr>
          <w:rFonts w:ascii="Arial" w:cs="Arial" w:eastAsia="Arial" w:hAnsi="Arial"/>
          <w:sz w:val="18"/>
          <w:szCs w:val="18"/>
          <w:color w:val="auto"/>
        </w:rPr>
      </w:pPr>
    </w:p>
    <w:p>
      <w:pPr>
        <w:ind w:left="700" w:hanging="356"/>
        <w:spacing w:after="0" w:line="286" w:lineRule="auto"/>
        <w:tabs>
          <w:tab w:leader="none" w:pos="7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annually reviewing and recommending to the board of directors the annual director’s compensation and any additional compensation for services on committees of the board of directors, service as a committee or board chairman, meeting fees or any other benefit payable by virtue of the director’s position as a member of the board of directors;</w:t>
      </w:r>
    </w:p>
    <w:p>
      <w:pPr>
        <w:spacing w:after="0" w:line="57" w:lineRule="exact"/>
        <w:rPr>
          <w:rFonts w:ascii="Arial" w:cs="Arial" w:eastAsia="Arial" w:hAnsi="Arial"/>
          <w:sz w:val="17"/>
          <w:szCs w:val="17"/>
          <w:color w:val="auto"/>
        </w:rPr>
      </w:pPr>
    </w:p>
    <w:p>
      <w:pPr>
        <w:ind w:left="700" w:hanging="356"/>
        <w:spacing w:after="0"/>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reviewing the performance of the executive officers for each fiscal year;</w:t>
      </w:r>
    </w:p>
    <w:p>
      <w:pPr>
        <w:spacing w:after="0" w:line="117" w:lineRule="exact"/>
        <w:rPr>
          <w:rFonts w:ascii="Arial" w:cs="Arial" w:eastAsia="Arial" w:hAnsi="Arial"/>
          <w:sz w:val="18"/>
          <w:szCs w:val="18"/>
          <w:color w:val="auto"/>
        </w:rPr>
      </w:pPr>
    </w:p>
    <w:p>
      <w:pPr>
        <w:ind w:left="700" w:right="480" w:hanging="356"/>
        <w:spacing w:after="0" w:line="342" w:lineRule="auto"/>
        <w:tabs>
          <w:tab w:leader="none" w:pos="7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producing the Compensation Committee Report on executive compensation required for inclusion in the Company’s annual meeting proxy statement in compliance with the rules and regulations promulgated by the SEC;</w:t>
      </w:r>
    </w:p>
    <w:p>
      <w:pPr>
        <w:spacing w:after="0" w:line="15" w:lineRule="exact"/>
        <w:rPr>
          <w:rFonts w:ascii="Arial" w:cs="Arial" w:eastAsia="Arial" w:hAnsi="Arial"/>
          <w:sz w:val="16"/>
          <w:szCs w:val="16"/>
          <w:color w:val="auto"/>
        </w:rPr>
      </w:pPr>
    </w:p>
    <w:p>
      <w:pPr>
        <w:ind w:left="700" w:right="120" w:hanging="356"/>
        <w:spacing w:after="0" w:line="259" w:lineRule="auto"/>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reviewing and determining, and recommending to the board of directors for its confirmation, the establishment of the performance measures applicable to each performance-based cash incentive and equity incentive award to be made under any plan, and the applicable performance targets for each such performance measure for each such award granted under any plan;</w:t>
      </w:r>
    </w:p>
    <w:p>
      <w:pPr>
        <w:spacing w:after="0" w:line="78" w:lineRule="exact"/>
        <w:rPr>
          <w:rFonts w:ascii="Arial" w:cs="Arial" w:eastAsia="Arial" w:hAnsi="Arial"/>
          <w:sz w:val="18"/>
          <w:szCs w:val="18"/>
          <w:color w:val="auto"/>
        </w:rPr>
      </w:pPr>
    </w:p>
    <w:p>
      <w:pPr>
        <w:ind w:left="700" w:right="220" w:hanging="356"/>
        <w:spacing w:after="0" w:line="279" w:lineRule="auto"/>
        <w:tabs>
          <w:tab w:leader="none" w:pos="7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overseeing and making recommendations to the board of directors regarding the Company’s compliance with SEC rules and regulations regarding shareholder approval of certain executive compensation matters, including advisory votes on executive compensation and golden parachute compensation, and the requirement under the NASDAQ rules that, with limited exceptions, shareholders approve equity compensation plans; and</w:t>
      </w:r>
    </w:p>
    <w:p>
      <w:pPr>
        <w:spacing w:after="0" w:line="63" w:lineRule="exact"/>
        <w:rPr>
          <w:rFonts w:ascii="Arial" w:cs="Arial" w:eastAsia="Arial" w:hAnsi="Arial"/>
          <w:sz w:val="17"/>
          <w:szCs w:val="17"/>
          <w:color w:val="auto"/>
        </w:rPr>
      </w:pPr>
    </w:p>
    <w:p>
      <w:pPr>
        <w:ind w:left="700" w:right="20" w:hanging="356"/>
        <w:spacing w:after="0" w:line="277" w:lineRule="auto"/>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performing any other duties or responsibilities the board of directors may expressly delegate to the committee from time to time on matters relating to the Company’s compensation programs.</w:t>
      </w:r>
    </w:p>
    <w:p>
      <w:pPr>
        <w:spacing w:after="0" w:line="62"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The members of the Compensation Committee are Richard D. Campbell (Committee Chairman), Noe G. Valles, and Allison S. Navitskas. Our board of directors has evaluated the independence of each of the members of our Compensation Committee and has affirmatively determined that each of the members of our Compensation Committee meets the definition of an “independent director” under NASDAQ Stock Market rules.</w:t>
      </w:r>
    </w:p>
    <w:p>
      <w:pPr>
        <w:spacing w:after="0" w:line="79" w:lineRule="exact"/>
        <w:rPr>
          <w:sz w:val="20"/>
          <w:szCs w:val="20"/>
          <w:color w:val="auto"/>
        </w:rPr>
      </w:pPr>
    </w:p>
    <w:p>
      <w:pPr>
        <w:ind w:right="200" w:firstLine="360"/>
        <w:spacing w:after="0" w:line="259" w:lineRule="auto"/>
        <w:rPr>
          <w:sz w:val="20"/>
          <w:szCs w:val="20"/>
          <w:color w:val="auto"/>
        </w:rPr>
      </w:pPr>
      <w:r>
        <w:rPr>
          <w:rFonts w:ascii="Arial" w:cs="Arial" w:eastAsia="Arial" w:hAnsi="Arial"/>
          <w:sz w:val="18"/>
          <w:szCs w:val="18"/>
          <w:color w:val="auto"/>
        </w:rPr>
        <w:t>Our board of directors has also determined that each of the members of the Compensation Committee qualifies as a “nonemployee director” within the meaning of Rule 16b-3 under the Exchange Act. All compensation, equity awards and transactions subject to Section 16 of the Exchange Act will be approved by a committee or subcommittee of the board of directors that is composed solely of two or more “non-employee directors.”</w:t>
      </w:r>
    </w:p>
    <w:p>
      <w:pPr>
        <w:spacing w:after="0" w:line="79" w:lineRule="exact"/>
        <w:rPr>
          <w:sz w:val="20"/>
          <w:szCs w:val="20"/>
          <w:color w:val="auto"/>
        </w:rPr>
      </w:pPr>
    </w:p>
    <w:p>
      <w:pPr>
        <w:ind w:right="260" w:firstLine="360"/>
        <w:spacing w:after="0" w:line="255" w:lineRule="auto"/>
        <w:rPr>
          <w:sz w:val="20"/>
          <w:szCs w:val="20"/>
          <w:color w:val="auto"/>
        </w:rPr>
      </w:pPr>
      <w:r>
        <w:rPr>
          <w:rFonts w:ascii="Arial" w:cs="Arial" w:eastAsia="Arial" w:hAnsi="Arial"/>
          <w:sz w:val="18"/>
          <w:szCs w:val="18"/>
          <w:b w:val="1"/>
          <w:bCs w:val="1"/>
          <w:i w:val="1"/>
          <w:iCs w:val="1"/>
          <w:color w:val="auto"/>
        </w:rPr>
        <w:t>Nominating and Corporate Governance Committee</w:t>
      </w:r>
      <w:r>
        <w:rPr>
          <w:rFonts w:ascii="Arial" w:cs="Arial" w:eastAsia="Arial" w:hAnsi="Arial"/>
          <w:sz w:val="18"/>
          <w:szCs w:val="18"/>
          <w:color w:val="auto"/>
        </w:rPr>
        <w:t>. The Company has separately designated a Nominating and Corporate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Governance Committee, which consists entirely of independent directors as defined by the applicable rules and regulations of the NASDAQ Stock Market. The Nominating and Corporate Governance Committee adopted by the board of directors sets out the responsibilities, authority and specific duties of the Nominating and Corporate Governance Committee. The Nominating and Corporate Governance Committee charter will be available on our website at www.city.bank under the “Investor Relations” tab upon completion of this offering.</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Nominating and Corporate Governance Committee has the following responsibilities:</w:t>
      </w:r>
    </w:p>
    <w:p>
      <w:pPr>
        <w:spacing w:after="0" w:line="117" w:lineRule="exact"/>
        <w:rPr>
          <w:sz w:val="20"/>
          <w:szCs w:val="20"/>
          <w:color w:val="auto"/>
        </w:rPr>
      </w:pPr>
    </w:p>
    <w:p>
      <w:pPr>
        <w:ind w:left="700" w:hanging="356"/>
        <w:spacing w:after="0"/>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developing policies on the size and composition of our board of directors;</w:t>
      </w:r>
    </w:p>
    <w:p>
      <w:pPr>
        <w:spacing w:after="0" w:line="117" w:lineRule="exact"/>
        <w:rPr>
          <w:rFonts w:ascii="Arial" w:cs="Arial" w:eastAsia="Arial" w:hAnsi="Arial"/>
          <w:sz w:val="18"/>
          <w:szCs w:val="18"/>
          <w:color w:val="auto"/>
        </w:rPr>
      </w:pPr>
    </w:p>
    <w:p>
      <w:pPr>
        <w:ind w:left="700" w:right="60" w:hanging="356"/>
        <w:spacing w:after="0" w:line="277" w:lineRule="auto"/>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developing and recommending to our board of directors criteria to be considered in identifying and selecting nominees for director;</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reviewing possible candidates for election to the board of directors;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recommending to the board of directors candidates for election or re-election to our board of directors;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recommending committee structure, composition and assignments;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overseeing an annual performance evaluation of the board of directors and its committees;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22" w:name="page123"/>
    <w:bookmarkEnd w:id="12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right="500" w:hanging="356"/>
        <w:spacing w:after="0" w:line="277" w:lineRule="auto"/>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reviewing the committee’s performance and the adequacy of the Nominating and Corporate Governance Committee charter on an annual basis.</w:t>
      </w:r>
    </w:p>
    <w:p>
      <w:pPr>
        <w:spacing w:after="0" w:line="62"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The members of the Nominating and Corporate Governance Committee are Richard D. Campbell (Committee Chairman), Kyle R. Wargo, and Noe G. Valles. Our board of directors has evaluated the independence of each of the members of our Nominating and Corporate Governance Committee and has affirmatively determined that each of the members of our Nominating and Corporate Governance Committee meets the definition of an “independent director” under NASDAQ Stock Market rules.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23" w:name="page124"/>
    <w:bookmarkEnd w:id="123"/>
    <w:p>
      <w:pPr>
        <w:ind w:left="7"/>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ind w:left="7" w:firstLine="360"/>
        <w:spacing w:after="0" w:line="297" w:lineRule="auto"/>
        <w:rPr>
          <w:sz w:val="20"/>
          <w:szCs w:val="20"/>
          <w:color w:val="auto"/>
        </w:rPr>
      </w:pPr>
      <w:r>
        <w:rPr>
          <w:rFonts w:ascii="Arial" w:cs="Arial" w:eastAsia="Arial" w:hAnsi="Arial"/>
          <w:sz w:val="16"/>
          <w:szCs w:val="16"/>
          <w:color w:val="auto"/>
        </w:rPr>
        <w:t>We are an “emerging growth company” as defined in the JOBS Act. In accordance with such rules, we are required to provide a Summary Compensation Table and an Outstanding Equity Awards at Fiscal Year-End Table, as well as limited narrative compensation disclosure for our fiscal year ended December 31, 2018. Further, our reporting obligations extend to only our named executive officers, who are the individuals who served as our principal executive officer and our next two most highly compensated officers who served as executive officers during the last completed fiscal year. Our named executive officers, or NEOs, are:</w:t>
      </w:r>
    </w:p>
    <w:p>
      <w:pPr>
        <w:spacing w:after="0" w:line="15" w:lineRule="exact"/>
        <w:rPr>
          <w:sz w:val="20"/>
          <w:szCs w:val="20"/>
          <w:color w:val="auto"/>
        </w:rPr>
      </w:pPr>
    </w:p>
    <w:tbl>
      <w:tblPr>
        <w:tblLayout w:type="fixed"/>
        <w:tblInd w:w="7" w:type="dxa"/>
        <w:tblCellMar>
          <w:top w:w="0" w:type="dxa"/>
          <w:left w:w="0" w:type="dxa"/>
          <w:bottom w:w="0" w:type="dxa"/>
          <w:right w:w="0" w:type="dxa"/>
        </w:tblCellMar>
      </w:tblPr>
      <w:tr>
        <w:trPr>
          <w:trHeight w:val="171"/>
        </w:trPr>
        <w:tc>
          <w:tcPr>
            <w:tcW w:w="4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4"/>
                <w:szCs w:val="14"/>
                <w:color w:val="auto"/>
              </w:rPr>
            </w:pPr>
          </w:p>
        </w:tc>
        <w:tc>
          <w:tcPr>
            <w:tcW w:w="4800" w:type="dxa"/>
            <w:vAlign w:val="bottom"/>
            <w:tcBorders>
              <w:bottom w:val="single" w:sz="8" w:color="auto"/>
            </w:tcBorders>
          </w:tcPr>
          <w:p>
            <w:pPr>
              <w:ind w:left="1880"/>
              <w:spacing w:after="0"/>
              <w:rPr>
                <w:sz w:val="20"/>
                <w:szCs w:val="20"/>
                <w:color w:val="auto"/>
              </w:rPr>
            </w:pPr>
            <w:r>
              <w:rPr>
                <w:rFonts w:ascii="Arial" w:cs="Arial" w:eastAsia="Arial" w:hAnsi="Arial"/>
                <w:sz w:val="14"/>
                <w:szCs w:val="14"/>
                <w:b w:val="1"/>
                <w:bCs w:val="1"/>
                <w:color w:val="auto"/>
              </w:rPr>
              <w:t>Principal Position</w:t>
            </w:r>
          </w:p>
        </w:tc>
      </w:tr>
      <w:tr>
        <w:trPr>
          <w:trHeight w:val="237"/>
        </w:trPr>
        <w:tc>
          <w:tcPr>
            <w:tcW w:w="4640" w:type="dxa"/>
            <w:vAlign w:val="bottom"/>
          </w:tcPr>
          <w:p>
            <w:pPr>
              <w:spacing w:after="0"/>
              <w:rPr>
                <w:sz w:val="20"/>
                <w:szCs w:val="20"/>
                <w:color w:val="auto"/>
              </w:rPr>
            </w:pPr>
            <w:r>
              <w:rPr>
                <w:rFonts w:ascii="Arial" w:cs="Arial" w:eastAsia="Arial" w:hAnsi="Arial"/>
                <w:sz w:val="18"/>
                <w:szCs w:val="18"/>
                <w:color w:val="auto"/>
              </w:rPr>
              <w:t>Curtis C. Griffith</w:t>
            </w:r>
          </w:p>
        </w:tc>
        <w:tc>
          <w:tcPr>
            <w:tcW w:w="100" w:type="dxa"/>
            <w:vAlign w:val="bottom"/>
          </w:tcPr>
          <w:p>
            <w:pPr>
              <w:spacing w:after="0"/>
              <w:rPr>
                <w:sz w:val="20"/>
                <w:szCs w:val="20"/>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Chairman of the Board and Chief Executive Officer</w:t>
            </w:r>
          </w:p>
        </w:tc>
      </w:tr>
      <w:tr>
        <w:trPr>
          <w:trHeight w:val="243"/>
        </w:trPr>
        <w:tc>
          <w:tcPr>
            <w:tcW w:w="4640" w:type="dxa"/>
            <w:vAlign w:val="bottom"/>
          </w:tcPr>
          <w:p>
            <w:pPr>
              <w:spacing w:after="0"/>
              <w:rPr>
                <w:sz w:val="20"/>
                <w:szCs w:val="20"/>
                <w:color w:val="auto"/>
              </w:rPr>
            </w:pPr>
            <w:r>
              <w:rPr>
                <w:rFonts w:ascii="Arial" w:cs="Arial" w:eastAsia="Arial" w:hAnsi="Arial"/>
                <w:sz w:val="18"/>
                <w:szCs w:val="18"/>
                <w:color w:val="auto"/>
              </w:rPr>
              <w:t>Cory T. Newsom</w:t>
            </w:r>
          </w:p>
        </w:tc>
        <w:tc>
          <w:tcPr>
            <w:tcW w:w="100" w:type="dxa"/>
            <w:vAlign w:val="bottom"/>
          </w:tcPr>
          <w:p>
            <w:pPr>
              <w:spacing w:after="0"/>
              <w:rPr>
                <w:sz w:val="21"/>
                <w:szCs w:val="21"/>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President</w:t>
            </w:r>
          </w:p>
        </w:tc>
      </w:tr>
      <w:tr>
        <w:trPr>
          <w:trHeight w:val="243"/>
        </w:trPr>
        <w:tc>
          <w:tcPr>
            <w:tcW w:w="4640" w:type="dxa"/>
            <w:vAlign w:val="bottom"/>
          </w:tcPr>
          <w:p>
            <w:pPr>
              <w:spacing w:after="0"/>
              <w:rPr>
                <w:sz w:val="20"/>
                <w:szCs w:val="20"/>
                <w:color w:val="auto"/>
              </w:rPr>
            </w:pPr>
            <w:r>
              <w:rPr>
                <w:rFonts w:ascii="Arial" w:cs="Arial" w:eastAsia="Arial" w:hAnsi="Arial"/>
                <w:sz w:val="18"/>
                <w:szCs w:val="18"/>
                <w:color w:val="auto"/>
              </w:rPr>
              <w:t>Kelly L. Deterding</w:t>
            </w:r>
          </w:p>
        </w:tc>
        <w:tc>
          <w:tcPr>
            <w:tcW w:w="100" w:type="dxa"/>
            <w:vAlign w:val="bottom"/>
          </w:tcPr>
          <w:p>
            <w:pPr>
              <w:spacing w:after="0"/>
              <w:rPr>
                <w:sz w:val="21"/>
                <w:szCs w:val="21"/>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President of Windmark Insurance</w:t>
            </w:r>
          </w:p>
        </w:tc>
      </w:tr>
    </w:tbl>
    <w:p>
      <w:pPr>
        <w:spacing w:after="0" w:line="211"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367"/>
        <w:spacing w:after="0"/>
        <w:rPr>
          <w:sz w:val="20"/>
          <w:szCs w:val="20"/>
          <w:color w:val="auto"/>
        </w:rPr>
      </w:pPr>
      <w:r>
        <w:rPr>
          <w:rFonts w:ascii="Arial" w:cs="Arial" w:eastAsia="Arial" w:hAnsi="Arial"/>
          <w:sz w:val="16"/>
          <w:szCs w:val="16"/>
          <w:color w:val="auto"/>
        </w:rPr>
        <w:t>The following table summarizes compensation that was earned by our NEOs for the fiscal year ended December 31, 2018.</w:t>
      </w:r>
    </w:p>
    <w:p>
      <w:pPr>
        <w:spacing w:after="0" w:line="105"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Non-Equity</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60" w:type="dxa"/>
            <w:vAlign w:val="bottom"/>
          </w:tcPr>
          <w:p>
            <w:pPr>
              <w:spacing w:after="0"/>
              <w:rPr>
                <w:sz w:val="14"/>
                <w:szCs w:val="14"/>
                <w:color w:val="auto"/>
              </w:rPr>
            </w:pPr>
          </w:p>
        </w:tc>
        <w:tc>
          <w:tcPr>
            <w:tcW w:w="12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5"/>
              </w:rPr>
              <w:t>Incentive Plan</w:t>
            </w:r>
          </w:p>
        </w:tc>
        <w:tc>
          <w:tcPr>
            <w:tcW w:w="220" w:type="dxa"/>
            <w:vAlign w:val="bottom"/>
          </w:tcPr>
          <w:p>
            <w:pPr>
              <w:spacing w:after="0"/>
              <w:rPr>
                <w:sz w:val="14"/>
                <w:szCs w:val="14"/>
                <w:color w:val="auto"/>
              </w:rPr>
            </w:pPr>
          </w:p>
        </w:tc>
        <w:tc>
          <w:tcPr>
            <w:tcW w:w="840" w:type="dxa"/>
            <w:vAlign w:val="bottom"/>
          </w:tcPr>
          <w:p>
            <w:pPr>
              <w:jc w:val="center"/>
              <w:ind w:right="141"/>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Total</w:t>
            </w:r>
          </w:p>
        </w:tc>
      </w:tr>
      <w:tr>
        <w:trPr>
          <w:trHeight w:val="145"/>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120"/>
              <w:spacing w:after="0" w:line="145" w:lineRule="exact"/>
              <w:rPr>
                <w:sz w:val="20"/>
                <w:szCs w:val="20"/>
                <w:color w:val="auto"/>
              </w:rPr>
            </w:pPr>
            <w:r>
              <w:rPr>
                <w:rFonts w:ascii="Arial" w:cs="Arial" w:eastAsia="Arial" w:hAnsi="Arial"/>
                <w:sz w:val="14"/>
                <w:szCs w:val="14"/>
                <w:b w:val="1"/>
                <w:bCs w:val="1"/>
                <w:color w:val="auto"/>
                <w:w w:val="99"/>
              </w:rPr>
              <w:t>Salary</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21"/>
              <w:spacing w:after="0" w:line="145" w:lineRule="exact"/>
              <w:rPr>
                <w:sz w:val="20"/>
                <w:szCs w:val="20"/>
                <w:color w:val="auto"/>
              </w:rPr>
            </w:pPr>
            <w:r>
              <w:rPr>
                <w:rFonts w:ascii="Arial" w:cs="Arial" w:eastAsia="Arial" w:hAnsi="Arial"/>
                <w:sz w:val="14"/>
                <w:szCs w:val="14"/>
                <w:b w:val="1"/>
                <w:bCs w:val="1"/>
                <w:color w:val="auto"/>
                <w:w w:val="91"/>
              </w:rPr>
              <w:t>Bonus</w:t>
            </w:r>
          </w:p>
        </w:tc>
        <w:tc>
          <w:tcPr>
            <w:tcW w:w="180" w:type="dxa"/>
            <w:vAlign w:val="bottom"/>
          </w:tcPr>
          <w:p>
            <w:pPr>
              <w:spacing w:after="0"/>
              <w:rPr>
                <w:sz w:val="12"/>
                <w:szCs w:val="12"/>
                <w:color w:val="auto"/>
              </w:rPr>
            </w:pPr>
          </w:p>
        </w:tc>
        <w:tc>
          <w:tcPr>
            <w:tcW w:w="5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Awards</w:t>
            </w:r>
          </w:p>
        </w:tc>
        <w:tc>
          <w:tcPr>
            <w:tcW w:w="160" w:type="dxa"/>
            <w:vAlign w:val="bottom"/>
          </w:tcPr>
          <w:p>
            <w:pPr>
              <w:spacing w:after="0"/>
              <w:rPr>
                <w:sz w:val="12"/>
                <w:szCs w:val="12"/>
                <w:color w:val="auto"/>
              </w:rPr>
            </w:pPr>
          </w:p>
        </w:tc>
        <w:tc>
          <w:tcPr>
            <w:tcW w:w="1260" w:type="dxa"/>
            <w:vAlign w:val="bottom"/>
            <w:gridSpan w:val="3"/>
          </w:tcPr>
          <w:p>
            <w:pPr>
              <w:jc w:val="center"/>
              <w:ind w:right="160"/>
              <w:spacing w:after="0" w:line="145" w:lineRule="exact"/>
              <w:rPr>
                <w:sz w:val="20"/>
                <w:szCs w:val="20"/>
                <w:color w:val="auto"/>
              </w:rPr>
            </w:pPr>
            <w:r>
              <w:rPr>
                <w:rFonts w:ascii="Arial" w:cs="Arial" w:eastAsia="Arial" w:hAnsi="Arial"/>
                <w:sz w:val="14"/>
                <w:szCs w:val="14"/>
                <w:b w:val="1"/>
                <w:bCs w:val="1"/>
                <w:color w:val="auto"/>
                <w:w w:val="92"/>
              </w:rPr>
              <w:t>Compensation</w:t>
            </w:r>
          </w:p>
        </w:tc>
        <w:tc>
          <w:tcPr>
            <w:tcW w:w="106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2"/>
              </w:rPr>
              <w:t>Compensation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2"/>
              </w:rPr>
              <w:t>Compensation</w:t>
            </w:r>
          </w:p>
        </w:tc>
      </w:tr>
      <w:tr>
        <w:trPr>
          <w:trHeight w:val="196"/>
        </w:trPr>
        <w:tc>
          <w:tcPr>
            <w:tcW w:w="240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180" w:type="dxa"/>
            <w:vAlign w:val="bottom"/>
          </w:tcPr>
          <w:p>
            <w:pPr>
              <w:spacing w:after="0"/>
              <w:rPr>
                <w:sz w:val="17"/>
                <w:szCs w:val="17"/>
                <w:color w:val="auto"/>
              </w:rPr>
            </w:pPr>
          </w:p>
        </w:tc>
        <w:tc>
          <w:tcPr>
            <w:tcW w:w="520" w:type="dxa"/>
            <w:vAlign w:val="bottom"/>
          </w:tcPr>
          <w:p>
            <w:pPr>
              <w:jc w:val="right"/>
              <w:ind w:right="41"/>
              <w:spacing w:after="0"/>
              <w:rPr>
                <w:sz w:val="20"/>
                <w:szCs w:val="20"/>
                <w:color w:val="auto"/>
              </w:rPr>
            </w:pPr>
            <w:r>
              <w:rPr>
                <w:rFonts w:ascii="Arial" w:cs="Arial" w:eastAsia="Arial" w:hAnsi="Arial"/>
                <w:sz w:val="14"/>
                <w:szCs w:val="14"/>
                <w:b w:val="1"/>
                <w:bCs w:val="1"/>
                <w:color w:val="auto"/>
              </w:rPr>
              <w:t>Year</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161"/>
              <w:spacing w:after="0" w:line="189"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1"/>
                <w:szCs w:val="21"/>
                <w:b w:val="1"/>
                <w:bCs w:val="1"/>
                <w:color w:val="auto"/>
                <w:vertAlign w:val="superscript"/>
              </w:rPr>
              <w:t>(1)</w:t>
            </w:r>
          </w:p>
        </w:tc>
        <w:tc>
          <w:tcPr>
            <w:tcW w:w="760" w:type="dxa"/>
            <w:vAlign w:val="bottom"/>
            <w:gridSpan w:val="2"/>
          </w:tcPr>
          <w:p>
            <w:pPr>
              <w:jc w:val="center"/>
              <w:ind w:left="95"/>
              <w:spacing w:after="0" w:line="189" w:lineRule="exact"/>
              <w:rPr>
                <w:sz w:val="20"/>
                <w:szCs w:val="20"/>
                <w:color w:val="auto"/>
              </w:rPr>
            </w:pPr>
            <w:r>
              <w:rPr>
                <w:rFonts w:ascii="Arial" w:cs="Arial" w:eastAsia="Arial" w:hAnsi="Arial"/>
                <w:sz w:val="13"/>
                <w:szCs w:val="13"/>
                <w:b w:val="1"/>
                <w:bCs w:val="1"/>
                <w:color w:val="auto"/>
                <w:w w:val="96"/>
              </w:rPr>
              <w:t>($)</w:t>
            </w:r>
            <w:r>
              <w:rPr>
                <w:rFonts w:ascii="Arial" w:cs="Arial" w:eastAsia="Arial" w:hAnsi="Arial"/>
                <w:sz w:val="21"/>
                <w:szCs w:val="21"/>
                <w:b w:val="1"/>
                <w:bCs w:val="1"/>
                <w:color w:val="auto"/>
                <w:w w:val="96"/>
                <w:vertAlign w:val="superscript"/>
              </w:rPr>
              <w:t>(2)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center"/>
              <w:ind w:right="41"/>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center"/>
              <w:ind w:right="141"/>
              <w:spacing w:after="0" w:line="189" w:lineRule="exact"/>
              <w:rPr>
                <w:sz w:val="20"/>
                <w:szCs w:val="20"/>
                <w:color w:val="auto"/>
              </w:rPr>
            </w:pPr>
            <w:r>
              <w:rPr>
                <w:rFonts w:ascii="Arial" w:cs="Arial" w:eastAsia="Arial" w:hAnsi="Arial"/>
                <w:sz w:val="13"/>
                <w:szCs w:val="13"/>
                <w:b w:val="1"/>
                <w:bCs w:val="1"/>
                <w:color w:val="auto"/>
                <w:w w:val="90"/>
              </w:rPr>
              <w:t>($)</w:t>
            </w:r>
            <w:r>
              <w:rPr>
                <w:rFonts w:ascii="Arial" w:cs="Arial" w:eastAsia="Arial" w:hAnsi="Arial"/>
                <w:sz w:val="21"/>
                <w:szCs w:val="21"/>
                <w:b w:val="1"/>
                <w:bCs w:val="1"/>
                <w:color w:val="auto"/>
                <w:w w:val="90"/>
                <w:vertAlign w:val="superscript"/>
              </w:rPr>
              <w:t>(4)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23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Curtis C. Griffith</w:t>
            </w:r>
          </w:p>
        </w:tc>
        <w:tc>
          <w:tcPr>
            <w:tcW w:w="18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2018</w:t>
            </w:r>
          </w:p>
        </w:tc>
        <w:tc>
          <w:tcPr>
            <w:tcW w:w="1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402,796</w:t>
            </w:r>
          </w:p>
        </w:tc>
        <w:tc>
          <w:tcPr>
            <w:tcW w:w="1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47,790</w:t>
            </w:r>
          </w:p>
        </w:tc>
        <w:tc>
          <w:tcPr>
            <w:tcW w:w="18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60,391</w:t>
            </w: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510,997</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3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Chairman of the Board and</w:t>
            </w: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23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Chief Executive Officer</w:t>
            </w:r>
          </w:p>
        </w:tc>
        <w:tc>
          <w:tcPr>
            <w:tcW w:w="1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2380" w:type="dxa"/>
            <w:vAlign w:val="bottom"/>
            <w:gridSpan w:val="2"/>
          </w:tcPr>
          <w:p>
            <w:pPr>
              <w:spacing w:after="0"/>
              <w:rPr>
                <w:sz w:val="20"/>
                <w:szCs w:val="20"/>
                <w:color w:val="auto"/>
              </w:rPr>
            </w:pPr>
            <w:r>
              <w:rPr>
                <w:rFonts w:ascii="Arial" w:cs="Arial" w:eastAsia="Arial" w:hAnsi="Arial"/>
                <w:sz w:val="17"/>
                <w:szCs w:val="17"/>
                <w:b w:val="1"/>
                <w:bCs w:val="1"/>
                <w:color w:val="auto"/>
              </w:rPr>
              <w:t>Cory T. Newsom</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2018</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w w:val="97"/>
              </w:rPr>
              <w:t>766,956</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7"/>
              </w:rPr>
              <w:t>104,215</w:t>
            </w:r>
          </w:p>
        </w:tc>
        <w:tc>
          <w:tcPr>
            <w:tcW w:w="180" w:type="dxa"/>
            <w:vAlign w:val="bottom"/>
          </w:tcPr>
          <w:p>
            <w:pPr>
              <w:spacing w:after="0"/>
              <w:rPr>
                <w:sz w:val="17"/>
                <w:szCs w:val="17"/>
                <w:color w:val="auto"/>
              </w:rPr>
            </w:pPr>
          </w:p>
        </w:tc>
        <w:tc>
          <w:tcPr>
            <w:tcW w:w="580" w:type="dxa"/>
            <w:vAlign w:val="bottom"/>
          </w:tcPr>
          <w:p>
            <w:pPr>
              <w:ind w:left="400"/>
              <w:spacing w:after="0"/>
              <w:rPr>
                <w:sz w:val="20"/>
                <w:szCs w:val="20"/>
                <w:color w:val="auto"/>
              </w:rPr>
            </w:pPr>
            <w:r>
              <w:rPr>
                <w:rFonts w:ascii="Arial" w:cs="Arial" w:eastAsia="Arial" w:hAnsi="Arial"/>
                <w:sz w:val="17"/>
                <w:szCs w:val="17"/>
                <w:color w:val="auto"/>
                <w:w w:val="93"/>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8"/>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62,022</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933,193</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ind w:left="140"/>
              <w:spacing w:after="0"/>
              <w:rPr>
                <w:sz w:val="20"/>
                <w:szCs w:val="20"/>
                <w:color w:val="auto"/>
              </w:rPr>
            </w:pPr>
            <w:r>
              <w:rPr>
                <w:rFonts w:ascii="Arial" w:cs="Arial" w:eastAsia="Arial" w:hAnsi="Arial"/>
                <w:sz w:val="17"/>
                <w:szCs w:val="17"/>
                <w:color w:val="auto"/>
              </w:rPr>
              <w:t>President</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Kelly L. Deterding</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2018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110,893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12,370</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Arial" w:cs="Arial" w:eastAsia="Arial" w:hAnsi="Arial"/>
                <w:sz w:val="17"/>
                <w:szCs w:val="17"/>
                <w:color w:val="auto"/>
                <w:w w:val="93"/>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40"/>
              <w:spacing w:after="0" w:line="216" w:lineRule="exact"/>
              <w:rPr>
                <w:sz w:val="20"/>
                <w:szCs w:val="20"/>
                <w:color w:val="auto"/>
              </w:rPr>
            </w:pPr>
            <w:r>
              <w:rPr>
                <w:rFonts w:ascii="Arial" w:cs="Arial" w:eastAsia="Arial" w:hAnsi="Arial"/>
                <w:sz w:val="16"/>
                <w:szCs w:val="16"/>
                <w:color w:val="auto"/>
              </w:rPr>
              <w:t>507,298</w:t>
            </w:r>
            <w:r>
              <w:rPr>
                <w:rFonts w:ascii="Arial" w:cs="Arial" w:eastAsia="Arial" w:hAnsi="Arial"/>
                <w:sz w:val="25"/>
                <w:szCs w:val="25"/>
                <w:color w:val="auto"/>
                <w:vertAlign w:val="superscript"/>
              </w:rPr>
              <w:t>(3)</w:t>
            </w:r>
          </w:p>
        </w:tc>
        <w:tc>
          <w:tcPr>
            <w:tcW w:w="22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11,791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642,352</w:t>
            </w:r>
          </w:p>
        </w:tc>
        <w:tc>
          <w:tcPr>
            <w:tcW w:w="10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23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President of Windmark</w:t>
            </w: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23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Insurance</w:t>
            </w:r>
          </w:p>
        </w:tc>
        <w:tc>
          <w:tcPr>
            <w:tcW w:w="1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176"/>
        </w:trPr>
        <w:tc>
          <w:tcPr>
            <w:tcW w:w="2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103" w:lineRule="exact"/>
        <w:rPr>
          <w:sz w:val="20"/>
          <w:szCs w:val="20"/>
          <w:color w:val="auto"/>
        </w:rPr>
      </w:pPr>
    </w:p>
    <w:p>
      <w:pPr>
        <w:ind w:left="347" w:hanging="347"/>
        <w:spacing w:after="0"/>
        <w:tabs>
          <w:tab w:leader="none" w:pos="347" w:val="left"/>
        </w:tabs>
        <w:numPr>
          <w:ilvl w:val="0"/>
          <w:numId w:val="59"/>
        </w:numPr>
        <w:rPr>
          <w:rFonts w:ascii="Arial" w:cs="Arial" w:eastAsia="Arial" w:hAnsi="Arial"/>
          <w:sz w:val="13"/>
          <w:szCs w:val="13"/>
          <w:color w:val="auto"/>
        </w:rPr>
      </w:pPr>
      <w:r>
        <w:rPr>
          <w:rFonts w:ascii="Arial" w:cs="Arial" w:eastAsia="Arial" w:hAnsi="Arial"/>
          <w:sz w:val="13"/>
          <w:szCs w:val="13"/>
          <w:color w:val="auto"/>
        </w:rPr>
        <w:t>Amounts represent the payment of annual bonuses for 2018. For a description of annual bonuses for 2018, see “ Annual Cash Incentive Compensation” below.</w:t>
      </w:r>
    </w:p>
    <w:p>
      <w:pPr>
        <w:spacing w:after="0" w:line="120" w:lineRule="exact"/>
        <w:rPr>
          <w:rFonts w:ascii="Arial" w:cs="Arial" w:eastAsia="Arial" w:hAnsi="Arial"/>
          <w:sz w:val="13"/>
          <w:szCs w:val="13"/>
          <w:color w:val="auto"/>
        </w:rPr>
      </w:pPr>
    </w:p>
    <w:p>
      <w:pPr>
        <w:ind w:left="347" w:right="500" w:hanging="347"/>
        <w:spacing w:after="0" w:line="273" w:lineRule="auto"/>
        <w:tabs>
          <w:tab w:leader="none" w:pos="347" w:val="left"/>
        </w:tabs>
        <w:numPr>
          <w:ilvl w:val="0"/>
          <w:numId w:val="59"/>
        </w:numPr>
        <w:rPr>
          <w:rFonts w:ascii="Arial" w:cs="Arial" w:eastAsia="Arial" w:hAnsi="Arial"/>
          <w:sz w:val="14"/>
          <w:szCs w:val="14"/>
          <w:color w:val="auto"/>
        </w:rPr>
      </w:pPr>
      <w:r>
        <w:rPr>
          <w:rFonts w:ascii="Arial" w:cs="Arial" w:eastAsia="Arial" w:hAnsi="Arial"/>
          <w:sz w:val="14"/>
          <w:szCs w:val="14"/>
          <w:color w:val="auto"/>
        </w:rPr>
        <w:t>Amounts reflect the intrinsic value on the date of grant of the cash-settled stock appreciation rights granted to Messrs. Griffith and Newsom in 2018, as permitted by ASC Topic 718 for nonpublic entities.</w:t>
      </w:r>
    </w:p>
    <w:p>
      <w:pPr>
        <w:spacing w:after="0" w:line="65" w:lineRule="exact"/>
        <w:rPr>
          <w:rFonts w:ascii="Arial" w:cs="Arial" w:eastAsia="Arial" w:hAnsi="Arial"/>
          <w:sz w:val="14"/>
          <w:szCs w:val="14"/>
          <w:color w:val="auto"/>
        </w:rPr>
      </w:pPr>
    </w:p>
    <w:p>
      <w:pPr>
        <w:ind w:left="347" w:hanging="347"/>
        <w:spacing w:after="0"/>
        <w:tabs>
          <w:tab w:leader="none" w:pos="347" w:val="left"/>
        </w:tabs>
        <w:numPr>
          <w:ilvl w:val="0"/>
          <w:numId w:val="59"/>
        </w:numPr>
        <w:rPr>
          <w:rFonts w:ascii="Arial" w:cs="Arial" w:eastAsia="Arial" w:hAnsi="Arial"/>
          <w:sz w:val="14"/>
          <w:szCs w:val="14"/>
          <w:color w:val="auto"/>
        </w:rPr>
      </w:pPr>
      <w:r>
        <w:rPr>
          <w:rFonts w:ascii="Arial" w:cs="Arial" w:eastAsia="Arial" w:hAnsi="Arial"/>
          <w:sz w:val="14"/>
          <w:szCs w:val="14"/>
          <w:color w:val="auto"/>
        </w:rPr>
        <w:t>Amount represents Mr. Deterding’s annual commission as described in “Annual Cash Incentive Compensation” below.</w:t>
      </w:r>
    </w:p>
    <w:p>
      <w:pPr>
        <w:spacing w:after="0" w:line="109" w:lineRule="exact"/>
        <w:rPr>
          <w:rFonts w:ascii="Arial" w:cs="Arial" w:eastAsia="Arial" w:hAnsi="Arial"/>
          <w:sz w:val="14"/>
          <w:szCs w:val="14"/>
          <w:color w:val="auto"/>
        </w:rPr>
      </w:pPr>
    </w:p>
    <w:p>
      <w:pPr>
        <w:ind w:left="347" w:right="240" w:hanging="347"/>
        <w:spacing w:after="0" w:line="273" w:lineRule="auto"/>
        <w:tabs>
          <w:tab w:leader="none" w:pos="347" w:val="left"/>
        </w:tabs>
        <w:numPr>
          <w:ilvl w:val="0"/>
          <w:numId w:val="59"/>
        </w:numPr>
        <w:rPr>
          <w:rFonts w:ascii="Arial" w:cs="Arial" w:eastAsia="Arial" w:hAnsi="Arial"/>
          <w:sz w:val="14"/>
          <w:szCs w:val="14"/>
          <w:color w:val="auto"/>
        </w:rPr>
      </w:pPr>
      <w:r>
        <w:rPr>
          <w:rFonts w:ascii="Arial" w:cs="Arial" w:eastAsia="Arial" w:hAnsi="Arial"/>
          <w:sz w:val="14"/>
          <w:szCs w:val="14"/>
          <w:color w:val="auto"/>
        </w:rPr>
        <w:t>We provide our NEOs with other benefits that we believe are reasonable, competitive and consistent with our overall executive compensation structure. The amounts in this column for fiscal year 2018 include:</w:t>
      </w:r>
    </w:p>
    <w:p>
      <w:pPr>
        <w:spacing w:after="0" w:line="65" w:lineRule="exact"/>
        <w:rPr>
          <w:rFonts w:ascii="Arial" w:cs="Arial" w:eastAsia="Arial" w:hAnsi="Arial"/>
          <w:sz w:val="14"/>
          <w:szCs w:val="14"/>
          <w:color w:val="auto"/>
        </w:rPr>
      </w:pPr>
    </w:p>
    <w:p>
      <w:pPr>
        <w:ind w:left="707" w:right="440" w:hanging="356"/>
        <w:spacing w:after="0" w:line="273" w:lineRule="auto"/>
        <w:tabs>
          <w:tab w:leader="none" w:pos="707" w:val="left"/>
        </w:tabs>
        <w:numPr>
          <w:ilvl w:val="1"/>
          <w:numId w:val="59"/>
        </w:numPr>
        <w:rPr>
          <w:rFonts w:ascii="Arial" w:cs="Arial" w:eastAsia="Arial" w:hAnsi="Arial"/>
          <w:sz w:val="14"/>
          <w:szCs w:val="14"/>
          <w:color w:val="auto"/>
        </w:rPr>
      </w:pPr>
      <w:r>
        <w:rPr>
          <w:rFonts w:ascii="Arial" w:cs="Arial" w:eastAsia="Arial" w:hAnsi="Arial"/>
          <w:sz w:val="14"/>
          <w:szCs w:val="14"/>
          <w:color w:val="auto"/>
        </w:rPr>
        <w:t>For Mr. Griffith: director fees of $28,913, vehicle expenses of $13,663, Company-paid health incentives of $45, a contribution under our ESOP of $14,994, and Company-paid premiums for group insurance of $2,776.</w:t>
      </w:r>
    </w:p>
    <w:p>
      <w:pPr>
        <w:spacing w:after="0" w:line="65" w:lineRule="exact"/>
        <w:rPr>
          <w:rFonts w:ascii="Arial" w:cs="Arial" w:eastAsia="Arial" w:hAnsi="Arial"/>
          <w:sz w:val="14"/>
          <w:szCs w:val="14"/>
          <w:color w:val="auto"/>
        </w:rPr>
      </w:pPr>
    </w:p>
    <w:p>
      <w:pPr>
        <w:ind w:left="707" w:right="160" w:hanging="356"/>
        <w:spacing w:after="0" w:line="273" w:lineRule="auto"/>
        <w:tabs>
          <w:tab w:leader="none" w:pos="707" w:val="left"/>
        </w:tabs>
        <w:numPr>
          <w:ilvl w:val="1"/>
          <w:numId w:val="59"/>
        </w:numPr>
        <w:rPr>
          <w:rFonts w:ascii="Arial" w:cs="Arial" w:eastAsia="Arial" w:hAnsi="Arial"/>
          <w:sz w:val="14"/>
          <w:szCs w:val="14"/>
          <w:color w:val="auto"/>
        </w:rPr>
      </w:pPr>
      <w:r>
        <w:rPr>
          <w:rFonts w:ascii="Arial" w:cs="Arial" w:eastAsia="Arial" w:hAnsi="Arial"/>
          <w:sz w:val="14"/>
          <w:szCs w:val="14"/>
          <w:color w:val="auto"/>
        </w:rPr>
        <w:t>For Mr. Newsom: director fees of $28,913, vehicle expenses of $6,469, a contribution under our ESOP of $14,994, Company-paid premiums for group insurance of $1,256, and home security and country-club dues of $10,389.</w:t>
      </w:r>
    </w:p>
    <w:p>
      <w:pPr>
        <w:spacing w:after="0" w:line="65" w:lineRule="exact"/>
        <w:rPr>
          <w:rFonts w:ascii="Arial" w:cs="Arial" w:eastAsia="Arial" w:hAnsi="Arial"/>
          <w:sz w:val="14"/>
          <w:szCs w:val="14"/>
          <w:color w:val="auto"/>
        </w:rPr>
      </w:pPr>
    </w:p>
    <w:p>
      <w:pPr>
        <w:ind w:left="707" w:right="180" w:hanging="356"/>
        <w:spacing w:after="0" w:line="273" w:lineRule="auto"/>
        <w:tabs>
          <w:tab w:leader="none" w:pos="707" w:val="left"/>
        </w:tabs>
        <w:numPr>
          <w:ilvl w:val="1"/>
          <w:numId w:val="59"/>
        </w:numPr>
        <w:rPr>
          <w:rFonts w:ascii="Arial" w:cs="Arial" w:eastAsia="Arial" w:hAnsi="Arial"/>
          <w:sz w:val="14"/>
          <w:szCs w:val="14"/>
          <w:color w:val="auto"/>
        </w:rPr>
      </w:pPr>
      <w:r>
        <w:rPr>
          <w:rFonts w:ascii="Arial" w:cs="Arial" w:eastAsia="Arial" w:hAnsi="Arial"/>
          <w:sz w:val="14"/>
          <w:szCs w:val="14"/>
          <w:color w:val="auto"/>
        </w:rPr>
        <w:t>For Mr. Deterding: a contribution under our ESOP of $5,779, Company-paid premiums for group insurance of $1,081, and home security and country-club dues of $4,932.</w:t>
      </w:r>
    </w:p>
    <w:p>
      <w:pPr>
        <w:spacing w:after="0" w:line="165"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24" w:name="page125"/>
    <w:bookmarkEnd w:id="124"/>
    <w:p>
      <w:pPr>
        <w:ind w:left="7"/>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Outstanding Equity Awards at Fiscal Year End</w:t>
      </w:r>
    </w:p>
    <w:p>
      <w:pPr>
        <w:spacing w:after="0" w:line="121" w:lineRule="exact"/>
        <w:rPr>
          <w:sz w:val="20"/>
          <w:szCs w:val="20"/>
          <w:color w:val="auto"/>
        </w:rPr>
      </w:pPr>
    </w:p>
    <w:p>
      <w:pPr>
        <w:ind w:left="7" w:right="140" w:firstLine="360"/>
        <w:spacing w:after="0" w:line="264" w:lineRule="auto"/>
        <w:rPr>
          <w:sz w:val="20"/>
          <w:szCs w:val="20"/>
          <w:color w:val="auto"/>
        </w:rPr>
      </w:pPr>
      <w:r>
        <w:rPr>
          <w:rFonts w:ascii="Arial" w:cs="Arial" w:eastAsia="Arial" w:hAnsi="Arial"/>
          <w:sz w:val="18"/>
          <w:szCs w:val="18"/>
          <w:color w:val="auto"/>
        </w:rPr>
        <w:t>The following table summarizes outstanding and cash-settled stock appreciation rights, or SARs, held by our NEOs as of December 31, 2018. See “Converted Stock Appreciation Rights” below for more information on such SARs prior to and following the consummation of this offering.</w:t>
      </w:r>
    </w:p>
    <w:tbl>
      <w:tblPr>
        <w:tblLayout w:type="fixed"/>
        <w:tblInd w:w="7"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jc w:val="right"/>
              <w:ind w:right="751"/>
              <w:spacing w:after="0" w:line="209" w:lineRule="exact"/>
              <w:rPr>
                <w:sz w:val="20"/>
                <w:szCs w:val="20"/>
                <w:color w:val="auto"/>
              </w:rPr>
            </w:pPr>
            <w:r>
              <w:rPr>
                <w:rFonts w:ascii="Arial" w:cs="Arial" w:eastAsia="Arial" w:hAnsi="Arial"/>
                <w:sz w:val="14"/>
                <w:szCs w:val="14"/>
                <w:b w:val="1"/>
                <w:bCs w:val="1"/>
                <w:color w:val="auto"/>
              </w:rPr>
              <w:t>SAR Awards</w:t>
            </w:r>
            <w:r>
              <w:rPr>
                <w:rFonts w:ascii="Arial" w:cs="Arial" w:eastAsia="Arial" w:hAnsi="Arial"/>
                <w:sz w:val="24"/>
                <w:szCs w:val="24"/>
                <w:b w:val="1"/>
                <w:bCs w:val="1"/>
                <w:color w:val="auto"/>
                <w:vertAlign w:val="superscript"/>
              </w:rPr>
              <w:t>(1)</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5"/>
              </w:rPr>
              <w:t>Underlying</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Underlying</w:t>
            </w:r>
          </w:p>
        </w:tc>
        <w:tc>
          <w:tcPr>
            <w:tcW w:w="1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1"/>
              </w:rPr>
              <w:t>Unexercised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SARs,</w:t>
            </w:r>
          </w:p>
        </w:tc>
        <w:tc>
          <w:tcPr>
            <w:tcW w:w="1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2"/>
              </w:rPr>
              <w:t>SARs,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Exercisable</w:t>
            </w:r>
          </w:p>
        </w:tc>
        <w:tc>
          <w:tcPr>
            <w:tcW w:w="1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0"/>
              </w:rPr>
              <w:t>Unexercisable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3"/>
              </w:rPr>
              <w:t>SAR Strike Price ($)</w:t>
            </w:r>
            <w:r>
              <w:rPr>
                <w:rFonts w:ascii="Arial" w:cs="Arial" w:eastAsia="Arial" w:hAnsi="Arial"/>
                <w:sz w:val="24"/>
                <w:szCs w:val="24"/>
                <w:b w:val="1"/>
                <w:bCs w:val="1"/>
                <w:color w:val="auto"/>
                <w:w w:val="93"/>
                <w:vertAlign w:val="superscript"/>
              </w:rPr>
              <w:t>(2)</w:t>
            </w: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7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320" w:type="dxa"/>
            <w:vAlign w:val="bottom"/>
            <w:gridSpan w:val="2"/>
          </w:tcPr>
          <w:p>
            <w:pPr>
              <w:jc w:val="center"/>
              <w:ind w:left="88"/>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2"/>
          </w:tcPr>
          <w:p>
            <w:pPr>
              <w:ind w:left="220"/>
              <w:spacing w:after="0"/>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Curtis C. Griffith</w:t>
            </w:r>
          </w:p>
        </w:tc>
        <w:tc>
          <w:tcPr>
            <w:tcW w:w="160" w:type="dxa"/>
            <w:vAlign w:val="bottom"/>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60" w:type="dxa"/>
            <w:vAlign w:val="bottom"/>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80" w:type="dxa"/>
            <w:vAlign w:val="bottom"/>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12/31/2019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9,000</w:t>
            </w:r>
          </w:p>
        </w:tc>
        <w:tc>
          <w:tcPr>
            <w:tcW w:w="160" w:type="dxa"/>
            <w:vAlign w:val="bottom"/>
          </w:tcPr>
          <w:p>
            <w:pPr>
              <w:spacing w:after="0"/>
              <w:rPr>
                <w:sz w:val="20"/>
                <w:szCs w:val="20"/>
                <w:color w:val="auto"/>
              </w:rPr>
            </w:pPr>
          </w:p>
        </w:tc>
        <w:tc>
          <w:tcPr>
            <w:tcW w:w="1160" w:type="dxa"/>
            <w:vAlign w:val="bottom"/>
          </w:tcPr>
          <w:p>
            <w:pPr>
              <w:ind w:left="98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12/31/2020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12/31/2021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9,000</w:t>
            </w:r>
          </w:p>
        </w:tc>
        <w:tc>
          <w:tcPr>
            <w:tcW w:w="160" w:type="dxa"/>
            <w:vAlign w:val="bottom"/>
          </w:tcPr>
          <w:p>
            <w:pPr>
              <w:spacing w:after="0"/>
              <w:rPr>
                <w:sz w:val="20"/>
                <w:szCs w:val="20"/>
                <w:color w:val="auto"/>
              </w:rPr>
            </w:pPr>
          </w:p>
        </w:tc>
        <w:tc>
          <w:tcPr>
            <w:tcW w:w="1160" w:type="dxa"/>
            <w:vAlign w:val="bottom"/>
          </w:tcPr>
          <w:p>
            <w:pPr>
              <w:ind w:left="98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12.03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12/31/2022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12/31/2023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3,000</w:t>
            </w:r>
          </w:p>
        </w:tc>
        <w:tc>
          <w:tcPr>
            <w:tcW w:w="160" w:type="dxa"/>
            <w:vAlign w:val="bottom"/>
          </w:tcPr>
          <w:p>
            <w:pPr>
              <w:spacing w:after="0"/>
              <w:rPr>
                <w:sz w:val="20"/>
                <w:szCs w:val="20"/>
                <w:color w:val="auto"/>
              </w:rPr>
            </w:pPr>
          </w:p>
        </w:tc>
        <w:tc>
          <w:tcPr>
            <w:tcW w:w="1160" w:type="dxa"/>
            <w:vAlign w:val="bottom"/>
          </w:tcPr>
          <w:p>
            <w:pPr>
              <w:ind w:left="98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5.88</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12/31/2026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12/31/2027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3,000</w:t>
            </w:r>
          </w:p>
        </w:tc>
        <w:tc>
          <w:tcPr>
            <w:tcW w:w="160" w:type="dxa"/>
            <w:vAlign w:val="bottom"/>
          </w:tcPr>
          <w:p>
            <w:pPr>
              <w:spacing w:after="0"/>
              <w:rPr>
                <w:sz w:val="20"/>
                <w:szCs w:val="20"/>
                <w:color w:val="auto"/>
              </w:rPr>
            </w:pPr>
          </w:p>
        </w:tc>
        <w:tc>
          <w:tcPr>
            <w:tcW w:w="1160" w:type="dxa"/>
            <w:vAlign w:val="bottom"/>
          </w:tcPr>
          <w:p>
            <w:pPr>
              <w:ind w:left="98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10.93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12/31/2028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12/31/2029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3,000</w:t>
            </w:r>
          </w:p>
        </w:tc>
        <w:tc>
          <w:tcPr>
            <w:tcW w:w="160" w:type="dxa"/>
            <w:vAlign w:val="bottom"/>
          </w:tcPr>
          <w:p>
            <w:pPr>
              <w:spacing w:after="0"/>
              <w:rPr>
                <w:sz w:val="20"/>
                <w:szCs w:val="20"/>
                <w:color w:val="auto"/>
              </w:rPr>
            </w:pPr>
          </w:p>
        </w:tc>
        <w:tc>
          <w:tcPr>
            <w:tcW w:w="1160" w:type="dxa"/>
            <w:vAlign w:val="bottom"/>
          </w:tcPr>
          <w:p>
            <w:pPr>
              <w:ind w:left="98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13.88</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12/31/2030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12/31/2031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60" w:type="dxa"/>
            <w:vAlign w:val="bottom"/>
          </w:tcPr>
          <w:p>
            <w:pPr>
              <w:spacing w:after="0"/>
              <w:rPr>
                <w:sz w:val="20"/>
                <w:szCs w:val="20"/>
                <w:color w:val="auto"/>
              </w:rPr>
            </w:pPr>
          </w:p>
        </w:tc>
        <w:tc>
          <w:tcPr>
            <w:tcW w:w="116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19.05</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12/31/2032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66,000</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Cory T. Newsom</w:t>
            </w:r>
          </w:p>
        </w:tc>
        <w:tc>
          <w:tcPr>
            <w:tcW w:w="1000" w:type="dxa"/>
            <w:vAlign w:val="bottom"/>
          </w:tcPr>
          <w:p>
            <w:pPr>
              <w:jc w:val="right"/>
              <w:spacing w:after="0"/>
              <w:rPr>
                <w:sz w:val="20"/>
                <w:szCs w:val="20"/>
                <w:color w:val="auto"/>
              </w:rPr>
            </w:pPr>
            <w:r>
              <w:rPr>
                <w:rFonts w:ascii="Arial" w:cs="Arial" w:eastAsia="Arial" w:hAnsi="Arial"/>
                <w:sz w:val="18"/>
                <w:szCs w:val="18"/>
                <w:color w:val="auto"/>
              </w:rPr>
              <w:t>6,000</w:t>
            </w:r>
          </w:p>
        </w:tc>
        <w:tc>
          <w:tcPr>
            <w:tcW w:w="160" w:type="dxa"/>
            <w:vAlign w:val="bottom"/>
          </w:tcPr>
          <w:p>
            <w:pPr>
              <w:spacing w:after="0"/>
              <w:rPr>
                <w:sz w:val="20"/>
                <w:szCs w:val="20"/>
                <w:color w:val="auto"/>
              </w:rPr>
            </w:pPr>
          </w:p>
        </w:tc>
        <w:tc>
          <w:tcPr>
            <w:tcW w:w="1160" w:type="dxa"/>
            <w:vAlign w:val="bottom"/>
          </w:tcPr>
          <w:p>
            <w:pPr>
              <w:ind w:left="980"/>
              <w:spacing w:after="0"/>
              <w:rPr>
                <w:sz w:val="20"/>
                <w:szCs w:val="20"/>
                <w:color w:val="auto"/>
              </w:rPr>
            </w:pPr>
            <w:r>
              <w:rPr>
                <w:rFonts w:ascii="Arial" w:cs="Arial" w:eastAsia="Arial" w:hAnsi="Arial"/>
                <w:sz w:val="18"/>
                <w:szCs w:val="18"/>
                <w:color w:val="auto"/>
                <w:w w:val="88"/>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9.49</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12/31/2019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12/31/2020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9,000</w:t>
            </w:r>
          </w:p>
        </w:tc>
        <w:tc>
          <w:tcPr>
            <w:tcW w:w="160" w:type="dxa"/>
            <w:vAlign w:val="bottom"/>
          </w:tcPr>
          <w:p>
            <w:pPr>
              <w:spacing w:after="0"/>
              <w:rPr>
                <w:sz w:val="20"/>
                <w:szCs w:val="20"/>
                <w:color w:val="auto"/>
              </w:rPr>
            </w:pPr>
          </w:p>
        </w:tc>
        <w:tc>
          <w:tcPr>
            <w:tcW w:w="1160" w:type="dxa"/>
            <w:vAlign w:val="bottom"/>
          </w:tcPr>
          <w:p>
            <w:pPr>
              <w:ind w:left="98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11.03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12/31/2021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12/31/2022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9,000</w:t>
            </w:r>
          </w:p>
        </w:tc>
        <w:tc>
          <w:tcPr>
            <w:tcW w:w="160" w:type="dxa"/>
            <w:vAlign w:val="bottom"/>
          </w:tcPr>
          <w:p>
            <w:pPr>
              <w:spacing w:after="0"/>
              <w:rPr>
                <w:sz w:val="20"/>
                <w:szCs w:val="20"/>
                <w:color w:val="auto"/>
              </w:rPr>
            </w:pPr>
          </w:p>
        </w:tc>
        <w:tc>
          <w:tcPr>
            <w:tcW w:w="1160" w:type="dxa"/>
            <w:vAlign w:val="bottom"/>
          </w:tcPr>
          <w:p>
            <w:pPr>
              <w:ind w:left="98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10.33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12/31/2023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12/31/2026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9,000</w:t>
            </w:r>
          </w:p>
        </w:tc>
        <w:tc>
          <w:tcPr>
            <w:tcW w:w="160" w:type="dxa"/>
            <w:vAlign w:val="bottom"/>
          </w:tcPr>
          <w:p>
            <w:pPr>
              <w:spacing w:after="0"/>
              <w:rPr>
                <w:sz w:val="20"/>
                <w:szCs w:val="20"/>
                <w:color w:val="auto"/>
              </w:rPr>
            </w:pPr>
          </w:p>
        </w:tc>
        <w:tc>
          <w:tcPr>
            <w:tcW w:w="1160" w:type="dxa"/>
            <w:vAlign w:val="bottom"/>
          </w:tcPr>
          <w:p>
            <w:pPr>
              <w:ind w:left="98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8.60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12/31/2027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12/31/2028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12,000</w:t>
            </w:r>
          </w:p>
        </w:tc>
        <w:tc>
          <w:tcPr>
            <w:tcW w:w="160" w:type="dxa"/>
            <w:vAlign w:val="bottom"/>
          </w:tcPr>
          <w:p>
            <w:pPr>
              <w:spacing w:after="0"/>
              <w:rPr>
                <w:sz w:val="20"/>
                <w:szCs w:val="20"/>
                <w:color w:val="auto"/>
              </w:rPr>
            </w:pPr>
          </w:p>
        </w:tc>
        <w:tc>
          <w:tcPr>
            <w:tcW w:w="1160" w:type="dxa"/>
            <w:vAlign w:val="bottom"/>
          </w:tcPr>
          <w:p>
            <w:pPr>
              <w:ind w:left="98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12.24</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12/31/2029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12/31/2030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12,000</w:t>
            </w:r>
          </w:p>
        </w:tc>
        <w:tc>
          <w:tcPr>
            <w:tcW w:w="160" w:type="dxa"/>
            <w:vAlign w:val="bottom"/>
          </w:tcPr>
          <w:p>
            <w:pPr>
              <w:spacing w:after="0"/>
              <w:rPr>
                <w:sz w:val="20"/>
                <w:szCs w:val="20"/>
                <w:color w:val="auto"/>
              </w:rPr>
            </w:pPr>
          </w:p>
        </w:tc>
        <w:tc>
          <w:tcPr>
            <w:tcW w:w="1160" w:type="dxa"/>
            <w:vAlign w:val="bottom"/>
          </w:tcPr>
          <w:p>
            <w:pPr>
              <w:ind w:left="98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16.93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12/31/2031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12/31/2032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123,000</w:t>
            </w:r>
          </w:p>
        </w:tc>
        <w:tc>
          <w:tcPr>
            <w:tcW w:w="160" w:type="dxa"/>
            <w:vAlign w:val="bottom"/>
          </w:tcPr>
          <w:p>
            <w:pPr>
              <w:spacing w:after="0"/>
              <w:rPr>
                <w:sz w:val="20"/>
                <w:szCs w:val="20"/>
                <w:color w:val="auto"/>
              </w:rPr>
            </w:pPr>
          </w:p>
        </w:tc>
        <w:tc>
          <w:tcPr>
            <w:tcW w:w="1160" w:type="dxa"/>
            <w:vAlign w:val="bottom"/>
          </w:tcPr>
          <w:p>
            <w:pPr>
              <w:ind w:left="98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Kelly L. Deterding</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60" w:type="dxa"/>
            <w:vAlign w:val="bottom"/>
            <w:shd w:val="clear" w:color="auto" w:fill="CCEEFF"/>
          </w:tcPr>
          <w:p>
            <w:pPr>
              <w:spacing w:after="0"/>
              <w:rPr>
                <w:sz w:val="22"/>
                <w:szCs w:val="22"/>
                <w:color w:val="auto"/>
              </w:rPr>
            </w:pPr>
          </w:p>
        </w:tc>
        <w:tc>
          <w:tcPr>
            <w:tcW w:w="1160" w:type="dxa"/>
            <w:vAlign w:val="bottom"/>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12/31/2019</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1,500</w:t>
            </w:r>
          </w:p>
        </w:tc>
        <w:tc>
          <w:tcPr>
            <w:tcW w:w="160" w:type="dxa"/>
            <w:vAlign w:val="bottom"/>
          </w:tcPr>
          <w:p>
            <w:pPr>
              <w:spacing w:after="0"/>
              <w:rPr>
                <w:sz w:val="20"/>
                <w:szCs w:val="20"/>
                <w:color w:val="auto"/>
              </w:rPr>
            </w:pPr>
          </w:p>
        </w:tc>
        <w:tc>
          <w:tcPr>
            <w:tcW w:w="1160" w:type="dxa"/>
            <w:vAlign w:val="bottom"/>
          </w:tcPr>
          <w:p>
            <w:pPr>
              <w:ind w:left="98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12/31/2020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12/31/2021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1,500</w:t>
            </w:r>
          </w:p>
        </w:tc>
        <w:tc>
          <w:tcPr>
            <w:tcW w:w="160" w:type="dxa"/>
            <w:vAlign w:val="bottom"/>
          </w:tcPr>
          <w:p>
            <w:pPr>
              <w:spacing w:after="0"/>
              <w:rPr>
                <w:sz w:val="20"/>
                <w:szCs w:val="20"/>
                <w:color w:val="auto"/>
              </w:rPr>
            </w:pPr>
          </w:p>
        </w:tc>
        <w:tc>
          <w:tcPr>
            <w:tcW w:w="1160" w:type="dxa"/>
            <w:vAlign w:val="bottom"/>
          </w:tcPr>
          <w:p>
            <w:pPr>
              <w:ind w:left="98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12.03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12/31/2022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12/31/2023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1,500</w:t>
            </w:r>
          </w:p>
        </w:tc>
        <w:tc>
          <w:tcPr>
            <w:tcW w:w="160" w:type="dxa"/>
            <w:vAlign w:val="bottom"/>
          </w:tcPr>
          <w:p>
            <w:pPr>
              <w:spacing w:after="0"/>
              <w:rPr>
                <w:sz w:val="20"/>
                <w:szCs w:val="20"/>
                <w:color w:val="auto"/>
              </w:rPr>
            </w:pPr>
          </w:p>
        </w:tc>
        <w:tc>
          <w:tcPr>
            <w:tcW w:w="1160" w:type="dxa"/>
            <w:vAlign w:val="bottom"/>
          </w:tcPr>
          <w:p>
            <w:pPr>
              <w:ind w:left="98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5.88</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12/31/2026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12/31/2027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1,500</w:t>
            </w:r>
          </w:p>
        </w:tc>
        <w:tc>
          <w:tcPr>
            <w:tcW w:w="160" w:type="dxa"/>
            <w:vAlign w:val="bottom"/>
          </w:tcPr>
          <w:p>
            <w:pPr>
              <w:spacing w:after="0"/>
              <w:rPr>
                <w:sz w:val="20"/>
                <w:szCs w:val="20"/>
                <w:color w:val="auto"/>
              </w:rPr>
            </w:pPr>
          </w:p>
        </w:tc>
        <w:tc>
          <w:tcPr>
            <w:tcW w:w="1160" w:type="dxa"/>
            <w:vAlign w:val="bottom"/>
          </w:tcPr>
          <w:p>
            <w:pPr>
              <w:ind w:left="98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10.93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12/31/2028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12/31/2029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15,000</w:t>
            </w:r>
          </w:p>
        </w:tc>
        <w:tc>
          <w:tcPr>
            <w:tcW w:w="160" w:type="dxa"/>
            <w:vAlign w:val="bottom"/>
          </w:tcPr>
          <w:p>
            <w:pPr>
              <w:spacing w:after="0"/>
              <w:rPr>
                <w:sz w:val="20"/>
                <w:szCs w:val="20"/>
                <w:color w:val="auto"/>
              </w:rPr>
            </w:pPr>
          </w:p>
        </w:tc>
        <w:tc>
          <w:tcPr>
            <w:tcW w:w="1160" w:type="dxa"/>
            <w:vAlign w:val="bottom"/>
          </w:tcPr>
          <w:p>
            <w:pPr>
              <w:ind w:left="98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909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284" w:lineRule="exact"/>
        <w:rPr>
          <w:sz w:val="20"/>
          <w:szCs w:val="20"/>
          <w:color w:val="auto"/>
        </w:rPr>
      </w:pPr>
    </w:p>
    <w:p>
      <w:pPr>
        <w:ind w:left="347" w:right="160" w:hanging="347"/>
        <w:spacing w:after="0" w:line="273" w:lineRule="auto"/>
        <w:tabs>
          <w:tab w:leader="none" w:pos="347" w:val="left"/>
        </w:tabs>
        <w:numPr>
          <w:ilvl w:val="0"/>
          <w:numId w:val="60"/>
        </w:numPr>
        <w:rPr>
          <w:rFonts w:ascii="Arial" w:cs="Arial" w:eastAsia="Arial" w:hAnsi="Arial"/>
          <w:sz w:val="14"/>
          <w:szCs w:val="14"/>
          <w:color w:val="auto"/>
        </w:rPr>
      </w:pPr>
      <w:r>
        <w:rPr>
          <w:rFonts w:ascii="Arial" w:cs="Arial" w:eastAsia="Arial" w:hAnsi="Arial"/>
          <w:sz w:val="14"/>
          <w:szCs w:val="14"/>
          <w:color w:val="auto"/>
        </w:rPr>
        <w:t>Prior to the closing of this offering, we expect to convert the value of all outstanding vested and unvested cash-settled SARs, a total of 1,401,000 after giving effect to the 29-for-1 stock dividend, to an equal number of stock options to acquire our common stock under the 2019 Plan.</w:t>
      </w:r>
    </w:p>
    <w:p>
      <w:pPr>
        <w:spacing w:after="0" w:line="65" w:lineRule="exact"/>
        <w:rPr>
          <w:rFonts w:ascii="Arial" w:cs="Arial" w:eastAsia="Arial" w:hAnsi="Arial"/>
          <w:sz w:val="14"/>
          <w:szCs w:val="14"/>
          <w:color w:val="auto"/>
        </w:rPr>
      </w:pPr>
    </w:p>
    <w:p>
      <w:pPr>
        <w:ind w:left="347" w:hanging="347"/>
        <w:spacing w:after="0"/>
        <w:tabs>
          <w:tab w:leader="none" w:pos="347"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SAR strike price reflects the fair market value of our common stock as of the grant date, adjusted to give effect to the 29-for-1 stock dividend.</w:t>
      </w:r>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25" w:name="page126"/>
    <w:bookmarkEnd w:id="12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Base salary is designed to attract and retain experienced executive officers who can manage the Company and the Bank and achieve the Company’s long-term business goals. Base salaries are generally targeted at the top of the competitive market. The base salary for each executive officer is based upon officer experience, expected personal performance, salary levels in effect for comparable positions in the industry, internal base salary comparability considerations and the responsibilities assumed by the executive officer. While an executive officer’s initial salary is determined by an assessment of competitive market levels, the major factor in determining base salary increases is individual performance. Base salaries are reviewed and adjusted annually to reflect changes in personal achievement, changes in role, responsibility and the competitive environment. Insurance benefits and retirement benefits are not taken into account when determining base salary.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Cash Incentive Compensation</w:t>
      </w:r>
    </w:p>
    <w:p>
      <w:pPr>
        <w:spacing w:after="0" w:line="117"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The Company has historically granted an annual cash bonus tied to Company performance. The annual cash bonus is expressed as a percentage of the executive’s base salary. The amount is determined based on how the Company’s actual results compare to the annual budget. The annual cash bonus is usually paid in December. Mr. Newsom’s annual cash bonus is governed by his employment agreement. In addition to the annual cash bonus, Mr. Deterding is eligible to earn an annual commission of 20% of the net income of Windmark Insurance, which is usually paid in January of the following year. Our annual cash incentive compensation programs are designed to supplement base salary and align the executive’s interest with those of our shareholders by linking the Company’s performance to the bonus.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South Plains Financial, Inc. 2019 Equity Incentive Plan</w:t>
      </w:r>
    </w:p>
    <w:p>
      <w:pPr>
        <w:spacing w:after="0" w:line="117" w:lineRule="exact"/>
        <w:rPr>
          <w:sz w:val="20"/>
          <w:szCs w:val="20"/>
          <w:color w:val="auto"/>
        </w:rPr>
      </w:pPr>
    </w:p>
    <w:p>
      <w:pPr>
        <w:ind w:right="20" w:firstLine="360"/>
        <w:spacing w:after="0" w:line="342" w:lineRule="auto"/>
        <w:rPr>
          <w:sz w:val="20"/>
          <w:szCs w:val="20"/>
          <w:color w:val="auto"/>
        </w:rPr>
      </w:pPr>
      <w:r>
        <w:rPr>
          <w:rFonts w:ascii="Arial" w:cs="Arial" w:eastAsia="Arial" w:hAnsi="Arial"/>
          <w:sz w:val="16"/>
          <w:szCs w:val="16"/>
          <w:color w:val="auto"/>
        </w:rPr>
        <w:t>Our board of directors has adopted the South Plains Financial, Inc. 2019 Equity Incentive Plan for the purpose of attracting and retaining employees by providing them with additional incentives, and to promote the success of our company’s business.</w:t>
      </w:r>
    </w:p>
    <w:p>
      <w:pPr>
        <w:spacing w:after="0" w:line="16" w:lineRule="exact"/>
        <w:rPr>
          <w:sz w:val="20"/>
          <w:szCs w:val="20"/>
          <w:color w:val="auto"/>
        </w:rPr>
      </w:pPr>
    </w:p>
    <w:p>
      <w:pPr>
        <w:ind w:firstLine="360"/>
        <w:spacing w:after="0" w:line="308" w:lineRule="auto"/>
        <w:rPr>
          <w:sz w:val="20"/>
          <w:szCs w:val="20"/>
          <w:color w:val="auto"/>
        </w:rPr>
      </w:pPr>
      <w:r>
        <w:rPr>
          <w:rFonts w:ascii="Arial" w:cs="Arial" w:eastAsia="Arial" w:hAnsi="Arial"/>
          <w:sz w:val="17"/>
          <w:szCs w:val="17"/>
          <w:b w:val="1"/>
          <w:bCs w:val="1"/>
          <w:i w:val="1"/>
          <w:iCs w:val="1"/>
          <w:color w:val="auto"/>
        </w:rPr>
        <w:t>Administration</w:t>
      </w:r>
      <w:r>
        <w:rPr>
          <w:rFonts w:ascii="Arial" w:cs="Arial" w:eastAsia="Arial" w:hAnsi="Arial"/>
          <w:sz w:val="17"/>
          <w:szCs w:val="17"/>
          <w:color w:val="auto"/>
        </w:rPr>
        <w:t>. Our board of directors or one or more committees appointed by our board of directors will administer the 2019</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Plan. The Compensation Committee has been appointed by our board of directors to administer the 2019 Plan.</w:t>
      </w:r>
    </w:p>
    <w:p>
      <w:pPr>
        <w:spacing w:after="0" w:line="38"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b w:val="1"/>
          <w:bCs w:val="1"/>
          <w:i w:val="1"/>
          <w:iCs w:val="1"/>
          <w:color w:val="auto"/>
        </w:rPr>
        <w:t>Eligibility</w:t>
      </w:r>
      <w:r>
        <w:rPr>
          <w:rFonts w:ascii="Arial" w:cs="Arial" w:eastAsia="Arial" w:hAnsi="Arial"/>
          <w:sz w:val="18"/>
          <w:szCs w:val="18"/>
          <w:color w:val="auto"/>
        </w:rPr>
        <w:t>. Persons eligible to receive awards under the 2019 Plan include our officers, employees, consultants and members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board. Our board of directors or one or more committees appointed by our board of directors will determine from time to time the participants to whom awards will be granted.</w:t>
      </w:r>
    </w:p>
    <w:p>
      <w:pPr>
        <w:spacing w:after="0" w:line="73"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b w:val="1"/>
          <w:bCs w:val="1"/>
          <w:i w:val="1"/>
          <w:iCs w:val="1"/>
          <w:color w:val="auto"/>
        </w:rPr>
        <w:t>Authorized Shares; Limits on Awards</w:t>
      </w:r>
      <w:r>
        <w:rPr>
          <w:rFonts w:ascii="Arial" w:cs="Arial" w:eastAsia="Arial" w:hAnsi="Arial"/>
          <w:sz w:val="18"/>
          <w:szCs w:val="18"/>
          <w:color w:val="auto"/>
        </w:rPr>
        <w:t>. The maximum number of common shares that may be issued or transferred pursuant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awards under the 2019 Plan equals 2,300,000, all of which may be subject to incentive stock option treatment. The maximum aggregate number of common shares that may be issued pursuant to all awards under the 2019 Plan shall increase annually on the first day of each fiscal year following the adoption of the 2019 Plan by the number of common shares equal to the lesser of (i) 3% of the total issued and outstanding common shares on the first day of such fiscal year, and (ii) such lesser amount determined by our board of directors.</w:t>
      </w:r>
    </w:p>
    <w:p>
      <w:pPr>
        <w:spacing w:after="0" w:line="85" w:lineRule="exact"/>
        <w:rPr>
          <w:sz w:val="20"/>
          <w:szCs w:val="20"/>
          <w:color w:val="auto"/>
        </w:rPr>
      </w:pPr>
    </w:p>
    <w:p>
      <w:pPr>
        <w:ind w:right="20" w:firstLine="360"/>
        <w:spacing w:after="0" w:line="297" w:lineRule="auto"/>
        <w:rPr>
          <w:sz w:val="20"/>
          <w:szCs w:val="20"/>
          <w:color w:val="auto"/>
        </w:rPr>
      </w:pPr>
      <w:r>
        <w:rPr>
          <w:rFonts w:ascii="Arial" w:cs="Arial" w:eastAsia="Arial" w:hAnsi="Arial"/>
          <w:sz w:val="16"/>
          <w:szCs w:val="16"/>
          <w:b w:val="1"/>
          <w:bCs w:val="1"/>
          <w:i w:val="1"/>
          <w:iCs w:val="1"/>
          <w:color w:val="auto"/>
        </w:rPr>
        <w:t>Adjustments or Changes in Capitalization</w:t>
      </w:r>
      <w:r>
        <w:rPr>
          <w:rFonts w:ascii="Arial" w:cs="Arial" w:eastAsia="Arial" w:hAnsi="Arial"/>
          <w:sz w:val="16"/>
          <w:szCs w:val="16"/>
          <w:color w:val="auto"/>
        </w:rPr>
        <w:t>. In the event of any change in the outstanding common shares by reason of a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split, stock dividend or other non-recurring dividends or distributions, recapitalization, merger, consolidation, spin-off, combination, repurchase or exchange of stock, reorganization, liquidation, dissolution or other similar corporate transaction that affects our common stock, the aggregate number of shares of common stock available under the 2019 Plan or subject to outstanding awards (including the exercise price of any awards) shall be adjusted as our board of directors deems necessary or appropriate.</w:t>
      </w:r>
    </w:p>
    <w:p>
      <w:pPr>
        <w:spacing w:after="0" w:line="50" w:lineRule="exact"/>
        <w:rPr>
          <w:sz w:val="20"/>
          <w:szCs w:val="20"/>
          <w:color w:val="auto"/>
        </w:rPr>
      </w:pPr>
    </w:p>
    <w:p>
      <w:pPr>
        <w:ind w:right="240" w:firstLine="360"/>
        <w:spacing w:after="0" w:line="257" w:lineRule="auto"/>
        <w:rPr>
          <w:sz w:val="20"/>
          <w:szCs w:val="20"/>
          <w:color w:val="auto"/>
        </w:rPr>
      </w:pPr>
      <w:r>
        <w:rPr>
          <w:rFonts w:ascii="Arial" w:cs="Arial" w:eastAsia="Arial" w:hAnsi="Arial"/>
          <w:sz w:val="18"/>
          <w:szCs w:val="18"/>
          <w:b w:val="1"/>
          <w:bCs w:val="1"/>
          <w:i w:val="1"/>
          <w:iCs w:val="1"/>
          <w:color w:val="auto"/>
        </w:rPr>
        <w:t>Incentive Awards</w:t>
      </w:r>
      <w:r>
        <w:rPr>
          <w:rFonts w:ascii="Arial" w:cs="Arial" w:eastAsia="Arial" w:hAnsi="Arial"/>
          <w:sz w:val="18"/>
          <w:szCs w:val="18"/>
          <w:color w:val="auto"/>
        </w:rPr>
        <w:t>. The 2019 Plan authorizes stock options, SARs, restricted stock, restricted stock units, performance-based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awards, as well as other awards (described in the 2019 Plan) that are responsive to changing developments in management compensation. The 2019 Plan retains the flexibility to offer competitive incentives and to tailor benefits to specific needs and circumstances. Any award may be paid or settled in cash. An option or SAR will expire, or other award will vest, in accordance with the schedule set forth in the applicable award agreement.</w:t>
      </w:r>
    </w:p>
    <w:p>
      <w:pPr>
        <w:spacing w:after="0" w:line="80" w:lineRule="exact"/>
        <w:rPr>
          <w:sz w:val="20"/>
          <w:szCs w:val="20"/>
          <w:color w:val="auto"/>
        </w:rPr>
      </w:pPr>
    </w:p>
    <w:p>
      <w:pPr>
        <w:ind w:left="700" w:right="620" w:hanging="356"/>
        <w:spacing w:after="0" w:line="277" w:lineRule="auto"/>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A stock option is the right to purchase common shares at a future date at a specified price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equal to, but no less than, the fair market value of a share on the date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26" w:name="page127"/>
    <w:bookmarkEnd w:id="126"/>
    <w:p>
      <w:pPr>
        <w:ind w:left="7"/>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27" w:right="240"/>
        <w:spacing w:after="0" w:line="257" w:lineRule="auto"/>
        <w:rPr>
          <w:sz w:val="20"/>
          <w:szCs w:val="20"/>
          <w:color w:val="auto"/>
        </w:rPr>
      </w:pPr>
      <w:r>
        <w:rPr>
          <w:rFonts w:ascii="Arial" w:cs="Arial" w:eastAsia="Arial" w:hAnsi="Arial"/>
          <w:sz w:val="18"/>
          <w:szCs w:val="18"/>
          <w:color w:val="auto"/>
        </w:rPr>
        <w:t>grant. An option may either be an Incentive Stock Option, or ISO, or a nonstatutory stock option, or NSO. ISO benefits are taxed differently from NSOs, as described under “Federal Income Tax Treatment of Awards under the 2019 Plan,” below. ISOs also are subject to more restrictive terms and are limited in amount by the Code and the 2019 Plan. Full payment for shares purchased on the exercise of any option must be made at the time of such exercise in a manner approved by our board of directors.</w:t>
      </w:r>
    </w:p>
    <w:p>
      <w:pPr>
        <w:spacing w:after="0" w:line="80" w:lineRule="exact"/>
        <w:rPr>
          <w:sz w:val="20"/>
          <w:szCs w:val="20"/>
          <w:color w:val="auto"/>
        </w:rPr>
      </w:pPr>
    </w:p>
    <w:p>
      <w:pPr>
        <w:ind w:left="707" w:right="80" w:hanging="356"/>
        <w:spacing w:after="0" w:line="259" w:lineRule="auto"/>
        <w:tabs>
          <w:tab w:leader="none" w:pos="707" w:val="left"/>
        </w:tabs>
        <w:numPr>
          <w:ilvl w:val="1"/>
          <w:numId w:val="62"/>
        </w:numPr>
        <w:rPr>
          <w:rFonts w:ascii="Arial" w:cs="Arial" w:eastAsia="Arial" w:hAnsi="Arial"/>
          <w:sz w:val="18"/>
          <w:szCs w:val="18"/>
          <w:color w:val="auto"/>
        </w:rPr>
      </w:pPr>
      <w:r>
        <w:rPr>
          <w:rFonts w:ascii="Arial" w:cs="Arial" w:eastAsia="Arial" w:hAnsi="Arial"/>
          <w:sz w:val="18"/>
          <w:szCs w:val="18"/>
          <w:i w:val="1"/>
          <w:iCs w:val="1"/>
          <w:color w:val="auto"/>
        </w:rPr>
        <w:t>SARs</w:t>
      </w:r>
      <w:r>
        <w:rPr>
          <w:rFonts w:ascii="Arial" w:cs="Arial" w:eastAsia="Arial" w:hAnsi="Arial"/>
          <w:sz w:val="18"/>
          <w:szCs w:val="18"/>
          <w:color w:val="auto"/>
        </w:rPr>
        <w:t>. A SAR is the right to receive payment of an amount equal to the excess of the fair market value of a common share</w:t>
      </w:r>
      <w:r>
        <w:rPr>
          <w:rFonts w:ascii="Arial" w:cs="Arial" w:eastAsia="Arial" w:hAnsi="Arial"/>
          <w:sz w:val="18"/>
          <w:szCs w:val="18"/>
          <w:i w:val="1"/>
          <w:iCs w:val="1"/>
          <w:color w:val="auto"/>
        </w:rPr>
        <w:t xml:space="preserve"> </w:t>
      </w:r>
      <w:r>
        <w:rPr>
          <w:rFonts w:ascii="Arial" w:cs="Arial" w:eastAsia="Arial" w:hAnsi="Arial"/>
          <w:sz w:val="18"/>
          <w:szCs w:val="18"/>
          <w:color w:val="auto"/>
        </w:rPr>
        <w:t>on the date of exercise of the SAR over the base price of the SAR. The base price will be established by our board of directors at the time of grant of the SAR but will not be less than the fair market value of a share on the date of grant. SARs may be granted in connection with other awards or independently.</w:t>
      </w:r>
    </w:p>
    <w:p>
      <w:pPr>
        <w:spacing w:after="0" w:line="78" w:lineRule="exact"/>
        <w:rPr>
          <w:rFonts w:ascii="Arial" w:cs="Arial" w:eastAsia="Arial" w:hAnsi="Arial"/>
          <w:sz w:val="18"/>
          <w:szCs w:val="18"/>
          <w:color w:val="auto"/>
        </w:rPr>
      </w:pPr>
    </w:p>
    <w:p>
      <w:pPr>
        <w:ind w:left="707" w:right="240" w:hanging="356"/>
        <w:spacing w:after="0" w:line="291" w:lineRule="auto"/>
        <w:tabs>
          <w:tab w:leader="none" w:pos="707" w:val="left"/>
        </w:tabs>
        <w:numPr>
          <w:ilvl w:val="1"/>
          <w:numId w:val="62"/>
        </w:numPr>
        <w:rPr>
          <w:rFonts w:ascii="Arial" w:cs="Arial" w:eastAsia="Arial" w:hAnsi="Arial"/>
          <w:sz w:val="16"/>
          <w:szCs w:val="16"/>
          <w:color w:val="auto"/>
        </w:rPr>
      </w:pPr>
      <w:r>
        <w:rPr>
          <w:rFonts w:ascii="Arial" w:cs="Arial" w:eastAsia="Arial" w:hAnsi="Arial"/>
          <w:sz w:val="16"/>
          <w:szCs w:val="16"/>
          <w:i w:val="1"/>
          <w:iCs w:val="1"/>
          <w:color w:val="auto"/>
        </w:rPr>
        <w:t>Restricted Stock</w:t>
      </w:r>
      <w:r>
        <w:rPr>
          <w:rFonts w:ascii="Arial" w:cs="Arial" w:eastAsia="Arial" w:hAnsi="Arial"/>
          <w:sz w:val="16"/>
          <w:szCs w:val="16"/>
          <w:color w:val="auto"/>
        </w:rPr>
        <w:t>. A restricted stock award is typically for a fixed number of common shares subject to restrictions. Our</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specifies the price, if any, the participant must pay for such shares and the restrictions (which may include, for example, continued service and/or performance standards) imposed on such shares. A stock bonus may be granted by our board of directors to any eligible person to reward exceptional or special services, contributions or achievements in the manner and on such terms and conditions (including any restrictions on such shares) as determined from time to time by our board of directors. The number of shares so awarded shall be determined by our board of directors and may be granted independently or in lieu of a cash bonus.</w:t>
      </w:r>
    </w:p>
    <w:p>
      <w:pPr>
        <w:spacing w:after="0" w:line="59" w:lineRule="exact"/>
        <w:rPr>
          <w:rFonts w:ascii="Arial" w:cs="Arial" w:eastAsia="Arial" w:hAnsi="Arial"/>
          <w:sz w:val="16"/>
          <w:szCs w:val="16"/>
          <w:color w:val="auto"/>
        </w:rPr>
      </w:pPr>
    </w:p>
    <w:p>
      <w:pPr>
        <w:ind w:left="707" w:right="120" w:hanging="356"/>
        <w:spacing w:after="0" w:line="277" w:lineRule="auto"/>
        <w:tabs>
          <w:tab w:leader="none" w:pos="707" w:val="left"/>
        </w:tabs>
        <w:numPr>
          <w:ilvl w:val="1"/>
          <w:numId w:val="62"/>
        </w:numPr>
        <w:rPr>
          <w:rFonts w:ascii="Arial" w:cs="Arial" w:eastAsia="Arial" w:hAnsi="Arial"/>
          <w:sz w:val="18"/>
          <w:szCs w:val="18"/>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A restricted stock unit is similar to a SAR except that it entitles the recipient to receive an amount</w:t>
      </w:r>
      <w:r>
        <w:rPr>
          <w:rFonts w:ascii="Arial" w:cs="Arial" w:eastAsia="Arial" w:hAnsi="Arial"/>
          <w:sz w:val="18"/>
          <w:szCs w:val="18"/>
          <w:i w:val="1"/>
          <w:iCs w:val="1"/>
          <w:color w:val="auto"/>
        </w:rPr>
        <w:t xml:space="preserve"> </w:t>
      </w:r>
      <w:r>
        <w:rPr>
          <w:rFonts w:ascii="Arial" w:cs="Arial" w:eastAsia="Arial" w:hAnsi="Arial"/>
          <w:sz w:val="18"/>
          <w:szCs w:val="18"/>
          <w:color w:val="auto"/>
        </w:rPr>
        <w:t>equal to the fair market value of a common share.</w:t>
      </w:r>
    </w:p>
    <w:p>
      <w:pPr>
        <w:spacing w:after="0" w:line="62" w:lineRule="exact"/>
        <w:rPr>
          <w:rFonts w:ascii="Arial" w:cs="Arial" w:eastAsia="Arial" w:hAnsi="Arial"/>
          <w:sz w:val="18"/>
          <w:szCs w:val="18"/>
          <w:color w:val="auto"/>
        </w:rPr>
      </w:pPr>
    </w:p>
    <w:p>
      <w:pPr>
        <w:ind w:left="347" w:hanging="347"/>
        <w:spacing w:after="0" w:line="284" w:lineRule="auto"/>
        <w:tabs>
          <w:tab w:leader="none" w:pos="347" w:val="left"/>
        </w:tabs>
        <w:numPr>
          <w:ilvl w:val="0"/>
          <w:numId w:val="62"/>
        </w:numPr>
        <w:rPr>
          <w:rFonts w:ascii="Arial" w:cs="Arial" w:eastAsia="Arial" w:hAnsi="Arial"/>
          <w:sz w:val="16"/>
          <w:szCs w:val="16"/>
          <w:color w:val="auto"/>
        </w:rPr>
      </w:pPr>
      <w:r>
        <w:rPr>
          <w:rFonts w:ascii="Arial" w:cs="Arial" w:eastAsia="Arial" w:hAnsi="Arial"/>
          <w:sz w:val="16"/>
          <w:szCs w:val="16"/>
          <w:i w:val="1"/>
          <w:iCs w:val="1"/>
          <w:color w:val="auto"/>
        </w:rPr>
        <w:t>Performance-Based Awards</w:t>
      </w:r>
      <w:r>
        <w:rPr>
          <w:rFonts w:ascii="Arial" w:cs="Arial" w:eastAsia="Arial" w:hAnsi="Arial"/>
          <w:sz w:val="16"/>
          <w:szCs w:val="16"/>
          <w:color w:val="auto"/>
        </w:rPr>
        <w:t>. Our board of directors may designate any award, the exercisability or settlement of which is</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the achievement of performance conditions, as a performance-based award. The performance goals set forth in the 2019 Plan are such goals as established by our board of directors or a committee of the board of directors in connection with an award and will be based upon one or more criteria. Our board of directors may select any number of performance goals from this list of performance goals when establishing the performance measures of a performance-based award. The 2019 Plan allows performance goals to be described in terms of objectives that are related to an individual participant or goals that are company-wide or related to a subsidiary, division, department, region, function or business unit and may be measured on an absolute or cumulative basis or on the basis of percentage of improvement over time, and may be measured in terms of company performance (or performance of the applicable subsidiary, division, department, region, function or business unit) or measured relative to selected peer companies or a market index. The performance goals set forth in the 2019 Plan are: interest income and expense; net earnings or net income; net interest margin; efficiency ratio; reduction in non-accrual loans and non-interest expense; growth in non-interest income and ratios to earning assets; net revenue growth and ratio to earning assets; capital ratios; asset or liability interest rate sensitivity and gap; effective tax rate; deposit growth and composition; liquidity management; securities portfolio (value, yield, spread, maturity, or duration); asset growth and composition (loans, securities); non-interest income (e.g., fees, premiums and commissions, loans, wealth management, treasury management, insurance, funds management) and expense; overhead ratios, productivity ratios; credit quality measures; return on assets; return on equity; economic value of equity; compliance and CAMELS or other regulatory ratings; internal controls; enterprise risk measures (e.g., interest rate, loan concentrations, portfolio composition, credit quality, operational measures, compliance ratings, balance sheet, liquidity, insurance); volume in production or loans; non-performing asset or non-performing loan levels or ratios or loan delinquency levels; provision for loan losses or net charge-offs; cash flow; cost; revenues; sales; ratio of debt to debt plus equity; net borrowing, credit quality or debt ratings; profit before tax; economic profit; earnings before interest and taxes; earnings before interest, taxes, depreciation and amortization; gross margin; profit margin; earnings per share; operating earnings; capital expenditures; expenses or expense levels; economic value added; ratio of operating earnings to capital spending or any other operating ratios; free cash flow; net profit; net sales; net asset value per share; the accomplishment of mergers, acquisitions, dispositions, public offerings or similar extraordinary business transactions; sales growth; price of the Company’s Shares; return on investment; equity or shareholder’ equity; market share; inventory levels, inventory turn or shrinkage; customer satisfaction; or total shareholder return.</w:t>
      </w:r>
    </w:p>
    <w:p>
      <w:pPr>
        <w:spacing w:after="0" w:line="172" w:lineRule="exact"/>
        <w:rPr>
          <w:sz w:val="20"/>
          <w:szCs w:val="20"/>
          <w:color w:val="auto"/>
        </w:rPr>
      </w:pPr>
    </w:p>
    <w:p>
      <w:pPr>
        <w:jc w:val="center"/>
        <w:ind w:right="-26"/>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sectPr>
      </w:pPr>
    </w:p>
    <w:bookmarkStart w:id="127" w:name="page128"/>
    <w:bookmarkEnd w:id="12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40" w:firstLine="360"/>
        <w:spacing w:after="0" w:line="297" w:lineRule="auto"/>
        <w:rPr>
          <w:sz w:val="20"/>
          <w:szCs w:val="20"/>
          <w:color w:val="auto"/>
        </w:rPr>
      </w:pPr>
      <w:r>
        <w:rPr>
          <w:rFonts w:ascii="Arial" w:cs="Arial" w:eastAsia="Arial" w:hAnsi="Arial"/>
          <w:sz w:val="16"/>
          <w:szCs w:val="16"/>
          <w:b w:val="1"/>
          <w:bCs w:val="1"/>
          <w:i w:val="1"/>
          <w:iCs w:val="1"/>
          <w:color w:val="auto"/>
        </w:rPr>
        <w:t>Acceleration of Awards; Possible Early Termination of Awards</w:t>
      </w:r>
      <w:r>
        <w:rPr>
          <w:rFonts w:ascii="Arial" w:cs="Arial" w:eastAsia="Arial" w:hAnsi="Arial"/>
          <w:sz w:val="16"/>
          <w:szCs w:val="16"/>
          <w:color w:val="auto"/>
        </w:rPr>
        <w:t>. Upon a change in control of our Company, outstanding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under the 2019 Plan will be assumed or substituted on the same terms. However, if the successor corporation does not assume or substitute the outstanding awards, then vesting of these awards will fully accelerate, and in the case of options or SARs, will become immediately exercisable. For this purpose a change in control is defined to include certain changes in the majority of our board, the sale of all or substantially all of our Company’s assets, and the consummation of certain mergers or consolidations.</w:t>
      </w:r>
    </w:p>
    <w:p>
      <w:pPr>
        <w:spacing w:after="0" w:line="50" w:lineRule="exact"/>
        <w:rPr>
          <w:sz w:val="20"/>
          <w:szCs w:val="20"/>
          <w:color w:val="auto"/>
        </w:rPr>
      </w:pPr>
    </w:p>
    <w:p>
      <w:pPr>
        <w:ind w:firstLine="360"/>
        <w:spacing w:after="0" w:line="342" w:lineRule="auto"/>
        <w:rPr>
          <w:sz w:val="20"/>
          <w:szCs w:val="20"/>
          <w:color w:val="auto"/>
        </w:rPr>
      </w:pPr>
      <w:r>
        <w:rPr>
          <w:rFonts w:ascii="Arial" w:cs="Arial" w:eastAsia="Arial" w:hAnsi="Arial"/>
          <w:sz w:val="16"/>
          <w:szCs w:val="16"/>
          <w:b w:val="1"/>
          <w:bCs w:val="1"/>
          <w:i w:val="1"/>
          <w:iCs w:val="1"/>
          <w:color w:val="auto"/>
        </w:rPr>
        <w:t>Transfer Restrictions</w:t>
      </w:r>
      <w:r>
        <w:rPr>
          <w:rFonts w:ascii="Arial" w:cs="Arial" w:eastAsia="Arial" w:hAnsi="Arial"/>
          <w:sz w:val="16"/>
          <w:szCs w:val="16"/>
          <w:color w:val="auto"/>
        </w:rPr>
        <w:t>. Subject to certain exceptions, awards under the 2019 Plan are not transferable by the recipient other than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will or the laws of descent and distribution and are generally exercisable, during the recipient’s lifetime, only by him or her.</w:t>
      </w:r>
    </w:p>
    <w:p>
      <w:pPr>
        <w:spacing w:after="0" w:line="16"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b w:val="1"/>
          <w:bCs w:val="1"/>
          <w:i w:val="1"/>
          <w:iCs w:val="1"/>
          <w:color w:val="auto"/>
        </w:rPr>
        <w:t>Termination of or Changes to the 2019 Plan</w:t>
      </w:r>
      <w:r>
        <w:rPr>
          <w:rFonts w:ascii="Arial" w:cs="Arial" w:eastAsia="Arial" w:hAnsi="Arial"/>
          <w:sz w:val="18"/>
          <w:szCs w:val="18"/>
          <w:color w:val="auto"/>
        </w:rPr>
        <w:t>. Our board of directors may amend or terminate the 2019 Plan at any time and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manner. Unless required by applicable law or listing agency rule, stockholder approval for any amendment will not be required. Unless previously terminated by our board of directors, the 2019 Plan will terminate on January 16, 2029. Generally speaking, outstanding awards may be amended, subject, however, to the consent of the holder if the amendment materially and adversely affects the holder.</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Federal Income Tax Treatment of Awards under the 2019 Plan</w:t>
      </w:r>
    </w:p>
    <w:p>
      <w:pPr>
        <w:spacing w:after="0" w:line="117"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Federal income tax consequences (subject to change) relating to awards under the 2019 Plan are summarized in the following discussion. This summary is not intended to be exhaustive and, among other considerations, does not describe the deferred compensation provisions of Section 409A of the Code to the extent an award is subject to and does not satisfy those rules, nor does it describe state, local, or international tax consequences.</w:t>
      </w:r>
    </w:p>
    <w:p>
      <w:pPr>
        <w:spacing w:after="0" w:line="79" w:lineRule="exact"/>
        <w:rPr>
          <w:sz w:val="20"/>
          <w:szCs w:val="20"/>
          <w:color w:val="auto"/>
        </w:rPr>
      </w:pPr>
    </w:p>
    <w:p>
      <w:pPr>
        <w:ind w:right="60" w:firstLine="360"/>
        <w:spacing w:after="0" w:line="288" w:lineRule="auto"/>
        <w:rPr>
          <w:sz w:val="20"/>
          <w:szCs w:val="20"/>
          <w:color w:val="auto"/>
        </w:rPr>
      </w:pPr>
      <w:r>
        <w:rPr>
          <w:rFonts w:ascii="Arial" w:cs="Arial" w:eastAsia="Arial" w:hAnsi="Arial"/>
          <w:sz w:val="16"/>
          <w:szCs w:val="16"/>
          <w:color w:val="auto"/>
        </w:rPr>
        <w:t>For NSOs, the Company is generally entitled to deduct (and the optionee recognizes taxable income in) an amount equal to the difference between the option exercise price and the fair market value of the shares at the time of exercise. For ISOs, our Company is generally not entitled to a deduction nor does the participant recognize income at the time of exercise. The current federal income tax consequences of other awards authorized under the 2019 Plan generally are as follows: SARs are taxed and deductible in substantially the same manner as NSOs; nontransferable restricted stock subject to a substantial risk of forfeiture results in income recognition equal to the excess of the fair market value over the price paid (if any) only at the time the restrictions lapse (unless the recipient elects to accelerate recognition as of the date of grant); bonuses and performance share awards are generally subject to tax at the time of payment; cash-based awards are generally subject to tax at the time of payment; and compensation otherwise effectively deferred is taxed when paid. Our Company will generally have a corresponding deduction at the time the participant recognizes income. However, for ISOs, our Company would generally have no corresponding compensation deduction.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Converted Stock Appreciation Rights</w:t>
      </w:r>
    </w:p>
    <w:p>
      <w:pPr>
        <w:spacing w:after="0" w:line="121" w:lineRule="exact"/>
        <w:rPr>
          <w:sz w:val="20"/>
          <w:szCs w:val="20"/>
          <w:color w:val="auto"/>
        </w:rPr>
      </w:pPr>
    </w:p>
    <w:p>
      <w:pPr>
        <w:ind w:right="120" w:firstLine="360"/>
        <w:spacing w:after="0" w:line="286" w:lineRule="auto"/>
        <w:rPr>
          <w:sz w:val="20"/>
          <w:szCs w:val="20"/>
          <w:color w:val="auto"/>
        </w:rPr>
      </w:pPr>
      <w:r>
        <w:rPr>
          <w:rFonts w:ascii="Arial" w:cs="Arial" w:eastAsia="Arial" w:hAnsi="Arial"/>
          <w:sz w:val="17"/>
          <w:szCs w:val="17"/>
          <w:color w:val="auto"/>
        </w:rPr>
        <w:t>Historically, we granted SARs on January 1 of each year to our NEOs. The SARs are settled in cash in an amount equal to the spread between the fair market value of our common stock on the date of grant and the fair market value of our common stock on the date the award is settled. The awards typically had a 5-year cliff vesting schedule.</w:t>
      </w:r>
    </w:p>
    <w:p>
      <w:pPr>
        <w:spacing w:after="0" w:line="57" w:lineRule="exact"/>
        <w:rPr>
          <w:sz w:val="20"/>
          <w:szCs w:val="20"/>
          <w:color w:val="auto"/>
        </w:rPr>
      </w:pPr>
    </w:p>
    <w:p>
      <w:pPr>
        <w:ind w:right="60" w:firstLine="360"/>
        <w:spacing w:after="0" w:line="269" w:lineRule="auto"/>
        <w:rPr>
          <w:sz w:val="20"/>
          <w:szCs w:val="20"/>
          <w:color w:val="auto"/>
        </w:rPr>
      </w:pPr>
      <w:r>
        <w:rPr>
          <w:rFonts w:ascii="Arial" w:cs="Arial" w:eastAsia="Arial" w:hAnsi="Arial"/>
          <w:sz w:val="17"/>
          <w:szCs w:val="17"/>
          <w:color w:val="auto"/>
        </w:rPr>
        <w:t>We believe that management should have a significant financial stake in our Company in order to align their interests with the interests of our long-term shareholders. Therefore, prior to the closing of this offering, we will convert the value of all outstanding vested and unvested cash-settled SARs, a total of 1,401,000 after giving effect to the 29-for-1 stock dividend, to an equal number of stock options to acquire our common stock under the 2019 Plan. Each stock option will be economically equivalent to the cash-settled SAR that it is replacing and will generally have the same terms and conditions as the cash-settled SAR, including vesting conditions and strike price, provided that in certain cases the period within which the stock option may be exercised is shortened. The stock options are compliant with Section 409A of the Code and are settled only in our common stock upon the earliest of the following events: (i) the optionee’s death, (ii) the optionee’s disability, (iii) a change in control of our Company, (iv) the optionee’s termination of employment with our Company, and (v) the expiration of the stock options. The number of stock options that each NEO is expected to be granted pursuant to the conversion is: (i) 66,000 stock options for Mr. Griffith, (ii) 123,000 stock options for Mr. Newsom, and (iii) 15,000 stock options for Mr. Deterding.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28" w:name="page129"/>
    <w:bookmarkEnd w:id="12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ESOP</w:t>
      </w:r>
    </w:p>
    <w:p>
      <w:pPr>
        <w:spacing w:after="0" w:line="117" w:lineRule="exact"/>
        <w:rPr>
          <w:sz w:val="20"/>
          <w:szCs w:val="20"/>
          <w:color w:val="auto"/>
        </w:rPr>
      </w:pPr>
    </w:p>
    <w:p>
      <w:pPr>
        <w:ind w:right="40" w:firstLine="360"/>
        <w:spacing w:after="0" w:line="271" w:lineRule="auto"/>
        <w:rPr>
          <w:sz w:val="20"/>
          <w:szCs w:val="20"/>
          <w:color w:val="auto"/>
        </w:rPr>
      </w:pPr>
      <w:r>
        <w:rPr>
          <w:rFonts w:ascii="Arial" w:cs="Arial" w:eastAsia="Arial" w:hAnsi="Arial"/>
          <w:sz w:val="17"/>
          <w:szCs w:val="17"/>
          <w:color w:val="auto"/>
        </w:rPr>
        <w:t>The Company has established an employee stock ownership and 401(k) plan for the benefit of all employees who meet the eligibility requirements of the ESOP (the plan generally covers all employees who have completed one month of service). Prior to this offering, the Company contributed cash annually into the ESOP portion of the plan, which was used to buy new shares of common stock of South Plains Financial or to service ESOP debt (which the ESOP does not currently have outstanding). The Company’s contributions in excess of debt service requirements were completely discretionary. Shares in the ESOP were allocated to individual employee accounts. Employees are fully vested in amounts contributed by the Company on their behalf after six years. When employment is terminated, employees are eligible to receive cash or, effective as of May 31, 2018, a distribution of stock, based on the value of their ESOP account.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w:t>
      </w:r>
    </w:p>
    <w:p>
      <w:pPr>
        <w:spacing w:after="0" w:line="117" w:lineRule="exact"/>
        <w:rPr>
          <w:sz w:val="20"/>
          <w:szCs w:val="20"/>
          <w:color w:val="auto"/>
        </w:rPr>
      </w:pPr>
    </w:p>
    <w:p>
      <w:pPr>
        <w:ind w:right="20" w:firstLine="360"/>
        <w:spacing w:after="0" w:line="276" w:lineRule="auto"/>
        <w:rPr>
          <w:sz w:val="20"/>
          <w:szCs w:val="20"/>
          <w:color w:val="auto"/>
        </w:rPr>
      </w:pPr>
      <w:r>
        <w:rPr>
          <w:rFonts w:ascii="Arial" w:cs="Arial" w:eastAsia="Arial" w:hAnsi="Arial"/>
          <w:sz w:val="17"/>
          <w:szCs w:val="17"/>
          <w:b w:val="1"/>
          <w:bCs w:val="1"/>
          <w:i w:val="1"/>
          <w:iCs w:val="1"/>
          <w:color w:val="auto"/>
        </w:rPr>
        <w:t>Nonqualified Deferred Compensation Plan</w:t>
      </w:r>
      <w:r>
        <w:rPr>
          <w:rFonts w:ascii="Arial" w:cs="Arial" w:eastAsia="Arial" w:hAnsi="Arial"/>
          <w:sz w:val="17"/>
          <w:szCs w:val="17"/>
          <w:color w:val="auto"/>
        </w:rPr>
        <w:t>. We sponsor a non-qualified, non-contributory deferred compensation plan, 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Deferred Compensation Plan, for the benefit of certain employees of the Company. The primary purpose of the Deferred Compensation Plan is to provide additional compensation to participants upon termination of employment with the Company, death, or attainment of retirement age. The amount, timing, and form of payment is specified in the adoption agreement executed by the Company and the participant. The Deferred Compensation Plan is unfunded.</w:t>
      </w:r>
    </w:p>
    <w:p>
      <w:pPr>
        <w:spacing w:after="0" w:line="64"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Effective April 9, 2008, the Company entered into an agreement under the Deferred Compensation Plan with Mr. Newsom. Mr. Newsom is 100% vested in his benefit and his benefit will be paid in cash only. Mr. Newsom's agreement provides that he will receive an annual benefit of $150,000 on the earlier to occur of (i) achievement of retirement age (defined as age 58) and (ii) separation from service within two years following a change in control (as defined in the Deferred Compensation Plan). If Mr. Newsom experiences a separation from service or becomes disabled while employed, in each case, prior to reaching retirement age, he will be entitled to a lump sum benefit equal to his benefit liability balance as set forth in Deferred Compensation Plan. In the event Mr. Newsom is terminated for cause (as defined in the Deferred Compensation Plan), dies, or violates any restrictive covenants set forth in the Deferred Compensation Plan, he will forfeit any and all benefits to which he would otherwise be entitled to receive under the Deferred Compensation Plan.</w:t>
      </w:r>
    </w:p>
    <w:p>
      <w:pPr>
        <w:spacing w:after="0" w:line="74"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b w:val="1"/>
          <w:bCs w:val="1"/>
          <w:i w:val="1"/>
          <w:iCs w:val="1"/>
          <w:color w:val="auto"/>
        </w:rPr>
        <w:t>Split Dollar Life Insurance Benefits</w:t>
      </w:r>
      <w:r>
        <w:rPr>
          <w:rFonts w:ascii="Arial" w:cs="Arial" w:eastAsia="Arial" w:hAnsi="Arial"/>
          <w:sz w:val="17"/>
          <w:szCs w:val="17"/>
          <w:color w:val="auto"/>
        </w:rPr>
        <w:t>. The Company has purchased life insurance policies on Mr. Newsom and has entered into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Joint Beneficial Designation Agreements with him regarding such policies. The agreements provide certain death benefits to Mr. Newsom’s beneficiaries upon his death. If Mr. Newsom’s death occurs: (i) while employed by the Company; (ii) after retirement with the Company; (iii) after a change in control (as defined in the life insurance policy documents); or (iv) or after a determination of disability, he is entitled to a certain percentage of the value of the policies less the cash value of the policies. Mr. Newsom is 100% vested in his benefits under the agreements. At December 31, 2018, the value of the split dollar life insurance benefits for Mr. Newsom’s beneficiaries would have been approximately $2,831,000.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 with Cory T. Newsom</w:t>
      </w:r>
    </w:p>
    <w:p>
      <w:pPr>
        <w:spacing w:after="0" w:line="121" w:lineRule="exact"/>
        <w:rPr>
          <w:sz w:val="20"/>
          <w:szCs w:val="20"/>
          <w:color w:val="auto"/>
        </w:rPr>
      </w:pPr>
    </w:p>
    <w:p>
      <w:pPr>
        <w:ind w:right="460" w:firstLine="360"/>
        <w:spacing w:after="0" w:line="277" w:lineRule="auto"/>
        <w:rPr>
          <w:sz w:val="20"/>
          <w:szCs w:val="20"/>
          <w:color w:val="auto"/>
        </w:rPr>
      </w:pPr>
      <w:r>
        <w:rPr>
          <w:rFonts w:ascii="Arial" w:cs="Arial" w:eastAsia="Arial" w:hAnsi="Arial"/>
          <w:sz w:val="18"/>
          <w:szCs w:val="18"/>
          <w:color w:val="auto"/>
        </w:rPr>
        <w:t>On March 20, 2019, the Company and the Bank entered into an employment agreement with Mr. Newsom to be effective March 6, 2019. The key terms of the agreement are set forth below.</w:t>
      </w:r>
    </w:p>
    <w:p>
      <w:pPr>
        <w:spacing w:after="0" w:line="62" w:lineRule="exact"/>
        <w:rPr>
          <w:sz w:val="20"/>
          <w:szCs w:val="20"/>
          <w:color w:val="auto"/>
        </w:rPr>
      </w:pPr>
    </w:p>
    <w:p>
      <w:pPr>
        <w:ind w:right="180" w:firstLine="360"/>
        <w:spacing w:after="0" w:line="277" w:lineRule="auto"/>
        <w:rPr>
          <w:sz w:val="20"/>
          <w:szCs w:val="20"/>
          <w:color w:val="auto"/>
        </w:rPr>
      </w:pPr>
      <w:r>
        <w:rPr>
          <w:rFonts w:ascii="Arial" w:cs="Arial" w:eastAsia="Arial" w:hAnsi="Arial"/>
          <w:sz w:val="18"/>
          <w:szCs w:val="18"/>
          <w:i w:val="1"/>
          <w:iCs w:val="1"/>
          <w:color w:val="auto"/>
        </w:rPr>
        <w:t>Term</w:t>
      </w:r>
      <w:r>
        <w:rPr>
          <w:rFonts w:ascii="Arial" w:cs="Arial" w:eastAsia="Arial" w:hAnsi="Arial"/>
          <w:sz w:val="18"/>
          <w:szCs w:val="18"/>
          <w:color w:val="auto"/>
        </w:rPr>
        <w:t>. The employment agreement has an initial three-year term and will automatically renew for additional three-year terms,</w:t>
      </w:r>
      <w:r>
        <w:rPr>
          <w:rFonts w:ascii="Arial" w:cs="Arial" w:eastAsia="Arial" w:hAnsi="Arial"/>
          <w:sz w:val="18"/>
          <w:szCs w:val="18"/>
          <w:i w:val="1"/>
          <w:iCs w:val="1"/>
          <w:color w:val="auto"/>
        </w:rPr>
        <w:t xml:space="preserve"> </w:t>
      </w:r>
      <w:r>
        <w:rPr>
          <w:rFonts w:ascii="Arial" w:cs="Arial" w:eastAsia="Arial" w:hAnsi="Arial"/>
          <w:sz w:val="18"/>
          <w:szCs w:val="18"/>
          <w:color w:val="auto"/>
        </w:rPr>
        <w:t>unless we or Mr. Newsom provides 90-days’ advance notice of non-renewal.</w:t>
      </w:r>
    </w:p>
    <w:p>
      <w:pPr>
        <w:spacing w:after="0" w:line="62" w:lineRule="exact"/>
        <w:rPr>
          <w:sz w:val="20"/>
          <w:szCs w:val="20"/>
          <w:color w:val="auto"/>
        </w:rPr>
      </w:pPr>
    </w:p>
    <w:p>
      <w:pPr>
        <w:ind w:right="20" w:firstLine="360"/>
        <w:spacing w:after="0" w:line="312" w:lineRule="auto"/>
        <w:rPr>
          <w:sz w:val="20"/>
          <w:szCs w:val="20"/>
          <w:color w:val="auto"/>
        </w:rPr>
      </w:pPr>
      <w:r>
        <w:rPr>
          <w:rFonts w:ascii="Arial" w:cs="Arial" w:eastAsia="Arial" w:hAnsi="Arial"/>
          <w:sz w:val="16"/>
          <w:szCs w:val="16"/>
          <w:i w:val="1"/>
          <w:iCs w:val="1"/>
          <w:color w:val="auto"/>
        </w:rPr>
        <w:t>Service on the Board</w:t>
      </w:r>
      <w:r>
        <w:rPr>
          <w:rFonts w:ascii="Arial" w:cs="Arial" w:eastAsia="Arial" w:hAnsi="Arial"/>
          <w:sz w:val="16"/>
          <w:szCs w:val="16"/>
          <w:color w:val="auto"/>
        </w:rPr>
        <w:t>. Pursuant to the employment agreement, our board of directors will nominate Mr. Newsom for re-election</w:t>
      </w:r>
      <w:r>
        <w:rPr>
          <w:rFonts w:ascii="Arial" w:cs="Arial" w:eastAsia="Arial" w:hAnsi="Arial"/>
          <w:sz w:val="16"/>
          <w:szCs w:val="16"/>
          <w:i w:val="1"/>
          <w:iCs w:val="1"/>
          <w:color w:val="auto"/>
        </w:rPr>
        <w:t xml:space="preserve"> </w:t>
      </w:r>
      <w:r>
        <w:rPr>
          <w:rFonts w:ascii="Arial" w:cs="Arial" w:eastAsia="Arial" w:hAnsi="Arial"/>
          <w:sz w:val="16"/>
          <w:szCs w:val="16"/>
          <w:color w:val="auto"/>
        </w:rPr>
        <w:t>as a member of our board of directors at the expiration of each then-current term and the board of directors of the Bank will nominate Mr. Newsom for re-election as a member of its board of directors at the expiration of each then-current term.</w:t>
      </w:r>
    </w:p>
    <w:p>
      <w:pPr>
        <w:spacing w:after="0" w:line="39" w:lineRule="exact"/>
        <w:rPr>
          <w:sz w:val="20"/>
          <w:szCs w:val="20"/>
          <w:color w:val="auto"/>
        </w:rPr>
      </w:pPr>
    </w:p>
    <w:p>
      <w:pPr>
        <w:ind w:right="480" w:firstLine="360"/>
        <w:spacing w:after="0" w:line="342" w:lineRule="auto"/>
        <w:rPr>
          <w:sz w:val="20"/>
          <w:szCs w:val="20"/>
          <w:color w:val="auto"/>
        </w:rPr>
      </w:pPr>
      <w:r>
        <w:rPr>
          <w:rFonts w:ascii="Arial" w:cs="Arial" w:eastAsia="Arial" w:hAnsi="Arial"/>
          <w:sz w:val="16"/>
          <w:szCs w:val="16"/>
          <w:i w:val="1"/>
          <w:iCs w:val="1"/>
          <w:color w:val="auto"/>
        </w:rPr>
        <w:t>Cash Compensation</w:t>
      </w:r>
      <w:r>
        <w:rPr>
          <w:rFonts w:ascii="Arial" w:cs="Arial" w:eastAsia="Arial" w:hAnsi="Arial"/>
          <w:sz w:val="16"/>
          <w:szCs w:val="16"/>
          <w:color w:val="auto"/>
        </w:rPr>
        <w:t>. Mr. Newsom’s base salary will be not less than $630,000 annually. He is eligible for an annual cash</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bonus with a target amount equal to 50% of his base salary, and a maximum not to exceed 75% of his base salary.</w:t>
      </w:r>
    </w:p>
    <w:p>
      <w:pPr>
        <w:spacing w:after="0" w:line="16"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i w:val="1"/>
          <w:iCs w:val="1"/>
          <w:color w:val="auto"/>
        </w:rPr>
        <w:t>Benefits</w:t>
      </w:r>
      <w:r>
        <w:rPr>
          <w:rFonts w:ascii="Arial" w:cs="Arial" w:eastAsia="Arial" w:hAnsi="Arial"/>
          <w:sz w:val="18"/>
          <w:szCs w:val="18"/>
          <w:color w:val="auto"/>
        </w:rPr>
        <w:t>. Mr. Newsom is eligible to receive benefits that are substantially similar to those of our other senior executive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In addition, to the extent Mr. Newsom is not able to fully participate in contributions of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29" w:name="page130"/>
    <w:bookmarkEnd w:id="12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Company to the ESOP due to IRS-imposed top-heavy testing limitations, then the Bank will pay Mr. Newsom a cash bonus equal to the value of the lost contribution. With respect to other benefits, the Bank will (i) pay or reimburse Mr. Newsom for all of his country club membership dues and expenses; and (ii) provide Mr. Newsom with an automobile. The Bank will pay all of the reasonable professional fees and expenses incurred by Mr. Newsom in negotiation and preparation of the employment agreement and related agreements. The employment agreement also contains certain standard non-competition, non-solicitation, and confidentiality provisions.</w:t>
      </w:r>
    </w:p>
    <w:p>
      <w:pPr>
        <w:spacing w:after="0" w:line="85" w:lineRule="exact"/>
        <w:rPr>
          <w:sz w:val="20"/>
          <w:szCs w:val="20"/>
          <w:color w:val="auto"/>
        </w:rPr>
      </w:pPr>
    </w:p>
    <w:p>
      <w:pPr>
        <w:ind w:right="80" w:firstLine="360"/>
        <w:spacing w:after="0" w:line="302" w:lineRule="auto"/>
        <w:rPr>
          <w:sz w:val="20"/>
          <w:szCs w:val="20"/>
          <w:color w:val="auto"/>
        </w:rPr>
      </w:pPr>
      <w:r>
        <w:rPr>
          <w:rFonts w:ascii="Arial" w:cs="Arial" w:eastAsia="Arial" w:hAnsi="Arial"/>
          <w:sz w:val="16"/>
          <w:szCs w:val="16"/>
          <w:i w:val="1"/>
          <w:iCs w:val="1"/>
          <w:color w:val="auto"/>
        </w:rPr>
        <w:t>Equity Grants - RSU Award</w:t>
      </w:r>
      <w:r>
        <w:rPr>
          <w:rFonts w:ascii="Arial" w:cs="Arial" w:eastAsia="Arial" w:hAnsi="Arial"/>
          <w:sz w:val="16"/>
          <w:szCs w:val="16"/>
          <w:color w:val="auto"/>
        </w:rPr>
        <w:t>. Mr. Newsom received a stock-settled restricted stock unit award on March 20, 2019, having a fair</w:t>
      </w:r>
      <w:r>
        <w:rPr>
          <w:rFonts w:ascii="Arial" w:cs="Arial" w:eastAsia="Arial" w:hAnsi="Arial"/>
          <w:sz w:val="16"/>
          <w:szCs w:val="16"/>
          <w:i w:val="1"/>
          <w:iCs w:val="1"/>
          <w:color w:val="auto"/>
        </w:rPr>
        <w:t xml:space="preserve"> </w:t>
      </w:r>
      <w:r>
        <w:rPr>
          <w:rFonts w:ascii="Arial" w:cs="Arial" w:eastAsia="Arial" w:hAnsi="Arial"/>
          <w:sz w:val="16"/>
          <w:szCs w:val="16"/>
          <w:color w:val="auto"/>
        </w:rPr>
        <w:t>market value of $1,000,000 on the date of grant. The award is subject to a 4-year time-based vesting schedule, with 25% of the award vesting on each anniversary of the grant until fully vested. To the extent the fair market value of a restricted stock unit has increased on each respective vesting date, the Bank will pay Mr. Newsom a full tax-gross up on such positive spread, if any.</w:t>
      </w:r>
    </w:p>
    <w:p>
      <w:pPr>
        <w:spacing w:after="0" w:line="46" w:lineRule="exact"/>
        <w:rPr>
          <w:sz w:val="20"/>
          <w:szCs w:val="20"/>
          <w:color w:val="auto"/>
        </w:rPr>
      </w:pPr>
    </w:p>
    <w:p>
      <w:pPr>
        <w:ind w:right="40" w:firstLine="360"/>
        <w:spacing w:after="0" w:line="287" w:lineRule="auto"/>
        <w:rPr>
          <w:sz w:val="20"/>
          <w:szCs w:val="20"/>
          <w:color w:val="auto"/>
        </w:rPr>
      </w:pPr>
      <w:r>
        <w:rPr>
          <w:rFonts w:ascii="Arial" w:cs="Arial" w:eastAsia="Arial" w:hAnsi="Arial"/>
          <w:sz w:val="16"/>
          <w:szCs w:val="16"/>
          <w:i w:val="1"/>
          <w:iCs w:val="1"/>
          <w:color w:val="auto"/>
        </w:rPr>
        <w:t>Equity Grants - Stock Option Award</w:t>
      </w:r>
      <w:r>
        <w:rPr>
          <w:rFonts w:ascii="Arial" w:cs="Arial" w:eastAsia="Arial" w:hAnsi="Arial"/>
          <w:sz w:val="16"/>
          <w:szCs w:val="16"/>
          <w:color w:val="auto"/>
        </w:rPr>
        <w:t>. Mr. Newsom received a grant of incentive stock options to purchase Company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on March 20, 2019 and, subject to the effectiveness of our registration statement on Form S-1 that is a part of this prospectus, Mr. Newsom will continue to receive an annual grant of incentive stock options to purchase Company common stock. The grant date aggregate fair value of such stock options was and will be approximately equal to 35% of his base salary, which resulted in a grant on March 20, 2019 covering 10,342 common shares with an exercise price equal to $21.32 per share. The options will vest over a 4-year period, with 25% becoming vested on the first anniversary of January 1, 2019, and the remainder vesting pro rata on a monthly basis over the next three years following January 1, 2020. This grant is in lieu of the cash-settled stock appreciation rights that the Company had historically granted to Mr. Newsom on January 1st of every year. The initial grant of stock options and the restricted stock units described in the foregoing paragraph will vest in full upon the earlier of: (i) Mr. Newsom’s “disability” (as defined in the employment agreement), (ii) Mr. Newsom’s death, (iii) immediately prior to a “change in control” (as defined in the 2019 Plan), (iv) Mr. Newsom terminating his service with the Bank for “good reason” (as defined in the employment agreement), or (v) the Company terminating Mr. Newsom’s employment with “cause” (as defined in the employment agreement).</w:t>
      </w:r>
    </w:p>
    <w:p>
      <w:pPr>
        <w:spacing w:after="0" w:line="61" w:lineRule="exact"/>
        <w:rPr>
          <w:sz w:val="20"/>
          <w:szCs w:val="20"/>
          <w:color w:val="auto"/>
        </w:rPr>
      </w:pPr>
    </w:p>
    <w:p>
      <w:pPr>
        <w:ind w:firstLine="360"/>
        <w:spacing w:after="0" w:line="285" w:lineRule="auto"/>
        <w:rPr>
          <w:sz w:val="20"/>
          <w:szCs w:val="20"/>
          <w:color w:val="auto"/>
        </w:rPr>
      </w:pPr>
      <w:r>
        <w:rPr>
          <w:rFonts w:ascii="Arial" w:cs="Arial" w:eastAsia="Arial" w:hAnsi="Arial"/>
          <w:sz w:val="16"/>
          <w:szCs w:val="16"/>
          <w:i w:val="1"/>
          <w:iCs w:val="1"/>
          <w:color w:val="auto"/>
        </w:rPr>
        <w:t>Termination of Employment</w:t>
      </w:r>
      <w:r>
        <w:rPr>
          <w:rFonts w:ascii="Arial" w:cs="Arial" w:eastAsia="Arial" w:hAnsi="Arial"/>
          <w:sz w:val="16"/>
          <w:szCs w:val="16"/>
          <w:color w:val="auto"/>
        </w:rPr>
        <w:t>. Mr. Newsom’s employment agreement provides that, in the event his employment is terminated</w:t>
      </w:r>
      <w:r>
        <w:rPr>
          <w:rFonts w:ascii="Arial" w:cs="Arial" w:eastAsia="Arial" w:hAnsi="Arial"/>
          <w:sz w:val="16"/>
          <w:szCs w:val="16"/>
          <w:i w:val="1"/>
          <w:iCs w:val="1"/>
          <w:color w:val="auto"/>
        </w:rPr>
        <w:t xml:space="preserve"> </w:t>
      </w:r>
      <w:r>
        <w:rPr>
          <w:rFonts w:ascii="Arial" w:cs="Arial" w:eastAsia="Arial" w:hAnsi="Arial"/>
          <w:sz w:val="16"/>
          <w:szCs w:val="16"/>
          <w:color w:val="auto"/>
        </w:rPr>
        <w:t>by us without “cause” (as defined in his employment agreement), the Company elects not to renew the employment agreement, or Mr. Newsom terminates employment for “good reason” (as defined in the employment agreement), then subject to the execution and effectiveness of a general release of claims in our favor, he will be entitled to receive: (i) an amount equal to 2 times the sum of (x) his annual base salary and (y) his target annual cash incentive bonus; (ii) full vesting of equity and phantom equity awards, with performance goals, if applicable, deemed met at target; and (iii) a lump sum payment equal to 24 months’ of the monthly premiums to continue existing healthcare coverage under COBRA, grossed-up for any applicable taxes. In lieu of the payments and benefits described in the preceding sentence, if Mr. Newsom’s employment is terminated by us without cause, the Company elects not to renew the employment agreement, or Mr. Newsom terminates employment for good reason, in each case within 24 months following a “change in control” (as defined in the employment agreement), at the request of a third party participating in a change in control or otherwise in connection with a change in control, subject to the execution and effectiveness of a general release of claims in our favor, he will be entitled to receive: (i) an amount equal to 3 times the sum of (x) his annual base salary and (y) his target annual cash incentive bonus; (ii) full vesting of equity and phantom awards, with performance goals, if applicable, deemed met at target; and (iii) a lump sum payment equal to 36 months’ of the monthly premiums to continue existing healthcare coverage under COBRA, grossed-up for any applicable taxes. For the first five years after the effective date of the employment agreement, if any change in control payment Mr. Newsom receives is deemed to be subject to excise taxes under Section 280G of the Code, then Mr. Newsom is entitled to an excise tax “gross-up.” However, with respect to a change in control that occurs after the fifth anniversary of the effective date of the employment agreement, if payments to Mr. Newsom would constitute “parachute payments” within the meaning of Section 280G of the Code, the parachute payments will be reduced so as not to trigger the excise tax imposed by Section 4999 of the Code if it would leave Mr. Newsom in a better after-tax position.</w:t>
      </w:r>
    </w:p>
    <w:p>
      <w:pPr>
        <w:spacing w:after="0" w:line="60" w:lineRule="exact"/>
        <w:rPr>
          <w:sz w:val="20"/>
          <w:szCs w:val="20"/>
          <w:color w:val="auto"/>
        </w:rPr>
      </w:pPr>
    </w:p>
    <w:p>
      <w:pPr>
        <w:ind w:right="300" w:firstLine="360"/>
        <w:spacing w:after="0" w:line="264" w:lineRule="auto"/>
        <w:rPr>
          <w:sz w:val="20"/>
          <w:szCs w:val="20"/>
          <w:color w:val="auto"/>
        </w:rPr>
      </w:pPr>
      <w:r>
        <w:rPr>
          <w:rFonts w:ascii="Arial" w:cs="Arial" w:eastAsia="Arial" w:hAnsi="Arial"/>
          <w:sz w:val="18"/>
          <w:szCs w:val="18"/>
          <w:color w:val="auto"/>
        </w:rPr>
        <w:t>Upon a termination of Mr. Newsom’s employment due to “disability” (as defined in the employment agreement), he will be entitled to receive: (i) an amount equal to 2 times the sum of (x) his annual base salary and (y) his target annual cash incentive bonus; (ii) full vesting of equity and phantom equity awards, with</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30" w:name="page131"/>
    <w:bookmarkEnd w:id="130"/>
    <w:p>
      <w:pPr>
        <w:ind w:left="7"/>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 w:right="80"/>
        <w:spacing w:after="0" w:line="273" w:lineRule="auto"/>
        <w:rPr>
          <w:sz w:val="20"/>
          <w:szCs w:val="20"/>
          <w:color w:val="auto"/>
        </w:rPr>
      </w:pPr>
      <w:r>
        <w:rPr>
          <w:rFonts w:ascii="Arial" w:cs="Arial" w:eastAsia="Arial" w:hAnsi="Arial"/>
          <w:sz w:val="17"/>
          <w:szCs w:val="17"/>
          <w:color w:val="auto"/>
        </w:rPr>
        <w:t>performance goals, if applicable, deemed met at target; and (iii) a lump sum payment equal to 24 months’ of the monthly premiums to continue existing healthcare coverage under COBRA, grossed-up for any applicable taxes. Any amounts payable pursuant to subsection (i) of the foregoing sentence shall be reduced on a dollar-for-dollar basis by the amount Mr. Newsom is entitled to under any disability insurance plan sponsored by the Company or the Bank. Upon a termination of Mr. Newsom's employment due to death, he will be entitled to receive: (i) full vesting of equity and phantom equity awards, with performance goals, if applicable, deemed met at target, and (ii) any earned but unpaid bonus.</w:t>
      </w:r>
    </w:p>
    <w:p>
      <w:pPr>
        <w:spacing w:after="0" w:line="174"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Potential Payment upon Termination or Change in Control</w:t>
      </w:r>
    </w:p>
    <w:p>
      <w:pPr>
        <w:spacing w:after="0" w:line="121" w:lineRule="exact"/>
        <w:rPr>
          <w:sz w:val="20"/>
          <w:szCs w:val="20"/>
          <w:color w:val="auto"/>
        </w:rPr>
      </w:pPr>
    </w:p>
    <w:p>
      <w:pPr>
        <w:jc w:val="both"/>
        <w:ind w:left="7" w:right="500" w:firstLine="360"/>
        <w:spacing w:after="0" w:line="264" w:lineRule="auto"/>
        <w:rPr>
          <w:sz w:val="20"/>
          <w:szCs w:val="20"/>
          <w:color w:val="auto"/>
        </w:rPr>
      </w:pPr>
      <w:r>
        <w:rPr>
          <w:rFonts w:ascii="Arial" w:cs="Arial" w:eastAsia="Arial" w:hAnsi="Arial"/>
          <w:sz w:val="18"/>
          <w:szCs w:val="18"/>
          <w:color w:val="auto"/>
        </w:rPr>
        <w:t>Payments to Mr. Newsom in the event of his termination of employment with the Bank or upon a “change in control” (as defined in the employment agreement) are described above in Employment Agreement with Cory T. Newsom” and “Deferred Compensation.”</w:t>
      </w:r>
    </w:p>
    <w:p>
      <w:pPr>
        <w:spacing w:after="0" w:line="73" w:lineRule="exact"/>
        <w:rPr>
          <w:sz w:val="20"/>
          <w:szCs w:val="20"/>
          <w:color w:val="auto"/>
        </w:rPr>
      </w:pPr>
    </w:p>
    <w:p>
      <w:pPr>
        <w:ind w:left="7" w:right="20" w:firstLine="360"/>
        <w:spacing w:after="0" w:line="342" w:lineRule="auto"/>
        <w:rPr>
          <w:sz w:val="20"/>
          <w:szCs w:val="20"/>
          <w:color w:val="auto"/>
        </w:rPr>
      </w:pPr>
      <w:r>
        <w:rPr>
          <w:rFonts w:ascii="Arial" w:cs="Arial" w:eastAsia="Arial" w:hAnsi="Arial"/>
          <w:sz w:val="16"/>
          <w:szCs w:val="16"/>
          <w:color w:val="auto"/>
        </w:rPr>
        <w:t>In addition, the vesting of all outstanding stock options granted to the NEOs described above in “Converted Stock Appreciation Rights” is accelerated upon a termination due to death or disability, and in some cases, once the NEO reaches the age of 65.</w:t>
      </w:r>
    </w:p>
    <w:p>
      <w:pPr>
        <w:spacing w:after="0" w:line="16" w:lineRule="exact"/>
        <w:rPr>
          <w:sz w:val="20"/>
          <w:szCs w:val="20"/>
          <w:color w:val="auto"/>
        </w:rPr>
      </w:pPr>
    </w:p>
    <w:p>
      <w:pPr>
        <w:ind w:left="7" w:right="220" w:firstLine="360"/>
        <w:spacing w:after="0" w:line="277" w:lineRule="auto"/>
        <w:rPr>
          <w:sz w:val="20"/>
          <w:szCs w:val="20"/>
          <w:color w:val="auto"/>
        </w:rPr>
      </w:pPr>
      <w:r>
        <w:rPr>
          <w:rFonts w:ascii="Arial" w:cs="Arial" w:eastAsia="Arial" w:hAnsi="Arial"/>
          <w:sz w:val="18"/>
          <w:szCs w:val="18"/>
          <w:color w:val="auto"/>
        </w:rPr>
        <w:t>None of the other NEOs have additional agreements governing payments in connection with a termination of employment or change in control.</w:t>
      </w:r>
    </w:p>
    <w:p>
      <w:pPr>
        <w:spacing w:after="0" w:line="166"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7" w:right="60" w:firstLine="360"/>
        <w:spacing w:after="0" w:line="255" w:lineRule="auto"/>
        <w:rPr>
          <w:sz w:val="20"/>
          <w:szCs w:val="20"/>
          <w:color w:val="auto"/>
        </w:rPr>
      </w:pPr>
      <w:r>
        <w:rPr>
          <w:rFonts w:ascii="Arial" w:cs="Arial" w:eastAsia="Arial" w:hAnsi="Arial"/>
          <w:sz w:val="18"/>
          <w:szCs w:val="18"/>
          <w:color w:val="auto"/>
        </w:rPr>
        <w:t>Our board of directors reviewed non-employee independent director compensation paid by our peers to establish the appropriate mix and amount of compensation payable to our non-employee directors. In March 2019, our board of directors approved non-employee director compensation consisting of: (i) an annual cash retainer of $20,000, payable on a monthly basis, (ii) an annual cash meeting fee of $10,000 for the lead director, $7,500 for each committee chair, and $2,500 for each committee member, payable on an annual basis, and (iii) an annual restricted stock unit award equal to $25,000 which vests on the first anniversary of the date of grant.</w:t>
      </w:r>
    </w:p>
    <w:p>
      <w:pPr>
        <w:spacing w:after="0" w:line="85" w:lineRule="exact"/>
        <w:rPr>
          <w:sz w:val="20"/>
          <w:szCs w:val="20"/>
          <w:color w:val="auto"/>
        </w:rPr>
      </w:pPr>
    </w:p>
    <w:p>
      <w:pPr>
        <w:ind w:left="7" w:right="80" w:firstLine="360"/>
        <w:spacing w:after="0" w:line="312" w:lineRule="auto"/>
        <w:rPr>
          <w:sz w:val="20"/>
          <w:szCs w:val="20"/>
          <w:color w:val="auto"/>
        </w:rPr>
      </w:pPr>
      <w:r>
        <w:rPr>
          <w:rFonts w:ascii="Arial" w:cs="Arial" w:eastAsia="Arial" w:hAnsi="Arial"/>
          <w:sz w:val="16"/>
          <w:szCs w:val="16"/>
          <w:color w:val="auto"/>
        </w:rPr>
        <w:t>The following table sets forth the compensation earned, awarded or paid during 2018 to each director who served on our board of directors in 2018, other than Mr. Griffith and Mr. Newsom, whose compensation is described in the “Summary Compensation Table” above. The only fees earned or paid in cash to the directors in 2018 were related to their service as directors of the Bank.</w:t>
      </w:r>
    </w:p>
    <w:p>
      <w:pPr>
        <w:spacing w:after="0" w:line="3"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7"/>
              </w:rPr>
              <w:t>Fees</w:t>
            </w: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Earned or</w:t>
            </w: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5"/>
              </w:rPr>
              <w:t>Paid in</w:t>
            </w:r>
          </w:p>
        </w:tc>
        <w:tc>
          <w:tcPr>
            <w:tcW w:w="1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Total</w:t>
            </w:r>
          </w:p>
        </w:tc>
      </w:tr>
      <w:tr>
        <w:trPr>
          <w:trHeight w:val="185"/>
        </w:trPr>
        <w:tc>
          <w:tcPr>
            <w:tcW w:w="14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Cash</w:t>
            </w:r>
          </w:p>
        </w:tc>
        <w:tc>
          <w:tcPr>
            <w:tcW w:w="18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Compensation</w:t>
            </w:r>
          </w:p>
        </w:tc>
        <w:tc>
          <w:tcPr>
            <w:tcW w:w="180" w:type="dxa"/>
            <w:vAlign w:val="bottom"/>
          </w:tcPr>
          <w:p>
            <w:pPr>
              <w:spacing w:after="0"/>
              <w:rPr>
                <w:sz w:val="16"/>
                <w:szCs w:val="16"/>
                <w:color w:val="auto"/>
              </w:rPr>
            </w:pPr>
          </w:p>
        </w:tc>
        <w:tc>
          <w:tcPr>
            <w:tcW w:w="124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2"/>
              </w:rPr>
              <w:t>Compensation</w:t>
            </w:r>
          </w:p>
        </w:tc>
        <w:tc>
          <w:tcPr>
            <w:tcW w:w="100" w:type="dxa"/>
            <w:vAlign w:val="bottom"/>
          </w:tcPr>
          <w:p>
            <w:pPr>
              <w:spacing w:after="0"/>
              <w:rPr>
                <w:sz w:val="16"/>
                <w:szCs w:val="16"/>
                <w:color w:val="auto"/>
              </w:rPr>
            </w:pPr>
          </w:p>
        </w:tc>
      </w:tr>
      <w:tr>
        <w:trPr>
          <w:trHeight w:val="237"/>
        </w:trPr>
        <w:tc>
          <w:tcPr>
            <w:tcW w:w="5440" w:type="dxa"/>
            <w:vAlign w:val="bottom"/>
            <w:gridSpan w:val="2"/>
            <w:shd w:val="clear" w:color="auto" w:fill="CCEEFF"/>
          </w:tcPr>
          <w:p>
            <w:pPr>
              <w:spacing w:after="0" w:line="236" w:lineRule="exact"/>
              <w:rPr>
                <w:sz w:val="20"/>
                <w:szCs w:val="20"/>
                <w:color w:val="auto"/>
              </w:rPr>
            </w:pPr>
            <w:r>
              <w:rPr>
                <w:rFonts w:ascii="Arial" w:cs="Arial" w:eastAsia="Arial" w:hAnsi="Arial"/>
                <w:sz w:val="17"/>
                <w:szCs w:val="17"/>
                <w:color w:val="auto"/>
              </w:rPr>
              <w:t>Kevin R. Bass</w:t>
            </w:r>
            <w:r>
              <w:rPr>
                <w:rFonts w:ascii="Arial" w:cs="Arial" w:eastAsia="Arial" w:hAnsi="Arial"/>
                <w:sz w:val="27"/>
                <w:szCs w:val="27"/>
                <w:color w:val="auto"/>
                <w:vertAlign w:val="superscript"/>
              </w:rPr>
              <w:t>(1)(2)</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$19,500</w:t>
            </w:r>
          </w:p>
        </w:tc>
        <w:tc>
          <w:tcPr>
            <w:tcW w:w="154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87"/>
              </w:rPr>
              <w:t>$9,413</w:t>
            </w:r>
          </w:p>
        </w:tc>
        <w:tc>
          <w:tcPr>
            <w:tcW w:w="142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89"/>
              </w:rPr>
              <w:t>$28,913</w:t>
            </w:r>
          </w:p>
        </w:tc>
        <w:tc>
          <w:tcPr>
            <w:tcW w:w="100" w:type="dxa"/>
            <w:vAlign w:val="bottom"/>
            <w:shd w:val="clear" w:color="auto" w:fill="CCEEFF"/>
          </w:tcPr>
          <w:p>
            <w:pPr>
              <w:spacing w:after="0"/>
              <w:rPr>
                <w:sz w:val="20"/>
                <w:szCs w:val="20"/>
                <w:color w:val="auto"/>
              </w:rPr>
            </w:pPr>
          </w:p>
        </w:tc>
      </w:tr>
      <w:tr>
        <w:trPr>
          <w:trHeight w:val="243"/>
        </w:trPr>
        <w:tc>
          <w:tcPr>
            <w:tcW w:w="5440" w:type="dxa"/>
            <w:vAlign w:val="bottom"/>
            <w:gridSpan w:val="2"/>
          </w:tcPr>
          <w:p>
            <w:pPr>
              <w:spacing w:after="0" w:line="243" w:lineRule="exact"/>
              <w:rPr>
                <w:sz w:val="20"/>
                <w:szCs w:val="20"/>
                <w:color w:val="auto"/>
              </w:rPr>
            </w:pPr>
            <w:r>
              <w:rPr>
                <w:rFonts w:ascii="Arial" w:cs="Arial" w:eastAsia="Arial" w:hAnsi="Arial"/>
                <w:sz w:val="17"/>
                <w:szCs w:val="17"/>
                <w:color w:val="auto"/>
              </w:rPr>
              <w:t>Larry T. Beseda</w:t>
            </w:r>
            <w:r>
              <w:rPr>
                <w:rFonts w:ascii="Arial" w:cs="Arial" w:eastAsia="Arial" w:hAnsi="Arial"/>
                <w:sz w:val="28"/>
                <w:szCs w:val="28"/>
                <w:color w:val="auto"/>
                <w:vertAlign w:val="superscript"/>
              </w:rPr>
              <w:t>(2)</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$43,500</w:t>
            </w:r>
          </w:p>
        </w:tc>
        <w:tc>
          <w:tcPr>
            <w:tcW w:w="1540" w:type="dxa"/>
            <w:vAlign w:val="bottom"/>
            <w:gridSpan w:val="2"/>
          </w:tcPr>
          <w:p>
            <w:pPr>
              <w:jc w:val="center"/>
              <w:ind w:left="90"/>
              <w:spacing w:after="0"/>
              <w:rPr>
                <w:sz w:val="20"/>
                <w:szCs w:val="20"/>
                <w:color w:val="auto"/>
              </w:rPr>
            </w:pPr>
            <w:r>
              <w:rPr>
                <w:rFonts w:ascii="Arial" w:cs="Arial" w:eastAsia="Arial" w:hAnsi="Arial"/>
                <w:sz w:val="18"/>
                <w:szCs w:val="18"/>
                <w:color w:val="auto"/>
                <w:w w:val="87"/>
              </w:rPr>
              <w:t>$9,413</w:t>
            </w:r>
          </w:p>
        </w:tc>
        <w:tc>
          <w:tcPr>
            <w:tcW w:w="142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$52,913</w:t>
            </w:r>
          </w:p>
        </w:tc>
        <w:tc>
          <w:tcPr>
            <w:tcW w:w="100" w:type="dxa"/>
            <w:vAlign w:val="bottom"/>
          </w:tcPr>
          <w:p>
            <w:pPr>
              <w:spacing w:after="0"/>
              <w:rPr>
                <w:sz w:val="21"/>
                <w:szCs w:val="21"/>
                <w:color w:val="auto"/>
              </w:rPr>
            </w:pPr>
          </w:p>
        </w:tc>
      </w:tr>
      <w:tr>
        <w:trPr>
          <w:trHeight w:val="243"/>
        </w:trPr>
        <w:tc>
          <w:tcPr>
            <w:tcW w:w="544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Richard D. Campbell</w:t>
            </w:r>
            <w:r>
              <w:rPr>
                <w:rFonts w:ascii="Arial" w:cs="Arial" w:eastAsia="Arial" w:hAnsi="Arial"/>
                <w:sz w:val="28"/>
                <w:szCs w:val="28"/>
                <w:color w:val="auto"/>
                <w:vertAlign w:val="superscript"/>
              </w:rPr>
              <w:t>(2)</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$43,500</w:t>
            </w:r>
          </w:p>
        </w:tc>
        <w:tc>
          <w:tcPr>
            <w:tcW w:w="154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87"/>
              </w:rPr>
              <w:t>$9,413</w:t>
            </w:r>
          </w:p>
        </w:tc>
        <w:tc>
          <w:tcPr>
            <w:tcW w:w="142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89"/>
              </w:rPr>
              <w:t>$52,913</w:t>
            </w:r>
          </w:p>
        </w:tc>
        <w:tc>
          <w:tcPr>
            <w:tcW w:w="100" w:type="dxa"/>
            <w:vAlign w:val="bottom"/>
            <w:shd w:val="clear" w:color="auto" w:fill="CCEEFF"/>
          </w:tcPr>
          <w:p>
            <w:pPr>
              <w:spacing w:after="0"/>
              <w:rPr>
                <w:sz w:val="21"/>
                <w:szCs w:val="21"/>
                <w:color w:val="auto"/>
              </w:rPr>
            </w:pPr>
          </w:p>
        </w:tc>
      </w:tr>
      <w:tr>
        <w:trPr>
          <w:trHeight w:val="243"/>
        </w:trPr>
        <w:tc>
          <w:tcPr>
            <w:tcW w:w="5440" w:type="dxa"/>
            <w:vAlign w:val="bottom"/>
            <w:gridSpan w:val="2"/>
          </w:tcPr>
          <w:p>
            <w:pPr>
              <w:spacing w:after="0" w:line="243" w:lineRule="exact"/>
              <w:rPr>
                <w:sz w:val="20"/>
                <w:szCs w:val="20"/>
                <w:color w:val="auto"/>
              </w:rPr>
            </w:pPr>
            <w:r>
              <w:rPr>
                <w:rFonts w:ascii="Arial" w:cs="Arial" w:eastAsia="Arial" w:hAnsi="Arial"/>
                <w:sz w:val="17"/>
                <w:szCs w:val="17"/>
                <w:color w:val="auto"/>
              </w:rPr>
              <w:t>Lonnie F. Hollingsworth</w:t>
            </w:r>
            <w:r>
              <w:rPr>
                <w:rFonts w:ascii="Arial" w:cs="Arial" w:eastAsia="Arial" w:hAnsi="Arial"/>
                <w:sz w:val="28"/>
                <w:szCs w:val="28"/>
                <w:color w:val="auto"/>
                <w:vertAlign w:val="superscript"/>
              </w:rPr>
              <w:t>(2)</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$43,500</w:t>
            </w:r>
          </w:p>
        </w:tc>
        <w:tc>
          <w:tcPr>
            <w:tcW w:w="1540" w:type="dxa"/>
            <w:vAlign w:val="bottom"/>
            <w:gridSpan w:val="2"/>
          </w:tcPr>
          <w:p>
            <w:pPr>
              <w:jc w:val="center"/>
              <w:ind w:left="90"/>
              <w:spacing w:after="0"/>
              <w:rPr>
                <w:sz w:val="20"/>
                <w:szCs w:val="20"/>
                <w:color w:val="auto"/>
              </w:rPr>
            </w:pPr>
            <w:r>
              <w:rPr>
                <w:rFonts w:ascii="Arial" w:cs="Arial" w:eastAsia="Arial" w:hAnsi="Arial"/>
                <w:sz w:val="18"/>
                <w:szCs w:val="18"/>
                <w:color w:val="auto"/>
                <w:w w:val="87"/>
              </w:rPr>
              <w:t>$9,413</w:t>
            </w:r>
          </w:p>
        </w:tc>
        <w:tc>
          <w:tcPr>
            <w:tcW w:w="142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$52,913</w:t>
            </w:r>
          </w:p>
        </w:tc>
        <w:tc>
          <w:tcPr>
            <w:tcW w:w="100" w:type="dxa"/>
            <w:vAlign w:val="bottom"/>
          </w:tcPr>
          <w:p>
            <w:pPr>
              <w:spacing w:after="0"/>
              <w:rPr>
                <w:sz w:val="21"/>
                <w:szCs w:val="21"/>
                <w:color w:val="auto"/>
              </w:rPr>
            </w:pPr>
          </w:p>
        </w:tc>
      </w:tr>
      <w:tr>
        <w:trPr>
          <w:trHeight w:val="243"/>
        </w:trPr>
        <w:tc>
          <w:tcPr>
            <w:tcW w:w="544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Cynthia B. Keith</w:t>
            </w:r>
            <w:r>
              <w:rPr>
                <w:rFonts w:ascii="Arial" w:cs="Arial" w:eastAsia="Arial" w:hAnsi="Arial"/>
                <w:sz w:val="28"/>
                <w:szCs w:val="28"/>
                <w:color w:val="auto"/>
                <w:vertAlign w:val="superscript"/>
              </w:rPr>
              <w:t>(3)</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$43,500</w:t>
            </w:r>
          </w:p>
        </w:tc>
        <w:tc>
          <w:tcPr>
            <w:tcW w:w="154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87"/>
              </w:rPr>
              <w:t>$9,669</w:t>
            </w:r>
          </w:p>
        </w:tc>
        <w:tc>
          <w:tcPr>
            <w:tcW w:w="142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89"/>
              </w:rPr>
              <w:t>$53,169</w:t>
            </w:r>
          </w:p>
        </w:tc>
        <w:tc>
          <w:tcPr>
            <w:tcW w:w="100" w:type="dxa"/>
            <w:vAlign w:val="bottom"/>
            <w:shd w:val="clear" w:color="auto" w:fill="CCEEFF"/>
          </w:tcPr>
          <w:p>
            <w:pPr>
              <w:spacing w:after="0"/>
              <w:rPr>
                <w:sz w:val="21"/>
                <w:szCs w:val="21"/>
                <w:color w:val="auto"/>
              </w:rPr>
            </w:pPr>
          </w:p>
        </w:tc>
      </w:tr>
      <w:tr>
        <w:trPr>
          <w:trHeight w:val="243"/>
        </w:trPr>
        <w:tc>
          <w:tcPr>
            <w:tcW w:w="5440" w:type="dxa"/>
            <w:vAlign w:val="bottom"/>
            <w:gridSpan w:val="2"/>
          </w:tcPr>
          <w:p>
            <w:pPr>
              <w:spacing w:after="0" w:line="243" w:lineRule="exact"/>
              <w:rPr>
                <w:sz w:val="20"/>
                <w:szCs w:val="20"/>
                <w:color w:val="auto"/>
              </w:rPr>
            </w:pPr>
            <w:r>
              <w:rPr>
                <w:rFonts w:ascii="Arial" w:cs="Arial" w:eastAsia="Arial" w:hAnsi="Arial"/>
                <w:sz w:val="17"/>
                <w:szCs w:val="17"/>
                <w:color w:val="auto"/>
              </w:rPr>
              <w:t>Bobby G. Neal</w:t>
            </w:r>
            <w:r>
              <w:rPr>
                <w:rFonts w:ascii="Arial" w:cs="Arial" w:eastAsia="Arial" w:hAnsi="Arial"/>
                <w:sz w:val="28"/>
                <w:szCs w:val="28"/>
                <w:color w:val="auto"/>
                <w:vertAlign w:val="superscript"/>
              </w:rPr>
              <w:t>(2)</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$43,500</w:t>
            </w:r>
          </w:p>
        </w:tc>
        <w:tc>
          <w:tcPr>
            <w:tcW w:w="1540" w:type="dxa"/>
            <w:vAlign w:val="bottom"/>
            <w:gridSpan w:val="2"/>
          </w:tcPr>
          <w:p>
            <w:pPr>
              <w:jc w:val="center"/>
              <w:ind w:left="90"/>
              <w:spacing w:after="0"/>
              <w:rPr>
                <w:sz w:val="20"/>
                <w:szCs w:val="20"/>
                <w:color w:val="auto"/>
              </w:rPr>
            </w:pPr>
            <w:r>
              <w:rPr>
                <w:rFonts w:ascii="Arial" w:cs="Arial" w:eastAsia="Arial" w:hAnsi="Arial"/>
                <w:sz w:val="18"/>
                <w:szCs w:val="18"/>
                <w:color w:val="auto"/>
                <w:w w:val="87"/>
              </w:rPr>
              <w:t>$9,413</w:t>
            </w:r>
          </w:p>
        </w:tc>
        <w:tc>
          <w:tcPr>
            <w:tcW w:w="142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$52,913</w:t>
            </w:r>
          </w:p>
        </w:tc>
        <w:tc>
          <w:tcPr>
            <w:tcW w:w="100" w:type="dxa"/>
            <w:vAlign w:val="bottom"/>
          </w:tcPr>
          <w:p>
            <w:pPr>
              <w:spacing w:after="0"/>
              <w:rPr>
                <w:sz w:val="21"/>
                <w:szCs w:val="21"/>
                <w:color w:val="auto"/>
              </w:rPr>
            </w:pPr>
          </w:p>
        </w:tc>
      </w:tr>
      <w:tr>
        <w:trPr>
          <w:trHeight w:val="243"/>
        </w:trPr>
        <w:tc>
          <w:tcPr>
            <w:tcW w:w="544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Jodie E. Riley</w:t>
            </w:r>
            <w:r>
              <w:rPr>
                <w:rFonts w:ascii="Arial" w:cs="Arial" w:eastAsia="Arial" w:hAnsi="Arial"/>
                <w:sz w:val="28"/>
                <w:szCs w:val="28"/>
                <w:color w:val="auto"/>
                <w:vertAlign w:val="superscript"/>
              </w:rPr>
              <w:t>(2)</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$43,500</w:t>
            </w:r>
          </w:p>
        </w:tc>
        <w:tc>
          <w:tcPr>
            <w:tcW w:w="154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87"/>
              </w:rPr>
              <w:t>$9,413</w:t>
            </w:r>
          </w:p>
        </w:tc>
        <w:tc>
          <w:tcPr>
            <w:tcW w:w="142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89"/>
              </w:rPr>
              <w:t>$52,913</w:t>
            </w:r>
          </w:p>
        </w:tc>
        <w:tc>
          <w:tcPr>
            <w:tcW w:w="100" w:type="dxa"/>
            <w:vAlign w:val="bottom"/>
            <w:shd w:val="clear" w:color="auto" w:fill="CCEEFF"/>
          </w:tcPr>
          <w:p>
            <w:pPr>
              <w:spacing w:after="0"/>
              <w:rPr>
                <w:sz w:val="21"/>
                <w:szCs w:val="21"/>
                <w:color w:val="auto"/>
              </w:rPr>
            </w:pPr>
          </w:p>
        </w:tc>
      </w:tr>
      <w:tr>
        <w:trPr>
          <w:trHeight w:val="243"/>
        </w:trPr>
        <w:tc>
          <w:tcPr>
            <w:tcW w:w="5440" w:type="dxa"/>
            <w:vAlign w:val="bottom"/>
            <w:gridSpan w:val="2"/>
          </w:tcPr>
          <w:p>
            <w:pPr>
              <w:spacing w:after="0" w:line="243" w:lineRule="exact"/>
              <w:rPr>
                <w:sz w:val="20"/>
                <w:szCs w:val="20"/>
                <w:color w:val="auto"/>
              </w:rPr>
            </w:pPr>
            <w:r>
              <w:rPr>
                <w:rFonts w:ascii="Arial" w:cs="Arial" w:eastAsia="Arial" w:hAnsi="Arial"/>
                <w:sz w:val="17"/>
                <w:szCs w:val="17"/>
                <w:color w:val="auto"/>
              </w:rPr>
              <w:t>Noe G. Valles</w:t>
            </w:r>
            <w:r>
              <w:rPr>
                <w:rFonts w:ascii="Arial" w:cs="Arial" w:eastAsia="Arial" w:hAnsi="Arial"/>
                <w:sz w:val="28"/>
                <w:szCs w:val="28"/>
                <w:color w:val="auto"/>
                <w:vertAlign w:val="superscript"/>
              </w:rPr>
              <w:t>(2)</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$43,500</w:t>
            </w:r>
          </w:p>
        </w:tc>
        <w:tc>
          <w:tcPr>
            <w:tcW w:w="1540" w:type="dxa"/>
            <w:vAlign w:val="bottom"/>
            <w:gridSpan w:val="2"/>
          </w:tcPr>
          <w:p>
            <w:pPr>
              <w:jc w:val="center"/>
              <w:ind w:left="90"/>
              <w:spacing w:after="0"/>
              <w:rPr>
                <w:sz w:val="20"/>
                <w:szCs w:val="20"/>
                <w:color w:val="auto"/>
              </w:rPr>
            </w:pPr>
            <w:r>
              <w:rPr>
                <w:rFonts w:ascii="Arial" w:cs="Arial" w:eastAsia="Arial" w:hAnsi="Arial"/>
                <w:sz w:val="18"/>
                <w:szCs w:val="18"/>
                <w:color w:val="auto"/>
                <w:w w:val="87"/>
              </w:rPr>
              <w:t>$9,413</w:t>
            </w:r>
          </w:p>
        </w:tc>
        <w:tc>
          <w:tcPr>
            <w:tcW w:w="142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$52,913</w:t>
            </w:r>
          </w:p>
        </w:tc>
        <w:tc>
          <w:tcPr>
            <w:tcW w:w="100" w:type="dxa"/>
            <w:vAlign w:val="bottom"/>
          </w:tcPr>
          <w:p>
            <w:pPr>
              <w:spacing w:after="0"/>
              <w:rPr>
                <w:sz w:val="21"/>
                <w:szCs w:val="21"/>
                <w:color w:val="auto"/>
              </w:rPr>
            </w:pPr>
          </w:p>
        </w:tc>
      </w:tr>
      <w:tr>
        <w:trPr>
          <w:trHeight w:val="243"/>
        </w:trPr>
        <w:tc>
          <w:tcPr>
            <w:tcW w:w="544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Kyle R. Wargo</w:t>
            </w:r>
            <w:r>
              <w:rPr>
                <w:rFonts w:ascii="Arial" w:cs="Arial" w:eastAsia="Arial" w:hAnsi="Arial"/>
                <w:sz w:val="28"/>
                <w:szCs w:val="28"/>
                <w:color w:val="auto"/>
                <w:vertAlign w:val="superscript"/>
              </w:rPr>
              <w:t>(2)</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$43,500</w:t>
            </w:r>
          </w:p>
        </w:tc>
        <w:tc>
          <w:tcPr>
            <w:tcW w:w="154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87"/>
              </w:rPr>
              <w:t>$9,413</w:t>
            </w:r>
          </w:p>
        </w:tc>
        <w:tc>
          <w:tcPr>
            <w:tcW w:w="142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89"/>
              </w:rPr>
              <w:t>$52,913</w:t>
            </w:r>
          </w:p>
        </w:tc>
        <w:tc>
          <w:tcPr>
            <w:tcW w:w="100" w:type="dxa"/>
            <w:vAlign w:val="bottom"/>
            <w:shd w:val="clear" w:color="auto" w:fill="CCEEFF"/>
          </w:tcPr>
          <w:p>
            <w:pPr>
              <w:spacing w:after="0"/>
              <w:rPr>
                <w:sz w:val="21"/>
                <w:szCs w:val="21"/>
                <w:color w:val="auto"/>
              </w:rPr>
            </w:pPr>
          </w:p>
        </w:tc>
      </w:tr>
      <w:tr>
        <w:trPr>
          <w:trHeight w:val="189"/>
        </w:trPr>
        <w:tc>
          <w:tcPr>
            <w:tcW w:w="1440" w:type="dxa"/>
            <w:vAlign w:val="bottom"/>
            <w:tcBorders>
              <w:bottom w:val="single" w:sz="8" w:color="auto"/>
            </w:tcBorders>
          </w:tcPr>
          <w:p>
            <w:pPr>
              <w:spacing w:after="0"/>
              <w:rPr>
                <w:sz w:val="16"/>
                <w:szCs w:val="16"/>
                <w:color w:val="auto"/>
              </w:rPr>
            </w:pPr>
          </w:p>
        </w:tc>
        <w:tc>
          <w:tcPr>
            <w:tcW w:w="4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103" w:lineRule="exact"/>
        <w:rPr>
          <w:sz w:val="20"/>
          <w:szCs w:val="20"/>
          <w:color w:val="auto"/>
        </w:rPr>
      </w:pPr>
    </w:p>
    <w:p>
      <w:pPr>
        <w:ind w:left="347" w:right="260" w:hanging="347"/>
        <w:spacing w:after="0" w:line="273" w:lineRule="auto"/>
        <w:tabs>
          <w:tab w:leader="none" w:pos="347" w:val="left"/>
        </w:tabs>
        <w:numPr>
          <w:ilvl w:val="0"/>
          <w:numId w:val="63"/>
        </w:numPr>
        <w:rPr>
          <w:rFonts w:ascii="Arial" w:cs="Arial" w:eastAsia="Arial" w:hAnsi="Arial"/>
          <w:sz w:val="14"/>
          <w:szCs w:val="14"/>
          <w:color w:val="auto"/>
        </w:rPr>
      </w:pPr>
      <w:r>
        <w:rPr>
          <w:rFonts w:ascii="Arial" w:cs="Arial" w:eastAsia="Arial" w:hAnsi="Arial"/>
          <w:sz w:val="14"/>
          <w:szCs w:val="14"/>
          <w:color w:val="auto"/>
        </w:rPr>
        <w:t>In 2018, Mr. Bass served as an executive officer of the Company, but not a named executive officer. The amounts above reflect Mr. Bass’ compensation for services as a director only and not his compensation for services as an executive officer.</w:t>
      </w:r>
    </w:p>
    <w:p>
      <w:pPr>
        <w:spacing w:after="0" w:line="65" w:lineRule="exact"/>
        <w:rPr>
          <w:rFonts w:ascii="Arial" w:cs="Arial" w:eastAsia="Arial" w:hAnsi="Arial"/>
          <w:sz w:val="14"/>
          <w:szCs w:val="14"/>
          <w:color w:val="auto"/>
        </w:rPr>
      </w:pPr>
    </w:p>
    <w:p>
      <w:pPr>
        <w:ind w:left="347" w:hanging="347"/>
        <w:spacing w:after="0"/>
        <w:tabs>
          <w:tab w:leader="none" w:pos="347" w:val="left"/>
        </w:tabs>
        <w:numPr>
          <w:ilvl w:val="0"/>
          <w:numId w:val="63"/>
        </w:numPr>
        <w:rPr>
          <w:rFonts w:ascii="Arial" w:cs="Arial" w:eastAsia="Arial" w:hAnsi="Arial"/>
          <w:sz w:val="14"/>
          <w:szCs w:val="14"/>
          <w:color w:val="auto"/>
        </w:rPr>
      </w:pPr>
      <w:r>
        <w:rPr>
          <w:rFonts w:ascii="Arial" w:cs="Arial" w:eastAsia="Arial" w:hAnsi="Arial"/>
          <w:sz w:val="14"/>
          <w:szCs w:val="14"/>
          <w:color w:val="auto"/>
        </w:rPr>
        <w:t>All other compensation includes $7,060 in the form of a gift and $2,353 in tax gross-ups for each respective director.</w:t>
      </w:r>
    </w:p>
    <w:p>
      <w:pPr>
        <w:spacing w:after="0" w:line="109" w:lineRule="exact"/>
        <w:rPr>
          <w:rFonts w:ascii="Arial" w:cs="Arial" w:eastAsia="Arial" w:hAnsi="Arial"/>
          <w:sz w:val="14"/>
          <w:szCs w:val="14"/>
          <w:color w:val="auto"/>
        </w:rPr>
      </w:pPr>
    </w:p>
    <w:p>
      <w:pPr>
        <w:ind w:left="347" w:hanging="347"/>
        <w:spacing w:after="0"/>
        <w:tabs>
          <w:tab w:leader="none" w:pos="347" w:val="left"/>
        </w:tabs>
        <w:numPr>
          <w:ilvl w:val="0"/>
          <w:numId w:val="63"/>
        </w:numPr>
        <w:rPr>
          <w:rFonts w:ascii="Arial" w:cs="Arial" w:eastAsia="Arial" w:hAnsi="Arial"/>
          <w:sz w:val="14"/>
          <w:szCs w:val="14"/>
          <w:color w:val="auto"/>
        </w:rPr>
      </w:pPr>
      <w:r>
        <w:rPr>
          <w:rFonts w:ascii="Arial" w:cs="Arial" w:eastAsia="Arial" w:hAnsi="Arial"/>
          <w:sz w:val="14"/>
          <w:szCs w:val="14"/>
          <w:color w:val="auto"/>
        </w:rPr>
        <w:t>All other compensation includes $7,252 in the form of a gift and $2,417 in tax gross-ups for Ms. Keith.</w:t>
      </w:r>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31" w:name="page132"/>
    <w:bookmarkEnd w:id="13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Regarding Related Person Transactions</w:t>
      </w:r>
    </w:p>
    <w:p>
      <w:pPr>
        <w:spacing w:after="0" w:line="121" w:lineRule="exact"/>
        <w:rPr>
          <w:sz w:val="20"/>
          <w:szCs w:val="20"/>
          <w:color w:val="auto"/>
        </w:rPr>
      </w:pPr>
    </w:p>
    <w:p>
      <w:pPr>
        <w:ind w:right="60" w:firstLine="360"/>
        <w:spacing w:after="0" w:line="302" w:lineRule="auto"/>
        <w:rPr>
          <w:sz w:val="20"/>
          <w:szCs w:val="20"/>
          <w:color w:val="auto"/>
        </w:rPr>
      </w:pPr>
      <w:r>
        <w:rPr>
          <w:rFonts w:ascii="Arial" w:cs="Arial" w:eastAsia="Arial" w:hAnsi="Arial"/>
          <w:sz w:val="16"/>
          <w:szCs w:val="16"/>
          <w:color w:val="auto"/>
        </w:rPr>
        <w:t>Transactions by us or the Bank with related persons are subject to regulatory requirements and restrictions. These requirements and restrictions include the Affiliates Act and the Federal Reserve’s Regulation W (which governs certain transactions by the Bank with its affiliates) and the Federal Reserve’s Regulation O (which governs certain loans by the Bank to its executive officers, directors, and principal shareholders). We have adopted policies to comply with these regulatory requirements and restrictions.</w:t>
      </w:r>
    </w:p>
    <w:p>
      <w:pPr>
        <w:spacing w:after="0" w:line="46" w:lineRule="exact"/>
        <w:rPr>
          <w:sz w:val="20"/>
          <w:szCs w:val="20"/>
          <w:color w:val="auto"/>
        </w:rPr>
      </w:pPr>
    </w:p>
    <w:p>
      <w:pPr>
        <w:ind w:firstLine="360"/>
        <w:spacing w:after="0" w:line="268" w:lineRule="auto"/>
        <w:rPr>
          <w:sz w:val="20"/>
          <w:szCs w:val="20"/>
          <w:color w:val="auto"/>
        </w:rPr>
      </w:pPr>
      <w:r>
        <w:rPr>
          <w:rFonts w:ascii="Arial" w:cs="Arial" w:eastAsia="Arial" w:hAnsi="Arial"/>
          <w:sz w:val="17"/>
          <w:szCs w:val="17"/>
          <w:color w:val="auto"/>
        </w:rPr>
        <w:t>In addition, our board of directors has adopted a written policy governing the approval of related person transactions that complies with all applicable requirements of the SEC and the NASDAQ Global Select Market concerning related person transactions. Related person transactions are transactions in which we are a participant, the amount involved exceeds $120,000 and a related person has or will have a direct or indirect material interest. Related persons of the Company include directors (including nominees for election as directors), executive officers, beneficial holders of more than 5% of our capital stock and the immediate family members of these persons. Our Audit Committee, in consultation with outside counsel, as appropriate, will review potential related person transactions to determine if they are subject to the policy. In determining whether to approve a related person transaction, that Committee will consider, among other factors, the fairness of the proposed transaction, the direct or indirect nature of the related person’s interest in the transaction, the appearance of an improper conflict of interests for any director or executive officer taking into account the size of the transaction and the financial position of the related person, whether the transaction would impair an outside director’s independence, the acceptability of the transaction to our regulators and the potential violations of other corporate policies. Upon completion of the offering, our Related Person Transactions Policy will be available on our website at www.city.bank.</w:t>
      </w:r>
    </w:p>
    <w:p>
      <w:pPr>
        <w:spacing w:after="0" w:line="80" w:lineRule="exact"/>
        <w:rPr>
          <w:sz w:val="20"/>
          <w:szCs w:val="20"/>
          <w:color w:val="auto"/>
        </w:rPr>
      </w:pPr>
    </w:p>
    <w:p>
      <w:pPr>
        <w:ind w:right="320" w:firstLine="360"/>
        <w:spacing w:after="0" w:line="342" w:lineRule="auto"/>
        <w:rPr>
          <w:sz w:val="20"/>
          <w:szCs w:val="20"/>
          <w:color w:val="auto"/>
        </w:rPr>
      </w:pPr>
      <w:r>
        <w:rPr>
          <w:rFonts w:ascii="Arial" w:cs="Arial" w:eastAsia="Arial" w:hAnsi="Arial"/>
          <w:sz w:val="16"/>
          <w:szCs w:val="16"/>
          <w:color w:val="auto"/>
        </w:rPr>
        <w:t>In addition to the compensation arrangements with directors and executive officers described in “Executive Compensation” above, the following is a description of each transaction since January 1, 2016, and each proposed transaction in which:</w:t>
      </w:r>
    </w:p>
    <w:p>
      <w:pPr>
        <w:spacing w:after="0" w:line="16" w:lineRule="exact"/>
        <w:rPr>
          <w:sz w:val="20"/>
          <w:szCs w:val="20"/>
          <w:color w:val="auto"/>
        </w:rPr>
      </w:pPr>
    </w:p>
    <w:p>
      <w:pPr>
        <w:ind w:left="700" w:hanging="356"/>
        <w:spacing w:after="0"/>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amount involved exceeds or will exceed $120,000; and</w:t>
      </w:r>
    </w:p>
    <w:p>
      <w:pPr>
        <w:spacing w:after="0" w:line="117" w:lineRule="exact"/>
        <w:rPr>
          <w:rFonts w:ascii="Arial" w:cs="Arial" w:eastAsia="Arial" w:hAnsi="Arial"/>
          <w:sz w:val="18"/>
          <w:szCs w:val="18"/>
          <w:color w:val="auto"/>
        </w:rPr>
      </w:pPr>
    </w:p>
    <w:p>
      <w:pPr>
        <w:jc w:val="both"/>
        <w:ind w:left="700" w:right="720" w:hanging="356"/>
        <w:spacing w:after="0" w:line="264" w:lineRule="auto"/>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of our directors, executive officers or beneficial holders of more than five percent of our capital stock, or any immediate family member of or person sharing the household with any of these individuals (other than tenants or employees), had or will have a direct or indirect material interest.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Representation Agreement</w:t>
      </w:r>
    </w:p>
    <w:p>
      <w:pPr>
        <w:spacing w:after="0" w:line="121"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In June 2011, we entered into a Stock Purchase Agreement with James C. Henry, a principal shareholder of the Company, and his spouse in connection with their purchase of approximately $15.0 million of our common stock in a private placement. Pursuant to that Stock Purchase Agreement, the Company agreed to nominate a representative of the Henrys to serve on the board of directors of each of the Company and the Bank. Richard D. Campbell has served as that board representative since 2011. On March 7, 2019, the Company and the Henrys terminated the Stock Purchase Agreement and entered into a Board Representation Agreement that maintained the Henrys’ right to appoint a representative to our board of directors and to the board of directors of the Bank. Pursuant to the Board Representation Agreement, for so long as the Henrys, or a lineal descendant of the Henrys, or an entity formed for their benefit, holds in aggregate 5.0% or more of our outstanding shares of common stock, the Company must nominate their representative to serve on the board of directors of each of the Company and the Bank, subject to any required regulatory and shareholder approvals.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Sales of Subordinated Debt Securities</w:t>
      </w:r>
    </w:p>
    <w:p>
      <w:pPr>
        <w:spacing w:after="0" w:line="121" w:lineRule="exact"/>
        <w:rPr>
          <w:sz w:val="20"/>
          <w:szCs w:val="20"/>
          <w:color w:val="auto"/>
        </w:rPr>
      </w:pPr>
    </w:p>
    <w:p>
      <w:pPr>
        <w:ind w:right="100" w:firstLine="360"/>
        <w:spacing w:after="0" w:line="297" w:lineRule="auto"/>
        <w:rPr>
          <w:sz w:val="20"/>
          <w:szCs w:val="20"/>
          <w:color w:val="auto"/>
        </w:rPr>
      </w:pPr>
      <w:r>
        <w:rPr>
          <w:rFonts w:ascii="Arial" w:cs="Arial" w:eastAsia="Arial" w:hAnsi="Arial"/>
          <w:sz w:val="16"/>
          <w:szCs w:val="16"/>
          <w:color w:val="auto"/>
        </w:rPr>
        <w:t>In December 2018, we conducted an exchange offering pursuant to which we exchanged existing subordinated debt securities, due 2024, for newly issued ten- and twelve-year subordinated debt securities, due 2028 and 2030, respectively, and sold additional newly issued subordinated debt securities. In this offering, Richard D. Campbell, a director, and his spouse exchanged $250,000 in principal amount of existing subordinated debt securities, due 2024, for $250,000 in principal amount of newly issued debt securities, due 2030 on the same terms and conditions as offered to other qualified investors. Certain of our directors also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32" w:name="page133"/>
    <w:bookmarkEnd w:id="13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participated in the exchange offering in principal amounts less than $120,000 and on the same terms and conditions as offered to other qualified investors. See “Management’s Discussion and Analysis of Financial Condition and Results of Operations— Borrowed Funds” for additional description of the subordinated debt securities.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Transactions</w:t>
      </w:r>
    </w:p>
    <w:p>
      <w:pPr>
        <w:spacing w:after="0" w:line="111" w:lineRule="exact"/>
        <w:rPr>
          <w:sz w:val="20"/>
          <w:szCs w:val="20"/>
          <w:color w:val="auto"/>
        </w:rPr>
      </w:pPr>
    </w:p>
    <w:p>
      <w:pPr>
        <w:ind w:right="40" w:firstLine="360"/>
        <w:spacing w:after="0" w:line="236" w:lineRule="auto"/>
        <w:rPr>
          <w:sz w:val="20"/>
          <w:szCs w:val="20"/>
          <w:color w:val="auto"/>
        </w:rPr>
      </w:pPr>
      <w:r>
        <w:rPr>
          <w:rFonts w:ascii="Arial" w:cs="Arial" w:eastAsia="Arial" w:hAnsi="Arial"/>
          <w:sz w:val="16"/>
          <w:szCs w:val="16"/>
          <w:color w:val="auto"/>
        </w:rPr>
        <w:t>The Company has purchased office furniture, fixtures and equipment for various bank locations from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Class Solutions, an entity in which Kim Newsom, the wife of Cory T. Newsom, a director and the President of the Company, has a majority ownership interest. Mr. Newsom also owns a minority interest in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Class Solutions. The purchases by the Company totaled approximately $335,000, $631,000, and $446,000 in the years ended December 31, 2018, 2017 and 2016, respectively. All purchases from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Class Solutions received prior approval of the board of directors of the Company, with Mr. Newsom abstaining from the vote. We believe the terms of each of the transactions described above are no less favorable to us than we could have obtained from an unaffiliated third party. We expect to continue to engage in similar transactions in the ordinary course of business with our directors, executive officers, principal shareholders and their associates. Following the completion of the offering, all related party transactions will be reviewed and approved in accordance with our Related Person Transaction Policy.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Banking Relationships</w:t>
      </w:r>
    </w:p>
    <w:p>
      <w:pPr>
        <w:spacing w:after="0" w:line="121"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Certain of our officers, directors and principal shareholders, as well as their immediate family members and affiliates, are customers of, or have or have had transactions with us or the Bank in the ordinary course of business. These transactions include deposits, loans, wealth management products and other financial services related transactions. Related party transactions are made in the ordinary course of business, on substantially the same terms, including interest rates and collateral (where applicable), as those prevailing at the time for comparable transactions with persons not related to us, and do not involve more than normal risk of collectability or present other features unfavorable to us. Any loans we originate with officers, directors and principal shareholders, as well as their immediate family members and affiliates, are approved by our board of directors in accordance with the Bank’s regulatory requirements.</w:t>
      </w:r>
    </w:p>
    <w:p>
      <w:pPr>
        <w:spacing w:after="0" w:line="71" w:lineRule="exact"/>
        <w:rPr>
          <w:sz w:val="20"/>
          <w:szCs w:val="20"/>
          <w:color w:val="auto"/>
        </w:rPr>
      </w:pPr>
    </w:p>
    <w:p>
      <w:pPr>
        <w:ind w:left="360" w:right="220"/>
        <w:spacing w:after="0" w:line="361" w:lineRule="auto"/>
        <w:rPr>
          <w:sz w:val="20"/>
          <w:szCs w:val="20"/>
          <w:color w:val="auto"/>
        </w:rPr>
      </w:pPr>
      <w:r>
        <w:rPr>
          <w:rFonts w:ascii="Arial" w:cs="Arial" w:eastAsia="Arial" w:hAnsi="Arial"/>
          <w:sz w:val="16"/>
          <w:szCs w:val="16"/>
          <w:color w:val="auto"/>
        </w:rPr>
        <w:t>Cory T. Newsom, our President, has no familial relationship with Mikella D. Newsom, our Chief Risk Officer and Secretary. As of the date of this prospectus, no related party loans were categorized as nonaccrual, past due, restructured or potential</w:t>
      </w:r>
    </w:p>
    <w:p>
      <w:pPr>
        <w:spacing w:after="0" w:line="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problem loans. We expect to continue to enter into transactions in the ordinary course of business on similar terms with our officers, directors and principal shareholders, as well as their immediate family members and affiliates.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Directed Share Program</w:t>
      </w:r>
    </w:p>
    <w:p>
      <w:pPr>
        <w:spacing w:after="0" w:line="121" w:lineRule="exact"/>
        <w:rPr>
          <w:sz w:val="20"/>
          <w:szCs w:val="20"/>
          <w:color w:val="auto"/>
        </w:rPr>
      </w:pPr>
    </w:p>
    <w:p>
      <w:pPr>
        <w:ind w:right="80" w:firstLine="360"/>
        <w:spacing w:after="0" w:line="279" w:lineRule="auto"/>
        <w:rPr>
          <w:sz w:val="20"/>
          <w:szCs w:val="20"/>
          <w:color w:val="auto"/>
        </w:rPr>
      </w:pPr>
      <w:r>
        <w:rPr>
          <w:rFonts w:ascii="Arial" w:cs="Arial" w:eastAsia="Arial" w:hAnsi="Arial"/>
          <w:sz w:val="17"/>
          <w:szCs w:val="17"/>
          <w:color w:val="auto"/>
        </w:rPr>
        <w:t>At our request, the underwriters have reserved for sale, at the initial public offering price, up to 5.0% of the shares offered by this prospectus for sale to our directors, executive officers, employees and business associates and certain other related persons who have expressed an interest in purchasing our common stock in this offering through a directed share program. See “Underwriting— Directed Share Program” for additional information regarding the directed share program.</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33" w:name="page134"/>
    <w:bookmarkEnd w:id="133"/>
    <w:p>
      <w:pPr>
        <w:ind w:left="7"/>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PRINCIPAL AND SELLING SHAREHOLDERS</w:t>
      </w:r>
    </w:p>
    <w:p>
      <w:pPr>
        <w:spacing w:after="0" w:line="121" w:lineRule="exact"/>
        <w:rPr>
          <w:sz w:val="20"/>
          <w:szCs w:val="20"/>
          <w:color w:val="auto"/>
        </w:rPr>
      </w:pPr>
    </w:p>
    <w:p>
      <w:pPr>
        <w:ind w:left="7" w:right="60" w:firstLine="360"/>
        <w:spacing w:after="0" w:line="277" w:lineRule="auto"/>
        <w:rPr>
          <w:sz w:val="20"/>
          <w:szCs w:val="20"/>
          <w:color w:val="auto"/>
        </w:rPr>
      </w:pPr>
      <w:r>
        <w:rPr>
          <w:rFonts w:ascii="Arial" w:cs="Arial" w:eastAsia="Arial" w:hAnsi="Arial"/>
          <w:sz w:val="18"/>
          <w:szCs w:val="18"/>
          <w:color w:val="auto"/>
        </w:rPr>
        <w:t>The following table provides information regarding the beneficial ownership of our common stock as of April 12, 2019, and as adjusted to reflect the completion of this offering, for:</w:t>
      </w:r>
    </w:p>
    <w:p>
      <w:pPr>
        <w:spacing w:after="0" w:line="62" w:lineRule="exact"/>
        <w:rPr>
          <w:sz w:val="20"/>
          <w:szCs w:val="20"/>
          <w:color w:val="auto"/>
        </w:rPr>
      </w:pPr>
    </w:p>
    <w:p>
      <w:pPr>
        <w:ind w:left="707" w:hanging="356"/>
        <w:spacing w:after="0"/>
        <w:tabs>
          <w:tab w:leader="none" w:pos="707"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17" w:lineRule="exact"/>
        <w:rPr>
          <w:rFonts w:ascii="Arial" w:cs="Arial" w:eastAsia="Arial" w:hAnsi="Arial"/>
          <w:sz w:val="18"/>
          <w:szCs w:val="18"/>
          <w:color w:val="auto"/>
        </w:rPr>
      </w:pPr>
    </w:p>
    <w:p>
      <w:pPr>
        <w:ind w:left="707" w:hanging="356"/>
        <w:spacing w:after="0"/>
        <w:tabs>
          <w:tab w:leader="none" w:pos="707"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each of our executive officers;</w:t>
      </w:r>
    </w:p>
    <w:p>
      <w:pPr>
        <w:spacing w:after="0" w:line="117" w:lineRule="exact"/>
        <w:rPr>
          <w:rFonts w:ascii="Arial" w:cs="Arial" w:eastAsia="Arial" w:hAnsi="Arial"/>
          <w:sz w:val="18"/>
          <w:szCs w:val="18"/>
          <w:color w:val="auto"/>
        </w:rPr>
      </w:pPr>
    </w:p>
    <w:p>
      <w:pPr>
        <w:ind w:left="707" w:hanging="356"/>
        <w:spacing w:after="0"/>
        <w:tabs>
          <w:tab w:leader="none" w:pos="707"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 and</w:t>
      </w:r>
    </w:p>
    <w:p>
      <w:pPr>
        <w:spacing w:after="0" w:line="117" w:lineRule="exact"/>
        <w:rPr>
          <w:rFonts w:ascii="Arial" w:cs="Arial" w:eastAsia="Arial" w:hAnsi="Arial"/>
          <w:sz w:val="18"/>
          <w:szCs w:val="18"/>
          <w:color w:val="auto"/>
        </w:rPr>
      </w:pPr>
    </w:p>
    <w:p>
      <w:pPr>
        <w:ind w:left="707" w:hanging="356"/>
        <w:spacing w:after="0"/>
        <w:tabs>
          <w:tab w:leader="none" w:pos="707"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each shareholder who beneficially owns more than 5% of our common stock.</w:t>
      </w:r>
    </w:p>
    <w:p>
      <w:pPr>
        <w:spacing w:after="0" w:line="117" w:lineRule="exact"/>
        <w:rPr>
          <w:sz w:val="20"/>
          <w:szCs w:val="20"/>
          <w:color w:val="auto"/>
        </w:rPr>
      </w:pPr>
    </w:p>
    <w:p>
      <w:pPr>
        <w:ind w:left="7" w:right="100" w:firstLine="360"/>
        <w:spacing w:after="0" w:line="276" w:lineRule="auto"/>
        <w:rPr>
          <w:sz w:val="20"/>
          <w:szCs w:val="20"/>
          <w:color w:val="auto"/>
        </w:rPr>
      </w:pPr>
      <w:r>
        <w:rPr>
          <w:rFonts w:ascii="Arial" w:cs="Arial" w:eastAsia="Arial" w:hAnsi="Arial"/>
          <w:sz w:val="17"/>
          <w:szCs w:val="17"/>
          <w:color w:val="auto"/>
        </w:rPr>
        <w:t>We have determined beneficial ownership in accordance with the rules of the SEC. These rules generally provide that a person is the beneficial owner of securities if such person has or shares the power to vote or direct the voting of securities, or to dispose or direct the disposition of securities, or has the right to acquire such powers within 60 days. Except as disclosed in the footnotes to this table and subject to applicable community property laws, we believe that each person identified in the table has sole voting and investment power over all of the shares shown opposite such person’s name.</w:t>
      </w:r>
    </w:p>
    <w:p>
      <w:pPr>
        <w:spacing w:after="0" w:line="64" w:lineRule="exact"/>
        <w:rPr>
          <w:sz w:val="20"/>
          <w:szCs w:val="20"/>
          <w:color w:val="auto"/>
        </w:rPr>
      </w:pPr>
    </w:p>
    <w:p>
      <w:pPr>
        <w:ind w:left="7" w:right="100" w:firstLine="360"/>
        <w:spacing w:after="0" w:line="259" w:lineRule="auto"/>
        <w:rPr>
          <w:sz w:val="20"/>
          <w:szCs w:val="20"/>
          <w:color w:val="auto"/>
        </w:rPr>
      </w:pPr>
      <w:r>
        <w:rPr>
          <w:rFonts w:ascii="Arial" w:cs="Arial" w:eastAsia="Arial" w:hAnsi="Arial"/>
          <w:sz w:val="18"/>
          <w:szCs w:val="18"/>
          <w:color w:val="auto"/>
        </w:rPr>
        <w:t>The percentage of beneficial ownership is based on 14,771,520 shares of our common stock outstanding as of April 12, 2019 and 17,471,520 shares to be outstanding after the completion of this offering, which assumes that the underwriters do not exercise their option to purchase any additional shares of common stock. The table does not reflect any shares of common stock that may be purchased in this offering by the individuals listed below.</w:t>
      </w:r>
    </w:p>
    <w:p>
      <w:pPr>
        <w:spacing w:after="0" w:line="79" w:lineRule="exact"/>
        <w:rPr>
          <w:sz w:val="20"/>
          <w:szCs w:val="20"/>
          <w:color w:val="auto"/>
        </w:rPr>
      </w:pPr>
    </w:p>
    <w:p>
      <w:pPr>
        <w:ind w:left="7" w:right="120" w:firstLine="360"/>
        <w:spacing w:after="0" w:line="277" w:lineRule="auto"/>
        <w:rPr>
          <w:sz w:val="20"/>
          <w:szCs w:val="20"/>
          <w:color w:val="auto"/>
        </w:rPr>
      </w:pPr>
      <w:r>
        <w:rPr>
          <w:rFonts w:ascii="Arial" w:cs="Arial" w:eastAsia="Arial" w:hAnsi="Arial"/>
          <w:sz w:val="18"/>
          <w:szCs w:val="18"/>
          <w:color w:val="auto"/>
        </w:rPr>
        <w:t>Except as indicated below, the address for each shareholder listed in the table below is: South Plains Financial, Inc., 5219 City Bank Parkway, Lubbock, Texas 79407.</w:t>
      </w:r>
    </w:p>
    <w:p>
      <w:pPr>
        <w:spacing w:after="0" w:line="27"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14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1"/>
              </w:rPr>
              <w:t>Shares Beneficially Owned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jc w:val="center"/>
              <w:ind w:right="560"/>
              <w:spacing w:after="0"/>
              <w:rPr>
                <w:sz w:val="20"/>
                <w:szCs w:val="20"/>
                <w:color w:val="auto"/>
              </w:rPr>
            </w:pPr>
            <w:r>
              <w:rPr>
                <w:rFonts w:ascii="Arial" w:cs="Arial" w:eastAsia="Arial" w:hAnsi="Arial"/>
                <w:sz w:val="14"/>
                <w:szCs w:val="14"/>
                <w:b w:val="1"/>
                <w:bCs w:val="1"/>
                <w:color w:val="auto"/>
                <w:w w:val="96"/>
              </w:rPr>
              <w:t>After the Offering</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2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Shares Beneficially Owned</w:t>
            </w:r>
          </w:p>
        </w:tc>
        <w:tc>
          <w:tcPr>
            <w:tcW w:w="190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If Option</w:t>
            </w:r>
          </w:p>
        </w:tc>
        <w:tc>
          <w:tcPr>
            <w:tcW w:w="1200" w:type="dxa"/>
            <w:vAlign w:val="bottom"/>
            <w:gridSpan w:val="3"/>
          </w:tcPr>
          <w:p>
            <w:pPr>
              <w:ind w:left="600"/>
              <w:spacing w:after="0"/>
              <w:rPr>
                <w:sz w:val="20"/>
                <w:szCs w:val="20"/>
                <w:color w:val="auto"/>
              </w:rPr>
            </w:pPr>
            <w:r>
              <w:rPr>
                <w:rFonts w:ascii="Arial" w:cs="Arial" w:eastAsia="Arial" w:hAnsi="Arial"/>
                <w:sz w:val="14"/>
                <w:szCs w:val="14"/>
                <w:b w:val="1"/>
                <w:bCs w:val="1"/>
                <w:color w:val="auto"/>
              </w:rPr>
              <w:t>If Option</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Prior to the Offering</w:t>
            </w:r>
          </w:p>
        </w:tc>
        <w:tc>
          <w:tcPr>
            <w:tcW w:w="190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Not Exercised</w:t>
            </w:r>
          </w:p>
        </w:tc>
        <w:tc>
          <w:tcPr>
            <w:tcW w:w="18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Exercised in Full</w:t>
            </w:r>
          </w:p>
        </w:tc>
      </w:tr>
      <w:tr>
        <w:trPr>
          <w:trHeight w:val="190"/>
        </w:trPr>
        <w:tc>
          <w:tcPr>
            <w:tcW w:w="344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140" w:type="dxa"/>
            <w:vAlign w:val="bottom"/>
            <w:tcBorders>
              <w:top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Number</w:t>
            </w:r>
          </w:p>
        </w:tc>
        <w:tc>
          <w:tcPr>
            <w:tcW w:w="1100" w:type="dxa"/>
            <w:vAlign w:val="bottom"/>
            <w:tcBorders>
              <w:top w:val="single" w:sz="8" w:color="auto"/>
            </w:tcBorders>
            <w:gridSpan w:val="2"/>
          </w:tcPr>
          <w:p>
            <w:pPr>
              <w:jc w:val="right"/>
              <w:ind w:right="29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960" w:type="dxa"/>
            <w:vAlign w:val="bottom"/>
            <w:tcBorders>
              <w:top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Number</w:t>
            </w:r>
          </w:p>
        </w:tc>
        <w:tc>
          <w:tcPr>
            <w:tcW w:w="760" w:type="dxa"/>
            <w:vAlign w:val="bottom"/>
            <w:tcBorders>
              <w:top w:val="single" w:sz="8" w:color="auto"/>
            </w:tcBorders>
            <w:gridSpan w:val="2"/>
          </w:tcPr>
          <w:p>
            <w:pPr>
              <w:jc w:val="right"/>
              <w:ind w:right="134"/>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200" w:type="dxa"/>
            <w:vAlign w:val="bottom"/>
            <w:tcBorders>
              <w:top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Number</w:t>
            </w:r>
          </w:p>
        </w:tc>
        <w:tc>
          <w:tcPr>
            <w:tcW w:w="500" w:type="dxa"/>
            <w:vAlign w:val="bottom"/>
            <w:tcBorders>
              <w:top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r>
      <w:tr>
        <w:trPr>
          <w:trHeight w:val="243"/>
        </w:trPr>
        <w:tc>
          <w:tcPr>
            <w:tcW w:w="20" w:type="dxa"/>
            <w:vAlign w:val="bottom"/>
          </w:tcPr>
          <w:p>
            <w:pPr>
              <w:spacing w:after="0"/>
              <w:rPr>
                <w:sz w:val="21"/>
                <w:szCs w:val="21"/>
                <w:color w:val="auto"/>
              </w:rPr>
            </w:pPr>
          </w:p>
        </w:tc>
        <w:tc>
          <w:tcPr>
            <w:tcW w:w="32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Directors and executive officers</w:t>
            </w: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420" w:type="dxa"/>
            <w:vAlign w:val="bottom"/>
            <w:gridSpan w:val="3"/>
          </w:tcPr>
          <w:p>
            <w:pPr>
              <w:spacing w:after="0" w:line="243" w:lineRule="exact"/>
              <w:rPr>
                <w:sz w:val="20"/>
                <w:szCs w:val="20"/>
                <w:color w:val="auto"/>
              </w:rPr>
            </w:pPr>
            <w:r>
              <w:rPr>
                <w:rFonts w:ascii="Arial" w:cs="Arial" w:eastAsia="Arial" w:hAnsi="Arial"/>
                <w:sz w:val="17"/>
                <w:szCs w:val="17"/>
                <w:color w:val="auto"/>
              </w:rPr>
              <w:t>Kevin R. Bass</w:t>
            </w:r>
            <w:r>
              <w:rPr>
                <w:rFonts w:ascii="Arial" w:cs="Arial" w:eastAsia="Arial" w:hAnsi="Arial"/>
                <w:sz w:val="28"/>
                <w:szCs w:val="28"/>
                <w:color w:val="auto"/>
                <w:vertAlign w:val="superscript"/>
              </w:rPr>
              <w:t>(1)</w:t>
            </w:r>
          </w:p>
        </w:tc>
        <w:tc>
          <w:tcPr>
            <w:tcW w:w="1140" w:type="dxa"/>
            <w:vAlign w:val="bottom"/>
          </w:tcPr>
          <w:p>
            <w:pPr>
              <w:jc w:val="right"/>
              <w:spacing w:after="0"/>
              <w:rPr>
                <w:sz w:val="20"/>
                <w:szCs w:val="20"/>
                <w:color w:val="auto"/>
              </w:rPr>
            </w:pPr>
            <w:r>
              <w:rPr>
                <w:rFonts w:ascii="Arial" w:cs="Arial" w:eastAsia="Arial" w:hAnsi="Arial"/>
                <w:sz w:val="18"/>
                <w:szCs w:val="18"/>
                <w:color w:val="auto"/>
              </w:rPr>
              <w:t>140,982</w:t>
            </w: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140,982</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140,982</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3420" w:type="dxa"/>
            <w:vAlign w:val="bottom"/>
            <w:gridSpan w:val="3"/>
            <w:shd w:val="clear" w:color="auto" w:fill="CCEEFF"/>
          </w:tcPr>
          <w:p>
            <w:pPr>
              <w:spacing w:after="0" w:line="243" w:lineRule="exact"/>
              <w:rPr>
                <w:sz w:val="20"/>
                <w:szCs w:val="20"/>
                <w:color w:val="auto"/>
              </w:rPr>
            </w:pPr>
            <w:r>
              <w:rPr>
                <w:rFonts w:ascii="Arial" w:cs="Arial" w:eastAsia="Arial" w:hAnsi="Arial"/>
                <w:sz w:val="17"/>
                <w:szCs w:val="17"/>
                <w:color w:val="auto"/>
              </w:rPr>
              <w:t>Richard D. Campbell</w:t>
            </w:r>
            <w:r>
              <w:rPr>
                <w:rFonts w:ascii="Arial" w:cs="Arial" w:eastAsia="Arial" w:hAnsi="Arial"/>
                <w:sz w:val="28"/>
                <w:szCs w:val="28"/>
                <w:color w:val="auto"/>
                <w:vertAlign w:val="superscript"/>
              </w:rPr>
              <w:t>(2)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2,409,540</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16.31%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1,729,540</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9.90%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1,729,540</w:t>
            </w: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9.62%</w:t>
            </w:r>
          </w:p>
        </w:tc>
      </w:tr>
      <w:tr>
        <w:trPr>
          <w:trHeight w:val="243"/>
        </w:trPr>
        <w:tc>
          <w:tcPr>
            <w:tcW w:w="20" w:type="dxa"/>
            <w:vAlign w:val="bottom"/>
          </w:tcPr>
          <w:p>
            <w:pPr>
              <w:spacing w:after="0"/>
              <w:rPr>
                <w:sz w:val="21"/>
                <w:szCs w:val="21"/>
                <w:color w:val="auto"/>
              </w:rPr>
            </w:pPr>
          </w:p>
        </w:tc>
        <w:tc>
          <w:tcPr>
            <w:tcW w:w="3420" w:type="dxa"/>
            <w:vAlign w:val="bottom"/>
            <w:gridSpan w:val="3"/>
          </w:tcPr>
          <w:p>
            <w:pPr>
              <w:spacing w:after="0" w:line="243" w:lineRule="exact"/>
              <w:rPr>
                <w:sz w:val="20"/>
                <w:szCs w:val="20"/>
                <w:color w:val="auto"/>
              </w:rPr>
            </w:pPr>
            <w:r>
              <w:rPr>
                <w:rFonts w:ascii="Arial" w:cs="Arial" w:eastAsia="Arial" w:hAnsi="Arial"/>
                <w:sz w:val="17"/>
                <w:szCs w:val="17"/>
                <w:color w:val="auto"/>
              </w:rPr>
              <w:t>Steven B. Crockett</w:t>
            </w:r>
            <w:r>
              <w:rPr>
                <w:rFonts w:ascii="Arial" w:cs="Arial" w:eastAsia="Arial" w:hAnsi="Arial"/>
                <w:sz w:val="28"/>
                <w:szCs w:val="28"/>
                <w:color w:val="auto"/>
                <w:vertAlign w:val="superscript"/>
              </w:rPr>
              <w:t>(3)</w:t>
            </w:r>
          </w:p>
        </w:tc>
        <w:tc>
          <w:tcPr>
            <w:tcW w:w="1140" w:type="dxa"/>
            <w:vAlign w:val="bottom"/>
          </w:tcPr>
          <w:p>
            <w:pPr>
              <w:jc w:val="right"/>
              <w:spacing w:after="0"/>
              <w:rPr>
                <w:sz w:val="20"/>
                <w:szCs w:val="20"/>
                <w:color w:val="auto"/>
              </w:rPr>
            </w:pPr>
            <w:r>
              <w:rPr>
                <w:rFonts w:ascii="Arial" w:cs="Arial" w:eastAsia="Arial" w:hAnsi="Arial"/>
                <w:sz w:val="18"/>
                <w:szCs w:val="18"/>
                <w:color w:val="auto"/>
              </w:rPr>
              <w:t>104,754</w:t>
            </w: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104,754</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104,754</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3420" w:type="dxa"/>
            <w:vAlign w:val="bottom"/>
            <w:gridSpan w:val="3"/>
            <w:shd w:val="clear" w:color="auto" w:fill="CCEEFF"/>
          </w:tcPr>
          <w:p>
            <w:pPr>
              <w:spacing w:after="0" w:line="243" w:lineRule="exact"/>
              <w:rPr>
                <w:sz w:val="20"/>
                <w:szCs w:val="20"/>
                <w:color w:val="auto"/>
              </w:rPr>
            </w:pPr>
            <w:r>
              <w:rPr>
                <w:rFonts w:ascii="Arial" w:cs="Arial" w:eastAsia="Arial" w:hAnsi="Arial"/>
                <w:sz w:val="17"/>
                <w:szCs w:val="17"/>
                <w:color w:val="auto"/>
              </w:rPr>
              <w:t>Kelly L. Deterding</w:t>
            </w:r>
            <w:r>
              <w:rPr>
                <w:rFonts w:ascii="Arial" w:cs="Arial" w:eastAsia="Arial" w:hAnsi="Arial"/>
                <w:sz w:val="28"/>
                <w:szCs w:val="28"/>
                <w:color w:val="auto"/>
                <w:vertAlign w:val="superscript"/>
              </w:rPr>
              <w:t>(4)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33,046</w:t>
            </w: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33,046</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33,046</w:t>
            </w: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3420" w:type="dxa"/>
            <w:vAlign w:val="bottom"/>
            <w:gridSpan w:val="3"/>
          </w:tcPr>
          <w:p>
            <w:pPr>
              <w:spacing w:after="0" w:line="243" w:lineRule="exact"/>
              <w:rPr>
                <w:sz w:val="20"/>
                <w:szCs w:val="20"/>
                <w:color w:val="auto"/>
              </w:rPr>
            </w:pPr>
            <w:r>
              <w:rPr>
                <w:rFonts w:ascii="Arial" w:cs="Arial" w:eastAsia="Arial" w:hAnsi="Arial"/>
                <w:sz w:val="17"/>
                <w:szCs w:val="17"/>
                <w:color w:val="auto"/>
              </w:rPr>
              <w:t>Curtis C. Griffith</w:t>
            </w:r>
            <w:r>
              <w:rPr>
                <w:rFonts w:ascii="Arial" w:cs="Arial" w:eastAsia="Arial" w:hAnsi="Arial"/>
                <w:sz w:val="28"/>
                <w:szCs w:val="28"/>
                <w:color w:val="auto"/>
                <w:vertAlign w:val="superscript"/>
              </w:rPr>
              <w:t>(5)</w:t>
            </w:r>
          </w:p>
        </w:tc>
        <w:tc>
          <w:tcPr>
            <w:tcW w:w="1140" w:type="dxa"/>
            <w:vAlign w:val="bottom"/>
          </w:tcPr>
          <w:p>
            <w:pPr>
              <w:jc w:val="right"/>
              <w:spacing w:after="0"/>
              <w:rPr>
                <w:sz w:val="20"/>
                <w:szCs w:val="20"/>
                <w:color w:val="auto"/>
              </w:rPr>
            </w:pPr>
            <w:r>
              <w:rPr>
                <w:rFonts w:ascii="Arial" w:cs="Arial" w:eastAsia="Arial" w:hAnsi="Arial"/>
                <w:sz w:val="18"/>
                <w:szCs w:val="18"/>
                <w:color w:val="auto"/>
              </w:rPr>
              <w:t>2,523,999</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17.01%</w:t>
            </w:r>
          </w:p>
        </w:tc>
        <w:tc>
          <w:tcPr>
            <w:tcW w:w="960" w:type="dxa"/>
            <w:vAlign w:val="bottom"/>
          </w:tcPr>
          <w:p>
            <w:pPr>
              <w:jc w:val="right"/>
              <w:spacing w:after="0"/>
              <w:rPr>
                <w:sz w:val="20"/>
                <w:szCs w:val="20"/>
                <w:color w:val="auto"/>
              </w:rPr>
            </w:pPr>
            <w:r>
              <w:rPr>
                <w:rFonts w:ascii="Arial" w:cs="Arial" w:eastAsia="Arial" w:hAnsi="Arial"/>
                <w:sz w:val="18"/>
                <w:szCs w:val="18"/>
                <w:color w:val="auto"/>
              </w:rPr>
              <w:t>2,523,999</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14.39%</w:t>
            </w:r>
          </w:p>
        </w:tc>
        <w:tc>
          <w:tcPr>
            <w:tcW w:w="960" w:type="dxa"/>
            <w:vAlign w:val="bottom"/>
          </w:tcPr>
          <w:p>
            <w:pPr>
              <w:jc w:val="right"/>
              <w:spacing w:after="0"/>
              <w:rPr>
                <w:sz w:val="20"/>
                <w:szCs w:val="20"/>
                <w:color w:val="auto"/>
              </w:rPr>
            </w:pPr>
            <w:r>
              <w:rPr>
                <w:rFonts w:ascii="Arial" w:cs="Arial" w:eastAsia="Arial" w:hAnsi="Arial"/>
                <w:sz w:val="18"/>
                <w:szCs w:val="18"/>
                <w:color w:val="auto"/>
              </w:rPr>
              <w:t>2,523,999</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13.99%</w:t>
            </w:r>
          </w:p>
        </w:tc>
      </w:tr>
      <w:tr>
        <w:trPr>
          <w:trHeight w:val="243"/>
        </w:trPr>
        <w:tc>
          <w:tcPr>
            <w:tcW w:w="20" w:type="dxa"/>
            <w:vAlign w:val="bottom"/>
          </w:tcPr>
          <w:p>
            <w:pPr>
              <w:spacing w:after="0"/>
              <w:rPr>
                <w:sz w:val="21"/>
                <w:szCs w:val="21"/>
                <w:color w:val="auto"/>
              </w:rPr>
            </w:pPr>
          </w:p>
        </w:tc>
        <w:tc>
          <w:tcPr>
            <w:tcW w:w="3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Cynthia B. Keith</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3420" w:type="dxa"/>
            <w:vAlign w:val="bottom"/>
            <w:gridSpan w:val="3"/>
          </w:tcPr>
          <w:p>
            <w:pPr>
              <w:spacing w:after="0"/>
              <w:rPr>
                <w:sz w:val="20"/>
                <w:szCs w:val="20"/>
                <w:color w:val="auto"/>
              </w:rPr>
            </w:pPr>
            <w:r>
              <w:rPr>
                <w:rFonts w:ascii="Arial" w:cs="Arial" w:eastAsia="Arial" w:hAnsi="Arial"/>
                <w:sz w:val="18"/>
                <w:szCs w:val="18"/>
                <w:color w:val="auto"/>
              </w:rPr>
              <w:t>Allison S. Navitskas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6"/>
        </w:trPr>
        <w:tc>
          <w:tcPr>
            <w:tcW w:w="20" w:type="dxa"/>
            <w:vAlign w:val="bottom"/>
          </w:tcPr>
          <w:p>
            <w:pPr>
              <w:spacing w:after="0"/>
              <w:rPr>
                <w:sz w:val="22"/>
                <w:szCs w:val="22"/>
                <w:color w:val="auto"/>
              </w:rPr>
            </w:pPr>
          </w:p>
        </w:tc>
        <w:tc>
          <w:tcPr>
            <w:tcW w:w="34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Cory T. Newsom</w:t>
            </w:r>
            <w:r>
              <w:rPr>
                <w:rFonts w:ascii="Arial" w:cs="Arial" w:eastAsia="Arial" w:hAnsi="Arial"/>
                <w:sz w:val="29"/>
                <w:szCs w:val="29"/>
                <w:color w:val="auto"/>
                <w:vertAlign w:val="superscript"/>
              </w:rPr>
              <w:t>(6)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304,788</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304,788</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304,788</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w:t>
            </w:r>
          </w:p>
        </w:tc>
      </w:tr>
      <w:tr>
        <w:trPr>
          <w:trHeight w:val="243"/>
        </w:trPr>
        <w:tc>
          <w:tcPr>
            <w:tcW w:w="20" w:type="dxa"/>
            <w:vAlign w:val="bottom"/>
          </w:tcPr>
          <w:p>
            <w:pPr>
              <w:spacing w:after="0"/>
              <w:rPr>
                <w:sz w:val="21"/>
                <w:szCs w:val="21"/>
                <w:color w:val="auto"/>
              </w:rPr>
            </w:pPr>
          </w:p>
        </w:tc>
        <w:tc>
          <w:tcPr>
            <w:tcW w:w="3420" w:type="dxa"/>
            <w:vAlign w:val="bottom"/>
            <w:gridSpan w:val="3"/>
          </w:tcPr>
          <w:p>
            <w:pPr>
              <w:spacing w:after="0" w:line="243" w:lineRule="exact"/>
              <w:rPr>
                <w:sz w:val="20"/>
                <w:szCs w:val="20"/>
                <w:color w:val="auto"/>
              </w:rPr>
            </w:pPr>
            <w:r>
              <w:rPr>
                <w:rFonts w:ascii="Arial" w:cs="Arial" w:eastAsia="Arial" w:hAnsi="Arial"/>
                <w:sz w:val="17"/>
                <w:szCs w:val="17"/>
                <w:color w:val="auto"/>
              </w:rPr>
              <w:t>Mikella D. Newsom</w:t>
            </w:r>
            <w:r>
              <w:rPr>
                <w:rFonts w:ascii="Arial" w:cs="Arial" w:eastAsia="Arial" w:hAnsi="Arial"/>
                <w:sz w:val="28"/>
                <w:szCs w:val="28"/>
                <w:color w:val="auto"/>
                <w:vertAlign w:val="superscript"/>
              </w:rPr>
              <w:t>(7)</w:t>
            </w:r>
          </w:p>
        </w:tc>
        <w:tc>
          <w:tcPr>
            <w:tcW w:w="1140" w:type="dxa"/>
            <w:vAlign w:val="bottom"/>
          </w:tcPr>
          <w:p>
            <w:pPr>
              <w:jc w:val="right"/>
              <w:spacing w:after="0"/>
              <w:rPr>
                <w:sz w:val="20"/>
                <w:szCs w:val="20"/>
                <w:color w:val="auto"/>
              </w:rPr>
            </w:pPr>
            <w:r>
              <w:rPr>
                <w:rFonts w:ascii="Arial" w:cs="Arial" w:eastAsia="Arial" w:hAnsi="Arial"/>
                <w:sz w:val="18"/>
                <w:szCs w:val="18"/>
                <w:color w:val="auto"/>
              </w:rPr>
              <w:t>33,947</w:t>
            </w: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33,947</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33,947</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3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Noe G. Valles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81,840</w:t>
            </w: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81,840</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81,840</w:t>
            </w: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3420" w:type="dxa"/>
            <w:vAlign w:val="bottom"/>
            <w:gridSpan w:val="3"/>
          </w:tcPr>
          <w:p>
            <w:pPr>
              <w:spacing w:after="0"/>
              <w:rPr>
                <w:sz w:val="20"/>
                <w:szCs w:val="20"/>
                <w:color w:val="auto"/>
              </w:rPr>
            </w:pPr>
            <w:r>
              <w:rPr>
                <w:rFonts w:ascii="Arial" w:cs="Arial" w:eastAsia="Arial" w:hAnsi="Arial"/>
                <w:sz w:val="18"/>
                <w:szCs w:val="18"/>
                <w:color w:val="auto"/>
              </w:rPr>
              <w:t>Kyle R. Wargo</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28"/>
        </w:trPr>
        <w:tc>
          <w:tcPr>
            <w:tcW w:w="20" w:type="dxa"/>
            <w:vAlign w:val="bottom"/>
          </w:tcPr>
          <w:p>
            <w:pPr>
              <w:spacing w:after="0"/>
              <w:rPr>
                <w:sz w:val="19"/>
                <w:szCs w:val="19"/>
                <w:color w:val="auto"/>
              </w:rPr>
            </w:pPr>
          </w:p>
        </w:tc>
        <w:tc>
          <w:tcPr>
            <w:tcW w:w="34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Directors &amp; executive officers as a group (11</w:t>
            </w:r>
          </w:p>
        </w:tc>
        <w:tc>
          <w:tcPr>
            <w:tcW w:w="1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44"/>
        </w:trPr>
        <w:tc>
          <w:tcPr>
            <w:tcW w:w="20" w:type="dxa"/>
            <w:vAlign w:val="bottom"/>
          </w:tcPr>
          <w:p>
            <w:pPr>
              <w:spacing w:after="0"/>
              <w:rPr>
                <w:sz w:val="21"/>
                <w:szCs w:val="21"/>
                <w:color w:val="auto"/>
              </w:rPr>
            </w:pPr>
          </w:p>
        </w:tc>
        <w:tc>
          <w:tcPr>
            <w:tcW w:w="3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individuals)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5,632,896</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37.22%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4,952,896</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27.77%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4,952,896</w:t>
            </w: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27.00%</w:t>
            </w:r>
          </w:p>
        </w:tc>
      </w:tr>
      <w:tr>
        <w:trPr>
          <w:trHeight w:val="234"/>
        </w:trPr>
        <w:tc>
          <w:tcPr>
            <w:tcW w:w="20" w:type="dxa"/>
            <w:vAlign w:val="bottom"/>
          </w:tcPr>
          <w:p>
            <w:pPr>
              <w:spacing w:after="0"/>
              <w:rPr>
                <w:sz w:val="20"/>
                <w:szCs w:val="20"/>
                <w:color w:val="auto"/>
              </w:rPr>
            </w:pPr>
          </w:p>
        </w:tc>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Principal shareholders:</w:t>
            </w: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2"/>
        </w:trPr>
        <w:tc>
          <w:tcPr>
            <w:tcW w:w="20" w:type="dxa"/>
            <w:vAlign w:val="bottom"/>
          </w:tcPr>
          <w:p>
            <w:pPr>
              <w:spacing w:after="0"/>
              <w:rPr>
                <w:sz w:val="21"/>
                <w:szCs w:val="21"/>
                <w:color w:val="auto"/>
              </w:rPr>
            </w:pPr>
          </w:p>
        </w:tc>
        <w:tc>
          <w:tcPr>
            <w:tcW w:w="3420" w:type="dxa"/>
            <w:vAlign w:val="bottom"/>
            <w:gridSpan w:val="3"/>
            <w:shd w:val="clear" w:color="auto" w:fill="CCEEFF"/>
          </w:tcPr>
          <w:p>
            <w:pPr>
              <w:spacing w:after="0" w:line="252" w:lineRule="exact"/>
              <w:rPr>
                <w:sz w:val="20"/>
                <w:szCs w:val="20"/>
                <w:color w:val="auto"/>
              </w:rPr>
            </w:pPr>
            <w:r>
              <w:rPr>
                <w:rFonts w:ascii="Arial" w:cs="Arial" w:eastAsia="Arial" w:hAnsi="Arial"/>
                <w:sz w:val="18"/>
                <w:szCs w:val="18"/>
                <w:color w:val="auto"/>
              </w:rPr>
              <w:t>South Plains Financial, Inc. ESOP</w:t>
            </w:r>
            <w:r>
              <w:rPr>
                <w:rFonts w:ascii="Arial" w:cs="Arial" w:eastAsia="Arial" w:hAnsi="Arial"/>
                <w:sz w:val="29"/>
                <w:szCs w:val="29"/>
                <w:color w:val="auto"/>
                <w:vertAlign w:val="superscript"/>
              </w:rPr>
              <w:t>(8)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2,998,470</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20.30%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2,998,470</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17.16%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2,998,470</w:t>
            </w: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16.68%</w:t>
            </w:r>
          </w:p>
        </w:tc>
      </w:tr>
      <w:tr>
        <w:trPr>
          <w:trHeight w:val="243"/>
        </w:trPr>
        <w:tc>
          <w:tcPr>
            <w:tcW w:w="20" w:type="dxa"/>
            <w:vAlign w:val="bottom"/>
          </w:tcPr>
          <w:p>
            <w:pPr>
              <w:spacing w:after="0"/>
              <w:rPr>
                <w:sz w:val="21"/>
                <w:szCs w:val="21"/>
                <w:color w:val="auto"/>
              </w:rPr>
            </w:pPr>
          </w:p>
        </w:tc>
        <w:tc>
          <w:tcPr>
            <w:tcW w:w="3420" w:type="dxa"/>
            <w:vAlign w:val="bottom"/>
            <w:gridSpan w:val="3"/>
          </w:tcPr>
          <w:p>
            <w:pPr>
              <w:spacing w:after="0" w:line="243" w:lineRule="exact"/>
              <w:rPr>
                <w:sz w:val="20"/>
                <w:szCs w:val="20"/>
                <w:color w:val="auto"/>
              </w:rPr>
            </w:pPr>
            <w:r>
              <w:rPr>
                <w:rFonts w:ascii="Arial" w:cs="Arial" w:eastAsia="Arial" w:hAnsi="Arial"/>
                <w:sz w:val="17"/>
                <w:szCs w:val="17"/>
                <w:color w:val="auto"/>
              </w:rPr>
              <w:t>Henry TAW LP</w:t>
            </w:r>
            <w:r>
              <w:rPr>
                <w:rFonts w:ascii="Arial" w:cs="Arial" w:eastAsia="Arial" w:hAnsi="Arial"/>
                <w:sz w:val="28"/>
                <w:szCs w:val="28"/>
                <w:color w:val="auto"/>
                <w:vertAlign w:val="superscript"/>
              </w:rPr>
              <w:t>(9)</w:t>
            </w:r>
          </w:p>
        </w:tc>
        <w:tc>
          <w:tcPr>
            <w:tcW w:w="1140" w:type="dxa"/>
            <w:vAlign w:val="bottom"/>
          </w:tcPr>
          <w:p>
            <w:pPr>
              <w:jc w:val="right"/>
              <w:spacing w:after="0"/>
              <w:rPr>
                <w:sz w:val="20"/>
                <w:szCs w:val="20"/>
                <w:color w:val="auto"/>
              </w:rPr>
            </w:pPr>
            <w:r>
              <w:rPr>
                <w:rFonts w:ascii="Arial" w:cs="Arial" w:eastAsia="Arial" w:hAnsi="Arial"/>
                <w:sz w:val="18"/>
                <w:szCs w:val="18"/>
                <w:color w:val="auto"/>
              </w:rPr>
              <w:t>1,470,000</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9.95%</w:t>
            </w:r>
          </w:p>
        </w:tc>
        <w:tc>
          <w:tcPr>
            <w:tcW w:w="960" w:type="dxa"/>
            <w:vAlign w:val="bottom"/>
          </w:tcPr>
          <w:p>
            <w:pPr>
              <w:jc w:val="right"/>
              <w:spacing w:after="0"/>
              <w:rPr>
                <w:sz w:val="20"/>
                <w:szCs w:val="20"/>
                <w:color w:val="auto"/>
              </w:rPr>
            </w:pPr>
            <w:r>
              <w:rPr>
                <w:rFonts w:ascii="Arial" w:cs="Arial" w:eastAsia="Arial" w:hAnsi="Arial"/>
                <w:sz w:val="18"/>
                <w:szCs w:val="18"/>
                <w:color w:val="auto"/>
              </w:rPr>
              <w:t>1,470,000</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8.41%</w:t>
            </w:r>
          </w:p>
        </w:tc>
        <w:tc>
          <w:tcPr>
            <w:tcW w:w="960" w:type="dxa"/>
            <w:vAlign w:val="bottom"/>
          </w:tcPr>
          <w:p>
            <w:pPr>
              <w:jc w:val="right"/>
              <w:spacing w:after="0"/>
              <w:rPr>
                <w:sz w:val="20"/>
                <w:szCs w:val="20"/>
                <w:color w:val="auto"/>
              </w:rPr>
            </w:pPr>
            <w:r>
              <w:rPr>
                <w:rFonts w:ascii="Arial" w:cs="Arial" w:eastAsia="Arial" w:hAnsi="Arial"/>
                <w:sz w:val="18"/>
                <w:szCs w:val="18"/>
                <w:color w:val="auto"/>
              </w:rPr>
              <w:t>1,470,000</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8.18%</w:t>
            </w:r>
          </w:p>
        </w:tc>
      </w:tr>
      <w:tr>
        <w:trPr>
          <w:trHeight w:val="243"/>
        </w:trPr>
        <w:tc>
          <w:tcPr>
            <w:tcW w:w="20" w:type="dxa"/>
            <w:vAlign w:val="bottom"/>
          </w:tcPr>
          <w:p>
            <w:pPr>
              <w:spacing w:after="0"/>
              <w:rPr>
                <w:sz w:val="21"/>
                <w:szCs w:val="21"/>
                <w:color w:val="auto"/>
              </w:rPr>
            </w:pPr>
          </w:p>
        </w:tc>
        <w:tc>
          <w:tcPr>
            <w:tcW w:w="3420" w:type="dxa"/>
            <w:vAlign w:val="bottom"/>
            <w:gridSpan w:val="3"/>
            <w:shd w:val="clear" w:color="auto" w:fill="CCEEFF"/>
          </w:tcPr>
          <w:p>
            <w:pPr>
              <w:spacing w:after="0" w:line="243" w:lineRule="exact"/>
              <w:rPr>
                <w:sz w:val="20"/>
                <w:szCs w:val="20"/>
                <w:color w:val="auto"/>
              </w:rPr>
            </w:pPr>
            <w:r>
              <w:rPr>
                <w:rFonts w:ascii="Arial" w:cs="Arial" w:eastAsia="Arial" w:hAnsi="Arial"/>
                <w:sz w:val="17"/>
                <w:szCs w:val="17"/>
                <w:color w:val="auto"/>
              </w:rPr>
              <w:t>James C. Henry</w:t>
            </w:r>
            <w:r>
              <w:rPr>
                <w:rFonts w:ascii="Arial" w:cs="Arial" w:eastAsia="Arial" w:hAnsi="Arial"/>
                <w:sz w:val="28"/>
                <w:szCs w:val="28"/>
                <w:color w:val="auto"/>
                <w:vertAlign w:val="superscript"/>
              </w:rPr>
              <w:t>(10)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6.09%</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w:t>
            </w:r>
          </w:p>
        </w:tc>
      </w:tr>
      <w:tr>
        <w:trPr>
          <w:trHeight w:val="176"/>
        </w:trPr>
        <w:tc>
          <w:tcPr>
            <w:tcW w:w="2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103" w:lineRule="exact"/>
        <w:rPr>
          <w:sz w:val="20"/>
          <w:szCs w:val="20"/>
          <w:color w:val="auto"/>
        </w:rPr>
      </w:pPr>
    </w:p>
    <w:p>
      <w:pPr>
        <w:ind w:left="347" w:hanging="347"/>
        <w:spacing w:after="0"/>
        <w:tabs>
          <w:tab w:leader="none" w:pos="347" w:val="left"/>
        </w:tabs>
        <w:numPr>
          <w:ilvl w:val="0"/>
          <w:numId w:val="66"/>
        </w:numPr>
        <w:rPr>
          <w:rFonts w:ascii="Arial" w:cs="Arial" w:eastAsia="Arial" w:hAnsi="Arial"/>
          <w:sz w:val="14"/>
          <w:szCs w:val="14"/>
          <w:color w:val="auto"/>
        </w:rPr>
      </w:pPr>
      <w:r>
        <w:rPr>
          <w:rFonts w:ascii="Arial" w:cs="Arial" w:eastAsia="Arial" w:hAnsi="Arial"/>
          <w:sz w:val="14"/>
          <w:szCs w:val="14"/>
          <w:color w:val="auto"/>
        </w:rPr>
        <w:t>Represents ownership of less than 1%</w:t>
      </w:r>
    </w:p>
    <w:p>
      <w:pPr>
        <w:spacing w:after="0" w:line="109" w:lineRule="exact"/>
        <w:rPr>
          <w:sz w:val="20"/>
          <w:szCs w:val="20"/>
          <w:color w:val="auto"/>
        </w:rPr>
      </w:pPr>
    </w:p>
    <w:p>
      <w:pPr>
        <w:ind w:left="347" w:right="20" w:hanging="347"/>
        <w:spacing w:after="0" w:line="252" w:lineRule="auto"/>
        <w:tabs>
          <w:tab w:leader="none" w:pos="347" w:val="left"/>
        </w:tabs>
        <w:numPr>
          <w:ilvl w:val="0"/>
          <w:numId w:val="67"/>
        </w:numPr>
        <w:rPr>
          <w:rFonts w:ascii="Arial" w:cs="Arial" w:eastAsia="Arial" w:hAnsi="Arial"/>
          <w:sz w:val="14"/>
          <w:szCs w:val="14"/>
          <w:color w:val="auto"/>
        </w:rPr>
      </w:pPr>
      <w:r>
        <w:rPr>
          <w:rFonts w:ascii="Arial" w:cs="Arial" w:eastAsia="Arial" w:hAnsi="Arial"/>
          <w:sz w:val="14"/>
          <w:szCs w:val="14"/>
          <w:color w:val="auto"/>
        </w:rPr>
        <w:t>Includes (i) 24,900 shares held individually by Mr. Bass, (ii) 73,500 shares underlying vested options received in connection with the conversion of Mr. Bass’s SARs and (iii) 42,582 shares held by the ESOP and allocated to Mr. Bass’s account. Following the completion of this offering, each ESOP participant will have the right to direct the ESOP trustee to vote the shares allocated to his or her account on all matters requiring the vote of our shareholders and as an ESOP participant, Mr. Bass may be deemed the beneficial owner of such shares.</w:t>
      </w:r>
    </w:p>
    <w:p>
      <w:pPr>
        <w:spacing w:after="0" w:line="80" w:lineRule="exact"/>
        <w:rPr>
          <w:rFonts w:ascii="Arial" w:cs="Arial" w:eastAsia="Arial" w:hAnsi="Arial"/>
          <w:sz w:val="14"/>
          <w:szCs w:val="14"/>
          <w:color w:val="auto"/>
        </w:rPr>
      </w:pPr>
    </w:p>
    <w:p>
      <w:pPr>
        <w:ind w:left="347" w:hanging="347"/>
        <w:spacing w:after="0"/>
        <w:tabs>
          <w:tab w:leader="none" w:pos="347" w:val="left"/>
        </w:tabs>
        <w:numPr>
          <w:ilvl w:val="0"/>
          <w:numId w:val="67"/>
        </w:numPr>
        <w:rPr>
          <w:rFonts w:ascii="Arial" w:cs="Arial" w:eastAsia="Arial" w:hAnsi="Arial"/>
          <w:sz w:val="14"/>
          <w:szCs w:val="14"/>
          <w:color w:val="auto"/>
        </w:rPr>
      </w:pPr>
      <w:r>
        <w:rPr>
          <w:rFonts w:ascii="Arial" w:cs="Arial" w:eastAsia="Arial" w:hAnsi="Arial"/>
          <w:sz w:val="14"/>
          <w:szCs w:val="14"/>
          <w:color w:val="auto"/>
        </w:rPr>
        <w:t>Includes (i) 39,540 shares held individually by Mr. Campbell, (ii) 1,470,000 shares owned by Henry TAW LP, and (iii) 900,000 shares</w:t>
      </w:r>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34" w:name="page135"/>
    <w:bookmarkEnd w:id="134"/>
    <w:p>
      <w:pPr>
        <w:ind w:left="7"/>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40" w:lineRule="exact"/>
        <w:rPr>
          <w:sz w:val="20"/>
          <w:szCs w:val="20"/>
          <w:color w:val="auto"/>
        </w:rPr>
      </w:pPr>
    </w:p>
    <w:p>
      <w:pPr>
        <w:ind w:left="367" w:right="20"/>
        <w:spacing w:after="0" w:line="273" w:lineRule="auto"/>
        <w:rPr>
          <w:sz w:val="20"/>
          <w:szCs w:val="20"/>
          <w:color w:val="auto"/>
        </w:rPr>
      </w:pPr>
      <w:r>
        <w:rPr>
          <w:rFonts w:ascii="Arial" w:cs="Arial" w:eastAsia="Arial" w:hAnsi="Arial"/>
          <w:sz w:val="14"/>
          <w:szCs w:val="14"/>
          <w:color w:val="auto"/>
        </w:rPr>
        <w:t>owned by James C. Henry. All of the shares owned by Henry TAW LP and James C. Henry are subject to a voting agreement and irrevocable proxy pursuant to which Mr. Campbell exercises voting authority.</w:t>
      </w:r>
    </w:p>
    <w:p>
      <w:pPr>
        <w:spacing w:after="0" w:line="66" w:lineRule="exact"/>
        <w:rPr>
          <w:sz w:val="20"/>
          <w:szCs w:val="20"/>
          <w:color w:val="auto"/>
        </w:rPr>
      </w:pPr>
    </w:p>
    <w:p>
      <w:pPr>
        <w:ind w:left="347" w:right="160" w:hanging="347"/>
        <w:spacing w:after="0" w:line="252" w:lineRule="auto"/>
        <w:tabs>
          <w:tab w:leader="none" w:pos="347" w:val="left"/>
        </w:tabs>
        <w:numPr>
          <w:ilvl w:val="0"/>
          <w:numId w:val="68"/>
        </w:numPr>
        <w:rPr>
          <w:rFonts w:ascii="Arial" w:cs="Arial" w:eastAsia="Arial" w:hAnsi="Arial"/>
          <w:sz w:val="14"/>
          <w:szCs w:val="14"/>
          <w:color w:val="auto"/>
        </w:rPr>
      </w:pPr>
      <w:r>
        <w:rPr>
          <w:rFonts w:ascii="Arial" w:cs="Arial" w:eastAsia="Arial" w:hAnsi="Arial"/>
          <w:sz w:val="14"/>
          <w:szCs w:val="14"/>
          <w:color w:val="auto"/>
        </w:rPr>
        <w:t>Includes (i) 10,500 shares held individually by Mr. Crockett, (ii) 67,500 shares underlying vested options received in connection with the conversion of Mr. Crockett’s SARs and (iii) 26,700 shares held by the ESOP and allocated to Mr. Crockett’s account. Following the completion of this offering, each ESOP participant will have the right to direct the ESOP trustee to vote the shares allocated to his or her account on all matters requiring the vote of our shareholders and as an ESOP participant, Mr. Crockett may be deemed the beneficial owner of such shares.</w:t>
      </w:r>
    </w:p>
    <w:p>
      <w:pPr>
        <w:spacing w:after="0" w:line="80" w:lineRule="exact"/>
        <w:rPr>
          <w:rFonts w:ascii="Arial" w:cs="Arial" w:eastAsia="Arial" w:hAnsi="Arial"/>
          <w:sz w:val="14"/>
          <w:szCs w:val="14"/>
          <w:color w:val="auto"/>
        </w:rPr>
      </w:pPr>
    </w:p>
    <w:p>
      <w:pPr>
        <w:ind w:left="347" w:right="40" w:hanging="347"/>
        <w:spacing w:after="0" w:line="252" w:lineRule="auto"/>
        <w:tabs>
          <w:tab w:leader="none" w:pos="347" w:val="left"/>
        </w:tabs>
        <w:numPr>
          <w:ilvl w:val="0"/>
          <w:numId w:val="68"/>
        </w:numPr>
        <w:rPr>
          <w:rFonts w:ascii="Arial" w:cs="Arial" w:eastAsia="Arial" w:hAnsi="Arial"/>
          <w:sz w:val="14"/>
          <w:szCs w:val="14"/>
          <w:color w:val="auto"/>
        </w:rPr>
      </w:pPr>
      <w:r>
        <w:rPr>
          <w:rFonts w:ascii="Arial" w:cs="Arial" w:eastAsia="Arial" w:hAnsi="Arial"/>
          <w:sz w:val="14"/>
          <w:szCs w:val="14"/>
          <w:color w:val="auto"/>
        </w:rPr>
        <w:t>Includes (i) 15,000 shares underlying vested options received in connection with the conversion of Mr. Deterding’s SARs and (ii) 18,046 shares held by the ESOP and allocated to Mr. Deterding’s account. Following the completion of this offering, each ESOP participant will have the right to direct the ESOP trustee to vote the shares allocated to his or her account on all matters requiring the vote of our shareholders and as an ESOP participant, Mr. Deterding may be deemed the beneficial owner of such shares.</w:t>
      </w:r>
    </w:p>
    <w:p>
      <w:pPr>
        <w:spacing w:after="0" w:line="80" w:lineRule="exact"/>
        <w:rPr>
          <w:rFonts w:ascii="Arial" w:cs="Arial" w:eastAsia="Arial" w:hAnsi="Arial"/>
          <w:sz w:val="14"/>
          <w:szCs w:val="14"/>
          <w:color w:val="auto"/>
        </w:rPr>
      </w:pPr>
    </w:p>
    <w:p>
      <w:pPr>
        <w:ind w:left="347" w:right="100" w:hanging="347"/>
        <w:spacing w:after="0" w:line="252" w:lineRule="auto"/>
        <w:tabs>
          <w:tab w:leader="none" w:pos="347" w:val="left"/>
        </w:tabs>
        <w:numPr>
          <w:ilvl w:val="0"/>
          <w:numId w:val="68"/>
        </w:numPr>
        <w:rPr>
          <w:rFonts w:ascii="Arial" w:cs="Arial" w:eastAsia="Arial" w:hAnsi="Arial"/>
          <w:sz w:val="14"/>
          <w:szCs w:val="14"/>
          <w:color w:val="auto"/>
        </w:rPr>
      </w:pPr>
      <w:r>
        <w:rPr>
          <w:rFonts w:ascii="Arial" w:cs="Arial" w:eastAsia="Arial" w:hAnsi="Arial"/>
          <w:sz w:val="14"/>
          <w:szCs w:val="14"/>
          <w:color w:val="auto"/>
        </w:rPr>
        <w:t>Includes (i) 2,369,790 shares held by Mr. Griffith, (ii) 66,000 shares underlying vested options received in connection with the conversion of Mr. Griffith’s SARs and (iii) 88,209 shares held by the ESOP and allocated to Mr. Griffith’s account. Following the completion of this offering, each ESOP participant will have the right to direct the ESOP trustee to vote the shares allocated to his or her account on all matters requiring the vote of our shareholders and as an ESOP participant, Mr. Griffith may be deemed the beneficial owner of such shares.</w:t>
      </w:r>
    </w:p>
    <w:p>
      <w:pPr>
        <w:spacing w:after="0" w:line="80" w:lineRule="exact"/>
        <w:rPr>
          <w:rFonts w:ascii="Arial" w:cs="Arial" w:eastAsia="Arial" w:hAnsi="Arial"/>
          <w:sz w:val="14"/>
          <w:szCs w:val="14"/>
          <w:color w:val="auto"/>
        </w:rPr>
      </w:pPr>
    </w:p>
    <w:p>
      <w:pPr>
        <w:ind w:left="347" w:right="60" w:hanging="347"/>
        <w:spacing w:after="0" w:line="277" w:lineRule="auto"/>
        <w:tabs>
          <w:tab w:leader="none" w:pos="347" w:val="left"/>
        </w:tabs>
        <w:numPr>
          <w:ilvl w:val="0"/>
          <w:numId w:val="68"/>
        </w:numPr>
        <w:rPr>
          <w:rFonts w:ascii="Arial" w:cs="Arial" w:eastAsia="Arial" w:hAnsi="Arial"/>
          <w:sz w:val="13"/>
          <w:szCs w:val="13"/>
          <w:color w:val="auto"/>
        </w:rPr>
      </w:pPr>
      <w:r>
        <w:rPr>
          <w:rFonts w:ascii="Arial" w:cs="Arial" w:eastAsia="Arial" w:hAnsi="Arial"/>
          <w:sz w:val="13"/>
          <w:szCs w:val="13"/>
          <w:color w:val="auto"/>
        </w:rPr>
        <w:t>Includes (i) 109,500 shares held individually by Mr. Newsom, (ii) 750 shares held for the benefit of Mr. Newsom’s minor child, (iii) 123,000 shares underlying vested options received in connection with the conversion of Mr. Newsom’s SARs, and (iv) 71,538 shares held by the ESOP and allocated to Mr. Newsom’s account. Following the completion of this offering, each ESOP participant will have the right to direct the ESOP trustee to vote the shares allocated to his or her account on all matters requiring the vote of our shareholders and as an ESOP participant, Mr. Newsom may be deemed the beneficial owner of such shares.</w:t>
      </w:r>
    </w:p>
    <w:p>
      <w:pPr>
        <w:spacing w:after="0" w:line="66" w:lineRule="exact"/>
        <w:rPr>
          <w:rFonts w:ascii="Arial" w:cs="Arial" w:eastAsia="Arial" w:hAnsi="Arial"/>
          <w:sz w:val="13"/>
          <w:szCs w:val="13"/>
          <w:color w:val="auto"/>
        </w:rPr>
      </w:pPr>
    </w:p>
    <w:p>
      <w:pPr>
        <w:ind w:left="347" w:right="160" w:hanging="347"/>
        <w:spacing w:after="0" w:line="252" w:lineRule="auto"/>
        <w:tabs>
          <w:tab w:leader="none" w:pos="347" w:val="left"/>
        </w:tabs>
        <w:numPr>
          <w:ilvl w:val="0"/>
          <w:numId w:val="68"/>
        </w:numPr>
        <w:rPr>
          <w:rFonts w:ascii="Arial" w:cs="Arial" w:eastAsia="Arial" w:hAnsi="Arial"/>
          <w:sz w:val="14"/>
          <w:szCs w:val="14"/>
          <w:color w:val="auto"/>
        </w:rPr>
      </w:pPr>
      <w:r>
        <w:rPr>
          <w:rFonts w:ascii="Arial" w:cs="Arial" w:eastAsia="Arial" w:hAnsi="Arial"/>
          <w:sz w:val="14"/>
          <w:szCs w:val="14"/>
          <w:color w:val="auto"/>
        </w:rPr>
        <w:t>Includes (i) 4,500 shares held individually by Ms. Newsom, (ii) 18,000 shares underlying vested options received in connection with the conversion of Ms. Newsom’s SARs and (iii) 11,447 shares held by the ESOP and allocated to Ms. Newsom’s account. Following the completion of this offering, each ESOP participant will have the right to direct the ESOP trustee to vote the shares allocated to his or her account on all matters requiring the vote of our shareholders and as an ESOP participant, Ms. Newsom may be deemed the beneficial owner of such shares.</w:t>
      </w:r>
    </w:p>
    <w:p>
      <w:pPr>
        <w:spacing w:after="0" w:line="80" w:lineRule="exact"/>
        <w:rPr>
          <w:rFonts w:ascii="Arial" w:cs="Arial" w:eastAsia="Arial" w:hAnsi="Arial"/>
          <w:sz w:val="14"/>
          <w:szCs w:val="14"/>
          <w:color w:val="auto"/>
        </w:rPr>
      </w:pPr>
    </w:p>
    <w:p>
      <w:pPr>
        <w:ind w:left="347" w:right="40" w:hanging="347"/>
        <w:spacing w:after="0" w:line="249" w:lineRule="auto"/>
        <w:tabs>
          <w:tab w:leader="none" w:pos="347" w:val="left"/>
        </w:tabs>
        <w:numPr>
          <w:ilvl w:val="0"/>
          <w:numId w:val="68"/>
        </w:numPr>
        <w:rPr>
          <w:rFonts w:ascii="Arial" w:cs="Arial" w:eastAsia="Arial" w:hAnsi="Arial"/>
          <w:sz w:val="14"/>
          <w:szCs w:val="14"/>
          <w:color w:val="auto"/>
        </w:rPr>
      </w:pPr>
      <w:r>
        <w:rPr>
          <w:rFonts w:ascii="Arial" w:cs="Arial" w:eastAsia="Arial" w:hAnsi="Arial"/>
          <w:sz w:val="14"/>
          <w:szCs w:val="14"/>
          <w:color w:val="auto"/>
        </w:rPr>
        <w:t>Following the completion of this offering, each ESOP participant will have the right to direct the ESOP trustee to vote the shares allocated to his or her account on all matters requiring the vote of our shareholders. In the event that a participant does not direct the ESOP trustee on how to vote his or her allocated shares, the ESOP trustee may determine how such shares are voted or the shares may not be voted. Shares held by the ESOP that are not allocated to the participants’ accounts will be voted in the same proportion as the shares allocated to participants’ accounts. The business address for our ESOP is 5219 City Bank Parkway, Lubbock, Texas 79407.</w:t>
      </w:r>
    </w:p>
    <w:p>
      <w:pPr>
        <w:spacing w:after="0" w:line="83" w:lineRule="exact"/>
        <w:rPr>
          <w:rFonts w:ascii="Arial" w:cs="Arial" w:eastAsia="Arial" w:hAnsi="Arial"/>
          <w:sz w:val="14"/>
          <w:szCs w:val="14"/>
          <w:color w:val="auto"/>
        </w:rPr>
      </w:pPr>
    </w:p>
    <w:p>
      <w:pPr>
        <w:ind w:left="347" w:right="120" w:hanging="347"/>
        <w:spacing w:after="0" w:line="273" w:lineRule="auto"/>
        <w:tabs>
          <w:tab w:leader="none" w:pos="347" w:val="left"/>
        </w:tabs>
        <w:numPr>
          <w:ilvl w:val="0"/>
          <w:numId w:val="68"/>
        </w:numPr>
        <w:rPr>
          <w:rFonts w:ascii="Arial" w:cs="Arial" w:eastAsia="Arial" w:hAnsi="Arial"/>
          <w:sz w:val="14"/>
          <w:szCs w:val="14"/>
          <w:color w:val="auto"/>
        </w:rPr>
      </w:pPr>
      <w:r>
        <w:rPr>
          <w:rFonts w:ascii="Arial" w:cs="Arial" w:eastAsia="Arial" w:hAnsi="Arial"/>
          <w:sz w:val="14"/>
          <w:szCs w:val="14"/>
          <w:color w:val="auto"/>
        </w:rPr>
        <w:t>All of the 1,470,000 shares held by Henry TAW LP are subject to a voting agreement and irrevocable proxy pursuant to which Richard D. Campbell exercises voting authority.</w:t>
      </w:r>
    </w:p>
    <w:p>
      <w:pPr>
        <w:spacing w:after="0" w:line="65" w:lineRule="exact"/>
        <w:rPr>
          <w:rFonts w:ascii="Arial" w:cs="Arial" w:eastAsia="Arial" w:hAnsi="Arial"/>
          <w:sz w:val="14"/>
          <w:szCs w:val="14"/>
          <w:color w:val="auto"/>
        </w:rPr>
      </w:pPr>
    </w:p>
    <w:p>
      <w:pPr>
        <w:ind w:left="347" w:right="220" w:hanging="347"/>
        <w:spacing w:after="0" w:line="273" w:lineRule="auto"/>
        <w:tabs>
          <w:tab w:leader="none" w:pos="347" w:val="left"/>
        </w:tabs>
        <w:numPr>
          <w:ilvl w:val="0"/>
          <w:numId w:val="68"/>
        </w:numPr>
        <w:rPr>
          <w:rFonts w:ascii="Arial" w:cs="Arial" w:eastAsia="Arial" w:hAnsi="Arial"/>
          <w:sz w:val="14"/>
          <w:szCs w:val="14"/>
          <w:color w:val="auto"/>
        </w:rPr>
      </w:pPr>
      <w:r>
        <w:rPr>
          <w:rFonts w:ascii="Arial" w:cs="Arial" w:eastAsia="Arial" w:hAnsi="Arial"/>
          <w:sz w:val="14"/>
          <w:szCs w:val="14"/>
          <w:color w:val="auto"/>
        </w:rPr>
        <w:t>All of the 900,000 shares held by James C. Henry are subject to a voting agreement and irrevocable proxy pursuant to which Richard D. Campbell exercises voting authority.</w:t>
      </w:r>
    </w:p>
    <w:p>
      <w:pPr>
        <w:spacing w:after="0" w:line="57" w:lineRule="exact"/>
        <w:rPr>
          <w:sz w:val="20"/>
          <w:szCs w:val="20"/>
          <w:color w:val="auto"/>
        </w:rPr>
      </w:pPr>
    </w:p>
    <w:p>
      <w:pPr>
        <w:ind w:left="7" w:right="20" w:firstLine="360"/>
        <w:spacing w:after="0" w:line="259" w:lineRule="auto"/>
        <w:rPr>
          <w:sz w:val="20"/>
          <w:szCs w:val="20"/>
          <w:color w:val="auto"/>
        </w:rPr>
      </w:pPr>
      <w:r>
        <w:rPr>
          <w:rFonts w:ascii="Arial" w:cs="Arial" w:eastAsia="Arial" w:hAnsi="Arial"/>
          <w:sz w:val="18"/>
          <w:szCs w:val="18"/>
          <w:color w:val="auto"/>
        </w:rPr>
        <w:t>The following table provides information regarding the beneficial ownership of our common stock as of December 31, 2018, and as adjusted to reflect the completion of this offering, for the selling shareholder. The percentage of beneficial ownership is based on 14,771,520 shares of our common stock outstanding as of December 31, 2018 and shares to be outstanding after the completion of this offering.</w:t>
      </w:r>
    </w:p>
    <w:p>
      <w:pPr>
        <w:spacing w:after="0" w:line="43"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Shares Beneficially Owned</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center"/>
              <w:ind w:right="420"/>
              <w:spacing w:after="0"/>
              <w:rPr>
                <w:sz w:val="20"/>
                <w:szCs w:val="20"/>
                <w:color w:val="auto"/>
              </w:rPr>
            </w:pPr>
            <w:r>
              <w:rPr>
                <w:rFonts w:ascii="Arial" w:cs="Arial" w:eastAsia="Arial" w:hAnsi="Arial"/>
                <w:sz w:val="14"/>
                <w:szCs w:val="14"/>
                <w:b w:val="1"/>
                <w:bCs w:val="1"/>
                <w:color w:val="auto"/>
                <w:w w:val="96"/>
              </w:rPr>
              <w:t>After the Offering</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40" w:type="dxa"/>
            <w:vAlign w:val="bottom"/>
            <w:gridSpan w:val="4"/>
          </w:tcPr>
          <w:p>
            <w:pPr>
              <w:jc w:val="center"/>
              <w:ind w:right="180"/>
              <w:spacing w:after="0" w:line="160" w:lineRule="exact"/>
              <w:rPr>
                <w:sz w:val="20"/>
                <w:szCs w:val="20"/>
                <w:color w:val="auto"/>
              </w:rPr>
            </w:pPr>
            <w:r>
              <w:rPr>
                <w:rFonts w:ascii="Arial" w:cs="Arial" w:eastAsia="Arial" w:hAnsi="Arial"/>
                <w:sz w:val="14"/>
                <w:szCs w:val="14"/>
                <w:b w:val="1"/>
                <w:bCs w:val="1"/>
                <w:color w:val="auto"/>
                <w:w w:val="92"/>
              </w:rPr>
              <w:t>Shares Beneficially Owned</w:t>
            </w: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gridSpan w:val="4"/>
          </w:tcPr>
          <w:p>
            <w:pPr>
              <w:ind w:left="240"/>
              <w:spacing w:after="0" w:line="160" w:lineRule="exact"/>
              <w:rPr>
                <w:sz w:val="20"/>
                <w:szCs w:val="20"/>
                <w:color w:val="auto"/>
              </w:rPr>
            </w:pPr>
            <w:r>
              <w:rPr>
                <w:rFonts w:ascii="Arial" w:cs="Arial" w:eastAsia="Arial" w:hAnsi="Arial"/>
                <w:sz w:val="14"/>
                <w:szCs w:val="14"/>
                <w:b w:val="1"/>
                <w:bCs w:val="1"/>
                <w:color w:val="auto"/>
              </w:rPr>
              <w:t>If Option Exercised in</w:t>
            </w:r>
          </w:p>
        </w:tc>
      </w:tr>
      <w:tr>
        <w:trPr>
          <w:trHeight w:val="185"/>
        </w:trPr>
        <w:tc>
          <w:tcPr>
            <w:tcW w:w="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4"/>
              </w:rPr>
              <w:t>Prior to the Offering</w:t>
            </w:r>
          </w:p>
        </w:tc>
        <w:tc>
          <w:tcPr>
            <w:tcW w:w="2040" w:type="dxa"/>
            <w:vAlign w:val="bottom"/>
            <w:gridSpan w:val="4"/>
          </w:tcPr>
          <w:p>
            <w:pPr>
              <w:ind w:left="200"/>
              <w:spacing w:after="0"/>
              <w:rPr>
                <w:sz w:val="20"/>
                <w:szCs w:val="20"/>
                <w:color w:val="auto"/>
              </w:rPr>
            </w:pPr>
            <w:r>
              <w:rPr>
                <w:rFonts w:ascii="Arial" w:cs="Arial" w:eastAsia="Arial" w:hAnsi="Arial"/>
                <w:sz w:val="14"/>
                <w:szCs w:val="14"/>
                <w:b w:val="1"/>
                <w:bCs w:val="1"/>
                <w:color w:val="auto"/>
              </w:rPr>
              <w:t>If Option Not Exercised</w:t>
            </w:r>
          </w:p>
        </w:tc>
        <w:tc>
          <w:tcPr>
            <w:tcW w:w="1140" w:type="dxa"/>
            <w:vAlign w:val="bottom"/>
            <w:gridSpan w:val="2"/>
          </w:tcPr>
          <w:p>
            <w:pPr>
              <w:ind w:left="800"/>
              <w:spacing w:after="0"/>
              <w:rPr>
                <w:sz w:val="20"/>
                <w:szCs w:val="20"/>
                <w:color w:val="auto"/>
              </w:rPr>
            </w:pPr>
            <w:r>
              <w:rPr>
                <w:rFonts w:ascii="Arial" w:cs="Arial" w:eastAsia="Arial" w:hAnsi="Arial"/>
                <w:sz w:val="14"/>
                <w:szCs w:val="14"/>
                <w:b w:val="1"/>
                <w:bCs w:val="1"/>
                <w:color w:val="auto"/>
              </w:rPr>
              <w:t>Full</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34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040" w:type="dxa"/>
            <w:vAlign w:val="bottom"/>
            <w:tcBorders>
              <w:top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Number</w:t>
            </w:r>
          </w:p>
        </w:tc>
        <w:tc>
          <w:tcPr>
            <w:tcW w:w="102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960" w:type="dxa"/>
            <w:vAlign w:val="bottom"/>
            <w:tcBorders>
              <w:top w:val="single" w:sz="8" w:color="auto"/>
            </w:tcBorders>
          </w:tcPr>
          <w:p>
            <w:pPr>
              <w:ind w:left="220"/>
              <w:spacing w:after="0"/>
              <w:rPr>
                <w:sz w:val="20"/>
                <w:szCs w:val="20"/>
                <w:color w:val="auto"/>
              </w:rPr>
            </w:pPr>
            <w:r>
              <w:rPr>
                <w:rFonts w:ascii="Arial" w:cs="Arial" w:eastAsia="Arial" w:hAnsi="Arial"/>
                <w:sz w:val="14"/>
                <w:szCs w:val="14"/>
                <w:b w:val="1"/>
                <w:bCs w:val="1"/>
                <w:color w:val="auto"/>
              </w:rPr>
              <w:t>Number</w:t>
            </w:r>
          </w:p>
        </w:tc>
        <w:tc>
          <w:tcPr>
            <w:tcW w:w="900" w:type="dxa"/>
            <w:vAlign w:val="bottom"/>
            <w:tcBorders>
              <w:top w:val="single" w:sz="8" w:color="auto"/>
            </w:tcBorders>
            <w:gridSpan w:val="2"/>
          </w:tcPr>
          <w:p>
            <w:pPr>
              <w:jc w:val="right"/>
              <w:ind w:right="22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1140" w:type="dxa"/>
            <w:vAlign w:val="bottom"/>
            <w:tcBorders>
              <w:top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Number</w:t>
            </w:r>
          </w:p>
        </w:tc>
        <w:tc>
          <w:tcPr>
            <w:tcW w:w="640" w:type="dxa"/>
            <w:vAlign w:val="bottom"/>
            <w:tcBorders>
              <w:top w:val="single" w:sz="8" w:color="auto"/>
            </w:tcBorders>
          </w:tcPr>
          <w:p>
            <w:pPr>
              <w:ind w:left="2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r>
      <w:tr>
        <w:trPr>
          <w:trHeight w:val="237"/>
        </w:trPr>
        <w:tc>
          <w:tcPr>
            <w:tcW w:w="20" w:type="dxa"/>
            <w:vAlign w:val="bottom"/>
          </w:tcPr>
          <w:p>
            <w:pPr>
              <w:spacing w:after="0"/>
              <w:rPr>
                <w:sz w:val="20"/>
                <w:szCs w:val="20"/>
                <w:color w:val="auto"/>
              </w:rPr>
            </w:pPr>
          </w:p>
        </w:tc>
        <w:tc>
          <w:tcPr>
            <w:tcW w:w="3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Selling shareholder</w:t>
            </w: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James C. Henry</w:t>
            </w:r>
          </w:p>
        </w:tc>
        <w:tc>
          <w:tcPr>
            <w:tcW w:w="1040" w:type="dxa"/>
            <w:vAlign w:val="bottom"/>
          </w:tcPr>
          <w:p>
            <w:pPr>
              <w:jc w:val="right"/>
              <w:spacing w:after="0"/>
              <w:rPr>
                <w:sz w:val="20"/>
                <w:szCs w:val="20"/>
                <w:color w:val="auto"/>
              </w:rPr>
            </w:pPr>
            <w:r>
              <w:rPr>
                <w:rFonts w:ascii="Arial" w:cs="Arial" w:eastAsia="Arial" w:hAnsi="Arial"/>
                <w:sz w:val="18"/>
                <w:szCs w:val="18"/>
                <w:color w:val="auto"/>
              </w:rPr>
              <w:t>900,000</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6.09%</w:t>
            </w:r>
          </w:p>
        </w:tc>
        <w:tc>
          <w:tcPr>
            <w:tcW w:w="960" w:type="dxa"/>
            <w:vAlign w:val="bottom"/>
          </w:tcPr>
          <w:p>
            <w:pPr>
              <w:jc w:val="right"/>
              <w:spacing w:after="0"/>
              <w:rPr>
                <w:sz w:val="20"/>
                <w:szCs w:val="20"/>
                <w:color w:val="auto"/>
              </w:rPr>
            </w:pPr>
            <w:r>
              <w:rPr>
                <w:rFonts w:ascii="Arial" w:cs="Arial" w:eastAsia="Arial" w:hAnsi="Arial"/>
                <w:sz w:val="18"/>
                <w:szCs w:val="18"/>
                <w:color w:val="auto"/>
              </w:rPr>
              <w:t>220,000</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1.26%</w:t>
            </w:r>
          </w:p>
        </w:tc>
        <w:tc>
          <w:tcPr>
            <w:tcW w:w="960" w:type="dxa"/>
            <w:vAlign w:val="bottom"/>
          </w:tcPr>
          <w:p>
            <w:pPr>
              <w:jc w:val="right"/>
              <w:spacing w:after="0"/>
              <w:rPr>
                <w:sz w:val="20"/>
                <w:szCs w:val="20"/>
                <w:color w:val="auto"/>
              </w:rPr>
            </w:pPr>
            <w:r>
              <w:rPr>
                <w:rFonts w:ascii="Arial" w:cs="Arial" w:eastAsia="Arial" w:hAnsi="Arial"/>
                <w:sz w:val="18"/>
                <w:szCs w:val="18"/>
                <w:color w:val="auto"/>
              </w:rPr>
              <w:t>220,000</w:t>
            </w:r>
          </w:p>
        </w:tc>
        <w:tc>
          <w:tcPr>
            <w:tcW w:w="180" w:type="dxa"/>
            <w:vAlign w:val="bottom"/>
          </w:tcPr>
          <w:p>
            <w:pPr>
              <w:spacing w:after="0"/>
              <w:rPr>
                <w:sz w:val="20"/>
                <w:szCs w:val="20"/>
                <w:color w:val="auto"/>
              </w:rPr>
            </w:pPr>
          </w:p>
        </w:tc>
        <w:tc>
          <w:tcPr>
            <w:tcW w:w="740" w:type="dxa"/>
            <w:vAlign w:val="bottom"/>
            <w:gridSpan w:val="2"/>
          </w:tcPr>
          <w:p>
            <w:pPr>
              <w:ind w:left="260"/>
              <w:spacing w:after="0"/>
              <w:rPr>
                <w:sz w:val="20"/>
                <w:szCs w:val="20"/>
                <w:color w:val="auto"/>
              </w:rPr>
            </w:pPr>
            <w:r>
              <w:rPr>
                <w:rFonts w:ascii="Arial" w:cs="Arial" w:eastAsia="Arial" w:hAnsi="Arial"/>
                <w:sz w:val="18"/>
                <w:szCs w:val="18"/>
                <w:color w:val="auto"/>
                <w:w w:val="90"/>
              </w:rPr>
              <w:t>1.22%</w:t>
            </w:r>
          </w:p>
        </w:tc>
      </w:tr>
      <w:tr>
        <w:trPr>
          <w:trHeight w:val="445"/>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128</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
        </w:trPr>
        <w:tc>
          <w:tcPr>
            <w:tcW w:w="20" w:type="dxa"/>
            <w:vAlign w:val="bottom"/>
          </w:tcPr>
          <w:p>
            <w:pPr>
              <w:spacing w:after="0"/>
              <w:rPr>
                <w:sz w:val="5"/>
                <w:szCs w:val="5"/>
                <w:color w:val="auto"/>
              </w:rPr>
            </w:pPr>
          </w:p>
        </w:tc>
        <w:tc>
          <w:tcPr>
            <w:tcW w:w="320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04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84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74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1900" w:h="16838" w:orient="portrait"/>
          <w:cols w:equalWidth="0" w:num="1">
            <w:col w:w="9567"/>
          </w:cols>
          <w:pgMar w:left="1173" w:top="279" w:right="1159" w:bottom="1440" w:gutter="0" w:footer="0" w:header="0"/>
        </w:sectPr>
      </w:pPr>
    </w:p>
    <w:bookmarkStart w:id="135" w:name="page136"/>
    <w:bookmarkEnd w:id="13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21" w:lineRule="exact"/>
        <w:rPr>
          <w:sz w:val="20"/>
          <w:szCs w:val="20"/>
          <w:color w:val="auto"/>
        </w:rPr>
      </w:pPr>
    </w:p>
    <w:p>
      <w:pPr>
        <w:ind w:right="40" w:firstLine="360"/>
        <w:spacing w:after="0" w:line="279" w:lineRule="auto"/>
        <w:rPr>
          <w:sz w:val="20"/>
          <w:szCs w:val="20"/>
          <w:color w:val="auto"/>
        </w:rPr>
      </w:pPr>
      <w:r>
        <w:rPr>
          <w:rFonts w:ascii="Arial" w:cs="Arial" w:eastAsia="Arial" w:hAnsi="Arial"/>
          <w:sz w:val="17"/>
          <w:szCs w:val="17"/>
          <w:color w:val="auto"/>
        </w:rPr>
        <w:t>The following is a summary of the material rights of our capital stock and related provisions of our certificate of formation and bylaws. The following description of our capital stock does not purport to be complete and is subject to, and qualified in its entirety by, our certificate of formation and bylaws, which we have included as exhibits to the registration statement of which this prospectus is a part. We urge you to read these documents for a more complete understanding of shareholder rights.</w:t>
      </w:r>
    </w:p>
    <w:p>
      <w:pPr>
        <w:spacing w:after="0" w:line="63"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Our certificate of formation authorizes the issuance of up to 30,000,000 shares of voting common stock, par value $1.00 per share, and up to 1,000,000 shares of preferred stock, par value $1.00 per share. On March 11, 2019, we effected a 29-for-1 stock dividend, resulting in shareholders receiving 29 shares of common stock for each share of common stock held as of March 11, 2019. As of December 31, 2018, we had 14,771,520 shares of our common stock issued and outstanding, after giving effect to the 29-for-1 stock dividend, and no shares of preferred stock issued or outstanding.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20" w:firstLine="360"/>
        <w:spacing w:after="0" w:line="312" w:lineRule="auto"/>
        <w:rPr>
          <w:sz w:val="20"/>
          <w:szCs w:val="20"/>
          <w:color w:val="auto"/>
        </w:rPr>
      </w:pPr>
      <w:r>
        <w:rPr>
          <w:rFonts w:ascii="Arial" w:cs="Arial" w:eastAsia="Arial" w:hAnsi="Arial"/>
          <w:sz w:val="16"/>
          <w:szCs w:val="16"/>
          <w:color w:val="auto"/>
        </w:rPr>
        <w:t>Each share of common stock has the same rights, privileges and preferences as every other share of common stock, and there is no preemptive, conversion, redemption rights or sinking fund provisions applicable to our common stock. The designations and powers, preferences and rights and the qualifications, limitations or restrictions of the common stock are described below.</w:t>
      </w:r>
    </w:p>
    <w:p>
      <w:pPr>
        <w:spacing w:after="0" w:line="39"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b w:val="1"/>
          <w:bCs w:val="1"/>
          <w:i w:val="1"/>
          <w:iCs w:val="1"/>
          <w:color w:val="auto"/>
        </w:rPr>
        <w:t>Dividend Rights</w:t>
      </w:r>
      <w:r>
        <w:rPr>
          <w:rFonts w:ascii="Arial" w:cs="Arial" w:eastAsia="Arial" w:hAnsi="Arial"/>
          <w:sz w:val="18"/>
          <w:szCs w:val="18"/>
          <w:color w:val="auto"/>
        </w:rPr>
        <w:t>. Subject to the rights of preferred stock we may issue in the future, or any other class or series of stock having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preference as to dividends over the common stock, each share of common stock will participate equally in dividends, which are payable when and as declared by our board of directors. Further, the agreements pursuant to which we borrow money and the regulations to which we are subject as a bank holding company may limit our ability to pay dividends or other distributions with respect to the common stock or to repurchase our capital stock. The board of directors has the discretion to determine the amount of dividends to be paid.</w:t>
      </w:r>
    </w:p>
    <w:p>
      <w:pPr>
        <w:spacing w:after="0" w:line="85"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b w:val="1"/>
          <w:bCs w:val="1"/>
          <w:i w:val="1"/>
          <w:iCs w:val="1"/>
          <w:color w:val="auto"/>
        </w:rPr>
        <w:t>Liquidation and Dissolution</w:t>
      </w:r>
      <w:r>
        <w:rPr>
          <w:rFonts w:ascii="Arial" w:cs="Arial" w:eastAsia="Arial" w:hAnsi="Arial"/>
          <w:sz w:val="18"/>
          <w:szCs w:val="18"/>
          <w:color w:val="auto"/>
        </w:rPr>
        <w:t>. Upon any liquidation, dissolution or winding up of the Company, after the payment of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liabilities and of the liquidation preferences with respect to any issued and outstanding preferred shares, or any other class or series of stock having preference over the common stock, we will distribute our remaining assets to the holders of our voting common stock on a pro rata basis.</w:t>
      </w:r>
    </w:p>
    <w:p>
      <w:pPr>
        <w:spacing w:after="0" w:line="79"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b w:val="1"/>
          <w:bCs w:val="1"/>
          <w:i w:val="1"/>
          <w:iCs w:val="1"/>
          <w:color w:val="auto"/>
        </w:rPr>
        <w:t>Voting Rights</w:t>
      </w:r>
      <w:r>
        <w:rPr>
          <w:rFonts w:ascii="Arial" w:cs="Arial" w:eastAsia="Arial" w:hAnsi="Arial"/>
          <w:sz w:val="18"/>
          <w:szCs w:val="18"/>
          <w:color w:val="auto"/>
        </w:rPr>
        <w:t>. Each holder of common stock is entitled to one vote per share on any issue requiring a vote. Shareholders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cumulate their votes in the election of directors.</w:t>
      </w:r>
    </w:p>
    <w:p>
      <w:pPr>
        <w:spacing w:after="0" w:line="62"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b w:val="1"/>
          <w:bCs w:val="1"/>
          <w:i w:val="1"/>
          <w:iCs w:val="1"/>
          <w:color w:val="auto"/>
        </w:rPr>
        <w:t>Absence of Preemptive Rights</w:t>
      </w:r>
      <w:r>
        <w:rPr>
          <w:rFonts w:ascii="Arial" w:cs="Arial" w:eastAsia="Arial" w:hAnsi="Arial"/>
          <w:sz w:val="18"/>
          <w:szCs w:val="18"/>
          <w:color w:val="auto"/>
        </w:rPr>
        <w:t>. Our common stock does not have preemptive rights or other rights to subscribe for additional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w:t>
      </w:r>
    </w:p>
    <w:p>
      <w:pPr>
        <w:spacing w:after="0" w:line="62"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b w:val="1"/>
          <w:bCs w:val="1"/>
          <w:i w:val="1"/>
          <w:iCs w:val="1"/>
          <w:color w:val="auto"/>
        </w:rPr>
        <w:t>Stock Exchange Listing</w:t>
      </w:r>
      <w:r>
        <w:rPr>
          <w:rFonts w:ascii="Arial" w:cs="Arial" w:eastAsia="Arial" w:hAnsi="Arial"/>
          <w:sz w:val="18"/>
          <w:szCs w:val="18"/>
          <w:color w:val="auto"/>
        </w:rPr>
        <w:t>. We have applied to list our common stock on the NASDAQ Global Select Market under the symbol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“SPFI.”</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We do not have any preferred stock outstanding as of the date of this prospectus. In our certificate of formation, we reserve the right to issue one or more series of preferred stock, fix the designations and the powers, preferences and relative, participating, optional or other special rights and qualifications, limitations or restrictions of such series, including, without limitation, voting rights, dividend rate, conversion rights, redemption price and liquidation preference, as may be permitted by the TBOC, to fix the number of shares constituting any series and to increase or decrease the number of shares of any series (but not below the number of shares of such series then outstanding).</w:t>
      </w:r>
    </w:p>
    <w:p>
      <w:pPr>
        <w:spacing w:after="0" w:line="85" w:lineRule="exact"/>
        <w:rPr>
          <w:sz w:val="20"/>
          <w:szCs w:val="20"/>
          <w:color w:val="auto"/>
        </w:rPr>
      </w:pPr>
    </w:p>
    <w:p>
      <w:pPr>
        <w:ind w:right="400" w:firstLine="360"/>
        <w:spacing w:after="0" w:line="264" w:lineRule="auto"/>
        <w:rPr>
          <w:sz w:val="20"/>
          <w:szCs w:val="20"/>
          <w:color w:val="auto"/>
        </w:rPr>
      </w:pPr>
      <w:r>
        <w:rPr>
          <w:rFonts w:ascii="Arial" w:cs="Arial" w:eastAsia="Arial" w:hAnsi="Arial"/>
          <w:sz w:val="18"/>
          <w:szCs w:val="18"/>
          <w:color w:val="auto"/>
        </w:rPr>
        <w:t>Any of these actions could have an anti-takeover effect and discourage a transaction that some or a majority of our shareholders might believe to be in their best interests or in which our shareholders might receive a premium for their common stock over our then-market price.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36" w:name="page137"/>
    <w:bookmarkEnd w:id="136"/>
    <w:p>
      <w:pPr>
        <w:ind w:left="7"/>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Anti-Takeover Considerations and Special Provisions of Our Certificate of Formation, Bylaws and Texas Law</w:t>
      </w:r>
    </w:p>
    <w:p>
      <w:pPr>
        <w:spacing w:after="0" w:line="108" w:lineRule="exact"/>
        <w:rPr>
          <w:sz w:val="20"/>
          <w:szCs w:val="20"/>
          <w:color w:val="auto"/>
        </w:rPr>
      </w:pPr>
    </w:p>
    <w:p>
      <w:pPr>
        <w:ind w:left="7" w:right="160" w:firstLine="360"/>
        <w:spacing w:after="0" w:line="273" w:lineRule="auto"/>
        <w:rPr>
          <w:sz w:val="20"/>
          <w:szCs w:val="20"/>
          <w:color w:val="auto"/>
        </w:rPr>
      </w:pPr>
      <w:r>
        <w:rPr>
          <w:rFonts w:ascii="Arial" w:cs="Arial" w:eastAsia="Arial" w:hAnsi="Arial"/>
          <w:sz w:val="17"/>
          <w:szCs w:val="17"/>
          <w:color w:val="auto"/>
        </w:rPr>
        <w:t>Certain provisions of our certificate of formation and bylaws could have the effect of delaying or deferring the removal of incumbent directors or delaying, deferring or discouraging another party from acquiring control of us, even if such removal or acquisition would be viewed by our shareholders to be in their best interests. These provisions, summarized below, are intended to encourage persons seeking to acquire control of us to first negotiate with our board of directors. These provisions also serve to discourage hostile takeover practices and inadequate takeover bids. We believe that these provisions are beneficial because the negotiation they encourage could result in improved terms of any unsolicited proposal.</w:t>
      </w:r>
    </w:p>
    <w:p>
      <w:pPr>
        <w:spacing w:after="0" w:line="70" w:lineRule="exact"/>
        <w:rPr>
          <w:sz w:val="20"/>
          <w:szCs w:val="20"/>
          <w:color w:val="auto"/>
        </w:rPr>
      </w:pPr>
    </w:p>
    <w:p>
      <w:pPr>
        <w:ind w:left="7" w:right="560" w:firstLine="360"/>
        <w:spacing w:after="0" w:line="342" w:lineRule="auto"/>
        <w:rPr>
          <w:sz w:val="20"/>
          <w:szCs w:val="20"/>
          <w:color w:val="auto"/>
        </w:rPr>
      </w:pPr>
      <w:r>
        <w:rPr>
          <w:rFonts w:ascii="Arial" w:cs="Arial" w:eastAsia="Arial" w:hAnsi="Arial"/>
          <w:sz w:val="16"/>
          <w:szCs w:val="16"/>
          <w:color w:val="auto"/>
        </w:rPr>
        <w:t>Certain provisions of the TBOC found at Section 21.602 through Section 21.610 relating to business combinations with affiliates may have the effect of deterring hostile takeovers or delaying or preventing control or management of a company.</w:t>
      </w:r>
    </w:p>
    <w:p>
      <w:pPr>
        <w:spacing w:after="0" w:line="16" w:lineRule="exact"/>
        <w:rPr>
          <w:sz w:val="20"/>
          <w:szCs w:val="20"/>
          <w:color w:val="auto"/>
        </w:rPr>
      </w:pPr>
    </w:p>
    <w:p>
      <w:pPr>
        <w:ind w:left="7" w:right="60" w:firstLine="360"/>
        <w:spacing w:after="0" w:line="257" w:lineRule="auto"/>
        <w:rPr>
          <w:sz w:val="20"/>
          <w:szCs w:val="20"/>
          <w:color w:val="auto"/>
        </w:rPr>
      </w:pPr>
      <w:r>
        <w:rPr>
          <w:rFonts w:ascii="Arial" w:cs="Arial" w:eastAsia="Arial" w:hAnsi="Arial"/>
          <w:sz w:val="18"/>
          <w:szCs w:val="18"/>
          <w:b w:val="1"/>
          <w:bCs w:val="1"/>
          <w:i w:val="1"/>
          <w:iCs w:val="1"/>
          <w:color w:val="auto"/>
        </w:rPr>
        <w:t xml:space="preserve">Authorized but Unissued Capital Stock. </w:t>
      </w:r>
      <w:r>
        <w:rPr>
          <w:rFonts w:ascii="Arial" w:cs="Arial" w:eastAsia="Arial" w:hAnsi="Arial"/>
          <w:sz w:val="18"/>
          <w:szCs w:val="18"/>
          <w:color w:val="auto"/>
        </w:rPr>
        <w:t>As of the date of this document, we had 15,228,480 shares of authorized but unissued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of common stock and 1,000,000 shares of authorized but unissued shares of preferred stock. Our board of directors may authorize the issuance of one or more series of preferred stock without shareholder approval. These shares could be used by our board of directors to make it more difficult or to discourage an attempt to obtain control of us through a merger, tender offer, proxy contest or otherwise.</w:t>
      </w:r>
    </w:p>
    <w:p>
      <w:pPr>
        <w:spacing w:after="0" w:line="80" w:lineRule="exact"/>
        <w:rPr>
          <w:sz w:val="20"/>
          <w:szCs w:val="20"/>
          <w:color w:val="auto"/>
        </w:rPr>
      </w:pPr>
    </w:p>
    <w:p>
      <w:pPr>
        <w:ind w:left="7" w:firstLine="360"/>
        <w:spacing w:after="0" w:line="286" w:lineRule="auto"/>
        <w:rPr>
          <w:sz w:val="20"/>
          <w:szCs w:val="20"/>
          <w:color w:val="auto"/>
        </w:rPr>
      </w:pPr>
      <w:r>
        <w:rPr>
          <w:rFonts w:ascii="Arial" w:cs="Arial" w:eastAsia="Arial" w:hAnsi="Arial"/>
          <w:sz w:val="16"/>
          <w:szCs w:val="16"/>
          <w:b w:val="1"/>
          <w:bCs w:val="1"/>
          <w:i w:val="1"/>
          <w:iCs w:val="1"/>
          <w:color w:val="auto"/>
        </w:rPr>
        <w:t xml:space="preserve">Limitation on Right to Call a Special Meeting of Shareholders. </w:t>
      </w:r>
      <w:r>
        <w:rPr>
          <w:rFonts w:ascii="Arial" w:cs="Arial" w:eastAsia="Arial" w:hAnsi="Arial"/>
          <w:sz w:val="16"/>
          <w:szCs w:val="16"/>
          <w:color w:val="auto"/>
        </w:rPr>
        <w:t>Our bylaws provide that, except as otherwise required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TBOC and subject to our certificate of formation, special meetings of shareholders may be called only by the chairman of the board of directors, the board of directors or the holders of not less than 25% of all of the outstanding shares of the corporation entitled to vote at the meeting. In order for a special meeting to be called by the shareholders, a written request for a special meeting signed by the shareholders owning at least the requisite percent of shares entitled to vote at the meeting as of the date of the request must be delivered to the secretary at the principal executive offices of the Company. The special meeting request must include certain information listed in our bylaws, including, but not limited to, a statement of the business proposed to be acted on at the meeting, the signatures of each shareholder submitting the special meeting request, the name and address of each shareholder submitting the special meeting request and documentary evidence that the requesting shareholders own the requisite percent of shares as of the date of the special meeting request. A special meeting request shall not be valid if (1) the request relates to an item of business that is not a proper subject for shareholder action under applicable law or our certificate of formation, (2) the request relates to an item of business that is the same or substantially similar to an item presented at a meeting of shareholders occurring within ninety (90) days preceding the earliest date of the signature on the special meeting request, (3) the special meeting request is delivered during the period commencing ninety (90) days prior to the first anniversary of the preceding year’s annual meeting and ending on the date of the next annual meeting of shareholders; or (4) the special meeting request does not comply with the requirements of our bylaws.</w:t>
      </w:r>
    </w:p>
    <w:p>
      <w:pPr>
        <w:spacing w:after="0" w:line="61" w:lineRule="exact"/>
        <w:rPr>
          <w:sz w:val="20"/>
          <w:szCs w:val="20"/>
          <w:color w:val="auto"/>
        </w:rPr>
      </w:pPr>
    </w:p>
    <w:p>
      <w:pPr>
        <w:ind w:left="7" w:right="20" w:firstLine="360"/>
        <w:spacing w:after="0" w:line="286" w:lineRule="auto"/>
        <w:rPr>
          <w:sz w:val="20"/>
          <w:szCs w:val="20"/>
          <w:color w:val="auto"/>
        </w:rPr>
      </w:pPr>
      <w:r>
        <w:rPr>
          <w:rFonts w:ascii="Arial" w:cs="Arial" w:eastAsia="Arial" w:hAnsi="Arial"/>
          <w:sz w:val="16"/>
          <w:szCs w:val="16"/>
          <w:b w:val="1"/>
          <w:bCs w:val="1"/>
          <w:i w:val="1"/>
          <w:iCs w:val="1"/>
          <w:color w:val="auto"/>
        </w:rPr>
        <w:t xml:space="preserve">Shareholder Proposals. </w:t>
      </w:r>
      <w:r>
        <w:rPr>
          <w:rFonts w:ascii="Arial" w:cs="Arial" w:eastAsia="Arial" w:hAnsi="Arial"/>
          <w:sz w:val="16"/>
          <w:szCs w:val="16"/>
          <w:color w:val="auto"/>
        </w:rPr>
        <w:t>Our bylaws include specific procedures for shareholder proposals, including proposed nominations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to be brought at shareholder meetings including that the shareholder must (1) be the holder of not less than 25% of all of the outstanding shares of the corporation entitled to vote at the meeting, (2) be a shareholder of record at the time of giving of notice of such meeting by the board of directors and at the time of the annual meeting, (3) be entitled to vote at such annual meeting, and</w:t>
      </w:r>
    </w:p>
    <w:p>
      <w:pPr>
        <w:spacing w:after="0" w:line="2" w:lineRule="exact"/>
        <w:rPr>
          <w:sz w:val="20"/>
          <w:szCs w:val="20"/>
          <w:color w:val="auto"/>
        </w:rPr>
      </w:pPr>
    </w:p>
    <w:p>
      <w:pPr>
        <w:ind w:left="7" w:hanging="7"/>
        <w:spacing w:after="0" w:line="268" w:lineRule="auto"/>
        <w:tabs>
          <w:tab w:leader="none" w:pos="262" w:val="left"/>
        </w:tabs>
        <w:numPr>
          <w:ilvl w:val="0"/>
          <w:numId w:val="69"/>
        </w:numPr>
        <w:rPr>
          <w:rFonts w:ascii="Arial" w:cs="Arial" w:eastAsia="Arial" w:hAnsi="Arial"/>
          <w:sz w:val="17"/>
          <w:szCs w:val="17"/>
          <w:color w:val="auto"/>
        </w:rPr>
      </w:pPr>
      <w:r>
        <w:rPr>
          <w:rFonts w:ascii="Arial" w:cs="Arial" w:eastAsia="Arial" w:hAnsi="Arial"/>
          <w:sz w:val="17"/>
          <w:szCs w:val="17"/>
          <w:color w:val="auto"/>
        </w:rPr>
        <w:t>comply with the procedures set forth in our bylaws as to such nomination or other business. Notice of a shareholder proposal notice must generally be delivered to the secretary of the Company not earlier than 30 days nor more than 60 days prior to the shareholder meeting. The notice of the shareholder proposal must include certain information listed in our bylaws, including, but not limited to, the name and address of each shareholder making the proposal, the name and address of any nominee for director, the class and number of shares of our capital stock, any proxy used in connection with the proposal, a description of the business desired to be brought before the meeting, and a description of all agreement, arrangement and understanding between the shareholder proposing the business to be brought before the meeting and any other affiliates and associates with whom the requesting shareholder is acting in concert in connection with the proposal.</w:t>
      </w:r>
    </w:p>
    <w:p>
      <w:pPr>
        <w:spacing w:after="0" w:line="76" w:lineRule="exact"/>
        <w:rPr>
          <w:sz w:val="20"/>
          <w:szCs w:val="20"/>
          <w:color w:val="auto"/>
        </w:rPr>
      </w:pPr>
    </w:p>
    <w:p>
      <w:pPr>
        <w:ind w:left="7" w:right="100" w:firstLine="360"/>
        <w:spacing w:after="0" w:line="264" w:lineRule="auto"/>
        <w:rPr>
          <w:sz w:val="20"/>
          <w:szCs w:val="20"/>
          <w:color w:val="auto"/>
        </w:rPr>
      </w:pPr>
      <w:r>
        <w:rPr>
          <w:rFonts w:ascii="Arial" w:cs="Arial" w:eastAsia="Arial" w:hAnsi="Arial"/>
          <w:sz w:val="18"/>
          <w:szCs w:val="18"/>
          <w:b w:val="1"/>
          <w:bCs w:val="1"/>
          <w:i w:val="1"/>
          <w:iCs w:val="1"/>
          <w:color w:val="auto"/>
        </w:rPr>
        <w:t xml:space="preserve">Action by Written Consent in Lieu of Meeting. </w:t>
      </w:r>
      <w:r>
        <w:rPr>
          <w:rFonts w:ascii="Arial" w:cs="Arial" w:eastAsia="Arial" w:hAnsi="Arial"/>
          <w:sz w:val="18"/>
          <w:szCs w:val="18"/>
          <w:color w:val="auto"/>
        </w:rPr>
        <w:t>Our certificate of formation allows for any action required by the TBOC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taken at any annual or special meeting of the shareholders to be taken without a meeting if a consent or consents in writing are signed by all of the holders of shares entitled to vote on the action were present and voted.</w:t>
      </w:r>
    </w:p>
    <w:p>
      <w:pPr>
        <w:spacing w:after="0" w:line="181"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sectPr>
      </w:pPr>
    </w:p>
    <w:bookmarkStart w:id="137" w:name="page138"/>
    <w:bookmarkEnd w:id="13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b w:val="1"/>
          <w:bCs w:val="1"/>
          <w:i w:val="1"/>
          <w:iCs w:val="1"/>
          <w:color w:val="auto"/>
        </w:rPr>
        <w:t xml:space="preserve">Classified Board of Directors. </w:t>
      </w:r>
      <w:r>
        <w:rPr>
          <w:rFonts w:ascii="Arial" w:cs="Arial" w:eastAsia="Arial" w:hAnsi="Arial"/>
          <w:sz w:val="18"/>
          <w:szCs w:val="18"/>
          <w:color w:val="auto"/>
        </w:rPr>
        <w:t>Our certificate of formation provides that our board of directors be divided into three (3)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classes, with the directors in each class serving a three-year term. The election of directors is staggered so that approximately one-third of the board of directors is elected at each annual meeting. Directors are elected by the affirmative vote of the holders of a majority of the shares of common stock entitled to vote in the election of directors and represented in person or by proxy. For more information on the board, see “Management—Board of Directors.”</w:t>
      </w:r>
    </w:p>
    <w:p>
      <w:pPr>
        <w:spacing w:after="0" w:line="80"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b w:val="1"/>
          <w:bCs w:val="1"/>
          <w:i w:val="1"/>
          <w:iCs w:val="1"/>
          <w:color w:val="auto"/>
        </w:rPr>
        <w:t xml:space="preserve">Filling of Board Vacancies. </w:t>
      </w:r>
      <w:r>
        <w:rPr>
          <w:rFonts w:ascii="Arial" w:cs="Arial" w:eastAsia="Arial" w:hAnsi="Arial"/>
          <w:sz w:val="17"/>
          <w:szCs w:val="17"/>
          <w:color w:val="auto"/>
        </w:rPr>
        <w:t>Any vacancy occurring in the board of directors may be filled by a majority of the directors then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office, though less than a quorum, except that any vacancy in the board of directors resulting from the removal of the director by the shareholders shall be filled only by the shareholders entitled to vote. A director elected to fill a vacancy shall be elected for the unexpired term of his predecessor in office and will hold office until such director’s successor has been elected and qualified or until such director’s earlier death, resignation or removal. However, pursuant to Section 21.410 of the TBOC, any vacancy in the board of directors to be filled because of an increase in the number of directors may be filled by the board of directors for a term of office continuing only until the next election of one or more directors by the shareholders. Furthermore, during a period between two successive annual meetings of shareholders, the board of directors may not fill more than two (2) vacancies created by an increase in the number of directors.</w:t>
      </w:r>
    </w:p>
    <w:p>
      <w:pPr>
        <w:spacing w:after="0" w:line="74"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b w:val="1"/>
          <w:bCs w:val="1"/>
          <w:i w:val="1"/>
          <w:iCs w:val="1"/>
          <w:color w:val="auto"/>
        </w:rPr>
        <w:t xml:space="preserve">Removal of Directors. </w:t>
      </w:r>
      <w:r>
        <w:rPr>
          <w:rFonts w:ascii="Arial" w:cs="Arial" w:eastAsia="Arial" w:hAnsi="Arial"/>
          <w:sz w:val="17"/>
          <w:szCs w:val="17"/>
          <w:color w:val="auto"/>
        </w:rPr>
        <w:t>Pursuant to Section 21.409(d) of the TBOC, a director of a corporation with a classified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directors may be removed only for cause. Furthermore, pursuant to Section 21.409(a) of the TBOC, our bylaws provide for heightened voting thresholds necessary to remove a director from office. Accordingly, a director may be removed only for cause at a meeting called for the purpose of removing the director by the affirmative vote of the holders of outstanding shares representing at least two-thirds of the voting power of all shares entitled to vote for the election of such director.</w:t>
      </w:r>
    </w:p>
    <w:p>
      <w:pPr>
        <w:spacing w:after="0" w:line="64" w:lineRule="exact"/>
        <w:rPr>
          <w:sz w:val="20"/>
          <w:szCs w:val="20"/>
          <w:color w:val="auto"/>
        </w:rPr>
      </w:pPr>
    </w:p>
    <w:p>
      <w:pPr>
        <w:ind w:right="140" w:firstLine="360"/>
        <w:spacing w:after="0" w:line="255" w:lineRule="auto"/>
        <w:rPr>
          <w:sz w:val="20"/>
          <w:szCs w:val="20"/>
          <w:color w:val="auto"/>
        </w:rPr>
      </w:pPr>
      <w:r>
        <w:rPr>
          <w:rFonts w:ascii="Arial" w:cs="Arial" w:eastAsia="Arial" w:hAnsi="Arial"/>
          <w:sz w:val="18"/>
          <w:szCs w:val="18"/>
          <w:b w:val="1"/>
          <w:bCs w:val="1"/>
          <w:i w:val="1"/>
          <w:iCs w:val="1"/>
          <w:color w:val="auto"/>
        </w:rPr>
        <w:t>Amendment of the Bylaws or Adoption of New Bylaws</w:t>
      </w:r>
      <w:r>
        <w:rPr>
          <w:rFonts w:ascii="Arial" w:cs="Arial" w:eastAsia="Arial" w:hAnsi="Arial"/>
          <w:sz w:val="18"/>
          <w:szCs w:val="18"/>
          <w:color w:val="auto"/>
        </w:rPr>
        <w:t>. Our bylaws may be amended or repealed or new bylaws may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adopted by the affirmative vote of a majority of the directors present at a meeting at which quorum is present, without approval of our shareholders. Accordingly, our board of directors could take action to amend our bylaws in a manner that could have the effect of delaying, deferring or discouraging another party from acquiring control of us. Shareholders may also amend or repeal our bylaws and adopt new bylaws by the affirmative vote of holders of two-thirds of the shares entitled to vote at a meeting of the shareholders, provided that notice of the proposed alteration, amendment or repeal is contained in the notice of that shareholders’ meeting.</w:t>
      </w:r>
    </w:p>
    <w:p>
      <w:pPr>
        <w:spacing w:after="0" w:line="81"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b w:val="1"/>
          <w:bCs w:val="1"/>
          <w:i w:val="1"/>
          <w:iCs w:val="1"/>
          <w:color w:val="auto"/>
        </w:rPr>
        <w:t>Voting Provisions</w:t>
      </w:r>
      <w:r>
        <w:rPr>
          <w:rFonts w:ascii="Arial" w:cs="Arial" w:eastAsia="Arial" w:hAnsi="Arial"/>
          <w:sz w:val="18"/>
          <w:szCs w:val="18"/>
          <w:color w:val="auto"/>
        </w:rPr>
        <w:t>. Our certificate of formation does not provide for certain heightened voting thresholds needed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consummate a change in control transaction, such as a merger, the sale of substantially all of our assets or other similar transaction. Accordingly, we will not be able to consummate a change in control transaction or sell all or substantially all of our assets without obtaining the affirmative vote of the holders of shares of our capital stock having at least two-thirds of the voting power of all outstanding capital stock entitled to vote thereon.</w:t>
      </w:r>
    </w:p>
    <w:p>
      <w:pPr>
        <w:spacing w:after="0" w:line="80" w:lineRule="exact"/>
        <w:rPr>
          <w:sz w:val="20"/>
          <w:szCs w:val="20"/>
          <w:color w:val="auto"/>
        </w:rPr>
      </w:pPr>
    </w:p>
    <w:p>
      <w:pPr>
        <w:ind w:right="80" w:firstLine="360"/>
        <w:spacing w:after="0" w:line="288" w:lineRule="auto"/>
        <w:rPr>
          <w:sz w:val="20"/>
          <w:szCs w:val="20"/>
          <w:color w:val="auto"/>
        </w:rPr>
      </w:pPr>
      <w:r>
        <w:rPr>
          <w:rFonts w:ascii="Arial" w:cs="Arial" w:eastAsia="Arial" w:hAnsi="Arial"/>
          <w:sz w:val="16"/>
          <w:szCs w:val="16"/>
          <w:b w:val="1"/>
          <w:bCs w:val="1"/>
          <w:i w:val="1"/>
          <w:iCs w:val="1"/>
          <w:color w:val="auto"/>
        </w:rPr>
        <w:t>Exclusive Forum</w:t>
      </w:r>
      <w:r>
        <w:rPr>
          <w:rFonts w:ascii="Arial" w:cs="Arial" w:eastAsia="Arial" w:hAnsi="Arial"/>
          <w:sz w:val="16"/>
          <w:szCs w:val="16"/>
          <w:color w:val="auto"/>
        </w:rPr>
        <w:t>. Our bylaws provide that United States District Court for the Northern District of Texas, Lubbock Division,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in the event that such court lacks jurisdiction to hear the action, the District Courts of the County of Lubbock, Texas, shall be the sole and exclusive forum for certain shareholder litigation matters, unless we consent in writing to the selection of an alternative forum. Although we believe this provision benefits us by providing increased consistency in the application of Texas law in the types of lawsuits to which it applies and in limiting our litigation costs, the provision may have the effect of discouraging lawsuits against our directors and officers and may limit our shareholders’ ability to obtain a favorable judicial forum for disputes with us. However, it is possible that a court could rule that this provision is unenforceable or inapplicable to a particular dispute. We believe that that the exclusive forum provision applies to claims arising under the Securities Act, but there is uncertainty as to whether a court would enforce such provision in this context. Shareholders will not be deemed to have waived the Company’s compliance with the federal securities laws and the rules and regulations thereunder.</w:t>
      </w:r>
    </w:p>
    <w:p>
      <w:pPr>
        <w:spacing w:after="0" w:line="61"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b w:val="1"/>
          <w:bCs w:val="1"/>
          <w:i w:val="1"/>
          <w:iCs w:val="1"/>
          <w:color w:val="auto"/>
        </w:rPr>
        <w:t>Elimination of Liability and Indemnification</w:t>
      </w:r>
      <w:r>
        <w:rPr>
          <w:rFonts w:ascii="Arial" w:cs="Arial" w:eastAsia="Arial" w:hAnsi="Arial"/>
          <w:sz w:val="18"/>
          <w:szCs w:val="18"/>
          <w:color w:val="auto"/>
        </w:rPr>
        <w:t>. Our certificate of formation provides that, to the fullest extent permitted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Texas law, no director of the Company will be liable to the Company or its shareholders for monetary damages for acts or omissions in the director’s capacity as a director. However, pursuant to the TBOC, this limitation of liability does not extend to (1) a breach of a director’s duty of loyalty to the Company or its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38" w:name="page139"/>
    <w:bookmarkEnd w:id="13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shareholders, (2) an act or omission not in good faith that constitutes a breach of a duty owed to the Company involving intentional misconduct or a knowing violation of the law, (3) a transaction from which a director received an improper benefit, or (4) an act or omission for which the liability of the director is expressly provided for by statute. To the extent that the TBOC is amended to further eliminate or limit the personal liability of directors, such liability shall be eliminated to the fullest extent permitted by law.</w:t>
      </w:r>
    </w:p>
    <w:p>
      <w:pPr>
        <w:spacing w:after="0" w:line="46" w:lineRule="exact"/>
        <w:rPr>
          <w:sz w:val="20"/>
          <w:szCs w:val="20"/>
          <w:color w:val="auto"/>
        </w:rPr>
      </w:pPr>
    </w:p>
    <w:p>
      <w:pPr>
        <w:ind w:right="40" w:firstLine="360"/>
        <w:spacing w:after="0" w:line="287" w:lineRule="auto"/>
        <w:rPr>
          <w:sz w:val="20"/>
          <w:szCs w:val="20"/>
          <w:color w:val="auto"/>
        </w:rPr>
      </w:pPr>
      <w:r>
        <w:rPr>
          <w:rFonts w:ascii="Arial" w:cs="Arial" w:eastAsia="Arial" w:hAnsi="Arial"/>
          <w:sz w:val="16"/>
          <w:szCs w:val="16"/>
          <w:color w:val="auto"/>
        </w:rPr>
        <w:t>Our certificate of formation also provides, among other things, for mandatory indemnification of a director or officer of the Company who was or is a party or is threatened to be made a party to any threatened, pending or completed action, suit or proceeding whether civil, criminal, administrative or investigative by reason of the fact that the person is or was a director or officer of the Company. The Company will indemnify such a person against expenses (including attorney’s fees), judgments, fines and amounts paid in settlement actually and reasonably incurred by him or her in connection with such action, suit or proceeding, if the person (1) acted in good faith, (2) reasonably believed that their conduct was in or not opposed to the best interest of the Company and (3) with respect to any criminal action or proceeding, had no reasonable cause to believe that his or her conduct was unlawful; provided further that (1) the director was not found liable on the basis that he or she received an improper benefit and (2) he or she is not found liable to the Company. A director found liable either to the Company or on the basis that they improperly received a personal benefit may only be indemnified for reasonable expenses (including attorneys’ fees) actually incurred by him or her in connection with defense against that action, however, if that director was found liable for willful or intentional misconduct in the performance of their duty to the Company, the Company shall not indemnify the director in any respect.</w:t>
      </w:r>
    </w:p>
    <w:p>
      <w:pPr>
        <w:spacing w:after="0" w:line="61"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The foregoing is qualified in its entirety by reference to our certificate of formation and bylaws, both of which are on file with the SEC.</w:t>
      </w:r>
    </w:p>
    <w:p>
      <w:pPr>
        <w:spacing w:after="0" w:line="62" w:lineRule="exact"/>
        <w:rPr>
          <w:sz w:val="20"/>
          <w:szCs w:val="20"/>
          <w:color w:val="auto"/>
        </w:rPr>
      </w:pPr>
    </w:p>
    <w:p>
      <w:pPr>
        <w:ind w:right="180" w:firstLine="360"/>
        <w:spacing w:after="0" w:line="290" w:lineRule="auto"/>
        <w:rPr>
          <w:sz w:val="20"/>
          <w:szCs w:val="20"/>
          <w:color w:val="auto"/>
        </w:rPr>
      </w:pPr>
      <w:r>
        <w:rPr>
          <w:rFonts w:ascii="Arial" w:cs="Arial" w:eastAsia="Arial" w:hAnsi="Arial"/>
          <w:sz w:val="16"/>
          <w:szCs w:val="16"/>
          <w:b w:val="1"/>
          <w:bCs w:val="1"/>
          <w:i w:val="1"/>
          <w:iCs w:val="1"/>
          <w:color w:val="auto"/>
        </w:rPr>
        <w:t>Texas and Federal Banking Law</w:t>
      </w:r>
      <w:r>
        <w:rPr>
          <w:rFonts w:ascii="Arial" w:cs="Arial" w:eastAsia="Arial" w:hAnsi="Arial"/>
          <w:sz w:val="16"/>
          <w:szCs w:val="16"/>
          <w:color w:val="auto"/>
        </w:rPr>
        <w:t>. Under the Texas Finance Code, an “acquisition of control” of a bank or bank holding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may not occur without the prior written approval of the Commissioner of the Texas Department of Banking, subject to certain exceptions outlined in Texas Finance Code Section 33.002. For purposes of this law, the term “control” means the possession, directly or indirectly, of the power to control a bank or bank holding company, and the term “acquisition of control” means (1) the ownership of or ability to vote 25% of the outstanding shares of a class of voting securities, (2) the ability to control the election of a majority of the board, (3) the power to exercise a controlling influence over the management or policies of the company, and (4) the conditioning of the transfer of 25% or more of the outstanding shares of a class of voting securities of a company on the transfer of 25% or more of the outstanding shares of a class of voting securities of another company.</w:t>
      </w:r>
    </w:p>
    <w:p>
      <w:pPr>
        <w:spacing w:after="0" w:line="58"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The BHCA generally prohibits any company that is not engaged in financial activities and activities that are permissible for a bank holding company or a financial holding company from acquiring control of the Company. For purposes of this law, “control” generally means ownership of 25% or more of the voting stock or other exercise of a controlling influence. In addition, any existing bank holding company would need the prior approval of the Federal Reserve before acquiring 5% or more of any class of our voting securities. The Change in Bank Control Act of 1978, as amended, prohibits a person or group of persons from acquiring control of a bank holding company unless the Federal Reserve has been notified and has not objected to the transaction. Under a rebuttable presumption established by the Federal Reserve, the acquisition of 10% or more of a class of voting stock of a bank holding company with a class of securities registered under Section 12 of the Exchange Act, such as the Company after completion of the offering, could constitute acquisition of control of the bank holding company.</w:t>
      </w:r>
    </w:p>
    <w:p>
      <w:pPr>
        <w:spacing w:after="0" w:line="74"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color w:val="auto"/>
        </w:rPr>
        <w:t>The foregoing provisions of Texas and federal law could make it more difficult for a third party to acquire a majority of our outstanding voting stock, by discouraging a hostile bid, or delaying, preventing or deterring a merger, acquisition or tender offer in which our shareholders could receive a premium for their shares, or effect a proxy contest for control of our Company or other changes in our management.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transfer agent is Broadridge Corporate Issuer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39" w:name="page140"/>
    <w:bookmarkEnd w:id="139"/>
    <w:p>
      <w:pPr>
        <w:ind w:left="7"/>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SHARES ELIGIBLE FOR FUTURE SALE</w:t>
      </w:r>
    </w:p>
    <w:p>
      <w:pPr>
        <w:spacing w:after="0" w:line="121" w:lineRule="exact"/>
        <w:rPr>
          <w:sz w:val="20"/>
          <w:szCs w:val="20"/>
          <w:color w:val="auto"/>
        </w:rPr>
      </w:pPr>
    </w:p>
    <w:p>
      <w:pPr>
        <w:ind w:left="7" w:right="120" w:firstLine="360"/>
        <w:spacing w:after="0" w:line="255" w:lineRule="auto"/>
        <w:rPr>
          <w:sz w:val="20"/>
          <w:szCs w:val="20"/>
          <w:color w:val="auto"/>
        </w:rPr>
      </w:pPr>
      <w:r>
        <w:rPr>
          <w:rFonts w:ascii="Arial" w:cs="Arial" w:eastAsia="Arial" w:hAnsi="Arial"/>
          <w:sz w:val="18"/>
          <w:szCs w:val="18"/>
          <w:color w:val="auto"/>
        </w:rPr>
        <w:t>Prior to this offering, there has been no established trading market for our common stock. Future sales of substantial amounts of our common stock in the public market, or the perception that such sales may occur, could adversely affect market prices prevailing from time to time. Furthermore, because only a limited number of shares will be available for sale shortly after this offering due to existing contractual and legal restrictions on resale as described below, there may be sales of substantial amounts of our common stock in the public market after the restrictions lapse. This may adversely affect the prevailing market price and our ability to raise equity capital in the future.</w:t>
      </w:r>
    </w:p>
    <w:p>
      <w:pPr>
        <w:spacing w:after="0" w:line="85" w:lineRule="exact"/>
        <w:rPr>
          <w:sz w:val="20"/>
          <w:szCs w:val="20"/>
          <w:color w:val="auto"/>
        </w:rPr>
      </w:pPr>
    </w:p>
    <w:p>
      <w:pPr>
        <w:ind w:left="7" w:right="60" w:firstLine="360"/>
        <w:spacing w:after="0" w:line="272" w:lineRule="auto"/>
        <w:rPr>
          <w:sz w:val="20"/>
          <w:szCs w:val="20"/>
          <w:color w:val="auto"/>
        </w:rPr>
      </w:pPr>
      <w:r>
        <w:rPr>
          <w:rFonts w:ascii="Arial" w:cs="Arial" w:eastAsia="Arial" w:hAnsi="Arial"/>
          <w:sz w:val="17"/>
          <w:szCs w:val="17"/>
          <w:color w:val="auto"/>
        </w:rPr>
        <w:t>Upon completion of this offering, we will have 17,471,520 shares of common stock outstanding (or 17,978,520 shares if the underwriters exercise their option to purchase additional shares of common stock in full). In addition, we have reserved 2,300,000 shares of common stock for issuance in connection with share-based payment awards that may be granted under the 2019 Plan. The maximum aggregate number of shares of common stock that may be issued pursuant to all awards under the 2019 Plan will increase annually on the first day of each fiscal year after the adoption of the 2019 Plan by the number of common shares equal to the lesser of (i) 3% of the total issued and outstanding shares of common stock on the first day of such fiscal year, and (ii) such lesser amount determined by our board of directors.</w:t>
      </w:r>
    </w:p>
    <w:p>
      <w:pPr>
        <w:spacing w:after="0" w:line="70" w:lineRule="exact"/>
        <w:rPr>
          <w:sz w:val="20"/>
          <w:szCs w:val="20"/>
          <w:color w:val="auto"/>
        </w:rPr>
      </w:pPr>
    </w:p>
    <w:p>
      <w:pPr>
        <w:ind w:left="7" w:right="20" w:firstLine="360"/>
        <w:spacing w:after="0" w:line="255" w:lineRule="auto"/>
        <w:rPr>
          <w:sz w:val="20"/>
          <w:szCs w:val="20"/>
          <w:color w:val="auto"/>
        </w:rPr>
      </w:pPr>
      <w:r>
        <w:rPr>
          <w:rFonts w:ascii="Arial" w:cs="Arial" w:eastAsia="Arial" w:hAnsi="Arial"/>
          <w:sz w:val="18"/>
          <w:szCs w:val="18"/>
          <w:color w:val="auto"/>
        </w:rPr>
        <w:t>All of the 3,380,000 shares of common stock to be sold in this offering (or 3,887,000 shares if the underwriters exercise their option to purchase additional shares in full) will be freely tradable without restriction or further registration under the Securities Act, unless the shares are held by any of our “affiliates” as such term is defined in Rule 144 under the Securities Act, or Rule 144. The remaining 14,091,520 outstanding shares will be deemed to be “restricted securities” as that term is defined in Rule 144. Restricted securities may be resold in the United States only if they are registered for resale under the Securities Act or an exemption from registration is available.</w:t>
      </w:r>
    </w:p>
    <w:p>
      <w:pPr>
        <w:spacing w:after="0" w:line="189"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7" w:right="40" w:firstLine="360"/>
        <w:spacing w:after="0" w:line="271" w:lineRule="auto"/>
        <w:rPr>
          <w:sz w:val="20"/>
          <w:szCs w:val="20"/>
          <w:color w:val="auto"/>
        </w:rPr>
      </w:pPr>
      <w:r>
        <w:rPr>
          <w:rFonts w:ascii="Arial" w:cs="Arial" w:eastAsia="Arial" w:hAnsi="Arial"/>
          <w:sz w:val="17"/>
          <w:szCs w:val="17"/>
          <w:color w:val="auto"/>
        </w:rPr>
        <w:t>We, each of our directors and executive officers, the selling shareholder and certain other principal shareholders, who will own in the aggregate approximately 7,067,096 shares, or approximately 40.4% of our common stock after the completion of this offering (assuming they do not purchase any shares in this offering and that the underwriters do not exercise their option to purchase additional shares), are entering into lock-up agreements under which we and they will generally agree not to sell or otherwise transfer our or their shares for a period of 180 days after the date of this prospectus. These lock-up agreements are subject to certain exceptions. For additional information, see “Underwriting—Lock-Up Agreements.” As a result of these contractual restrictions, shares of our common stock subject to lock-up agreements will not be eligible for sale until these agreements expire or the restrictions are waived by the underwriters.</w:t>
      </w:r>
    </w:p>
    <w:p>
      <w:pPr>
        <w:spacing w:after="0" w:line="71" w:lineRule="exact"/>
        <w:rPr>
          <w:sz w:val="20"/>
          <w:szCs w:val="20"/>
          <w:color w:val="auto"/>
        </w:rPr>
      </w:pPr>
    </w:p>
    <w:p>
      <w:pPr>
        <w:jc w:val="both"/>
        <w:ind w:left="7" w:right="20" w:firstLine="360"/>
        <w:spacing w:after="0" w:line="259" w:lineRule="auto"/>
        <w:rPr>
          <w:sz w:val="20"/>
          <w:szCs w:val="20"/>
          <w:color w:val="auto"/>
        </w:rPr>
      </w:pPr>
      <w:r>
        <w:rPr>
          <w:rFonts w:ascii="Arial" w:cs="Arial" w:eastAsia="Arial" w:hAnsi="Arial"/>
          <w:sz w:val="18"/>
          <w:szCs w:val="18"/>
          <w:color w:val="auto"/>
        </w:rPr>
        <w:t>In addition, we have reserved up to 169,000 shares of our common stock offered by this prospectus for sale through a directed share program, at the initial public offering price, to our directors, executive officers, employees and business associates and certain other related persons who have expressed an interest in purchasing our common stock in this offering. See “Underwriting—Directed Share Program.”</w:t>
      </w:r>
    </w:p>
    <w:p>
      <w:pPr>
        <w:spacing w:after="0" w:line="79" w:lineRule="exact"/>
        <w:rPr>
          <w:sz w:val="20"/>
          <w:szCs w:val="20"/>
          <w:color w:val="auto"/>
        </w:rPr>
      </w:pPr>
    </w:p>
    <w:p>
      <w:pPr>
        <w:ind w:left="7" w:right="80" w:firstLine="360"/>
        <w:spacing w:after="0" w:line="291" w:lineRule="auto"/>
        <w:rPr>
          <w:sz w:val="20"/>
          <w:szCs w:val="20"/>
          <w:color w:val="auto"/>
        </w:rPr>
      </w:pPr>
      <w:r>
        <w:rPr>
          <w:rFonts w:ascii="Arial" w:cs="Arial" w:eastAsia="Arial" w:hAnsi="Arial"/>
          <w:sz w:val="16"/>
          <w:szCs w:val="16"/>
          <w:color w:val="auto"/>
        </w:rPr>
        <w:t>Following the lock-up period, all of the shares of our common stock that are restricted securities or are held by our affiliates as of the date of this prospectus will be eligible for sale in the public market only if (i) they are registered under the Securities Act or</w:t>
      </w:r>
    </w:p>
    <w:p>
      <w:pPr>
        <w:ind w:left="7" w:right="40" w:hanging="7"/>
        <w:spacing w:after="0" w:line="255" w:lineRule="auto"/>
        <w:tabs>
          <w:tab w:leader="none" w:pos="272"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exemption from registration, such as Rule 144, is available. The underwriters do not have any present intention or arrangement to release any shares of our common stock subject to lock-up agreements prior to the expiration of the 180-day lock-up period.</w:t>
      </w:r>
    </w:p>
    <w:p>
      <w:pPr>
        <w:spacing w:after="0" w:line="186"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7" w:firstLine="360"/>
        <w:spacing w:after="0" w:line="272" w:lineRule="auto"/>
        <w:rPr>
          <w:sz w:val="20"/>
          <w:szCs w:val="20"/>
          <w:color w:val="auto"/>
        </w:rPr>
      </w:pPr>
      <w:r>
        <w:rPr>
          <w:rFonts w:ascii="Arial" w:cs="Arial" w:eastAsia="Arial" w:hAnsi="Arial"/>
          <w:sz w:val="17"/>
          <w:szCs w:val="17"/>
          <w:color w:val="auto"/>
        </w:rPr>
        <w:t>In general, a person who has beneficially owned restricted shares of our common stock for at least six months would be entitled to sell such securities, provided that (i) such person is not deemed to have been one of our affiliates at the time of, or at any time during the 90 days preceding, the sale and (ii) we are subject to the Exchange Act periodic reporting requirements for at least 90 days before the sale, subject only to the availability of current public information regarding us. A person who is not deemed to have been one of our affiliates at the time of, or at any time during the 90 days preceding, the sale, and who has beneficially owned for at least one year shares of our common stock that are restricted securities, will be entitled to freely sell such shares under Rule 144 without regard to the current public information requirements of Rule 144.</w:t>
      </w:r>
    </w:p>
    <w:p>
      <w:pPr>
        <w:spacing w:after="0" w:line="178"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40" w:name="page141"/>
    <w:bookmarkEnd w:id="14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firstLine="360"/>
        <w:spacing w:after="0" w:line="312" w:lineRule="auto"/>
        <w:rPr>
          <w:sz w:val="20"/>
          <w:szCs w:val="20"/>
          <w:color w:val="auto"/>
        </w:rPr>
      </w:pPr>
      <w:r>
        <w:rPr>
          <w:rFonts w:ascii="Arial" w:cs="Arial" w:eastAsia="Arial" w:hAnsi="Arial"/>
          <w:sz w:val="16"/>
          <w:szCs w:val="16"/>
          <w:color w:val="auto"/>
        </w:rPr>
        <w:t>Persons who have beneficially owned restricted shares of our common stock for at least six months but who are our affiliates at the time of, or any time during the 90 days preceding, the sale, would be subject to additional restrictions, by which such person would be entitled to sell within any three-month period only a number of securities that does not exceed the greater of the following:</w:t>
      </w:r>
    </w:p>
    <w:p>
      <w:pPr>
        <w:spacing w:after="0" w:line="39" w:lineRule="exact"/>
        <w:rPr>
          <w:sz w:val="20"/>
          <w:szCs w:val="20"/>
          <w:color w:val="auto"/>
        </w:rPr>
      </w:pPr>
    </w:p>
    <w:p>
      <w:pPr>
        <w:ind w:left="700" w:right="540" w:hanging="356"/>
        <w:spacing w:after="0" w:line="277" w:lineRule="auto"/>
        <w:tabs>
          <w:tab w:leader="none" w:pos="7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1% of the number of shares of our common stock then outstanding, which will equal approximately 174,715 shares immediately after this offering; or</w:t>
      </w:r>
    </w:p>
    <w:p>
      <w:pPr>
        <w:spacing w:after="0" w:line="62" w:lineRule="exact"/>
        <w:rPr>
          <w:rFonts w:ascii="Arial" w:cs="Arial" w:eastAsia="Arial" w:hAnsi="Arial"/>
          <w:sz w:val="18"/>
          <w:szCs w:val="18"/>
          <w:color w:val="auto"/>
        </w:rPr>
      </w:pPr>
    </w:p>
    <w:p>
      <w:pPr>
        <w:ind w:left="700" w:right="80" w:hanging="356"/>
        <w:spacing w:after="0" w:line="277" w:lineRule="auto"/>
        <w:tabs>
          <w:tab w:leader="none" w:pos="7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the NASDAQ Global Select Market during the four calendar weeks preceding the filing of a notice on Form 144 with respect to the sale;</w:t>
      </w:r>
    </w:p>
    <w:p>
      <w:pPr>
        <w:spacing w:after="0" w:line="6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provided, in each case, that we are subject to the Exchange Act periodic reporting requirements for at least 90 days before the sale. Such sales both by affiliates and by non-affiliates must also comply with the manner of sale and notice provisions of Rule 144 to the extent applicable.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Statement on Form S-8</w:t>
      </w:r>
    </w:p>
    <w:p>
      <w:pPr>
        <w:spacing w:after="0" w:line="121" w:lineRule="exact"/>
        <w:rPr>
          <w:sz w:val="20"/>
          <w:szCs w:val="20"/>
          <w:color w:val="auto"/>
        </w:rPr>
      </w:pPr>
    </w:p>
    <w:p>
      <w:pPr>
        <w:ind w:right="60" w:firstLine="360"/>
        <w:spacing w:after="0" w:line="293" w:lineRule="auto"/>
        <w:rPr>
          <w:sz w:val="20"/>
          <w:szCs w:val="20"/>
          <w:color w:val="auto"/>
        </w:rPr>
      </w:pPr>
      <w:r>
        <w:rPr>
          <w:rFonts w:ascii="Arial" w:cs="Arial" w:eastAsia="Arial" w:hAnsi="Arial"/>
          <w:sz w:val="16"/>
          <w:szCs w:val="16"/>
          <w:color w:val="auto"/>
        </w:rPr>
        <w:t>In connection with or as soon as practicable following the completion of this offering, we intend to file a registration statement with the SEC on Form S-8 to register an aggregate of 3,455,960 shares of our common stock reserved for future issuance under the 2019 Plan and an indeterminate amount of plan interests in our common stock to be offered and sold pursuant to the ESOP. That registration statement will become effective upon filing and shares of common stock covered by such registration statement will be eligible for sale in the public market immediately after the effective date of such registration statement (unless held by affiliates) subject to the lock-up agreements described below and the Rule 144 restrictions described above.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41" w:name="page142"/>
    <w:bookmarkEnd w:id="14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UNITED STATES FEDERAL INCOME TAX CONSIDERATIONS</w:t>
      </w:r>
    </w:p>
    <w:p>
      <w:pPr>
        <w:spacing w:after="0" w:line="121" w:lineRule="exact"/>
        <w:rPr>
          <w:sz w:val="20"/>
          <w:szCs w:val="20"/>
          <w:color w:val="auto"/>
        </w:rPr>
      </w:pPr>
    </w:p>
    <w:p>
      <w:pPr>
        <w:ind w:firstLine="360"/>
        <w:spacing w:after="0" w:line="284" w:lineRule="auto"/>
        <w:rPr>
          <w:sz w:val="20"/>
          <w:szCs w:val="20"/>
          <w:color w:val="auto"/>
        </w:rPr>
      </w:pPr>
      <w:r>
        <w:rPr>
          <w:rFonts w:ascii="Arial" w:cs="Arial" w:eastAsia="Arial" w:hAnsi="Arial"/>
          <w:sz w:val="16"/>
          <w:szCs w:val="16"/>
          <w:color w:val="auto"/>
        </w:rPr>
        <w:t>The following is a summary of the material United States federal income tax consequences relevant to (i) non-U.S. holders, as defined below, of the purchase, ownership and disposition of our common stock acquired pursuant to this offering, and (ii) existing shareholders of the Company with respect to their existing shares of common stock there were owned as of the date of the revocation of the Company’s election to be treated as an S Corporation for federal income tax purposes. The following summary is based on the provisions of the Code, the applicable United States federal income tax regulations promulgated under the Code, or the Treasury Regulations, and judicial and administrative authority as of the date hereof, all of which are subject to change, possibly with retroactive effect. We have not sought and do not plan to seek any ruling from the IRS with respect to the statements made and the conclusions reached in the following discussion, and we cannot assure you that the IRS or a court will agree with our statements and conclusions. Except as otherwise provided herein with respect to existing shareholders of the Company with respect to certain existing shares of common stock, this summary does not consider the consequences related to state, local, gift, estate, or foreign tax or the Medicare tax on certain investment income, nor does it address tax consequences to special classes of investors including, but not limited to, tax-exempt organizations, insurance companies, banks or other financial institutions, qualified foreign pension funds (or any entities all of the interests of which are held by a qualified foreign pension fund), partnerships or other entities classified as partnerships for United States federal income tax purposes, dealers in securities or foreign currencies, persons liable for the alternative minimum tax, regulated investment companies, real estate investment trusts, controlled foreign corporations, passive foreign investment companies, United States expatriates or United States expatriated entities, those who are subject to the United States anti-inversion rules, traders in securities that elect to use a mark-to-market method of accounting for their securities holdings, persons who have acquired our common stock as compensation or otherwise in connection with the performance of services, persons deemed to sell our common stock under the constructive sale provisions of the Code, or persons that will hold our common stock as a position in a hedging transaction, “straddle,” “conversion transaction,” synthetic security or other integrated investment or risk reduction transaction. Tax consequences may vary depending upon the particular status of an investor. Except as otherwise provided herein with respect to existing shareholders of the Company with respect to certain existing shares of common stock, the summary is limited to non-U.S. holders who will hold our common stock as capital assets (generally, property held for investment) within the meaning of Section 1221 of the Code. Each potential non-U.S. investor should consult its own tax advisor as to the United States federal, state, local, foreign and any other tax consequences of the purchase, ownership and disposition of our common stock.</w:t>
      </w:r>
    </w:p>
    <w:p>
      <w:pPr>
        <w:spacing w:after="0" w:line="283"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b w:val="1"/>
          <w:bCs w:val="1"/>
          <w:i w:val="1"/>
          <w:iCs w:val="1"/>
          <w:color w:val="auto"/>
        </w:rPr>
        <w:t xml:space="preserve">Certain Material Federal Income Tax Consequences for Existing Shareholders of the Company. </w:t>
      </w:r>
      <w:r>
        <w:rPr>
          <w:rFonts w:ascii="Arial" w:cs="Arial" w:eastAsia="Arial" w:hAnsi="Arial"/>
          <w:sz w:val="16"/>
          <w:szCs w:val="16"/>
          <w:color w:val="auto"/>
        </w:rPr>
        <w:t>Effective May 31, 2018,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revoked its election to be taxed for U.S. federal and applicable state income tax purposes as an S Corporation. This revocation resulted in our taxable income no longer being “passed through” to our shareholders for purposes of U.S. federal and applicable state income tax purposes. As a result, our earnings are now subject to, and we pay, U.S. federal and applicable state corporate income tax. In addition, we now include U.S. federal income tax in our consolidated financial statements.</w:t>
      </w:r>
    </w:p>
    <w:p>
      <w:pPr>
        <w:spacing w:after="0" w:line="50"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color w:val="auto"/>
        </w:rPr>
        <w:t>The revocation was made primarily as a result of the decrease in the level of taxation of a C Corporation contained in the Tax Reform Act, which did not contain a similar decrease for S Corporations. The revocation of the Company’s S Corporation election has other benefits including, but not limited to, the ability of the Company to have multiple classes of stock outstanding and increased access to capital markets.</w:t>
      </w:r>
    </w:p>
    <w:p>
      <w:pPr>
        <w:spacing w:after="0" w:line="79"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Cash distributions made by a former S Corporation within one year of the termination of its S Corporation election are generally treated first as a distribution of that former S Corporation’s accumulated adjustments account, referred to as a distribution of AAA. Amounts treated as a distribution of AAA are treated as a tax-free return of the shareholder’s tax basis in their stock, to the extent of the shareholder’s tax basis. This special treatment is generally only available with respect to cash distributions to shareholders of the Company who were S Corporation shareholders of the Company at the time of the revocation. To take advantage of this special treatment, the Company made cash distributions of AAA of $12.5 million in each of June 2018 and December 2018. These distributions did not completely eliminate the Company’s remaining AAA. Each shareholder of the Company who receives a fully or partially tax-free distribution of the Company’s AAA will reduce his, her or its’ tax basis in the Company’s stock by the amount treated as a tax-free return of the Company’s AAA.</w:t>
      </w:r>
    </w:p>
    <w:p>
      <w:pPr>
        <w:spacing w:after="0" w:line="74" w:lineRule="exact"/>
        <w:rPr>
          <w:sz w:val="20"/>
          <w:szCs w:val="20"/>
          <w:color w:val="auto"/>
        </w:rPr>
      </w:pPr>
    </w:p>
    <w:p>
      <w:pPr>
        <w:ind w:right="800" w:firstLine="360"/>
        <w:spacing w:after="0" w:line="277" w:lineRule="auto"/>
        <w:rPr>
          <w:sz w:val="20"/>
          <w:szCs w:val="20"/>
          <w:color w:val="auto"/>
        </w:rPr>
      </w:pPr>
      <w:r>
        <w:rPr>
          <w:rFonts w:ascii="Arial" w:cs="Arial" w:eastAsia="Arial" w:hAnsi="Arial"/>
          <w:sz w:val="18"/>
          <w:szCs w:val="18"/>
          <w:color w:val="auto"/>
        </w:rPr>
        <w:t>To the extent that the Company still has a remaining balance in its AAA as of 12 months after the revocation of its S Corporation election, the Tax Reform Act provides an opportunity for the Company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42" w:name="page143"/>
    <w:bookmarkEnd w:id="142"/>
    <w:p>
      <w:pPr>
        <w:ind w:left="7"/>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
        <w:spacing w:after="0" w:line="283" w:lineRule="auto"/>
        <w:rPr>
          <w:sz w:val="20"/>
          <w:szCs w:val="20"/>
          <w:color w:val="auto"/>
        </w:rPr>
      </w:pPr>
      <w:r>
        <w:rPr>
          <w:rFonts w:ascii="Arial" w:cs="Arial" w:eastAsia="Arial" w:hAnsi="Arial"/>
          <w:sz w:val="16"/>
          <w:szCs w:val="16"/>
          <w:color w:val="auto"/>
        </w:rPr>
        <w:t>continue to treat a portion of its cash distribution as being made partially out of its AAA. Under the Tax Reform Act, cash distributions by an “eligible terminated S Corporation” to its shareholders more than 12 months after the revocation of its S Corporation election will be treated for federal income tax purposes as made out of both undistributed C Corporation earnings and profits and the former S Corporation’s AAA in proportion to the corporation’s undistributed C Corporation earnings and profits and the corporation’s undistributed AAA. This may permit a portion of cash distributions to its shareholders after the first year following an S Corporation revocation to continue to be treated as a tax-free return of basis. To qualify for this special treatment, the Company must have been an S Corporation on December 21, 2017, the shareholders of the Company as of December 22, 2017 must be the same shareholders and hold their shares in the same percentages on the date that the S Corporation election is revoked and the revocation must occur within the 2 year period beginning on December 22, 2017. The Company believes that it qualifies for this benefit and this benefit should be available with respect to cash distributions more than one year after the revocation of the Company’s S Corporation election to shareholders of the Company who were shareholders at the time of the revocation. It is currently unclear whether this special treatment is available to Company shareholders who were not shareholders in the Company at the time of the revocation or with respect to additional shares acquired by existing shareholders in the Company after the time of the revocation. Neither the Code nor the Treasury Regulations provide clear guidance regarding which shareholders are eligible for this special treatment. The Company intends to closely monitor IRS guidance regarding partially tax-free distributions of the Company’s</w:t>
      </w:r>
    </w:p>
    <w:p>
      <w:pPr>
        <w:spacing w:after="0" w:line="1" w:lineRule="exact"/>
        <w:rPr>
          <w:sz w:val="20"/>
          <w:szCs w:val="20"/>
          <w:color w:val="auto"/>
        </w:rPr>
      </w:pPr>
    </w:p>
    <w:p>
      <w:pPr>
        <w:ind w:left="7" w:right="140" w:hanging="7"/>
        <w:spacing w:after="0" w:line="255" w:lineRule="auto"/>
        <w:tabs>
          <w:tab w:leader="none" w:pos="442" w:val="left"/>
        </w:tabs>
        <w:numPr>
          <w:ilvl w:val="0"/>
          <w:numId w:val="72"/>
        </w:numPr>
        <w:rPr>
          <w:rFonts w:ascii="Arial" w:cs="Arial" w:eastAsia="Arial" w:hAnsi="Arial"/>
          <w:sz w:val="18"/>
          <w:szCs w:val="18"/>
          <w:color w:val="auto"/>
        </w:rPr>
      </w:pPr>
      <w:r>
        <w:rPr>
          <w:rFonts w:ascii="Arial" w:cs="Arial" w:eastAsia="Arial" w:hAnsi="Arial"/>
          <w:sz w:val="18"/>
          <w:szCs w:val="18"/>
          <w:color w:val="auto"/>
        </w:rPr>
        <w:t>after the first year following revocation and will treat distributions to its shareholders in accordance with applicable IRS guidance. Shareholders should consult with their tax advisors regarding the possible application of these rules to cash distributions by the Company more than one year after the date of the revocation.</w:t>
      </w:r>
    </w:p>
    <w:p>
      <w:pPr>
        <w:spacing w:after="0" w:line="82" w:lineRule="exact"/>
        <w:rPr>
          <w:sz w:val="20"/>
          <w:szCs w:val="20"/>
          <w:color w:val="auto"/>
        </w:rPr>
      </w:pPr>
    </w:p>
    <w:p>
      <w:pPr>
        <w:ind w:left="7" w:right="220" w:firstLine="360"/>
        <w:spacing w:after="0" w:line="259" w:lineRule="auto"/>
        <w:rPr>
          <w:sz w:val="20"/>
          <w:szCs w:val="20"/>
          <w:color w:val="auto"/>
        </w:rPr>
      </w:pPr>
      <w:r>
        <w:rPr>
          <w:rFonts w:ascii="Arial" w:cs="Arial" w:eastAsia="Arial" w:hAnsi="Arial"/>
          <w:sz w:val="18"/>
          <w:szCs w:val="18"/>
          <w:b w:val="1"/>
          <w:bCs w:val="1"/>
          <w:i w:val="1"/>
          <w:iCs w:val="1"/>
          <w:color w:val="auto"/>
        </w:rPr>
        <w:t xml:space="preserve">Certain Material Federal Income Tax Consequences for Non-U.S. Holders. </w:t>
      </w:r>
      <w:r>
        <w:rPr>
          <w:rFonts w:ascii="Arial" w:cs="Arial" w:eastAsia="Arial" w:hAnsi="Arial"/>
          <w:sz w:val="18"/>
          <w:szCs w:val="18"/>
          <w:color w:val="auto"/>
        </w:rPr>
        <w:t>For purposes of this document, a “non-U.S.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 is any beneficial owner of our common stock that is neither a “U.S. person” nor an entity treated as a partnership for U.S. federal income tax purposes. A U.S. person is any person that, for U.S. federal income tax purposes, is or is treated as any of the following:</w:t>
      </w:r>
    </w:p>
    <w:p>
      <w:pPr>
        <w:spacing w:after="0" w:line="79" w:lineRule="exact"/>
        <w:rPr>
          <w:sz w:val="20"/>
          <w:szCs w:val="20"/>
          <w:color w:val="auto"/>
        </w:rPr>
      </w:pPr>
    </w:p>
    <w:p>
      <w:pPr>
        <w:ind w:left="707" w:right="440" w:hanging="356"/>
        <w:spacing w:after="0" w:line="277" w:lineRule="auto"/>
        <w:tabs>
          <w:tab w:leader="none" w:pos="707"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 (and certain former citizens and residents of the United States subject to U.S. tax as expatriates);</w:t>
      </w:r>
    </w:p>
    <w:p>
      <w:pPr>
        <w:spacing w:after="0" w:line="62" w:lineRule="exact"/>
        <w:rPr>
          <w:rFonts w:ascii="Arial" w:cs="Arial" w:eastAsia="Arial" w:hAnsi="Arial"/>
          <w:sz w:val="18"/>
          <w:szCs w:val="18"/>
          <w:color w:val="auto"/>
        </w:rPr>
      </w:pPr>
    </w:p>
    <w:p>
      <w:pPr>
        <w:ind w:left="707" w:right="20" w:hanging="356"/>
        <w:spacing w:after="0" w:line="277" w:lineRule="auto"/>
        <w:tabs>
          <w:tab w:leader="none" w:pos="707"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corporation (or other entity that is taxable as a corporation) created or organized in the United States or under the laws of the United States or of any State (or the District of Columbia);</w:t>
      </w:r>
    </w:p>
    <w:p>
      <w:pPr>
        <w:spacing w:after="0" w:line="62" w:lineRule="exact"/>
        <w:rPr>
          <w:rFonts w:ascii="Arial" w:cs="Arial" w:eastAsia="Arial" w:hAnsi="Arial"/>
          <w:sz w:val="18"/>
          <w:szCs w:val="18"/>
          <w:color w:val="auto"/>
        </w:rPr>
      </w:pPr>
    </w:p>
    <w:p>
      <w:pPr>
        <w:ind w:left="707" w:right="100" w:hanging="356"/>
        <w:spacing w:after="0" w:line="277" w:lineRule="auto"/>
        <w:tabs>
          <w:tab w:leader="none" w:pos="707"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62" w:lineRule="exact"/>
        <w:rPr>
          <w:rFonts w:ascii="Arial" w:cs="Arial" w:eastAsia="Arial" w:hAnsi="Arial"/>
          <w:sz w:val="18"/>
          <w:szCs w:val="18"/>
          <w:color w:val="auto"/>
        </w:rPr>
      </w:pPr>
    </w:p>
    <w:p>
      <w:pPr>
        <w:ind w:left="707" w:right="40" w:hanging="356"/>
        <w:spacing w:after="0" w:line="312" w:lineRule="auto"/>
        <w:tabs>
          <w:tab w:leader="none" w:pos="707" w:val="left"/>
        </w:tabs>
        <w:numPr>
          <w:ilvl w:val="0"/>
          <w:numId w:val="73"/>
        </w:numPr>
        <w:rPr>
          <w:rFonts w:ascii="Arial" w:cs="Arial" w:eastAsia="Arial" w:hAnsi="Arial"/>
          <w:sz w:val="16"/>
          <w:szCs w:val="16"/>
          <w:color w:val="auto"/>
        </w:rPr>
      </w:pPr>
      <w:r>
        <w:rPr>
          <w:rFonts w:ascii="Arial" w:cs="Arial" w:eastAsia="Arial" w:hAnsi="Arial"/>
          <w:sz w:val="16"/>
          <w:szCs w:val="16"/>
          <w:color w:val="auto"/>
        </w:rPr>
        <w:t>a trust: (A) the administration of which is subject to the primary supervision of a United States court and which has one or more United States persons who have the authority to control all substantial decisions of the trust; or (B) that was in existence on August 20, 1996, was treated as a U.S. person on the previous day, and elected to continue to be so treated.</w:t>
      </w:r>
    </w:p>
    <w:p>
      <w:pPr>
        <w:spacing w:after="0" w:line="39" w:lineRule="exact"/>
        <w:rPr>
          <w:sz w:val="20"/>
          <w:szCs w:val="20"/>
          <w:color w:val="auto"/>
        </w:rPr>
      </w:pPr>
    </w:p>
    <w:p>
      <w:pPr>
        <w:jc w:val="both"/>
        <w:ind w:left="7" w:right="60" w:firstLine="360"/>
        <w:spacing w:after="0" w:line="302" w:lineRule="auto"/>
        <w:rPr>
          <w:sz w:val="20"/>
          <w:szCs w:val="20"/>
          <w:color w:val="auto"/>
        </w:rPr>
      </w:pPr>
      <w:r>
        <w:rPr>
          <w:rFonts w:ascii="Arial" w:cs="Arial" w:eastAsia="Arial" w:hAnsi="Arial"/>
          <w:sz w:val="16"/>
          <w:szCs w:val="16"/>
          <w:color w:val="auto"/>
        </w:rPr>
        <w:t>If an entity or arrangement treated as a partnership for United States federal income tax purposes holds our common stock, the tax treatment of a partner in the partnership will generally depend upon the status of the partner and the activities of the partnership. If you are a partnership or treated as a partner in an entity or arrangement treated as a partnership that holds our common stock, you should consult your tax advisor as to the United States federal income tax consequences applicable to you.</w:t>
      </w:r>
    </w:p>
    <w:p>
      <w:pPr>
        <w:spacing w:after="0" w:line="150"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left="7" w:right="20" w:firstLine="360"/>
        <w:spacing w:after="0" w:line="254" w:lineRule="auto"/>
        <w:rPr>
          <w:sz w:val="20"/>
          <w:szCs w:val="20"/>
          <w:color w:val="auto"/>
        </w:rPr>
      </w:pPr>
      <w:r>
        <w:rPr>
          <w:rFonts w:ascii="Arial" w:cs="Arial" w:eastAsia="Arial" w:hAnsi="Arial"/>
          <w:sz w:val="18"/>
          <w:szCs w:val="18"/>
          <w:color w:val="auto"/>
        </w:rPr>
        <w:t>Distributions of cash or property (other than certain stock distributions) with respect to our common stock will be treated as dividends when paid to the extent of our current and accumulated earnings and profits as of the end of our taxable year of the distribution, determined for United States federal income tax purposes. To the extent any such distributions exceed both our current and accumulated earnings and profits, such excess amount will first be treated as a tax-free return of capital reducing your adjusted tax basis in our common stock, but not below zero, and thereafter will be treated as gain from the sale or other taxable disposition of such stock, the treatment of which is discussed under “Gain on Disposition of Shares of Common Stock.” Your adjusted tax basis in a share of our common stock is generally your purchase price for such share, reduced (but not below zero) by the amount of such prior tax free returns of capital.</w:t>
      </w:r>
    </w:p>
    <w:p>
      <w:pPr>
        <w:spacing w:after="0" w:line="192"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sectPr>
      </w:pPr>
    </w:p>
    <w:bookmarkStart w:id="143" w:name="page144"/>
    <w:bookmarkEnd w:id="14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Subject to the withholding requirements of the Foreign Account Tax Compliance Act, or FATCA, and with respect to effectively connected dividends, each of which is described below, dividends paid to a Non-U.S. Holder with respect to shares of our common stock will be subject to withholding of United States federal income tax at a 30% gross rate or at a lower rate if you are eligible for the benefits of an income tax treaty that provides for a lower rate.</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To claim the benefit of a lower treaty rate with respect to dividends paid to you, you must furnish to us or our paying agent:</w:t>
      </w:r>
    </w:p>
    <w:p>
      <w:pPr>
        <w:spacing w:after="0" w:line="129" w:lineRule="exact"/>
        <w:rPr>
          <w:sz w:val="20"/>
          <w:szCs w:val="20"/>
          <w:color w:val="auto"/>
        </w:rPr>
      </w:pPr>
    </w:p>
    <w:p>
      <w:pPr>
        <w:ind w:left="700" w:right="280" w:hanging="356"/>
        <w:spacing w:after="0" w:line="342" w:lineRule="auto"/>
        <w:tabs>
          <w:tab w:leader="none" w:pos="7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 valid IRS Form W-8BEN, W-8BEN-E or an acceptable substitute form upon which you certify, under penalties of perjury, your status as a non-U.S. person and your entitlement to the lower treaty rate with respect to such payments, or</w:t>
      </w:r>
    </w:p>
    <w:p>
      <w:pPr>
        <w:spacing w:after="0" w:line="15" w:lineRule="exact"/>
        <w:rPr>
          <w:rFonts w:ascii="Arial" w:cs="Arial" w:eastAsia="Arial" w:hAnsi="Arial"/>
          <w:sz w:val="16"/>
          <w:szCs w:val="16"/>
          <w:color w:val="auto"/>
        </w:rPr>
      </w:pPr>
    </w:p>
    <w:p>
      <w:pPr>
        <w:ind w:left="700" w:right="260" w:hanging="356"/>
        <w:spacing w:after="0" w:line="308" w:lineRule="auto"/>
        <w:tabs>
          <w:tab w:leader="none" w:pos="7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if our common stock is held through certain foreign intermediaries or foreign partnerships, other documentary evidence establishing your entitlement to the lower treaty rate in accordance with Treasury Regulations.</w:t>
      </w:r>
    </w:p>
    <w:p>
      <w:pPr>
        <w:spacing w:after="0" w:line="38" w:lineRule="exact"/>
        <w:rPr>
          <w:sz w:val="20"/>
          <w:szCs w:val="20"/>
          <w:color w:val="auto"/>
        </w:rPr>
      </w:pPr>
    </w:p>
    <w:p>
      <w:pPr>
        <w:ind w:right="60" w:firstLine="360"/>
        <w:spacing w:after="0" w:line="308" w:lineRule="auto"/>
        <w:rPr>
          <w:sz w:val="20"/>
          <w:szCs w:val="20"/>
          <w:color w:val="auto"/>
        </w:rPr>
      </w:pPr>
      <w:r>
        <w:rPr>
          <w:rFonts w:ascii="Arial" w:cs="Arial" w:eastAsia="Arial" w:hAnsi="Arial"/>
          <w:sz w:val="17"/>
          <w:szCs w:val="17"/>
          <w:color w:val="auto"/>
        </w:rPr>
        <w:t>This certification must be provided to us or our paying agent prior to the payment to you of any dividends and must be updated periodically, including upon a change in circumstances that makes any information on such certificate incorrect.</w:t>
      </w:r>
    </w:p>
    <w:p>
      <w:pPr>
        <w:spacing w:after="0" w:line="38" w:lineRule="exact"/>
        <w:rPr>
          <w:sz w:val="20"/>
          <w:szCs w:val="20"/>
          <w:color w:val="auto"/>
        </w:rPr>
      </w:pPr>
    </w:p>
    <w:p>
      <w:pPr>
        <w:ind w:right="580" w:firstLine="360"/>
        <w:spacing w:after="0" w:line="277" w:lineRule="auto"/>
        <w:rPr>
          <w:sz w:val="20"/>
          <w:szCs w:val="20"/>
          <w:color w:val="auto"/>
        </w:rPr>
      </w:pPr>
      <w:r>
        <w:rPr>
          <w:rFonts w:ascii="Arial" w:cs="Arial" w:eastAsia="Arial" w:hAnsi="Arial"/>
          <w:sz w:val="18"/>
          <w:szCs w:val="18"/>
          <w:color w:val="auto"/>
        </w:rPr>
        <w:t>If you are eligible for a reduced rate of U.S. withholding tax under a tax treaty, you may obtain a refund of any amounts withheld in excess of that rate by timely filing a refund claim with the IRS.</w:t>
      </w:r>
    </w:p>
    <w:p>
      <w:pPr>
        <w:spacing w:after="0" w:line="62"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If dividends paid to you are “effectively connected” with your conduct of a trade or business within the United States, and, if required by a tax treaty, the dividends are attributable to a permanent establishment (or, in the case of an individual, a fixed base) that you maintain in the United States, you will be taxed on a net income basis at applicable graduated individual or corporate tax rates in generally the same manner as if you were a U.S. person as defined under the Code, unless an applicable income tax treaty provides otherwise. However, we generally are not required to withhold tax from effectively connected dividends, provided that you have furnished to us or our paying agent a valid IRS Form W-8ECI or an acceptable substitute form upon which you represent, under penalties of perjury, that:</w:t>
      </w:r>
    </w:p>
    <w:p>
      <w:pPr>
        <w:spacing w:after="0" w:line="81" w:lineRule="exact"/>
        <w:rPr>
          <w:sz w:val="20"/>
          <w:szCs w:val="20"/>
          <w:color w:val="auto"/>
        </w:rPr>
      </w:pPr>
    </w:p>
    <w:p>
      <w:pPr>
        <w:ind w:left="700" w:hanging="356"/>
        <w:spacing w:after="0"/>
        <w:tabs>
          <w:tab w:leader="none" w:pos="7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you are a non-U.S. person; and</w:t>
      </w:r>
    </w:p>
    <w:p>
      <w:pPr>
        <w:spacing w:after="0" w:line="117" w:lineRule="exact"/>
        <w:rPr>
          <w:rFonts w:ascii="Arial" w:cs="Arial" w:eastAsia="Arial" w:hAnsi="Arial"/>
          <w:sz w:val="18"/>
          <w:szCs w:val="18"/>
          <w:color w:val="auto"/>
        </w:rPr>
      </w:pPr>
    </w:p>
    <w:p>
      <w:pPr>
        <w:ind w:left="700" w:hanging="356"/>
        <w:spacing w:after="0" w:line="277" w:lineRule="auto"/>
        <w:tabs>
          <w:tab w:leader="none" w:pos="7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dividends are effectively connected with your conduct of a trade or business within the United States and are includible in your gross income.</w:t>
      </w:r>
    </w:p>
    <w:p>
      <w:pPr>
        <w:spacing w:after="0" w:line="62" w:lineRule="exact"/>
        <w:rPr>
          <w:sz w:val="20"/>
          <w:szCs w:val="20"/>
          <w:color w:val="auto"/>
        </w:rPr>
      </w:pPr>
    </w:p>
    <w:p>
      <w:pPr>
        <w:ind w:right="40" w:firstLine="360"/>
        <w:spacing w:after="0" w:line="264" w:lineRule="auto"/>
        <w:rPr>
          <w:sz w:val="20"/>
          <w:szCs w:val="20"/>
          <w:color w:val="auto"/>
        </w:rPr>
      </w:pPr>
      <w:r>
        <w:rPr>
          <w:rFonts w:ascii="Arial" w:cs="Arial" w:eastAsia="Arial" w:hAnsi="Arial"/>
          <w:sz w:val="18"/>
          <w:szCs w:val="18"/>
          <w:color w:val="auto"/>
        </w:rPr>
        <w:t>If you are a corporate non-U.S. holder, effectively connected dividends that you receive may, under certain circumstances, be subject to an additional “branch profits tax” at a 30% gross rate, or at a lower rate if you are eligible for the benefits of an applicable income tax treaty.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Shares of Common Stock</w:t>
      </w:r>
    </w:p>
    <w:p>
      <w:pPr>
        <w:spacing w:after="0" w:line="121" w:lineRule="exact"/>
        <w:rPr>
          <w:sz w:val="20"/>
          <w:szCs w:val="20"/>
          <w:color w:val="auto"/>
        </w:rPr>
      </w:pPr>
    </w:p>
    <w:p>
      <w:pPr>
        <w:ind w:firstLine="360"/>
        <w:spacing w:after="0" w:line="253" w:lineRule="auto"/>
        <w:rPr>
          <w:sz w:val="20"/>
          <w:szCs w:val="20"/>
          <w:color w:val="auto"/>
        </w:rPr>
      </w:pPr>
      <w:r>
        <w:rPr>
          <w:rFonts w:ascii="Arial" w:cs="Arial" w:eastAsia="Arial" w:hAnsi="Arial"/>
          <w:sz w:val="18"/>
          <w:szCs w:val="18"/>
          <w:color w:val="auto"/>
        </w:rPr>
        <w:t>Subject to the discussions below regarding backup withholding and FATCA, as a non-U.S. holder, you generally will not be subject to United States federal income or withholding tax on gain realized on the sale, exchange or other disposition of our common stock unless (i) you are an individual who is present in the United States for 183 or more days in the taxable year of the sale or other disposition and certain other conditions exist, (ii) the gain is “effectively connected” with your conduct of a trade or business in the United States, and the gain is attributable to a permanent establishment (or, in the case of a non-U.S. individual, a fixed base) that you maintain in the United States, if such permanent establishment or fixed base is required by an applicable income tax treaty as a condition to subjecting you to United States taxation on a net income basis; or (iii) we are or have been a U.S. real property holding corporation, or USRPHC, for United States federal income tax purposes at any time during the shorter of the five-year period ending on the date of the disposition or the period that you held shares of our common stock, and certain other conditions are met.</w:t>
      </w:r>
    </w:p>
    <w:p>
      <w:pPr>
        <w:spacing w:after="0" w:line="87" w:lineRule="exact"/>
        <w:rPr>
          <w:sz w:val="20"/>
          <w:szCs w:val="20"/>
          <w:color w:val="auto"/>
        </w:rPr>
      </w:pPr>
    </w:p>
    <w:p>
      <w:pPr>
        <w:ind w:right="200" w:firstLine="360"/>
        <w:spacing w:after="0" w:line="257" w:lineRule="auto"/>
        <w:rPr>
          <w:sz w:val="20"/>
          <w:szCs w:val="20"/>
          <w:color w:val="auto"/>
        </w:rPr>
      </w:pPr>
      <w:r>
        <w:rPr>
          <w:rFonts w:ascii="Arial" w:cs="Arial" w:eastAsia="Arial" w:hAnsi="Arial"/>
          <w:sz w:val="18"/>
          <w:szCs w:val="18"/>
          <w:color w:val="auto"/>
        </w:rPr>
        <w:t>If you are an individual described in (i) above, you will be subject to a 30% tax (or such lower rate as may be specified by an applicable income tax treaty) on the net gain derived from the sale, which may be offset by certain United States source capital losses, if any, recognized in the taxable year of the disposition of our common stock. If you are a non-U.S. holder described in (ii) above, gain recognized on the sale generally will be subject to United States federal income tax at graduated United States federal income tax rates on a net income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44" w:name="page145"/>
    <w:bookmarkEnd w:id="14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basis and in generally the same manner as if the non-U.S. holder were a U.S. person as defined in the Code, unless an applicable income tax treaty provides otherwise. Additionally, a non-U.S. holder that is a corporation may be subject to the branch profits tax equal to 30% of its effectively connected earnings and profits, subject to certain adjustments, or at such lower rate as may be specified by an applicable income tax treaty.</w:t>
      </w:r>
    </w:p>
    <w:p>
      <w:pPr>
        <w:spacing w:after="0" w:line="79"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color w:val="auto"/>
        </w:rPr>
        <w:t>Although we have not made a determination, we believe that we are not currently and we do not expect to become a USRPHC in the foreseeable future. Generally, a corporation is a USRPHC if the fair market value of its United States real property interests equals or exceeds 50% of the sum of the fair market value of its worldwide real property interests and its other assets used or held for use in a trade or business. In the event that we become a USRPHC, as long as our common stock is and continues to be “regularly traded on an established securities market” (within the meaning of the U.S. Treasury Regulations), only a non-U.S. holder that actually or constructively owns, or owned at any time during the shorter of the five-year period ending on the date of the disposition or the non-U.S. holder’s holding period for our common stock, more than 5% of our common stock will be treated as disposing of a U.S. real property interest and will be taxable on gain realized on the disposition of our common stock as a result of our status as a USRPHC. If we were to become a USRPHC and our common stock were not considered to be regularly traded on an established securities market, such holder (regardless of the percentage of stock owned) would be treated as disposing of a U.S. real property interest and would be subject to U.S. federal income tax on a taxable disposition of our common stock (as described in the preceding paragraph), and a 10% withholding tax would apply to the gross proceeds from such disposition unless the holder is able to obtain a withholding certificate from the IRS reducing or eliminating the amount to be withheld, or otherwise qualifies for an exemption (such as in the case of certain nonrecognition transactions).</w:t>
      </w:r>
    </w:p>
    <w:p>
      <w:pPr>
        <w:spacing w:after="0" w:line="64" w:lineRule="exact"/>
        <w:rPr>
          <w:sz w:val="20"/>
          <w:szCs w:val="20"/>
          <w:color w:val="auto"/>
        </w:rPr>
      </w:pPr>
    </w:p>
    <w:p>
      <w:pPr>
        <w:ind w:right="180" w:firstLine="360"/>
        <w:spacing w:after="0" w:line="277" w:lineRule="auto"/>
        <w:rPr>
          <w:sz w:val="20"/>
          <w:szCs w:val="20"/>
          <w:color w:val="auto"/>
        </w:rPr>
      </w:pPr>
      <w:r>
        <w:rPr>
          <w:rFonts w:ascii="Arial" w:cs="Arial" w:eastAsia="Arial" w:hAnsi="Arial"/>
          <w:sz w:val="18"/>
          <w:szCs w:val="18"/>
          <w:color w:val="auto"/>
        </w:rPr>
        <w:t>Non-U.S. holders should consult their tax advisors with respect to the application of the foregoing rules to their ownership of our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right="40" w:firstLine="360"/>
        <w:spacing w:after="0" w:line="290" w:lineRule="auto"/>
        <w:rPr>
          <w:sz w:val="20"/>
          <w:szCs w:val="20"/>
          <w:color w:val="auto"/>
        </w:rPr>
      </w:pPr>
      <w:r>
        <w:rPr>
          <w:rFonts w:ascii="Arial" w:cs="Arial" w:eastAsia="Arial" w:hAnsi="Arial"/>
          <w:sz w:val="16"/>
          <w:szCs w:val="16"/>
          <w:color w:val="auto"/>
        </w:rPr>
        <w:t>Payments of dividends, and the tax withheld on those payments, are subject to information reporting requirements. These information reporting requirements apply regardless of whether withholding was reduced or eliminated by an applicable income tax treaty. Under the provisions of an applicable income tax treaty or agreement, copies of the information returns reporting such dividends and withholding also may be made available to the tax authorities in the country in which the non-U.S. holder resides. U.S. backup withholding generally will apply to payments of dividends to a non-U.S. holder unless such non-U.S. holder furnishes to the payor a Form W-8BEN or Form W-8BEN-E (or other applicable or successor form), or otherwise establishes an exemption and the payor does not have actual knowledge or reason to know that the holder is a U.S. person, as defined under the Code, that is not an exempt recipient or that the conditions of any other exemption are not, in fact, satisfied.</w:t>
      </w:r>
    </w:p>
    <w:p>
      <w:pPr>
        <w:spacing w:after="0" w:line="58" w:lineRule="exact"/>
        <w:rPr>
          <w:sz w:val="20"/>
          <w:szCs w:val="20"/>
          <w:color w:val="auto"/>
        </w:rPr>
      </w:pPr>
    </w:p>
    <w:p>
      <w:pPr>
        <w:ind w:right="160" w:firstLine="360"/>
        <w:spacing w:after="0" w:line="273" w:lineRule="auto"/>
        <w:rPr>
          <w:sz w:val="20"/>
          <w:szCs w:val="20"/>
          <w:color w:val="auto"/>
        </w:rPr>
      </w:pPr>
      <w:r>
        <w:rPr>
          <w:rFonts w:ascii="Arial" w:cs="Arial" w:eastAsia="Arial" w:hAnsi="Arial"/>
          <w:sz w:val="17"/>
          <w:szCs w:val="17"/>
          <w:color w:val="auto"/>
        </w:rPr>
        <w:t>Payment of the proceeds of a sale or other disposition of our common stock within the United States or conducted through certain U.S.-related entities and financial intermediaries is subject to information reporting and, depending on the circumstances, backup withholding, unless the non-U.S. holder, or beneficial owner thereof, as applicable, certifies that it is a non-U.S. holder on Form W-8BEN, W-8BEN-E (or other applicable or successor form), or otherwise establishes an exemption and the payor does not have actual knowledge or reason to know the holder is a U.S. person, as defined under the Code, that is not an exempt recipient or that the conditions of any other exemption are not, in fact, satisfied.</w:t>
      </w:r>
    </w:p>
    <w:p>
      <w:pPr>
        <w:spacing w:after="0" w:line="70" w:lineRule="exact"/>
        <w:rPr>
          <w:sz w:val="20"/>
          <w:szCs w:val="20"/>
          <w:color w:val="auto"/>
        </w:rPr>
      </w:pPr>
    </w:p>
    <w:p>
      <w:pPr>
        <w:ind w:right="100" w:firstLine="360"/>
        <w:spacing w:after="0" w:line="273" w:lineRule="auto"/>
        <w:rPr>
          <w:sz w:val="20"/>
          <w:szCs w:val="20"/>
          <w:color w:val="auto"/>
        </w:rPr>
      </w:pPr>
      <w:r>
        <w:rPr>
          <w:rFonts w:ascii="Arial" w:cs="Arial" w:eastAsia="Arial" w:hAnsi="Arial"/>
          <w:sz w:val="17"/>
          <w:szCs w:val="17"/>
          <w:color w:val="auto"/>
        </w:rPr>
        <w:t>Backup withholding is not an additional tax. Any amount withheld under the backup withholding rules from a payment to a non-U.S. holder may be allowed as a refund or a credit against the non-U.S. holder’s United States federal income tax liability, provided that the non-U.S. holder timely provides the required information to the IRS. Moreover, certain penalties may be imposed by the IRS on a non-U.S. holder who is required to furnish information but does not do so in the proper manner. Non-U.S. holders should consult their tax advisors regarding the application of backup withholding in their particular circumstances and the availability of and procedure for obtaining an exemption from backup withholding.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 Withholding</w:t>
      </w:r>
    </w:p>
    <w:p>
      <w:pPr>
        <w:spacing w:after="0" w:line="121" w:lineRule="exact"/>
        <w:rPr>
          <w:sz w:val="20"/>
          <w:szCs w:val="20"/>
          <w:color w:val="auto"/>
        </w:rPr>
      </w:pPr>
    </w:p>
    <w:p>
      <w:pPr>
        <w:ind w:firstLine="360"/>
        <w:spacing w:after="0" w:line="308" w:lineRule="auto"/>
        <w:rPr>
          <w:sz w:val="20"/>
          <w:szCs w:val="20"/>
          <w:color w:val="auto"/>
        </w:rPr>
      </w:pPr>
      <w:r>
        <w:rPr>
          <w:rFonts w:ascii="Arial" w:cs="Arial" w:eastAsia="Arial" w:hAnsi="Arial"/>
          <w:sz w:val="17"/>
          <w:szCs w:val="17"/>
          <w:color w:val="auto"/>
        </w:rPr>
        <w:t>FATCA imposes a 30% withholding tax on certain types of payments made to foreign financial institutions, or FFIs, and certain other non-U.S. entities unless certain due diligence, reporting, withholding, and certification requirements are satisfied.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45" w:name="page146"/>
    <w:bookmarkEnd w:id="14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firstLine="360"/>
        <w:spacing w:after="0" w:line="254" w:lineRule="auto"/>
        <w:rPr>
          <w:sz w:val="20"/>
          <w:szCs w:val="20"/>
          <w:color w:val="auto"/>
        </w:rPr>
      </w:pPr>
      <w:r>
        <w:rPr>
          <w:rFonts w:ascii="Arial" w:cs="Arial" w:eastAsia="Arial" w:hAnsi="Arial"/>
          <w:sz w:val="18"/>
          <w:szCs w:val="18"/>
          <w:color w:val="auto"/>
        </w:rPr>
        <w:t>As a general matter, FATCA imposes a 30% withholding tax on dividends on, and, from and after January 1, 2019, gross proceeds from the sale or other disposition of, our common stock if paid to a foreign entity unless (i) the foreign entity is an FFI that undertakes certain due diligence, reporting, withholding, and certification obligations, or in the case of an FFI that is a resident in a jurisdiction that has entered into an intergovernmental agreement to implement FATCA, the entity complies with the diligence and reporting requirements of such an agreement; (ii) the foreign entity is not an FFI and either certifies that it does not have any “substantial” U.S. owners or furnishes identifying information regarding each substantial U.S. owner; or (iii) the foreign entity qualifies for an exemption from these rules. In certain cases, a “substantial” United States owner can mean an owner of any interest in the foreign entity.</w:t>
      </w:r>
    </w:p>
    <w:p>
      <w:pPr>
        <w:spacing w:after="0" w:line="84" w:lineRule="exact"/>
        <w:rPr>
          <w:sz w:val="20"/>
          <w:szCs w:val="20"/>
          <w:color w:val="auto"/>
        </w:rPr>
      </w:pPr>
    </w:p>
    <w:p>
      <w:pPr>
        <w:ind w:right="60" w:firstLine="360"/>
        <w:spacing w:after="0" w:line="312" w:lineRule="auto"/>
        <w:rPr>
          <w:sz w:val="20"/>
          <w:szCs w:val="20"/>
          <w:color w:val="auto"/>
        </w:rPr>
      </w:pPr>
      <w:r>
        <w:rPr>
          <w:rFonts w:ascii="Arial" w:cs="Arial" w:eastAsia="Arial" w:hAnsi="Arial"/>
          <w:sz w:val="16"/>
          <w:szCs w:val="16"/>
          <w:color w:val="auto"/>
        </w:rPr>
        <w:t>If withholding is required under FATCA on a payment related to our common stock, investors that otherwise would be exempt from withholding (or that otherwise would be entitled to a reduced rate of withholding) generally will be required to seek a refund or credit from the IRS to obtain the benefit of such exemption or reduction (provided that such benefit is available).</w:t>
      </w:r>
    </w:p>
    <w:p>
      <w:pPr>
        <w:spacing w:after="0" w:line="39" w:lineRule="exact"/>
        <w:rPr>
          <w:sz w:val="20"/>
          <w:szCs w:val="20"/>
          <w:color w:val="auto"/>
        </w:rPr>
      </w:pPr>
    </w:p>
    <w:p>
      <w:pPr>
        <w:ind w:right="400" w:firstLine="360"/>
        <w:spacing w:after="0" w:line="277" w:lineRule="auto"/>
        <w:rPr>
          <w:sz w:val="20"/>
          <w:szCs w:val="20"/>
          <w:color w:val="auto"/>
        </w:rPr>
      </w:pPr>
      <w:r>
        <w:rPr>
          <w:rFonts w:ascii="Arial" w:cs="Arial" w:eastAsia="Arial" w:hAnsi="Arial"/>
          <w:sz w:val="18"/>
          <w:szCs w:val="18"/>
          <w:color w:val="auto"/>
        </w:rPr>
        <w:t>Non-U.S. holders are encouraged to consult with their tax advisors regarding the possible implications of FATCA on their investment in our common stock.</w:t>
      </w:r>
    </w:p>
    <w:p>
      <w:pPr>
        <w:spacing w:after="0" w:line="58"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b w:val="1"/>
          <w:bCs w:val="1"/>
          <w:color w:val="auto"/>
        </w:rPr>
        <w:t>This summary is for general information only and is not intended to constitute a complete description of all U.S. federal income tax consequences for non-U.S. holders relating to the purchase, ownership, and disposition of shares of our common stock acquired pursuant to this offering. If you are considering the purchase of shares of our common stock, you should consult with your tax advisor concerning the particular U.S. federal income tax consequences to you of the purchase, ownership and disposition of shares of our common stock, as well as the consequences to you arising under U.S. tax laws other than the federal income tax law discussed in this summary or under the laws of any other applicable taxing jurisdiction in light of your particular circumstances.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146" w:name="page147"/>
    <w:bookmarkEnd w:id="14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21" w:lineRule="exact"/>
        <w:rPr>
          <w:sz w:val="20"/>
          <w:szCs w:val="20"/>
          <w:color w:val="auto"/>
        </w:rPr>
      </w:pPr>
    </w:p>
    <w:p>
      <w:pPr>
        <w:ind w:right="140" w:firstLine="360"/>
        <w:spacing w:after="0" w:line="297" w:lineRule="auto"/>
        <w:rPr>
          <w:sz w:val="20"/>
          <w:szCs w:val="20"/>
          <w:color w:val="auto"/>
        </w:rPr>
      </w:pPr>
      <w:r>
        <w:rPr>
          <w:rFonts w:ascii="Arial" w:cs="Arial" w:eastAsia="Arial" w:hAnsi="Arial"/>
          <w:sz w:val="16"/>
          <w:szCs w:val="16"/>
          <w:color w:val="auto"/>
        </w:rPr>
        <w:t>We and the selling shareholder are offering the shares of our common stock described in this prospectus in an underwritten offering in which we, the selling shareholder and the underwriters, Keefe, Bruyette &amp; Woods, Inc. and Sandler O’Neill &amp; Partners, L.P., are entering into an underwriting agreement with respect to the shares of our common stock being offered hereby. Subject to certain conditions, each underwriter has severally agreed to purchase, and we and the selling shareholder have severally and not jointly agreed to sell, the number of shares of our common stock indicated in the following table:</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900" w:type="dxa"/>
            <w:vAlign w:val="bottom"/>
          </w:tcPr>
          <w:p>
            <w:pPr>
              <w:spacing w:after="0"/>
              <w:rPr>
                <w:sz w:val="15"/>
                <w:szCs w:val="15"/>
                <w:color w:val="auto"/>
              </w:rPr>
            </w:pPr>
          </w:p>
        </w:tc>
        <w:tc>
          <w:tcPr>
            <w:tcW w:w="1640" w:type="dxa"/>
            <w:vAlign w:val="bottom"/>
            <w:gridSpan w:val="2"/>
          </w:tcPr>
          <w:p>
            <w:pPr>
              <w:ind w:left="260"/>
              <w:spacing w:after="0"/>
              <w:rPr>
                <w:sz w:val="20"/>
                <w:szCs w:val="20"/>
                <w:color w:val="auto"/>
              </w:rPr>
            </w:pPr>
            <w:r>
              <w:rPr>
                <w:rFonts w:ascii="Arial" w:cs="Arial" w:eastAsia="Arial" w:hAnsi="Arial"/>
                <w:sz w:val="14"/>
                <w:szCs w:val="14"/>
                <w:b w:val="1"/>
                <w:bCs w:val="1"/>
                <w:color w:val="auto"/>
              </w:rPr>
              <w:t>Number of Shares</w:t>
            </w:r>
          </w:p>
        </w:tc>
      </w:tr>
      <w:tr>
        <w:trPr>
          <w:trHeight w:val="243"/>
        </w:trPr>
        <w:tc>
          <w:tcPr>
            <w:tcW w:w="20" w:type="dxa"/>
            <w:vAlign w:val="bottom"/>
          </w:tcPr>
          <w:p>
            <w:pPr>
              <w:spacing w:after="0"/>
              <w:rPr>
                <w:sz w:val="21"/>
                <w:szCs w:val="21"/>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Keefe, Bruyette &amp; Woods, Inc.</w:t>
            </w:r>
          </w:p>
        </w:tc>
        <w:tc>
          <w:tcPr>
            <w:tcW w:w="154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7920" w:type="dxa"/>
            <w:vAlign w:val="bottom"/>
            <w:gridSpan w:val="2"/>
          </w:tcPr>
          <w:p>
            <w:pPr>
              <w:spacing w:after="0"/>
              <w:rPr>
                <w:sz w:val="20"/>
                <w:szCs w:val="20"/>
                <w:color w:val="auto"/>
              </w:rPr>
            </w:pPr>
            <w:r>
              <w:rPr>
                <w:rFonts w:ascii="Arial" w:cs="Arial" w:eastAsia="Arial" w:hAnsi="Arial"/>
                <w:sz w:val="18"/>
                <w:szCs w:val="18"/>
                <w:color w:val="auto"/>
              </w:rPr>
              <w:t>Sandler O’Neill &amp; Partners, L.P.</w:t>
            </w:r>
          </w:p>
        </w:tc>
        <w:tc>
          <w:tcPr>
            <w:tcW w:w="1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7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3,380,000</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94" w:lineRule="exact"/>
        <w:rPr>
          <w:sz w:val="20"/>
          <w:szCs w:val="20"/>
          <w:color w:val="auto"/>
        </w:rPr>
      </w:pPr>
    </w:p>
    <w:p>
      <w:pPr>
        <w:ind w:right="120" w:firstLine="360"/>
        <w:spacing w:after="0" w:line="272" w:lineRule="auto"/>
        <w:rPr>
          <w:sz w:val="20"/>
          <w:szCs w:val="20"/>
          <w:color w:val="auto"/>
        </w:rPr>
      </w:pPr>
      <w:r>
        <w:rPr>
          <w:rFonts w:ascii="Arial" w:cs="Arial" w:eastAsia="Arial" w:hAnsi="Arial"/>
          <w:sz w:val="17"/>
          <w:szCs w:val="17"/>
          <w:color w:val="auto"/>
        </w:rPr>
        <w:t>The underwriters are offering the shares of our common stock subject to a number of conditions, including (among other things) that the representations and warranties made by us and the selling shareholder to the underwriters in the underwriting agreement are true, that there is no material adverse change in the financial markets, that we and the selling shareholder deliver customary closing documents and legal opinions to the underwriters and receipt and acceptance of our common stock by the underwriters. The obligations of the underwriters to pay for and accept delivery of the shares offered by this prospectus are subject to these conditions. The underwriting agreement further provides that if any underwriter defaults, the purchase commitments of the non-defaulting underwriters may be increased or this offering may be terminated.</w:t>
      </w:r>
    </w:p>
    <w:p>
      <w:pPr>
        <w:spacing w:after="0" w:line="70" w:lineRule="exact"/>
        <w:rPr>
          <w:sz w:val="20"/>
          <w:szCs w:val="20"/>
          <w:color w:val="auto"/>
        </w:rPr>
      </w:pPr>
    </w:p>
    <w:p>
      <w:pPr>
        <w:ind w:right="780" w:firstLine="360"/>
        <w:spacing w:after="0" w:line="277" w:lineRule="auto"/>
        <w:rPr>
          <w:sz w:val="20"/>
          <w:szCs w:val="20"/>
          <w:color w:val="auto"/>
        </w:rPr>
      </w:pPr>
      <w:r>
        <w:rPr>
          <w:rFonts w:ascii="Arial" w:cs="Arial" w:eastAsia="Arial" w:hAnsi="Arial"/>
          <w:sz w:val="18"/>
          <w:szCs w:val="18"/>
          <w:color w:val="auto"/>
        </w:rPr>
        <w:t>In connection with this offering, the underwriters or securities dealers may distribute offering documents to investors electronically. See “—Electronic Distribution.”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Discounts</w:t>
      </w:r>
    </w:p>
    <w:p>
      <w:pPr>
        <w:spacing w:after="0" w:line="121" w:lineRule="exact"/>
        <w:rPr>
          <w:sz w:val="20"/>
          <w:szCs w:val="20"/>
          <w:color w:val="auto"/>
        </w:rPr>
      </w:pPr>
    </w:p>
    <w:p>
      <w:pPr>
        <w:ind w:right="20" w:firstLine="360"/>
        <w:spacing w:after="0" w:line="291" w:lineRule="auto"/>
        <w:rPr>
          <w:sz w:val="20"/>
          <w:szCs w:val="20"/>
          <w:color w:val="auto"/>
        </w:rPr>
      </w:pPr>
      <w:r>
        <w:rPr>
          <w:rFonts w:ascii="Arial" w:cs="Arial" w:eastAsia="Arial" w:hAnsi="Arial"/>
          <w:sz w:val="16"/>
          <w:szCs w:val="16"/>
          <w:color w:val="auto"/>
        </w:rPr>
        <w:t>Shares of our common stock sold by the underwriters to the public will be offered at the initial public offering price set forth on the cover page of this prospectus. Any shares of our common stock sold by the underwriters to securities dealers may be sold at a</w:t>
      </w:r>
    </w:p>
    <w:p>
      <w:pPr>
        <w:ind w:right="180"/>
        <w:spacing w:after="0" w:line="255" w:lineRule="auto"/>
        <w:rPr>
          <w:sz w:val="20"/>
          <w:szCs w:val="20"/>
          <w:color w:val="auto"/>
        </w:rPr>
      </w:pPr>
      <w:r>
        <w:rPr>
          <w:rFonts w:ascii="Arial" w:cs="Arial" w:eastAsia="Arial" w:hAnsi="Arial"/>
          <w:sz w:val="18"/>
          <w:szCs w:val="18"/>
          <w:color w:val="auto"/>
        </w:rPr>
        <w:t>discount of up to $ per share from the initial public offering price. If all of the shares of our common stock are not sold at the initial public offering price, the underwriters may change the offering price and the other selling terms. Sales of shares of our common stock made outside of the U.S. may be made by affiliates of the underwriters.</w:t>
      </w:r>
    </w:p>
    <w:p>
      <w:pPr>
        <w:spacing w:after="0" w:line="82" w:lineRule="exact"/>
        <w:rPr>
          <w:sz w:val="20"/>
          <w:szCs w:val="20"/>
          <w:color w:val="auto"/>
        </w:rPr>
      </w:pPr>
    </w:p>
    <w:p>
      <w:pPr>
        <w:jc w:val="both"/>
        <w:ind w:right="200" w:firstLine="360"/>
        <w:spacing w:after="0" w:line="264" w:lineRule="auto"/>
        <w:rPr>
          <w:sz w:val="20"/>
          <w:szCs w:val="20"/>
          <w:color w:val="auto"/>
        </w:rPr>
      </w:pPr>
      <w:r>
        <w:rPr>
          <w:rFonts w:ascii="Arial" w:cs="Arial" w:eastAsia="Arial" w:hAnsi="Arial"/>
          <w:sz w:val="18"/>
          <w:szCs w:val="18"/>
          <w:color w:val="auto"/>
        </w:rPr>
        <w:t>The following table shows the initial public offering price, underwriting discounts and proceeds before expenses to us and to the selling shareholder. The information assumes either no exercise or full exercise by the underwriters of their option to purchase an additional 507,000 shares of common stock from us, discussed below:</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9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Per Share</w:t>
            </w:r>
          </w:p>
        </w:tc>
        <w:tc>
          <w:tcPr>
            <w:tcW w:w="180" w:type="dxa"/>
            <w:vAlign w:val="bottom"/>
          </w:tcPr>
          <w:p>
            <w:pPr>
              <w:spacing w:after="0"/>
              <w:rPr>
                <w:sz w:val="15"/>
                <w:szCs w:val="15"/>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No Exercise</w:t>
            </w:r>
          </w:p>
        </w:tc>
        <w:tc>
          <w:tcPr>
            <w:tcW w:w="180" w:type="dxa"/>
            <w:vAlign w:val="bottom"/>
          </w:tcPr>
          <w:p>
            <w:pPr>
              <w:spacing w:after="0"/>
              <w:rPr>
                <w:sz w:val="15"/>
                <w:szCs w:val="15"/>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Full Exercise</w:t>
            </w:r>
          </w:p>
        </w:tc>
        <w:tc>
          <w:tcPr>
            <w:tcW w:w="10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960" w:type="dxa"/>
            <w:vAlign w:val="bottom"/>
            <w:shd w:val="clear" w:color="auto" w:fill="CCEEFF"/>
          </w:tcPr>
          <w:p>
            <w:pPr>
              <w:jc w:val="right"/>
              <w:ind w:right="774"/>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868"/>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92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Underwriting discounts</w:t>
            </w:r>
          </w:p>
        </w:tc>
        <w:tc>
          <w:tcPr>
            <w:tcW w:w="960" w:type="dxa"/>
            <w:vAlign w:val="bottom"/>
          </w:tcPr>
          <w:p>
            <w:pPr>
              <w:jc w:val="right"/>
              <w:ind w:right="774"/>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868"/>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92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960" w:type="dxa"/>
            <w:vAlign w:val="bottom"/>
            <w:shd w:val="clear" w:color="auto" w:fill="CCEEFF"/>
          </w:tcPr>
          <w:p>
            <w:pPr>
              <w:jc w:val="right"/>
              <w:ind w:right="774"/>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868"/>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92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Proceeds to selling shareholder, before expenses</w:t>
            </w:r>
          </w:p>
        </w:tc>
        <w:tc>
          <w:tcPr>
            <w:tcW w:w="960" w:type="dxa"/>
            <w:vAlign w:val="bottom"/>
          </w:tcPr>
          <w:p>
            <w:pPr>
              <w:jc w:val="right"/>
              <w:ind w:right="774"/>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868"/>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92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bl>
    <w:p>
      <w:pPr>
        <w:spacing w:after="0" w:line="106"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color w:val="auto"/>
        </w:rPr>
        <w:t>We and the selling shareholder estimate the expenses of this offering, not including the underwriting discounts, to be approximately $1.1 million and such expenses are payable by us. We also have agreed to reimburse the underwriters up to $20,000 for certain of their offering expenses, including their counsel fees for expenses related to FINRA matters, state securities and “blue sky” filings, and the directed share program. In accordance with FINRA Rule 5110, these reimbursed fees are deemed underwriting compensation for this offering.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121" w:lineRule="exact"/>
        <w:rPr>
          <w:sz w:val="20"/>
          <w:szCs w:val="20"/>
          <w:color w:val="auto"/>
        </w:rPr>
      </w:pPr>
    </w:p>
    <w:p>
      <w:pPr>
        <w:ind w:right="300" w:firstLine="360"/>
        <w:spacing w:after="0" w:line="259" w:lineRule="auto"/>
        <w:rPr>
          <w:sz w:val="20"/>
          <w:szCs w:val="20"/>
          <w:color w:val="auto"/>
        </w:rPr>
      </w:pPr>
      <w:r>
        <w:rPr>
          <w:rFonts w:ascii="Arial" w:cs="Arial" w:eastAsia="Arial" w:hAnsi="Arial"/>
          <w:sz w:val="18"/>
          <w:szCs w:val="18"/>
          <w:color w:val="auto"/>
        </w:rPr>
        <w:t>We have granted the underwriters an option to purchase up to 507,000 additional shares of our common stock, at the initial public offering price, less the underwriting discount. The underwriters may exercise this option, in whole or in part, from time to time for a period of 30 days from the date of this prospectus. We will be obligated to sell these shares to the underwriters to the extent their option to purchase additional shares 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47" w:name="page148"/>
    <w:bookmarkEnd w:id="14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common stock is exercised. Furthermore, if the underwriters exercise this option, each underwriter will be obligated, subject to the conditions in the underwriting agreement, to purchase a number of additional shares of common stock from the selling shareholder proportionate to the number of shares reflected next to such underwriter’s name in the table above relative to the total number of shares reflected in such table.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jc w:val="both"/>
        <w:ind w:right="40" w:firstLine="360"/>
        <w:spacing w:after="0" w:line="264" w:lineRule="auto"/>
        <w:rPr>
          <w:sz w:val="20"/>
          <w:szCs w:val="20"/>
          <w:color w:val="auto"/>
        </w:rPr>
      </w:pPr>
      <w:r>
        <w:rPr>
          <w:rFonts w:ascii="Arial" w:cs="Arial" w:eastAsia="Arial" w:hAnsi="Arial"/>
          <w:sz w:val="18"/>
          <w:szCs w:val="18"/>
          <w:color w:val="auto"/>
        </w:rPr>
        <w:t>We, each of our directors and executive officers, the selling shareholder and certain other principal shareholders, will enter into lock-up agreements with the underwriters. Under these agreements, we and each of these persons may not, without the prior written approval of the underwriters and subject to limited exceptions:</w:t>
      </w:r>
    </w:p>
    <w:p>
      <w:pPr>
        <w:spacing w:after="0" w:line="73" w:lineRule="exact"/>
        <w:rPr>
          <w:sz w:val="20"/>
          <w:szCs w:val="20"/>
          <w:color w:val="auto"/>
        </w:rPr>
      </w:pPr>
    </w:p>
    <w:p>
      <w:pPr>
        <w:ind w:left="700" w:hanging="356"/>
        <w:spacing w:after="0" w:line="255" w:lineRule="auto"/>
        <w:tabs>
          <w:tab w:leader="none" w:pos="7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for the sale of, hypothecate, establish an open “put equivalent position” within the meaning of Rule 16a-1(h) under the Exchange Act, or otherwise dispose of or transfer any shares of our common stock or any securities convertible into or exchangeable or exercisable for our common stock, whether now owned or hereafter acquired or with respect to which such person has or hereafter acquires the power of disposition, or exercise any right with respect to the registration thereof, or file or cause to be filed any registration statement under the Securities Act, with respect to any of the foregoing;</w:t>
      </w:r>
    </w:p>
    <w:p>
      <w:pPr>
        <w:spacing w:after="0" w:line="81" w:lineRule="exact"/>
        <w:rPr>
          <w:rFonts w:ascii="Arial" w:cs="Arial" w:eastAsia="Arial" w:hAnsi="Arial"/>
          <w:sz w:val="18"/>
          <w:szCs w:val="18"/>
          <w:color w:val="auto"/>
        </w:rPr>
      </w:pPr>
    </w:p>
    <w:p>
      <w:pPr>
        <w:ind w:left="700" w:right="240" w:hanging="356"/>
        <w:spacing w:after="0" w:line="259" w:lineRule="auto"/>
        <w:tabs>
          <w:tab w:leader="none" w:pos="7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enter into any swap, hedge, or any other agreement or any transaction that transfers, in whole or in part, directly or indirectly, the economic consequence of ownership of the shares of our common stock or such other securities, whether any such swap or transaction is to be settled by delivery of shares of our common stock or other securities, in cash or otherwise; or</w:t>
      </w:r>
    </w:p>
    <w:p>
      <w:pPr>
        <w:spacing w:after="0" w:line="78" w:lineRule="exact"/>
        <w:rPr>
          <w:rFonts w:ascii="Arial" w:cs="Arial" w:eastAsia="Arial" w:hAnsi="Arial"/>
          <w:sz w:val="18"/>
          <w:szCs w:val="18"/>
          <w:color w:val="auto"/>
        </w:rPr>
      </w:pPr>
    </w:p>
    <w:p>
      <w:pPr>
        <w:ind w:left="700" w:right="220" w:hanging="356"/>
        <w:spacing w:after="0" w:line="277" w:lineRule="auto"/>
        <w:tabs>
          <w:tab w:leader="none" w:pos="7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publicly disclose the intention to make any such offer, pledge, sale or disposition, or to enter into any such swap, hedge, transaction or other arrangement.</w:t>
      </w:r>
    </w:p>
    <w:p>
      <w:pPr>
        <w:spacing w:after="0" w:line="62" w:lineRule="exact"/>
        <w:rPr>
          <w:sz w:val="20"/>
          <w:szCs w:val="20"/>
          <w:color w:val="auto"/>
        </w:rPr>
      </w:pPr>
    </w:p>
    <w:p>
      <w:pPr>
        <w:ind w:right="60" w:firstLine="360"/>
        <w:spacing w:after="0" w:line="297" w:lineRule="auto"/>
        <w:rPr>
          <w:sz w:val="20"/>
          <w:szCs w:val="20"/>
          <w:color w:val="auto"/>
        </w:rPr>
      </w:pPr>
      <w:r>
        <w:rPr>
          <w:rFonts w:ascii="Arial" w:cs="Arial" w:eastAsia="Arial" w:hAnsi="Arial"/>
          <w:sz w:val="16"/>
          <w:szCs w:val="16"/>
          <w:color w:val="auto"/>
        </w:rPr>
        <w:t>These restrictions will be in effect for a period of 180 days after the date of this prospectus. At any time and without public notice, the underwriters may, in their sole discretion, waive or release all or some of the securities from these lock-up agreements. However, as to any of our executive officers or directors, the underwriters have agreed to notify us at least three business days before the effective date of any release or waiver, and we have agreed to announce the impending release or waiver by press release through a major news service at least two business days before the effective date of the release or waiver.</w:t>
      </w:r>
    </w:p>
    <w:p>
      <w:pPr>
        <w:spacing w:after="0" w:line="50" w:lineRule="exact"/>
        <w:rPr>
          <w:sz w:val="20"/>
          <w:szCs w:val="20"/>
          <w:color w:val="auto"/>
        </w:rPr>
      </w:pPr>
    </w:p>
    <w:p>
      <w:pPr>
        <w:ind w:right="120" w:firstLine="360"/>
        <w:spacing w:after="0" w:line="312" w:lineRule="auto"/>
        <w:rPr>
          <w:sz w:val="20"/>
          <w:szCs w:val="20"/>
          <w:color w:val="auto"/>
        </w:rPr>
      </w:pPr>
      <w:r>
        <w:rPr>
          <w:rFonts w:ascii="Arial" w:cs="Arial" w:eastAsia="Arial" w:hAnsi="Arial"/>
          <w:sz w:val="16"/>
          <w:szCs w:val="16"/>
          <w:color w:val="auto"/>
        </w:rPr>
        <w:t>These restrictions also apply to securities convertible into or exchangeable or exercisable for or repayable with our common stock to the same extent as they apply to our common stock. They also apply to our common stock owned now or later acquired by the person executing the agreement or for which the person executing the agreement later acquires the power of disposition.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the Offering</w:t>
      </w:r>
    </w:p>
    <w:p>
      <w:pPr>
        <w:spacing w:after="0" w:line="121" w:lineRule="exact"/>
        <w:rPr>
          <w:sz w:val="20"/>
          <w:szCs w:val="20"/>
          <w:color w:val="auto"/>
        </w:rPr>
      </w:pPr>
    </w:p>
    <w:p>
      <w:pPr>
        <w:ind w:right="160" w:firstLine="360"/>
        <w:spacing w:after="0" w:line="270" w:lineRule="auto"/>
        <w:rPr>
          <w:sz w:val="20"/>
          <w:szCs w:val="20"/>
          <w:color w:val="auto"/>
        </w:rPr>
      </w:pPr>
      <w:r>
        <w:rPr>
          <w:rFonts w:ascii="Arial" w:cs="Arial" w:eastAsia="Arial" w:hAnsi="Arial"/>
          <w:sz w:val="17"/>
          <w:szCs w:val="17"/>
          <w:color w:val="auto"/>
        </w:rPr>
        <w:t>Prior to this offering, there has been no public market for our common stock. The initial public offering price was determined by negotiations among us, the selling shareholder and the underwriters. In addition to prevailing market conditions, among the factors considered in determining the initial public offering price of our common stock were our historical performance, our business potential and our earnings prospects, an assessment of our management, the recent market prices of, and demand for, publicly-traded common stock of comparable companies, the consideration of the above factors in relation to market valuation of comparable companies in related businesses and other factors deemed relevant by the underwriters and us. Neither we nor the underwriters can assure investors that an active trading market for the shares of our common stock may not develop. It is also possible that the shares of our common stock will not trade in the public market at or above the initial public offering price following the completion of this offering.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Listing</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applied to list our common stock on the NASDAQ Global Select Market under the symbol “SPFI.”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48" w:name="page149"/>
    <w:bookmarkEnd w:id="14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and Contribution</w:t>
      </w:r>
    </w:p>
    <w:p>
      <w:pPr>
        <w:spacing w:after="0" w:line="121" w:lineRule="exact"/>
        <w:rPr>
          <w:sz w:val="20"/>
          <w:szCs w:val="20"/>
          <w:color w:val="auto"/>
        </w:rPr>
      </w:pPr>
    </w:p>
    <w:p>
      <w:pPr>
        <w:ind w:right="300" w:firstLine="360"/>
        <w:spacing w:after="0" w:line="259" w:lineRule="auto"/>
        <w:rPr>
          <w:sz w:val="20"/>
          <w:szCs w:val="20"/>
          <w:color w:val="auto"/>
        </w:rPr>
      </w:pPr>
      <w:r>
        <w:rPr>
          <w:rFonts w:ascii="Arial" w:cs="Arial" w:eastAsia="Arial" w:hAnsi="Arial"/>
          <w:sz w:val="18"/>
          <w:szCs w:val="18"/>
          <w:color w:val="auto"/>
        </w:rPr>
        <w:t>We and the selling shareholder have agreed to indemnify the underwriters and their affiliates, selling agents and controlling persons against certain liabilities, including under the Securities Act. If we are unable to provide this indemnification, we will contribute to the payments the underwriters and its affiliates, selling agents and controlling persons may be required to make in respect of those liabilities.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121" w:lineRule="exact"/>
        <w:rPr>
          <w:sz w:val="20"/>
          <w:szCs w:val="20"/>
          <w:color w:val="auto"/>
        </w:rPr>
      </w:pPr>
    </w:p>
    <w:p>
      <w:pPr>
        <w:ind w:right="320" w:firstLine="360"/>
        <w:spacing w:after="0" w:line="264" w:lineRule="auto"/>
        <w:rPr>
          <w:sz w:val="20"/>
          <w:szCs w:val="20"/>
          <w:color w:val="auto"/>
        </w:rPr>
      </w:pPr>
      <w:r>
        <w:rPr>
          <w:rFonts w:ascii="Arial" w:cs="Arial" w:eastAsia="Arial" w:hAnsi="Arial"/>
          <w:sz w:val="18"/>
          <w:szCs w:val="18"/>
          <w:color w:val="auto"/>
        </w:rPr>
        <w:t>To facilitate this offering and in accordance with Regulation M under the Exchange Act, or Regulation M, the underwriters may, but are not obligated to, engage in transactions that stabilize, maintain or otherwise affect the price of our common stock, including:</w:t>
      </w:r>
    </w:p>
    <w:p>
      <w:pPr>
        <w:spacing w:after="0" w:line="73" w:lineRule="exact"/>
        <w:rPr>
          <w:sz w:val="20"/>
          <w:szCs w:val="20"/>
          <w:color w:val="auto"/>
        </w:rPr>
      </w:pPr>
    </w:p>
    <w:p>
      <w:pPr>
        <w:ind w:left="700" w:hanging="356"/>
        <w:spacing w:after="0"/>
        <w:tabs>
          <w:tab w:leader="none" w:pos="7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stabilizing transactions;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short sales;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purchases to cover positions created by short sales.</w:t>
      </w:r>
    </w:p>
    <w:p>
      <w:pPr>
        <w:spacing w:after="0" w:line="117"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Stabilizing transactions consist of bids or purchases made for the purpose of preventing or retarding a decline in the market price of our common stock while this offering is in progress. These transactions may also include making short sales of our common stock, which involve the sale by the underwriters of a greater number of shares of common stock than it is required to purchase in this offering. Short sales may be “covered short sales,” which are short positions in an amount not greater than the underwriters’ option to purchase additional shares referred to above, or may be “naked short sales,” which are short positions in excess of that amount.</w:t>
      </w:r>
    </w:p>
    <w:p>
      <w:pPr>
        <w:spacing w:after="0" w:line="85"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they may purchase shares through the option to purchase additional shares described above. The underwriters must close out any naked short position by purchasing shares in the open market. A naked short position is more likely to be created if the underwriters are concerned that there may be downward pressure on the price of our common stock in the open market that could adversely affect investors who purchased in this offering.</w:t>
      </w:r>
    </w:p>
    <w:p>
      <w:pPr>
        <w:spacing w:after="0" w:line="81" w:lineRule="exact"/>
        <w:rPr>
          <w:sz w:val="20"/>
          <w:szCs w:val="20"/>
          <w:color w:val="auto"/>
        </w:rPr>
      </w:pPr>
    </w:p>
    <w:p>
      <w:pPr>
        <w:ind w:right="100" w:firstLine="360"/>
        <w:spacing w:after="0" w:line="279" w:lineRule="auto"/>
        <w:rPr>
          <w:sz w:val="20"/>
          <w:szCs w:val="20"/>
          <w:color w:val="auto"/>
        </w:rPr>
      </w:pPr>
      <w:r>
        <w:rPr>
          <w:rFonts w:ascii="Arial" w:cs="Arial" w:eastAsia="Arial" w:hAnsi="Arial"/>
          <w:sz w:val="17"/>
          <w:szCs w:val="17"/>
          <w:color w:val="auto"/>
        </w:rPr>
        <w:t>As an additional means of facilitating our initial public offering, the underwriters may bid for, and purchase, shares of our common stock in the open market. The underwriting syndicate also may reclaim selling concessions allowed to an underwriter or a dealer for distributing shares of our common stock in this offering, if the syndicate repurchases previously distributed shares of our common stock to cover short positions or to stabilize the price of our common stock.</w:t>
      </w:r>
    </w:p>
    <w:p>
      <w:pPr>
        <w:spacing w:after="0" w:line="63"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As a result of these activities, the price of our common stock may be higher than the price that otherwise might exist in the open market. Neither we nor the underwriters make any representation or prediction as to the effect that the transactions described above may have on the price of our common stock. If these activities are commenced, they may be discontinued by the underwriters at any time without notice. The underwriters may carry out these transactions on the NASDAQ Global Select Market, in the over-the-counter market or otherwise.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Passive Market Making</w:t>
      </w:r>
    </w:p>
    <w:p>
      <w:pPr>
        <w:spacing w:after="0" w:line="121" w:lineRule="exact"/>
        <w:rPr>
          <w:sz w:val="20"/>
          <w:szCs w:val="20"/>
          <w:color w:val="auto"/>
        </w:rPr>
      </w:pPr>
    </w:p>
    <w:p>
      <w:pPr>
        <w:ind w:firstLine="360"/>
        <w:spacing w:after="0" w:line="288" w:lineRule="auto"/>
        <w:rPr>
          <w:sz w:val="20"/>
          <w:szCs w:val="20"/>
          <w:color w:val="auto"/>
        </w:rPr>
      </w:pPr>
      <w:r>
        <w:rPr>
          <w:rFonts w:ascii="Arial" w:cs="Arial" w:eastAsia="Arial" w:hAnsi="Arial"/>
          <w:sz w:val="16"/>
          <w:szCs w:val="16"/>
          <w:color w:val="auto"/>
        </w:rPr>
        <w:t>In connection with this offering, the underwriters and the selling group members, if any, who are qualified market markers on the NASDAQ Global Select Market may engage in passive market making transactions in our common stock on the NASDAQ Global Select Market in accordance with Rule 103 of Regulation M during a period before the commencement of offers or sales of our common stock and extending through the completion of the distribution of this offering. A passive market maker must generally display its bid at a price not in excess of the highest independent bid of that security. However, if all independent bids are lowered below the passive market maker’s bid, the passive market maker may continue to bid and effect purchases at a price exceeding the then highest independent bid until specified purchase limits are exceeded, at which time such bid must be lowered to an amount no higher than the then highest independent bid. Passive market making may cause the price of our common stock to be higher than the price that otherwise would exist in the open market in the absence of those transactions. The underwriters engaged in passive market making are not required to engage in passive market making and may end passive market making activities at any time.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49" w:name="page150"/>
    <w:bookmarkEnd w:id="14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121"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A prospectus in electronic format may be made available by e-mail or on the websites or through online services maintained by the underwriters or its affiliates. In those cases, prospective investors may view offering terms online and may be allowed to place orders online. The underwriters may agree with us to allocate a specific number of shares for sale to online brokerage account holders. Any such allocation for online distributions will be made by the underwriters on the same basis as other allocations. Other than the prospectus in electronic format, the information on the underwriters’ websites and any information contained on any other website maintained by the underwriters is not part of this prospectus, has not been approved and/or endorsed by the underwriters or us, and should not be relied upon by investors.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Directed Share Program</w:t>
      </w:r>
    </w:p>
    <w:p>
      <w:pPr>
        <w:spacing w:after="0" w:line="121"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color w:val="auto"/>
        </w:rPr>
        <w:t>At our request, the underwriters have reserved for sale, at the initial public offering price, up to 169,000 shares of common stock for sale to our directors, executive officers, employees and business associates and certain other related persons. Reserved shares purchased by our directors and executive officers will be subject to the lock-up provisions described above. The number of shares of our common stock available for sale to the general public will be reduced to the extent these persons purchase the reserved shares. We do not know if these persons will choose to purchase all or any portion of these reserved shares. Any reserved shares of our common stock that are not so purchased will be offered by the underwriters to the general public on the same terms as the other shares of our common stock offered by this prospectus.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Affiliations</w:t>
      </w:r>
    </w:p>
    <w:p>
      <w:pPr>
        <w:spacing w:after="0" w:line="121" w:lineRule="exact"/>
        <w:rPr>
          <w:sz w:val="20"/>
          <w:szCs w:val="20"/>
          <w:color w:val="auto"/>
        </w:rPr>
      </w:pPr>
    </w:p>
    <w:p>
      <w:pPr>
        <w:ind w:right="80" w:firstLine="360"/>
        <w:spacing w:after="0" w:line="287" w:lineRule="auto"/>
        <w:rPr>
          <w:sz w:val="20"/>
          <w:szCs w:val="20"/>
          <w:color w:val="auto"/>
        </w:rPr>
      </w:pPr>
      <w:r>
        <w:rPr>
          <w:rFonts w:ascii="Arial" w:cs="Arial" w:eastAsia="Arial" w:hAnsi="Arial"/>
          <w:sz w:val="16"/>
          <w:szCs w:val="16"/>
          <w:color w:val="auto"/>
        </w:rPr>
        <w:t>The underwriters and their respective affiliates are full-service financial institutions engaged in various activities, which may include securities trading, commercial and investment banking, financial advisory, investment management, investment advisory, investment research, principal investment, hedging, financing, loan referrals, valuation and brokerage activities. From time to time, the underwriters and/or their affiliates have directly and indirectly engaged, and may in the future engage, in various financial advisory, investment banking loan referrals and commercial banking services with us and our affiliates, for which they received or paid, or may receive or pay, customary compensation, fees and expense reimbursement.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those investment and securities activities may involve securities and/or instruments of ours. The underwriters and their affiliates may also make investment recommendations and/or publish or express independent research views in respect of those securities or instruments and may at any time hold, or recommend to clients that they acquire, long and/or short positions in those securities and instruments.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50" w:name="page151"/>
    <w:bookmarkEnd w:id="15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right="440" w:firstLine="360"/>
        <w:spacing w:after="0" w:line="264" w:lineRule="auto"/>
        <w:rPr>
          <w:sz w:val="20"/>
          <w:szCs w:val="20"/>
          <w:color w:val="auto"/>
        </w:rPr>
      </w:pPr>
      <w:r>
        <w:rPr>
          <w:rFonts w:ascii="Arial" w:cs="Arial" w:eastAsia="Arial" w:hAnsi="Arial"/>
          <w:sz w:val="18"/>
          <w:szCs w:val="18"/>
          <w:color w:val="auto"/>
        </w:rPr>
        <w:t>Hunton Andrews Kurth LLP, Dallas, Texas, will pass upon the validity of the shares of common stock offered by this prospectus and certain other legal matters for us and for the selling shareholder. Fenimore, Kay, Harrison &amp; Ford, LLP, Austin, Texas, is acting as counsel for the underwriters.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color w:val="auto"/>
        </w:rPr>
        <w:t>Our consolidated financial statements as of and for the years ended December 31, 2018 and 2017 appearing in this prospectus and registration statement have been audited by Weaver and Tidwell, L.L.P., independent registered public accounting firm, as set forth in its report thereon appearing elsewhere herein, and are included in reliance upon such report given on the authority of that firm as experts in accounting and auditing.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our common stock offered hereby. This prospectus, which constitutes part of the registration statement, does not contain all of the information set forth in the registration statement or the exhibits or schedules filed therewith. Some items are omitted in accordance with the rules and regulations of the SEC. For further information about us and our common stock that we propose to sell in this offering, we refer you to the registration statement and the exhibits and schedules filed as a part of the registration statement. Statements or summaries in this prospectus as to the contents of any contract or other document referred to in this prospectus are not necessarily complete and, where that contract or document is filed as an exhibit to the registration statement, each statement or summary is qualified in all respects by reference to the exhibit to which the reference relates. You may read and copy the registration statement, including the exhibits and schedules to the registration statement, at the SEC’s Public Reference Room at 100 F Street, N.E., Room 1580, and Washington, D.C. 20549. Please call the SEC at 1-800-SEC-0330 for further information on the operation of the Public Reference Room. Our filings with the SEC, including the registration statement, are also available to you for free on the SEC’s internet website at www.sec.gov.</w:t>
      </w:r>
    </w:p>
    <w:p>
      <w:pPr>
        <w:spacing w:after="0" w:line="72"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Following the offering, we will become subject to the informational and reporting requirements of the Exchange Act and, in accordance with those requirements, will file reports and proxy and information statements and other information with the SEC. You will be able to inspect and copy these reports and proxy and information statements and other information at the addresses set forth above. We intend to furnish to our shareholders our annual reports containing our audited consolidated financial statements certified by an independent public accounting firm.</w:t>
      </w:r>
    </w:p>
    <w:p>
      <w:pPr>
        <w:spacing w:after="0" w:line="80" w:lineRule="exact"/>
        <w:rPr>
          <w:sz w:val="20"/>
          <w:szCs w:val="20"/>
          <w:color w:val="auto"/>
        </w:rPr>
      </w:pPr>
    </w:p>
    <w:p>
      <w:pPr>
        <w:ind w:right="580" w:firstLine="360"/>
        <w:spacing w:after="0" w:line="277" w:lineRule="auto"/>
        <w:rPr>
          <w:sz w:val="20"/>
          <w:szCs w:val="20"/>
          <w:color w:val="auto"/>
        </w:rPr>
      </w:pPr>
      <w:r>
        <w:rPr>
          <w:rFonts w:ascii="Arial" w:cs="Arial" w:eastAsia="Arial" w:hAnsi="Arial"/>
          <w:sz w:val="18"/>
          <w:szCs w:val="18"/>
          <w:color w:val="auto"/>
        </w:rPr>
        <w:t>We also maintain an internet site at www.city.bank. Information on, or accessible through, our website is not part of this prospectus.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51" w:name="page152"/>
    <w:bookmarkEnd w:id="15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60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Page</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00" w:type="dxa"/>
            <w:vAlign w:val="bottom"/>
            <w:gridSpan w:val="5"/>
            <w:shd w:val="clear" w:color="auto" w:fill="CCEEFF"/>
          </w:tcPr>
          <w:p>
            <w:pPr>
              <w:spacing w:after="0" w:line="189" w:lineRule="exact"/>
              <w:rPr>
                <w:rFonts w:ascii="Arial" w:cs="Arial" w:eastAsia="Arial" w:hAnsi="Arial"/>
                <w:sz w:val="18"/>
                <w:szCs w:val="18"/>
                <w:color w:val="0000EE"/>
                <w:w w:val="90"/>
              </w:rPr>
            </w:pPr>
            <w:hyperlink w:anchor="page153">
              <w:r>
                <w:rPr>
                  <w:rFonts w:ascii="Arial" w:cs="Arial" w:eastAsia="Arial" w:hAnsi="Arial"/>
                  <w:sz w:val="18"/>
                  <w:szCs w:val="18"/>
                  <w:color w:val="0000EE"/>
                  <w:w w:val="90"/>
                </w:rPr>
                <w:t>Report of Independent Registered Public Accounting Firm</w:t>
              </w:r>
            </w:hyperlink>
          </w:p>
        </w:tc>
        <w:tc>
          <w:tcPr>
            <w:tcW w:w="300" w:type="dxa"/>
            <w:vAlign w:val="bottom"/>
            <w:gridSpan w:val="2"/>
            <w:shd w:val="clear" w:color="auto" w:fill="CCEEFF"/>
          </w:tcPr>
          <w:p>
            <w:pPr>
              <w:spacing w:after="0"/>
              <w:rPr>
                <w:sz w:val="16"/>
                <w:szCs w:val="16"/>
                <w:color w:val="auto"/>
              </w:rPr>
            </w:pPr>
          </w:p>
        </w:tc>
        <w:tc>
          <w:tcPr>
            <w:tcW w:w="4360" w:type="dxa"/>
            <w:vAlign w:val="bottom"/>
            <w:shd w:val="clear" w:color="auto" w:fill="CCEEFF"/>
          </w:tcPr>
          <w:p>
            <w:pPr>
              <w:spacing w:after="0"/>
              <w:rPr>
                <w:sz w:val="16"/>
                <w:szCs w:val="16"/>
                <w:color w:val="auto"/>
              </w:rPr>
            </w:pPr>
          </w:p>
        </w:tc>
        <w:tc>
          <w:tcPr>
            <w:tcW w:w="680" w:type="dxa"/>
            <w:vAlign w:val="bottom"/>
            <w:gridSpan w:val="4"/>
            <w:shd w:val="clear" w:color="auto" w:fill="CCEEFF"/>
          </w:tcPr>
          <w:p>
            <w:pPr>
              <w:ind w:left="340"/>
              <w:spacing w:after="0" w:line="189" w:lineRule="exact"/>
              <w:rPr>
                <w:rFonts w:ascii="Arial" w:cs="Arial" w:eastAsia="Arial" w:hAnsi="Arial"/>
                <w:sz w:val="18"/>
                <w:szCs w:val="18"/>
                <w:color w:val="0000EE"/>
              </w:rPr>
            </w:pPr>
            <w:hyperlink w:anchor="page153">
              <w:r>
                <w:rPr>
                  <w:rFonts w:ascii="Arial" w:cs="Arial" w:eastAsia="Arial" w:hAnsi="Arial"/>
                  <w:sz w:val="18"/>
                  <w:szCs w:val="18"/>
                  <w:color w:val="0000EE"/>
                </w:rPr>
                <w:t>F-2</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206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3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200" w:type="dxa"/>
            <w:vAlign w:val="bottom"/>
            <w:gridSpan w:val="5"/>
          </w:tcPr>
          <w:p>
            <w:pPr>
              <w:spacing w:after="0" w:line="189" w:lineRule="exact"/>
              <w:rPr>
                <w:rFonts w:ascii="Arial" w:cs="Arial" w:eastAsia="Arial" w:hAnsi="Arial"/>
                <w:sz w:val="18"/>
                <w:szCs w:val="18"/>
                <w:color w:val="0000EE"/>
              </w:rPr>
            </w:pPr>
            <w:hyperlink w:anchor="page154">
              <w:r>
                <w:rPr>
                  <w:rFonts w:ascii="Arial" w:cs="Arial" w:eastAsia="Arial" w:hAnsi="Arial"/>
                  <w:sz w:val="18"/>
                  <w:szCs w:val="18"/>
                  <w:color w:val="0000EE"/>
                </w:rPr>
                <w:t>Consolidated Balance Sheets</w:t>
              </w:r>
            </w:hyperlink>
          </w:p>
        </w:tc>
        <w:tc>
          <w:tcPr>
            <w:tcW w:w="300" w:type="dxa"/>
            <w:vAlign w:val="bottom"/>
            <w:gridSpan w:val="2"/>
          </w:tcPr>
          <w:p>
            <w:pPr>
              <w:spacing w:after="0"/>
              <w:rPr>
                <w:sz w:val="16"/>
                <w:szCs w:val="16"/>
                <w:color w:val="auto"/>
              </w:rPr>
            </w:pPr>
          </w:p>
        </w:tc>
        <w:tc>
          <w:tcPr>
            <w:tcW w:w="4360" w:type="dxa"/>
            <w:vAlign w:val="bottom"/>
          </w:tcPr>
          <w:p>
            <w:pPr>
              <w:spacing w:after="0"/>
              <w:rPr>
                <w:sz w:val="16"/>
                <w:szCs w:val="16"/>
                <w:color w:val="auto"/>
              </w:rPr>
            </w:pPr>
          </w:p>
        </w:tc>
        <w:tc>
          <w:tcPr>
            <w:tcW w:w="680" w:type="dxa"/>
            <w:vAlign w:val="bottom"/>
            <w:gridSpan w:val="4"/>
          </w:tcPr>
          <w:p>
            <w:pPr>
              <w:ind w:left="340"/>
              <w:spacing w:after="0" w:line="189" w:lineRule="exact"/>
              <w:rPr>
                <w:rFonts w:ascii="Arial" w:cs="Arial" w:eastAsia="Arial" w:hAnsi="Arial"/>
                <w:sz w:val="18"/>
                <w:szCs w:val="18"/>
                <w:color w:val="0000EE"/>
              </w:rPr>
            </w:pPr>
            <w:hyperlink w:anchor="page154">
              <w:r>
                <w:rPr>
                  <w:rFonts w:ascii="Arial" w:cs="Arial" w:eastAsia="Arial" w:hAnsi="Arial"/>
                  <w:sz w:val="18"/>
                  <w:szCs w:val="18"/>
                  <w:color w:val="0000EE"/>
                </w:rPr>
                <w:t>F-3</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2060" w:type="dxa"/>
            <w:vAlign w:val="bottom"/>
            <w:tcBorders>
              <w:top w:val="single" w:sz="8" w:color="0000EE"/>
            </w:tcBorders>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720" w:type="dxa"/>
            <w:vAlign w:val="bottom"/>
            <w:gridSpan w:val="4"/>
            <w:shd w:val="clear" w:color="auto" w:fill="CCEEFF"/>
          </w:tcPr>
          <w:p>
            <w:pPr>
              <w:spacing w:after="0" w:line="189" w:lineRule="exact"/>
              <w:rPr>
                <w:rFonts w:ascii="Arial" w:cs="Arial" w:eastAsia="Arial" w:hAnsi="Arial"/>
                <w:sz w:val="18"/>
                <w:szCs w:val="18"/>
                <w:color w:val="0000EE"/>
                <w:w w:val="88"/>
              </w:rPr>
            </w:pPr>
            <w:hyperlink w:anchor="page155">
              <w:r>
                <w:rPr>
                  <w:rFonts w:ascii="Arial" w:cs="Arial" w:eastAsia="Arial" w:hAnsi="Arial"/>
                  <w:sz w:val="18"/>
                  <w:szCs w:val="18"/>
                  <w:color w:val="0000EE"/>
                  <w:w w:val="88"/>
                </w:rPr>
                <w:t>Consolidated Statements of Comprehensive Income</w:t>
              </w:r>
            </w:hyperlink>
          </w:p>
        </w:tc>
        <w:tc>
          <w:tcPr>
            <w:tcW w:w="780" w:type="dxa"/>
            <w:vAlign w:val="bottom"/>
            <w:gridSpan w:val="3"/>
            <w:shd w:val="clear" w:color="auto" w:fill="CCEEFF"/>
          </w:tcPr>
          <w:p>
            <w:pPr>
              <w:spacing w:after="0"/>
              <w:rPr>
                <w:sz w:val="16"/>
                <w:szCs w:val="16"/>
                <w:color w:val="auto"/>
              </w:rPr>
            </w:pPr>
          </w:p>
        </w:tc>
        <w:tc>
          <w:tcPr>
            <w:tcW w:w="4360" w:type="dxa"/>
            <w:vAlign w:val="bottom"/>
            <w:shd w:val="clear" w:color="auto" w:fill="CCEEFF"/>
          </w:tcPr>
          <w:p>
            <w:pPr>
              <w:spacing w:after="0"/>
              <w:rPr>
                <w:sz w:val="16"/>
                <w:szCs w:val="16"/>
                <w:color w:val="auto"/>
              </w:rPr>
            </w:pPr>
          </w:p>
        </w:tc>
        <w:tc>
          <w:tcPr>
            <w:tcW w:w="680" w:type="dxa"/>
            <w:vAlign w:val="bottom"/>
            <w:gridSpan w:val="4"/>
            <w:shd w:val="clear" w:color="auto" w:fill="CCEEFF"/>
          </w:tcPr>
          <w:p>
            <w:pPr>
              <w:ind w:left="340"/>
              <w:spacing w:after="0" w:line="189" w:lineRule="exact"/>
              <w:rPr>
                <w:rFonts w:ascii="Arial" w:cs="Arial" w:eastAsia="Arial" w:hAnsi="Arial"/>
                <w:sz w:val="18"/>
                <w:szCs w:val="18"/>
                <w:color w:val="0000EE"/>
              </w:rPr>
            </w:pPr>
            <w:hyperlink w:anchor="page155">
              <w:r>
                <w:rPr>
                  <w:rFonts w:ascii="Arial" w:cs="Arial" w:eastAsia="Arial" w:hAnsi="Arial"/>
                  <w:sz w:val="18"/>
                  <w:szCs w:val="18"/>
                  <w:color w:val="0000EE"/>
                </w:rPr>
                <w:t>F-4</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206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3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500" w:type="dxa"/>
            <w:vAlign w:val="bottom"/>
            <w:gridSpan w:val="7"/>
          </w:tcPr>
          <w:p>
            <w:pPr>
              <w:spacing w:after="0" w:line="189" w:lineRule="exact"/>
              <w:rPr>
                <w:rFonts w:ascii="Arial" w:cs="Arial" w:eastAsia="Arial" w:hAnsi="Arial"/>
                <w:sz w:val="18"/>
                <w:szCs w:val="18"/>
                <w:color w:val="0000EE"/>
                <w:w w:val="92"/>
              </w:rPr>
            </w:pPr>
            <w:hyperlink w:anchor="page157">
              <w:r>
                <w:rPr>
                  <w:rFonts w:ascii="Arial" w:cs="Arial" w:eastAsia="Arial" w:hAnsi="Arial"/>
                  <w:sz w:val="18"/>
                  <w:szCs w:val="18"/>
                  <w:color w:val="0000EE"/>
                  <w:w w:val="92"/>
                </w:rPr>
                <w:t>Consolidated Statements of Changes in Stockholders’ Equity</w:t>
              </w:r>
            </w:hyperlink>
          </w:p>
        </w:tc>
        <w:tc>
          <w:tcPr>
            <w:tcW w:w="4360" w:type="dxa"/>
            <w:vAlign w:val="bottom"/>
          </w:tcPr>
          <w:p>
            <w:pPr>
              <w:spacing w:after="0"/>
              <w:rPr>
                <w:sz w:val="16"/>
                <w:szCs w:val="16"/>
                <w:color w:val="auto"/>
              </w:rPr>
            </w:pPr>
          </w:p>
        </w:tc>
        <w:tc>
          <w:tcPr>
            <w:tcW w:w="680" w:type="dxa"/>
            <w:vAlign w:val="bottom"/>
            <w:gridSpan w:val="4"/>
          </w:tcPr>
          <w:p>
            <w:pPr>
              <w:ind w:left="340"/>
              <w:spacing w:after="0" w:line="189" w:lineRule="exact"/>
              <w:rPr>
                <w:rFonts w:ascii="Arial" w:cs="Arial" w:eastAsia="Arial" w:hAnsi="Arial"/>
                <w:sz w:val="18"/>
                <w:szCs w:val="18"/>
                <w:color w:val="0000EE"/>
              </w:rPr>
            </w:pPr>
            <w:hyperlink w:anchor="page157">
              <w:r>
                <w:rPr>
                  <w:rFonts w:ascii="Arial" w:cs="Arial" w:eastAsia="Arial" w:hAnsi="Arial"/>
                  <w:sz w:val="18"/>
                  <w:szCs w:val="18"/>
                  <w:color w:val="0000EE"/>
                </w:rPr>
                <w:t>F-6</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206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500" w:type="dxa"/>
            <w:vAlign w:val="bottom"/>
            <w:gridSpan w:val="7"/>
            <w:shd w:val="clear" w:color="auto" w:fill="CCEEFF"/>
          </w:tcPr>
          <w:p>
            <w:pPr>
              <w:spacing w:after="0" w:line="189" w:lineRule="exact"/>
              <w:rPr>
                <w:rFonts w:ascii="Arial" w:cs="Arial" w:eastAsia="Arial" w:hAnsi="Arial"/>
                <w:sz w:val="18"/>
                <w:szCs w:val="18"/>
                <w:color w:val="0000EE"/>
              </w:rPr>
            </w:pPr>
            <w:hyperlink w:anchor="page158">
              <w:r>
                <w:rPr>
                  <w:rFonts w:ascii="Arial" w:cs="Arial" w:eastAsia="Arial" w:hAnsi="Arial"/>
                  <w:sz w:val="18"/>
                  <w:szCs w:val="18"/>
                  <w:color w:val="0000EE"/>
                </w:rPr>
                <w:t>Consolidated Statements of Cash Flows</w:t>
              </w:r>
            </w:hyperlink>
          </w:p>
        </w:tc>
        <w:tc>
          <w:tcPr>
            <w:tcW w:w="4360" w:type="dxa"/>
            <w:vAlign w:val="bottom"/>
            <w:shd w:val="clear" w:color="auto" w:fill="CCEEFF"/>
          </w:tcPr>
          <w:p>
            <w:pPr>
              <w:spacing w:after="0"/>
              <w:rPr>
                <w:sz w:val="16"/>
                <w:szCs w:val="16"/>
                <w:color w:val="auto"/>
              </w:rPr>
            </w:pPr>
          </w:p>
        </w:tc>
        <w:tc>
          <w:tcPr>
            <w:tcW w:w="680" w:type="dxa"/>
            <w:vAlign w:val="bottom"/>
            <w:gridSpan w:val="4"/>
            <w:shd w:val="clear" w:color="auto" w:fill="CCEEFF"/>
          </w:tcPr>
          <w:p>
            <w:pPr>
              <w:ind w:left="340"/>
              <w:spacing w:after="0" w:line="189" w:lineRule="exact"/>
              <w:rPr>
                <w:rFonts w:ascii="Arial" w:cs="Arial" w:eastAsia="Arial" w:hAnsi="Arial"/>
                <w:sz w:val="18"/>
                <w:szCs w:val="18"/>
                <w:color w:val="0000EE"/>
              </w:rPr>
            </w:pPr>
            <w:hyperlink w:anchor="page158">
              <w:r>
                <w:rPr>
                  <w:rFonts w:ascii="Arial" w:cs="Arial" w:eastAsia="Arial" w:hAnsi="Arial"/>
                  <w:sz w:val="18"/>
                  <w:szCs w:val="18"/>
                  <w:color w:val="0000EE"/>
                </w:rPr>
                <w:t>F-7</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206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3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500" w:type="dxa"/>
            <w:vAlign w:val="bottom"/>
            <w:gridSpan w:val="7"/>
          </w:tcPr>
          <w:p>
            <w:pPr>
              <w:spacing w:after="0" w:line="189" w:lineRule="exact"/>
              <w:rPr>
                <w:rFonts w:ascii="Arial" w:cs="Arial" w:eastAsia="Arial" w:hAnsi="Arial"/>
                <w:sz w:val="18"/>
                <w:szCs w:val="18"/>
                <w:color w:val="0000EE"/>
              </w:rPr>
            </w:pPr>
            <w:hyperlink w:anchor="page159">
              <w:r>
                <w:rPr>
                  <w:rFonts w:ascii="Arial" w:cs="Arial" w:eastAsia="Arial" w:hAnsi="Arial"/>
                  <w:sz w:val="18"/>
                  <w:szCs w:val="18"/>
                  <w:color w:val="0000EE"/>
                </w:rPr>
                <w:t>Notes to Consolidated Financial Statements</w:t>
              </w:r>
            </w:hyperlink>
          </w:p>
        </w:tc>
        <w:tc>
          <w:tcPr>
            <w:tcW w:w="4360" w:type="dxa"/>
            <w:vAlign w:val="bottom"/>
          </w:tcPr>
          <w:p>
            <w:pPr>
              <w:spacing w:after="0"/>
              <w:rPr>
                <w:sz w:val="16"/>
                <w:szCs w:val="16"/>
                <w:color w:val="auto"/>
              </w:rPr>
            </w:pPr>
          </w:p>
        </w:tc>
        <w:tc>
          <w:tcPr>
            <w:tcW w:w="680" w:type="dxa"/>
            <w:vAlign w:val="bottom"/>
            <w:gridSpan w:val="4"/>
          </w:tcPr>
          <w:p>
            <w:pPr>
              <w:ind w:left="340"/>
              <w:spacing w:after="0" w:line="189" w:lineRule="exact"/>
              <w:rPr>
                <w:rFonts w:ascii="Arial" w:cs="Arial" w:eastAsia="Arial" w:hAnsi="Arial"/>
                <w:sz w:val="18"/>
                <w:szCs w:val="18"/>
                <w:color w:val="0000EE"/>
              </w:rPr>
            </w:pPr>
            <w:hyperlink w:anchor="page159">
              <w:r>
                <w:rPr>
                  <w:rFonts w:ascii="Arial" w:cs="Arial" w:eastAsia="Arial" w:hAnsi="Arial"/>
                  <w:sz w:val="18"/>
                  <w:szCs w:val="18"/>
                  <w:color w:val="0000EE"/>
                </w:rPr>
                <w:t>F-8</w:t>
              </w:r>
            </w:hyperlink>
          </w:p>
        </w:tc>
        <w:tc>
          <w:tcPr>
            <w:tcW w:w="0" w:type="dxa"/>
            <w:vAlign w:val="bottom"/>
          </w:tcPr>
          <w:p>
            <w:pPr>
              <w:spacing w:after="0"/>
              <w:rPr>
                <w:sz w:val="1"/>
                <w:szCs w:val="1"/>
                <w:color w:val="auto"/>
              </w:rPr>
            </w:pPr>
          </w:p>
        </w:tc>
      </w:tr>
      <w:tr>
        <w:trPr>
          <w:trHeight w:val="466"/>
        </w:trPr>
        <w:tc>
          <w:tcPr>
            <w:tcW w:w="20" w:type="dxa"/>
            <w:vAlign w:val="bottom"/>
            <w:tcBorders>
              <w:top w:val="single" w:sz="8" w:color="0000EE"/>
            </w:tcBorders>
          </w:tcPr>
          <w:p>
            <w:pPr>
              <w:spacing w:after="0"/>
              <w:rPr>
                <w:sz w:val="24"/>
                <w:szCs w:val="24"/>
                <w:color w:val="auto"/>
              </w:rPr>
            </w:pPr>
          </w:p>
        </w:tc>
        <w:tc>
          <w:tcPr>
            <w:tcW w:w="20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00" w:type="dxa"/>
            <w:vAlign w:val="bottom"/>
            <w:gridSpan w:val="2"/>
          </w:tcPr>
          <w:p>
            <w:pPr>
              <w:ind w:left="120"/>
              <w:spacing w:after="0"/>
              <w:rPr>
                <w:sz w:val="20"/>
                <w:szCs w:val="20"/>
                <w:color w:val="auto"/>
              </w:rPr>
            </w:pPr>
            <w:r>
              <w:rPr>
                <w:rFonts w:ascii="Arial" w:cs="Arial" w:eastAsia="Arial" w:hAnsi="Arial"/>
                <w:sz w:val="18"/>
                <w:szCs w:val="18"/>
                <w:color w:val="auto"/>
              </w:rPr>
              <w:t>F-1</w:t>
            </w:r>
          </w:p>
        </w:tc>
        <w:tc>
          <w:tcPr>
            <w:tcW w:w="240" w:type="dxa"/>
            <w:vAlign w:val="bottom"/>
            <w:tcBorders>
              <w:top w:val="single" w:sz="8" w:color="0000EE"/>
            </w:tcBorders>
          </w:tcPr>
          <w:p>
            <w:pPr>
              <w:spacing w:after="0"/>
              <w:rPr>
                <w:sz w:val="24"/>
                <w:szCs w:val="24"/>
                <w:color w:val="auto"/>
              </w:rPr>
            </w:pPr>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060" w:type="dxa"/>
            <w:vAlign w:val="bottom"/>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60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436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9" w:right="1159" w:bottom="1440" w:gutter="0" w:footer="0" w:header="0"/>
        </w:sectPr>
      </w:pPr>
    </w:p>
    <w:bookmarkStart w:id="152" w:name="page153"/>
    <w:bookmarkEnd w:id="15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South Plains Financial,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Lubbock, Texas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12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have audited the accompanying consolidated balance sheets of South Plains Financial, Inc. and Subsidiaries (the “Company”) as of December 31, 2018 and 2017, and the related consolidated statements of comprehensive income, changes in stockholders’ equity, and cash flows for the years then ended, and the related notes to the consolidated financial statements (collectively referred to as the “financial statements”). In our opinion, the consolidated financial statements present fairly, in all material respects, the financial position of the Company as of December 31, 2018 and 2017, and the results of its operations and its cash flows for each of the years then ended, in conformity with accounting principles generally accepted in the United States of America.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121"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As discussed in Note 1 to the consolidated financial statements, the Company changed its method for reporting the obligation required by the put option for shares of the Company’s stock held by the Company’s ESOP at December 31, 2018 and 2017.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These consolidated financial statements are the responsibility of the entity’s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South Plains Financial, Inc.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entity’s internal control over financial reporting. Accordingly, we express no such opinion.</w:t>
      </w:r>
    </w:p>
    <w:p>
      <w:pPr>
        <w:spacing w:after="0" w:line="8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 WEAVER AND TIDWELL,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South Plains Financial, Inc.’s auditor since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Fort Worth,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10, 2019</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53" w:name="page154"/>
    <w:bookmarkEnd w:id="15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CONSOLIDATED BALANCE SHEETS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3"/>
              </w:rPr>
              <w:t>(In thousands except per share data)</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6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auto"/>
            </w:tcBorders>
            <w:vMerge w:val="restart"/>
          </w:tcPr>
          <w:p>
            <w:pPr>
              <w:spacing w:after="0"/>
              <w:rPr>
                <w:sz w:val="2"/>
                <w:szCs w:val="2"/>
                <w:color w:val="auto"/>
              </w:rPr>
            </w:pPr>
          </w:p>
        </w:tc>
        <w:tc>
          <w:tcPr>
            <w:tcW w:w="620" w:type="dxa"/>
            <w:vAlign w:val="bottom"/>
            <w:tcBorders>
              <w:top w:val="single" w:sz="8" w:color="auto"/>
            </w:tcBorders>
            <w:shd w:val="clear" w:color="auto" w:fill="CCEEFF"/>
          </w:tcPr>
          <w:p>
            <w:pPr>
              <w:spacing w:after="0"/>
              <w:rPr>
                <w:sz w:val="2"/>
                <w:szCs w:val="2"/>
                <w:color w:val="auto"/>
              </w:rPr>
            </w:pPr>
          </w:p>
        </w:tc>
        <w:tc>
          <w:tcPr>
            <w:tcW w:w="3060" w:type="dxa"/>
            <w:vAlign w:val="bottom"/>
            <w:tcBorders>
              <w:top w:val="single" w:sz="8" w:color="CCEEFF"/>
            </w:tcBorders>
            <w:shd w:val="clear" w:color="auto" w:fill="CCEEFF"/>
          </w:tcPr>
          <w:p>
            <w:pPr>
              <w:spacing w:after="0"/>
              <w:rPr>
                <w:sz w:val="2"/>
                <w:szCs w:val="2"/>
                <w:color w:val="auto"/>
              </w:rPr>
            </w:pPr>
          </w:p>
        </w:tc>
        <w:tc>
          <w:tcPr>
            <w:tcW w:w="30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760" w:type="dxa"/>
            <w:vAlign w:val="bottom"/>
            <w:gridSpan w:val="4"/>
          </w:tcPr>
          <w:p>
            <w:pPr>
              <w:spacing w:after="0"/>
              <w:rPr>
                <w:sz w:val="20"/>
                <w:szCs w:val="20"/>
                <w:color w:val="auto"/>
              </w:rPr>
            </w:pPr>
            <w:r>
              <w:rPr>
                <w:rFonts w:ascii="Arial" w:cs="Arial" w:eastAsia="Arial" w:hAnsi="Arial"/>
                <w:sz w:val="18"/>
                <w:szCs w:val="18"/>
                <w:color w:val="auto"/>
              </w:rPr>
              <w:t>Cash and due from banks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47,802</w:t>
            </w:r>
          </w:p>
        </w:tc>
        <w:tc>
          <w:tcPr>
            <w:tcW w:w="18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53,106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Interest-bearing deposits in banks</w:t>
            </w: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198,187</w:t>
            </w:r>
          </w:p>
        </w:tc>
        <w:tc>
          <w:tcPr>
            <w:tcW w:w="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241,457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gridSpan w:val="4"/>
          </w:tcPr>
          <w:p>
            <w:pPr>
              <w:ind w:left="16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245,989</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294,563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Securities available for sale</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338,196</w:t>
            </w:r>
          </w:p>
        </w:tc>
        <w:tc>
          <w:tcPr>
            <w:tcW w:w="1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194,179</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gridSpan w:val="4"/>
          </w:tcPr>
          <w:p>
            <w:pPr>
              <w:spacing w:after="0"/>
              <w:rPr>
                <w:sz w:val="20"/>
                <w:szCs w:val="20"/>
                <w:color w:val="auto"/>
              </w:rPr>
            </w:pPr>
            <w:r>
              <w:rPr>
                <w:rFonts w:ascii="Arial" w:cs="Arial" w:eastAsia="Arial" w:hAnsi="Arial"/>
                <w:sz w:val="18"/>
                <w:szCs w:val="18"/>
                <w:color w:val="auto"/>
              </w:rPr>
              <w:t>Securities held to maturity</w:t>
            </w:r>
          </w:p>
        </w:tc>
        <w:tc>
          <w:tcPr>
            <w:tcW w:w="18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89,920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38,382</w:t>
            </w:r>
          </w:p>
        </w:tc>
        <w:tc>
          <w:tcPr>
            <w:tcW w:w="1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29,314</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gridSpan w:val="4"/>
          </w:tcPr>
          <w:p>
            <w:pPr>
              <w:spacing w:after="0"/>
              <w:rPr>
                <w:sz w:val="20"/>
                <w:szCs w:val="20"/>
                <w:color w:val="auto"/>
              </w:rPr>
            </w:pPr>
            <w:r>
              <w:rPr>
                <w:rFonts w:ascii="Arial" w:cs="Arial" w:eastAsia="Arial" w:hAnsi="Arial"/>
                <w:sz w:val="18"/>
                <w:szCs w:val="18"/>
                <w:color w:val="auto"/>
              </w:rPr>
              <w:t>Loans held for investment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1,957,197</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1,838,155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1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(23,126)</w:t>
            </w:r>
          </w:p>
        </w:tc>
        <w:tc>
          <w:tcPr>
            <w:tcW w:w="4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gridSpan w:val="4"/>
          </w:tcPr>
          <w:p>
            <w:pPr>
              <w:spacing w:after="0"/>
              <w:rPr>
                <w:sz w:val="20"/>
                <w:szCs w:val="20"/>
                <w:color w:val="auto"/>
              </w:rPr>
            </w:pPr>
            <w:r>
              <w:rPr>
                <w:rFonts w:ascii="Arial" w:cs="Arial" w:eastAsia="Arial" w:hAnsi="Arial"/>
                <w:sz w:val="18"/>
                <w:szCs w:val="18"/>
                <w:color w:val="auto"/>
              </w:rPr>
              <w:t>Accrued interest receivable</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12,957</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Premises and equipment, net</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59,787</w:t>
            </w:r>
          </w:p>
        </w:tc>
        <w:tc>
          <w:tcPr>
            <w:tcW w:w="1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61,887</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60" w:type="dxa"/>
            <w:vAlign w:val="bottom"/>
            <w:gridSpan w:val="4"/>
          </w:tcPr>
          <w:p>
            <w:pPr>
              <w:spacing w:after="0"/>
              <w:rPr>
                <w:sz w:val="20"/>
                <w:szCs w:val="20"/>
                <w:color w:val="auto"/>
              </w:rPr>
            </w:pPr>
            <w:r>
              <w:rPr>
                <w:rFonts w:ascii="Arial" w:cs="Arial" w:eastAsia="Arial" w:hAnsi="Arial"/>
                <w:sz w:val="18"/>
                <w:szCs w:val="18"/>
                <w:color w:val="auto"/>
              </w:rPr>
              <w:t>Bank-owned life insurance</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57,172</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55,890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26,191</w:t>
            </w:r>
          </w:p>
        </w:tc>
        <w:tc>
          <w:tcPr>
            <w:tcW w:w="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16,625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gridSpan w:val="4"/>
          </w:tcPr>
          <w:p>
            <w:pPr>
              <w:ind w:left="340"/>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2,712,745</w:t>
            </w:r>
          </w:p>
        </w:tc>
        <w:tc>
          <w:tcPr>
            <w:tcW w:w="18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2,573,375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w w:val="98"/>
              </w:rPr>
              <w:t>LIABILITIES AND STOCKHOLDERS’ EQUITY</w:t>
            </w:r>
          </w:p>
        </w:tc>
        <w:tc>
          <w:tcPr>
            <w:tcW w:w="308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60" w:type="dxa"/>
            <w:vAlign w:val="bottom"/>
            <w:gridSpan w:val="4"/>
          </w:tcPr>
          <w:p>
            <w:pPr>
              <w:spacing w:after="0"/>
              <w:rPr>
                <w:sz w:val="20"/>
                <w:szCs w:val="20"/>
                <w:color w:val="auto"/>
              </w:rPr>
            </w:pPr>
            <w:r>
              <w:rPr>
                <w:rFonts w:ascii="Arial" w:cs="Arial" w:eastAsia="Arial" w:hAnsi="Arial"/>
                <w:sz w:val="18"/>
                <w:szCs w:val="18"/>
                <w:color w:val="auto"/>
              </w:rPr>
              <w:t>Deposits: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7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Noninterest-bearing</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510,067</w:t>
            </w:r>
          </w:p>
        </w:tc>
        <w:tc>
          <w:tcPr>
            <w:tcW w:w="18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475,162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40" w:type="dxa"/>
            <w:vAlign w:val="bottom"/>
            <w:gridSpan w:val="3"/>
          </w:tcPr>
          <w:p>
            <w:pPr>
              <w:ind w:left="160"/>
              <w:spacing w:after="0"/>
              <w:rPr>
                <w:sz w:val="20"/>
                <w:szCs w:val="20"/>
                <w:color w:val="auto"/>
              </w:rPr>
            </w:pPr>
            <w:r>
              <w:rPr>
                <w:rFonts w:ascii="Arial" w:cs="Arial" w:eastAsia="Arial" w:hAnsi="Arial"/>
                <w:sz w:val="18"/>
                <w:szCs w:val="18"/>
                <w:color w:val="auto"/>
              </w:rPr>
              <w:t>Interest-bearing</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1,767,387</w:t>
            </w:r>
          </w:p>
        </w:tc>
        <w:tc>
          <w:tcPr>
            <w:tcW w:w="1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1,678,919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6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Total deposits</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2,277,454</w:t>
            </w:r>
          </w:p>
        </w:tc>
        <w:tc>
          <w:tcPr>
            <w:tcW w:w="1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2,154,081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gridSpan w:val="4"/>
          </w:tcPr>
          <w:p>
            <w:pPr>
              <w:spacing w:after="0"/>
              <w:rPr>
                <w:sz w:val="20"/>
                <w:szCs w:val="20"/>
                <w:color w:val="auto"/>
              </w:rPr>
            </w:pPr>
            <w:r>
              <w:rPr>
                <w:rFonts w:ascii="Arial" w:cs="Arial" w:eastAsia="Arial" w:hAnsi="Arial"/>
                <w:sz w:val="18"/>
                <w:szCs w:val="18"/>
                <w:color w:val="auto"/>
              </w:rPr>
              <w:t>Short-term borrowings</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17,705</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15,550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Accrued expenses and other liabilities</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29,416</w:t>
            </w:r>
          </w:p>
        </w:tc>
        <w:tc>
          <w:tcPr>
            <w:tcW w:w="1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26,137</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gridSpan w:val="4"/>
          </w:tcPr>
          <w:p>
            <w:pPr>
              <w:spacing w:after="0"/>
              <w:rPr>
                <w:sz w:val="20"/>
                <w:szCs w:val="20"/>
                <w:color w:val="auto"/>
              </w:rPr>
            </w:pPr>
            <w:r>
              <w:rPr>
                <w:rFonts w:ascii="Arial" w:cs="Arial" w:eastAsia="Arial" w:hAnsi="Arial"/>
                <w:sz w:val="18"/>
                <w:szCs w:val="18"/>
                <w:color w:val="auto"/>
              </w:rPr>
              <w:t>Notes payable &amp; other borrowings</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95,000</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Subordinated debt securities</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34,002</w:t>
            </w:r>
          </w:p>
        </w:tc>
        <w:tc>
          <w:tcPr>
            <w:tcW w:w="1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20,887</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760" w:type="dxa"/>
            <w:vAlign w:val="bottom"/>
            <w:gridSpan w:val="4"/>
          </w:tcPr>
          <w:p>
            <w:pPr>
              <w:spacing w:after="0"/>
              <w:rPr>
                <w:sz w:val="20"/>
                <w:szCs w:val="20"/>
                <w:color w:val="auto"/>
              </w:rPr>
            </w:pPr>
            <w:r>
              <w:rPr>
                <w:rFonts w:ascii="Arial" w:cs="Arial" w:eastAsia="Arial" w:hAnsi="Arial"/>
                <w:sz w:val="18"/>
                <w:szCs w:val="18"/>
                <w:color w:val="auto"/>
              </w:rPr>
              <w:t>Junior subordinated deferrable interest debentures</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46,393</w:t>
            </w:r>
          </w:p>
        </w:tc>
        <w:tc>
          <w:tcPr>
            <w:tcW w:w="1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2,499,970</w:t>
            </w:r>
          </w:p>
        </w:tc>
        <w:tc>
          <w:tcPr>
            <w:tcW w:w="1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2,358,048</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gridSpan w:val="4"/>
          </w:tcPr>
          <w:p>
            <w:pPr>
              <w:spacing w:after="0"/>
              <w:rPr>
                <w:sz w:val="20"/>
                <w:szCs w:val="20"/>
                <w:color w:val="auto"/>
              </w:rPr>
            </w:pPr>
            <w:r>
              <w:rPr>
                <w:rFonts w:ascii="Arial" w:cs="Arial" w:eastAsia="Arial" w:hAnsi="Arial"/>
                <w:sz w:val="18"/>
                <w:szCs w:val="18"/>
                <w:color w:val="auto"/>
              </w:rPr>
              <w:t>Commitments and contingent liabilities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ESOP owned shares</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58,195</w:t>
            </w:r>
          </w:p>
        </w:tc>
        <w:tc>
          <w:tcPr>
            <w:tcW w:w="1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57,121</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60" w:type="dxa"/>
            <w:vAlign w:val="bottom"/>
            <w:gridSpan w:val="4"/>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w w:val="94"/>
              </w:rPr>
              <w:t>Common stock, $1 par value, 30,000,000 shares authorized; 14,771,520 issued in 2018</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76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and 15,153,510 issued in 2017</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14,772</w:t>
            </w:r>
          </w:p>
        </w:tc>
        <w:tc>
          <w:tcPr>
            <w:tcW w:w="1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60" w:type="dxa"/>
            <w:vAlign w:val="bottom"/>
            <w:gridSpan w:val="4"/>
          </w:tcPr>
          <w:p>
            <w:pPr>
              <w:ind w:left="16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80,412</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85,888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7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119,834</w:t>
            </w:r>
          </w:p>
        </w:tc>
        <w:tc>
          <w:tcPr>
            <w:tcW w:w="1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120,589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60" w:type="dxa"/>
            <w:vAlign w:val="bottom"/>
            <w:gridSpan w:val="4"/>
          </w:tcPr>
          <w:p>
            <w:pPr>
              <w:ind w:left="160"/>
              <w:spacing w:after="0"/>
              <w:rPr>
                <w:sz w:val="20"/>
                <w:szCs w:val="20"/>
                <w:color w:val="auto"/>
              </w:rPr>
            </w:pPr>
            <w:r>
              <w:rPr>
                <w:rFonts w:ascii="Arial" w:cs="Arial" w:eastAsia="Arial" w:hAnsi="Arial"/>
                <w:sz w:val="18"/>
                <w:szCs w:val="18"/>
                <w:color w:val="auto"/>
              </w:rPr>
              <w:t>Accumulated other comprehensive income (loss)</w:t>
            </w:r>
          </w:p>
        </w:tc>
        <w:tc>
          <w:tcPr>
            <w:tcW w:w="18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(2,243)</w:t>
            </w:r>
          </w:p>
        </w:tc>
        <w:tc>
          <w:tcPr>
            <w:tcW w:w="42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Treasury stock, at cost (381,990 shares in 2017)</w:t>
            </w:r>
          </w:p>
        </w:tc>
        <w:tc>
          <w:tcPr>
            <w:tcW w:w="1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(5,858)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0" w:type="dxa"/>
            <w:vAlign w:val="bottom"/>
            <w:tcBorders>
              <w:top w:val="single" w:sz="8" w:color="CCEEFF"/>
            </w:tcBorders>
          </w:tcPr>
          <w:p>
            <w:pPr>
              <w:spacing w:after="0"/>
              <w:rPr>
                <w:sz w:val="20"/>
                <w:szCs w:val="20"/>
                <w:color w:val="auto"/>
              </w:rPr>
            </w:pPr>
          </w:p>
        </w:tc>
        <w:tc>
          <w:tcPr>
            <w:tcW w:w="3060" w:type="dxa"/>
            <w:vAlign w:val="bottom"/>
            <w:tcBorders>
              <w:top w:val="single" w:sz="8" w:color="CCEEFF"/>
            </w:tcBorders>
          </w:tcPr>
          <w:p>
            <w:pPr>
              <w:spacing w:after="0"/>
              <w:rPr>
                <w:sz w:val="20"/>
                <w:szCs w:val="20"/>
                <w:color w:val="auto"/>
              </w:rPr>
            </w:pPr>
          </w:p>
        </w:tc>
        <w:tc>
          <w:tcPr>
            <w:tcW w:w="306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212,775</w:t>
            </w:r>
          </w:p>
        </w:tc>
        <w:tc>
          <w:tcPr>
            <w:tcW w:w="180" w:type="dxa"/>
            <w:vAlign w:val="bottom"/>
            <w:tcBorders>
              <w:top w:val="single" w:sz="8" w:color="CCEEFF"/>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215,327</w:t>
            </w: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Less ESOP owned shares</w:t>
            </w: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58,195</w:t>
            </w:r>
          </w:p>
        </w:tc>
        <w:tc>
          <w:tcPr>
            <w:tcW w:w="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57,121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60" w:type="dxa"/>
            <w:vAlign w:val="bottom"/>
            <w:gridSpan w:val="4"/>
          </w:tcPr>
          <w:p>
            <w:pPr>
              <w:ind w:left="340"/>
              <w:spacing w:after="0"/>
              <w:rPr>
                <w:sz w:val="20"/>
                <w:szCs w:val="20"/>
                <w:color w:val="auto"/>
              </w:rPr>
            </w:pPr>
            <w:r>
              <w:rPr>
                <w:rFonts w:ascii="Arial" w:cs="Arial" w:eastAsia="Arial" w:hAnsi="Arial"/>
                <w:sz w:val="18"/>
                <w:szCs w:val="18"/>
                <w:color w:val="auto"/>
              </w:rPr>
              <w:t>Total stockholder’ equity</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154,580</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158,206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67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2,712,745</w:t>
            </w:r>
          </w:p>
        </w:tc>
        <w:tc>
          <w:tcPr>
            <w:tcW w:w="1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2,573,375</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54" w:name="page155"/>
    <w:bookmarkEnd w:id="15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CONSOLIDATED STATEMENTS OF COMPREHENSIVE INCOME</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2"/>
              </w:rPr>
              <w:t>Years Ended December 31,</w:t>
            </w:r>
          </w:p>
        </w:tc>
      </w:tr>
      <w:tr>
        <w:trPr>
          <w:trHeight w:val="183"/>
        </w:trPr>
        <w:tc>
          <w:tcPr>
            <w:tcW w:w="2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6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(In thousands except per share data)</w:t>
            </w:r>
          </w:p>
        </w:tc>
      </w:tr>
      <w:tr>
        <w:trPr>
          <w:trHeight w:val="243"/>
        </w:trPr>
        <w:tc>
          <w:tcPr>
            <w:tcW w:w="20" w:type="dxa"/>
            <w:vAlign w:val="bottom"/>
          </w:tcPr>
          <w:p>
            <w:pPr>
              <w:spacing w:after="0"/>
              <w:rPr>
                <w:sz w:val="21"/>
                <w:szCs w:val="21"/>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760" w:type="dxa"/>
            <w:vAlign w:val="bottom"/>
            <w:gridSpan w:val="2"/>
          </w:tcPr>
          <w:p>
            <w:pPr>
              <w:ind w:left="160"/>
              <w:spacing w:after="0"/>
              <w:rPr>
                <w:sz w:val="20"/>
                <w:szCs w:val="20"/>
                <w:color w:val="auto"/>
              </w:rPr>
            </w:pPr>
            <w:r>
              <w:rPr>
                <w:rFonts w:ascii="Arial" w:cs="Arial" w:eastAsia="Arial" w:hAnsi="Arial"/>
                <w:sz w:val="18"/>
                <w:szCs w:val="18"/>
                <w:color w:val="auto"/>
              </w:rPr>
              <w:t>Loans, including fees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105,710</w:t>
            </w:r>
          </w:p>
        </w:tc>
        <w:tc>
          <w:tcPr>
            <w:tcW w:w="1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94,110</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Securities:</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760" w:type="dxa"/>
            <w:vAlign w:val="bottom"/>
            <w:gridSpan w:val="2"/>
          </w:tcPr>
          <w:p>
            <w:pPr>
              <w:ind w:left="340"/>
              <w:spacing w:after="0"/>
              <w:rPr>
                <w:sz w:val="20"/>
                <w:szCs w:val="20"/>
                <w:color w:val="auto"/>
              </w:rPr>
            </w:pPr>
            <w:r>
              <w:rPr>
                <w:rFonts w:ascii="Arial" w:cs="Arial" w:eastAsia="Arial" w:hAnsi="Arial"/>
                <w:sz w:val="18"/>
                <w:szCs w:val="18"/>
                <w:color w:val="auto"/>
              </w:rPr>
              <w:t>Taxable</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5,577</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2,595</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Non taxable</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w:t>
            </w: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4,874</w:t>
            </w: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Federal funds sold and interest-bearing deposits in banks</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3,935</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2,861</w:t>
            </w:r>
          </w:p>
        </w:tc>
        <w:tc>
          <w:tcPr>
            <w:tcW w:w="10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interest income</w:t>
            </w:r>
          </w:p>
        </w:tc>
        <w:tc>
          <w:tcPr>
            <w:tcW w:w="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118,094</w:t>
            </w:r>
          </w:p>
        </w:tc>
        <w:tc>
          <w:tcPr>
            <w:tcW w:w="1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104,440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Deposits</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17,561</w:t>
            </w: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12,404</w:t>
            </w: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760" w:type="dxa"/>
            <w:vAlign w:val="bottom"/>
            <w:gridSpan w:val="2"/>
          </w:tcPr>
          <w:p>
            <w:pPr>
              <w:ind w:left="160"/>
              <w:spacing w:after="0"/>
              <w:rPr>
                <w:sz w:val="20"/>
                <w:szCs w:val="20"/>
                <w:color w:val="auto"/>
              </w:rPr>
            </w:pPr>
            <w:r>
              <w:rPr>
                <w:rFonts w:ascii="Arial" w:cs="Arial" w:eastAsia="Arial" w:hAnsi="Arial"/>
                <w:sz w:val="18"/>
                <w:szCs w:val="18"/>
                <w:color w:val="auto"/>
              </w:rPr>
              <w:t>Notes payable &amp; other borrowings</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2,051</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1,231</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Subordinated debt securities</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Junior subordinated deferrable interest debentures</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1,824</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1,363</w:t>
            </w:r>
          </w:p>
        </w:tc>
        <w:tc>
          <w:tcPr>
            <w:tcW w:w="10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interest expense</w:t>
            </w:r>
          </w:p>
        </w:tc>
        <w:tc>
          <w:tcPr>
            <w:tcW w:w="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22,482</w:t>
            </w:r>
          </w:p>
        </w:tc>
        <w:tc>
          <w:tcPr>
            <w:tcW w:w="1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15,977</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Net interest income</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95,612</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88,463</w:t>
            </w:r>
          </w:p>
        </w:tc>
        <w:tc>
          <w:tcPr>
            <w:tcW w:w="1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6,901</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Net interest income, after provision for loan losses</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88,711</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84,497</w:t>
            </w:r>
          </w:p>
        </w:tc>
        <w:tc>
          <w:tcPr>
            <w:tcW w:w="1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760" w:type="dxa"/>
            <w:vAlign w:val="bottom"/>
            <w:gridSpan w:val="2"/>
          </w:tcPr>
          <w:p>
            <w:pPr>
              <w:ind w:left="160"/>
              <w:spacing w:after="0"/>
              <w:rPr>
                <w:sz w:val="20"/>
                <w:szCs w:val="20"/>
                <w:color w:val="auto"/>
              </w:rPr>
            </w:pPr>
            <w:r>
              <w:rPr>
                <w:rFonts w:ascii="Arial" w:cs="Arial" w:eastAsia="Arial" w:hAnsi="Arial"/>
                <w:sz w:val="18"/>
                <w:szCs w:val="18"/>
                <w:color w:val="auto"/>
              </w:rPr>
              <w:t>Service charges on deposit accounts</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7,813</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7,425</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from insurance activities</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7,128</w:t>
            </w: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6,422</w:t>
            </w: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760" w:type="dxa"/>
            <w:vAlign w:val="bottom"/>
            <w:gridSpan w:val="2"/>
          </w:tcPr>
          <w:p>
            <w:pPr>
              <w:ind w:left="160"/>
              <w:spacing w:after="0"/>
              <w:rPr>
                <w:sz w:val="20"/>
                <w:szCs w:val="20"/>
                <w:color w:val="auto"/>
              </w:rPr>
            </w:pPr>
            <w:r>
              <w:rPr>
                <w:rFonts w:ascii="Arial" w:cs="Arial" w:eastAsia="Arial" w:hAnsi="Arial"/>
                <w:sz w:val="18"/>
                <w:szCs w:val="18"/>
                <w:color w:val="auto"/>
              </w:rPr>
              <w:t>Net gain on sales of loans</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19,703</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18,936</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Bank card services and interchange fees</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8,845</w:t>
            </w: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7,857</w:t>
            </w: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760" w:type="dxa"/>
            <w:vAlign w:val="bottom"/>
            <w:gridSpan w:val="2"/>
          </w:tcPr>
          <w:p>
            <w:pPr>
              <w:ind w:left="160"/>
              <w:spacing w:after="0"/>
              <w:rPr>
                <w:sz w:val="20"/>
                <w:szCs w:val="20"/>
                <w:color w:val="auto"/>
              </w:rPr>
            </w:pPr>
            <w:r>
              <w:rPr>
                <w:rFonts w:ascii="Arial" w:cs="Arial" w:eastAsia="Arial" w:hAnsi="Arial"/>
                <w:sz w:val="18"/>
                <w:szCs w:val="18"/>
                <w:color w:val="auto"/>
              </w:rPr>
              <w:t>Investment commissions</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1,779</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1,478</w:t>
            </w:r>
          </w:p>
        </w:tc>
        <w:tc>
          <w:tcPr>
            <w:tcW w:w="1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(includes $620 reclassed from other comprehensive income in 2018)</w:t>
            </w: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6,853</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740" w:type="dxa"/>
            <w:vAlign w:val="bottom"/>
          </w:tcPr>
          <w:p>
            <w:pPr>
              <w:ind w:left="340"/>
              <w:spacing w:after="0"/>
              <w:rPr>
                <w:sz w:val="20"/>
                <w:szCs w:val="20"/>
                <w:color w:val="auto"/>
              </w:rPr>
            </w:pPr>
            <w:r>
              <w:rPr>
                <w:rFonts w:ascii="Arial" w:cs="Arial" w:eastAsia="Arial" w:hAnsi="Arial"/>
                <w:sz w:val="18"/>
                <w:szCs w:val="18"/>
                <w:color w:val="auto"/>
              </w:rPr>
              <w:t>Total noninterest income</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52,121</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47,389</w:t>
            </w:r>
          </w:p>
        </w:tc>
        <w:tc>
          <w:tcPr>
            <w:tcW w:w="1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 expense:</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760" w:type="dxa"/>
            <w:vAlign w:val="bottom"/>
            <w:gridSpan w:val="2"/>
          </w:tcPr>
          <w:p>
            <w:pPr>
              <w:ind w:left="160"/>
              <w:spacing w:after="0"/>
              <w:rPr>
                <w:sz w:val="20"/>
                <w:szCs w:val="20"/>
                <w:color w:val="auto"/>
              </w:rPr>
            </w:pPr>
            <w:r>
              <w:rPr>
                <w:rFonts w:ascii="Arial" w:cs="Arial" w:eastAsia="Arial" w:hAnsi="Arial"/>
                <w:sz w:val="18"/>
                <w:szCs w:val="18"/>
                <w:color w:val="auto"/>
              </w:rPr>
              <w:t>Salaries and employee benefits</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71,778</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67,127</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Occupancy and equipment, net</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13,571</w:t>
            </w: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12,988</w:t>
            </w: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760" w:type="dxa"/>
            <w:vAlign w:val="bottom"/>
            <w:gridSpan w:val="2"/>
          </w:tcPr>
          <w:p>
            <w:pPr>
              <w:ind w:left="160"/>
              <w:spacing w:after="0"/>
              <w:rPr>
                <w:sz w:val="20"/>
                <w:szCs w:val="20"/>
                <w:color w:val="auto"/>
              </w:rPr>
            </w:pPr>
            <w:r>
              <w:rPr>
                <w:rFonts w:ascii="Arial" w:cs="Arial" w:eastAsia="Arial" w:hAnsi="Arial"/>
                <w:sz w:val="18"/>
                <w:szCs w:val="18"/>
                <w:color w:val="auto"/>
              </w:rPr>
              <w:t>Professional services</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6,734</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4,544</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Marketing and development</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w:t>
            </w: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2,994</w:t>
            </w: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760" w:type="dxa"/>
            <w:vAlign w:val="bottom"/>
            <w:gridSpan w:val="2"/>
          </w:tcPr>
          <w:p>
            <w:pPr>
              <w:ind w:left="160"/>
              <w:spacing w:after="0"/>
              <w:rPr>
                <w:sz w:val="20"/>
                <w:szCs w:val="20"/>
                <w:color w:val="auto"/>
              </w:rPr>
            </w:pPr>
            <w:r>
              <w:rPr>
                <w:rFonts w:ascii="Arial" w:cs="Arial" w:eastAsia="Arial" w:hAnsi="Arial"/>
                <w:sz w:val="18"/>
                <w:szCs w:val="18"/>
                <w:color w:val="auto"/>
              </w:rPr>
              <w:t>IT and data services</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2,233</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2,115</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Bank card expenses</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w:t>
            </w: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w:t>
            </w: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760" w:type="dxa"/>
            <w:vAlign w:val="bottom"/>
            <w:gridSpan w:val="2"/>
          </w:tcPr>
          <w:p>
            <w:pPr>
              <w:ind w:left="160"/>
              <w:spacing w:after="0"/>
              <w:rPr>
                <w:sz w:val="20"/>
                <w:szCs w:val="20"/>
                <w:color w:val="auto"/>
              </w:rPr>
            </w:pPr>
            <w:r>
              <w:rPr>
                <w:rFonts w:ascii="Arial" w:cs="Arial" w:eastAsia="Arial" w:hAnsi="Arial"/>
                <w:sz w:val="18"/>
                <w:szCs w:val="18"/>
                <w:color w:val="auto"/>
              </w:rPr>
              <w:t>Appraisal expenses</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1,353</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1,534</w:t>
            </w:r>
          </w:p>
        </w:tc>
        <w:tc>
          <w:tcPr>
            <w:tcW w:w="1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(includes $491 reclassed from other comprehensive income for 2017)</w:t>
            </w: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13,981</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740" w:type="dxa"/>
            <w:vAlign w:val="bottom"/>
          </w:tcPr>
          <w:p>
            <w:pPr>
              <w:ind w:left="340"/>
              <w:spacing w:after="0"/>
              <w:rPr>
                <w:sz w:val="20"/>
                <w:szCs w:val="20"/>
                <w:color w:val="auto"/>
              </w:rPr>
            </w:pPr>
            <w:r>
              <w:rPr>
                <w:rFonts w:ascii="Arial" w:cs="Arial" w:eastAsia="Arial" w:hAnsi="Arial"/>
                <w:sz w:val="18"/>
                <w:szCs w:val="18"/>
                <w:color w:val="auto"/>
              </w:rPr>
              <w:t>Total noninterest expense</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115,443</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108,144</w:t>
            </w:r>
          </w:p>
        </w:tc>
        <w:tc>
          <w:tcPr>
            <w:tcW w:w="1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25,389</w:t>
            </w: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23,742</w:t>
            </w:r>
          </w:p>
        </w:tc>
        <w:tc>
          <w:tcPr>
            <w:tcW w:w="100" w:type="dxa"/>
            <w:vAlign w:val="bottom"/>
            <w:shd w:val="clear" w:color="auto" w:fill="CCEEFF"/>
          </w:tcPr>
          <w:p>
            <w:pPr>
              <w:spacing w:after="0"/>
              <w:rPr>
                <w:sz w:val="21"/>
                <w:szCs w:val="21"/>
                <w:color w:val="auto"/>
              </w:rPr>
            </w:pPr>
          </w:p>
        </w:tc>
      </w:tr>
      <w:tr>
        <w:trPr>
          <w:trHeight w:val="237"/>
        </w:trPr>
        <w:tc>
          <w:tcPr>
            <w:tcW w:w="676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(3,901)</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20" w:type="dxa"/>
            <w:vAlign w:val="bottom"/>
            <w:tcBorders>
              <w:top w:val="single" w:sz="8" w:color="auto"/>
              <w:bottom w:val="single" w:sz="8" w:color="auto"/>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29,290</w:t>
            </w:r>
          </w:p>
        </w:tc>
        <w:tc>
          <w:tcPr>
            <w:tcW w:w="1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23,635</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55" w:name="page156"/>
    <w:bookmarkEnd w:id="15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CONSOLIDATED STATEMENTS OF COMPREHENSIVE INCOME (continued)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Years Ended December 31,</w:t>
            </w:r>
          </w:p>
        </w:tc>
      </w:tr>
      <w:tr>
        <w:trPr>
          <w:trHeight w:val="183"/>
        </w:trPr>
        <w:tc>
          <w:tcPr>
            <w:tcW w:w="678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r>
      <w:tr>
        <w:trPr>
          <w:trHeight w:val="196"/>
        </w:trPr>
        <w:tc>
          <w:tcPr>
            <w:tcW w:w="6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3"/>
              </w:rPr>
              <w:t>(In thousands except per share data)</w:t>
            </w:r>
          </w:p>
        </w:tc>
      </w:tr>
      <w:tr>
        <w:trPr>
          <w:trHeight w:val="243"/>
        </w:trPr>
        <w:tc>
          <w:tcPr>
            <w:tcW w:w="6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6780" w:type="dxa"/>
            <w:vAlign w:val="bottom"/>
          </w:tcPr>
          <w:p>
            <w:pPr>
              <w:ind w:left="18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1.98</w:t>
            </w:r>
          </w:p>
        </w:tc>
        <w:tc>
          <w:tcPr>
            <w:tcW w:w="1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0"/>
                <w:szCs w:val="20"/>
                <w:color w:val="auto"/>
              </w:rPr>
            </w:pPr>
          </w:p>
        </w:tc>
      </w:tr>
      <w:tr>
        <w:trPr>
          <w:trHeight w:val="249"/>
        </w:trPr>
        <w:tc>
          <w:tcPr>
            <w:tcW w:w="67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21"/>
                <w:szCs w:val="21"/>
                <w:color w:val="auto"/>
              </w:rPr>
            </w:pPr>
          </w:p>
        </w:tc>
      </w:tr>
      <w:tr>
        <w:trPr>
          <w:trHeight w:val="237"/>
        </w:trPr>
        <w:tc>
          <w:tcPr>
            <w:tcW w:w="6780" w:type="dxa"/>
            <w:vAlign w:val="bottom"/>
          </w:tcPr>
          <w:p>
            <w:pPr>
              <w:spacing w:after="0"/>
              <w:rPr>
                <w:sz w:val="20"/>
                <w:szCs w:val="20"/>
                <w:color w:val="auto"/>
              </w:rPr>
            </w:pPr>
            <w:r>
              <w:rPr>
                <w:rFonts w:ascii="Arial" w:cs="Arial" w:eastAsia="Arial" w:hAnsi="Arial"/>
                <w:sz w:val="18"/>
                <w:szCs w:val="18"/>
                <w:color w:val="auto"/>
              </w:rPr>
              <w:t>Pro Forma Information (unaudited):</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7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20,757</w:t>
            </w: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17,580</w:t>
            </w:r>
          </w:p>
        </w:tc>
        <w:tc>
          <w:tcPr>
            <w:tcW w:w="100" w:type="dxa"/>
            <w:vAlign w:val="bottom"/>
            <w:shd w:val="clear" w:color="auto" w:fill="CCEEFF"/>
          </w:tcPr>
          <w:p>
            <w:pPr>
              <w:spacing w:after="0"/>
              <w:rPr>
                <w:sz w:val="21"/>
                <w:szCs w:val="21"/>
                <w:color w:val="auto"/>
              </w:rPr>
            </w:pPr>
          </w:p>
        </w:tc>
      </w:tr>
      <w:tr>
        <w:trPr>
          <w:trHeight w:val="237"/>
        </w:trPr>
        <w:tc>
          <w:tcPr>
            <w:tcW w:w="678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4,511</w:t>
            </w:r>
          </w:p>
        </w:tc>
        <w:tc>
          <w:tcPr>
            <w:tcW w:w="1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6,055</w:t>
            </w:r>
          </w:p>
        </w:tc>
        <w:tc>
          <w:tcPr>
            <w:tcW w:w="100" w:type="dxa"/>
            <w:vAlign w:val="bottom"/>
          </w:tcPr>
          <w:p>
            <w:pPr>
              <w:spacing w:after="0"/>
              <w:rPr>
                <w:sz w:val="20"/>
                <w:szCs w:val="20"/>
                <w:color w:val="auto"/>
              </w:rPr>
            </w:pPr>
          </w:p>
        </w:tc>
      </w:tr>
      <w:tr>
        <w:trPr>
          <w:trHeight w:val="249"/>
        </w:trPr>
        <w:tc>
          <w:tcPr>
            <w:tcW w:w="67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Earnings per share - basic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21"/>
                <w:szCs w:val="21"/>
                <w:color w:val="auto"/>
              </w:rPr>
            </w:pPr>
          </w:p>
        </w:tc>
      </w:tr>
      <w:tr>
        <w:trPr>
          <w:trHeight w:val="230"/>
        </w:trPr>
        <w:tc>
          <w:tcPr>
            <w:tcW w:w="6780" w:type="dxa"/>
            <w:vAlign w:val="bottom"/>
          </w:tcPr>
          <w:p>
            <w:pPr>
              <w:ind w:left="180"/>
              <w:spacing w:after="0"/>
              <w:rPr>
                <w:sz w:val="20"/>
                <w:szCs w:val="20"/>
                <w:color w:val="auto"/>
              </w:rPr>
            </w:pPr>
            <w:r>
              <w:rPr>
                <w:rFonts w:ascii="Arial" w:cs="Arial" w:eastAsia="Arial" w:hAnsi="Arial"/>
                <w:sz w:val="18"/>
                <w:szCs w:val="18"/>
                <w:color w:val="auto"/>
              </w:rPr>
              <w:t>Earnings per share - 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1.41</w:t>
            </w:r>
          </w:p>
        </w:tc>
        <w:tc>
          <w:tcPr>
            <w:tcW w:w="1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0"/>
                <w:szCs w:val="20"/>
                <w:color w:val="auto"/>
              </w:rPr>
            </w:pPr>
          </w:p>
        </w:tc>
      </w:tr>
      <w:tr>
        <w:trPr>
          <w:trHeight w:val="256"/>
        </w:trPr>
        <w:tc>
          <w:tcPr>
            <w:tcW w:w="6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29,290</w:t>
            </w:r>
          </w:p>
        </w:tc>
        <w:tc>
          <w:tcPr>
            <w:tcW w:w="1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23,635</w:t>
            </w:r>
          </w:p>
        </w:tc>
        <w:tc>
          <w:tcPr>
            <w:tcW w:w="100" w:type="dxa"/>
            <w:vAlign w:val="bottom"/>
            <w:shd w:val="clear" w:color="auto" w:fill="CCEEFF"/>
          </w:tcPr>
          <w:p>
            <w:pPr>
              <w:spacing w:after="0"/>
              <w:rPr>
                <w:sz w:val="22"/>
                <w:szCs w:val="22"/>
                <w:color w:val="auto"/>
              </w:rPr>
            </w:pPr>
          </w:p>
        </w:tc>
      </w:tr>
      <w:tr>
        <w:trPr>
          <w:trHeight w:val="237"/>
        </w:trPr>
        <w:tc>
          <w:tcPr>
            <w:tcW w:w="67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7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net unrealized loss on securities available for sale</w:t>
            </w:r>
          </w:p>
        </w:tc>
        <w:tc>
          <w:tcPr>
            <w:tcW w:w="1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(1,773)</w:t>
            </w:r>
          </w:p>
        </w:tc>
        <w:tc>
          <w:tcPr>
            <w:tcW w:w="3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(1,320)</w:t>
            </w:r>
          </w:p>
        </w:tc>
      </w:tr>
      <w:tr>
        <w:trPr>
          <w:trHeight w:val="237"/>
        </w:trPr>
        <w:tc>
          <w:tcPr>
            <w:tcW w:w="6780" w:type="dxa"/>
            <w:vAlign w:val="bottom"/>
          </w:tcPr>
          <w:p>
            <w:pPr>
              <w:ind w:left="180"/>
              <w:spacing w:after="0"/>
              <w:rPr>
                <w:sz w:val="20"/>
                <w:szCs w:val="20"/>
                <w:color w:val="auto"/>
              </w:rPr>
            </w:pPr>
            <w:r>
              <w:rPr>
                <w:rFonts w:ascii="Arial" w:cs="Arial" w:eastAsia="Arial" w:hAnsi="Arial"/>
                <w:sz w:val="18"/>
                <w:szCs w:val="18"/>
                <w:color w:val="auto"/>
              </w:rPr>
              <w:t>Reclassification adjustment for (gain) loss included in net income</w:t>
            </w:r>
          </w:p>
        </w:tc>
        <w:tc>
          <w:tcPr>
            <w:tcW w:w="18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(620)</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20"/>
                <w:szCs w:val="20"/>
                <w:color w:val="auto"/>
              </w:rPr>
            </w:pPr>
          </w:p>
        </w:tc>
      </w:tr>
      <w:tr>
        <w:trPr>
          <w:trHeight w:val="236"/>
        </w:trPr>
        <w:tc>
          <w:tcPr>
            <w:tcW w:w="67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effect</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6780" w:type="dxa"/>
            <w:vAlign w:val="bottom"/>
            <w:tcBorders>
              <w:right w:val="single" w:sz="8" w:color="auto"/>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7"/>
        </w:trPr>
        <w:tc>
          <w:tcPr>
            <w:tcW w:w="6780" w:type="dxa"/>
            <w:vAlign w:val="bottom"/>
          </w:tcPr>
          <w:p>
            <w:pPr>
              <w:ind w:left="360"/>
              <w:spacing w:after="0"/>
              <w:rPr>
                <w:sz w:val="20"/>
                <w:szCs w:val="20"/>
                <w:color w:val="auto"/>
              </w:rPr>
            </w:pPr>
            <w:r>
              <w:rPr>
                <w:rFonts w:ascii="Arial" w:cs="Arial" w:eastAsia="Arial" w:hAnsi="Arial"/>
                <w:sz w:val="18"/>
                <w:szCs w:val="18"/>
                <w:color w:val="auto"/>
              </w:rPr>
              <w:t>Other comprehensive (loss)</w:t>
            </w:r>
          </w:p>
        </w:tc>
        <w:tc>
          <w:tcPr>
            <w:tcW w:w="18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(1,797)</w:t>
            </w:r>
          </w:p>
        </w:tc>
        <w:tc>
          <w:tcPr>
            <w:tcW w:w="3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(829)</w:t>
            </w:r>
          </w:p>
        </w:tc>
      </w:tr>
      <w:tr>
        <w:trPr>
          <w:trHeight w:val="277"/>
        </w:trPr>
        <w:tc>
          <w:tcPr>
            <w:tcW w:w="6780" w:type="dxa"/>
            <w:vAlign w:val="bottom"/>
            <w:tcBorders>
              <w:bottom w:val="single" w:sz="8" w:color="CCEEFF"/>
              <w:right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Comprehensive income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27,493</w:t>
            </w:r>
          </w:p>
        </w:tc>
        <w:tc>
          <w:tcPr>
            <w:tcW w:w="1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22,806</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56" w:name="page157"/>
    <w:bookmarkEnd w:id="15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center"/>
        <w:spacing w:after="0" w:line="397" w:lineRule="auto"/>
        <w:rPr>
          <w:sz w:val="20"/>
          <w:szCs w:val="20"/>
          <w:color w:val="auto"/>
        </w:rPr>
      </w:pPr>
      <w:r>
        <w:rPr>
          <w:rFonts w:ascii="Arial" w:cs="Arial" w:eastAsia="Arial" w:hAnsi="Arial"/>
          <w:sz w:val="18"/>
          <w:szCs w:val="18"/>
          <w:b w:val="1"/>
          <w:bCs w:val="1"/>
          <w:i w:val="1"/>
          <w:iCs w:val="1"/>
          <w:color w:val="auto"/>
        </w:rPr>
        <w:t>SOUTH PLAINS FINANCIAL, INC. AND SUBSIDIARIES CONSOLIDATED STATEMENTS OF CHANGES IN STOCKHOLDERS’ EQUITY Years Ended December 31, 2018 and 2017</w:t>
      </w:r>
    </w:p>
    <w:tbl>
      <w:tblPr>
        <w:tblLayout w:type="fixed"/>
        <w:tblInd w:w="0" w:type="dxa"/>
        <w:tblCellMar>
          <w:top w:w="0" w:type="dxa"/>
          <w:left w:w="0" w:type="dxa"/>
          <w:bottom w:w="0" w:type="dxa"/>
          <w:right w:w="0" w:type="dxa"/>
        </w:tblCellMar>
      </w:tblPr>
      <w:tr>
        <w:trPr>
          <w:trHeight w:val="149"/>
        </w:trPr>
        <w:tc>
          <w:tcPr>
            <w:tcW w:w="1980" w:type="dxa"/>
            <w:vAlign w:val="bottom"/>
          </w:tcPr>
          <w:p>
            <w:pPr>
              <w:spacing w:after="0"/>
              <w:rPr>
                <w:sz w:val="12"/>
                <w:szCs w:val="12"/>
                <w:color w:val="auto"/>
              </w:rPr>
            </w:pPr>
          </w:p>
        </w:tc>
        <w:tc>
          <w:tcPr>
            <w:tcW w:w="1740" w:type="dxa"/>
            <w:vAlign w:val="bottom"/>
            <w:gridSpan w:val="4"/>
            <w:vMerge w:val="restart"/>
          </w:tcPr>
          <w:p>
            <w:pPr>
              <w:jc w:val="right"/>
              <w:ind w:right="5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1"/>
              </w:rPr>
              <w:t>Less:</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980" w:type="dxa"/>
            <w:vAlign w:val="bottom"/>
          </w:tcPr>
          <w:p>
            <w:pPr>
              <w:spacing w:after="0"/>
              <w:rPr>
                <w:sz w:val="11"/>
                <w:szCs w:val="11"/>
                <w:color w:val="auto"/>
              </w:rPr>
            </w:pPr>
          </w:p>
        </w:tc>
        <w:tc>
          <w:tcPr>
            <w:tcW w:w="1740" w:type="dxa"/>
            <w:vAlign w:val="bottom"/>
            <w:gridSpan w:val="4"/>
            <w:vMerge w:val="continue"/>
          </w:tcPr>
          <w:p>
            <w:pPr>
              <w:spacing w:after="0"/>
              <w:rPr>
                <w:sz w:val="11"/>
                <w:szCs w:val="11"/>
                <w:color w:val="auto"/>
              </w:rPr>
            </w:pPr>
          </w:p>
        </w:tc>
        <w:tc>
          <w:tcPr>
            <w:tcW w:w="840" w:type="dxa"/>
            <w:vAlign w:val="bottom"/>
            <w:gridSpan w:val="3"/>
          </w:tcPr>
          <w:p>
            <w:pPr>
              <w:ind w:left="20"/>
              <w:spacing w:after="0" w:line="114" w:lineRule="exact"/>
              <w:rPr>
                <w:sz w:val="20"/>
                <w:szCs w:val="20"/>
                <w:color w:val="auto"/>
              </w:rPr>
            </w:pPr>
            <w:r>
              <w:rPr>
                <w:rFonts w:ascii="Arial" w:cs="Arial" w:eastAsia="Arial" w:hAnsi="Arial"/>
                <w:sz w:val="12"/>
                <w:szCs w:val="12"/>
                <w:b w:val="1"/>
                <w:bCs w:val="1"/>
                <w:color w:val="auto"/>
              </w:rPr>
              <w:t>Additional</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jc w:val="center"/>
              <w:ind w:right="380"/>
              <w:spacing w:after="0" w:line="114" w:lineRule="exact"/>
              <w:rPr>
                <w:sz w:val="20"/>
                <w:szCs w:val="20"/>
                <w:color w:val="auto"/>
              </w:rPr>
            </w:pPr>
            <w:r>
              <w:rPr>
                <w:rFonts w:ascii="Arial" w:cs="Arial" w:eastAsia="Arial" w:hAnsi="Arial"/>
                <w:sz w:val="12"/>
                <w:szCs w:val="12"/>
                <w:b w:val="1"/>
                <w:bCs w:val="1"/>
                <w:color w:val="auto"/>
              </w:rPr>
              <w:t>Other</w:t>
            </w:r>
          </w:p>
        </w:tc>
        <w:tc>
          <w:tcPr>
            <w:tcW w:w="800" w:type="dxa"/>
            <w:vAlign w:val="bottom"/>
            <w:gridSpan w:val="3"/>
          </w:tcPr>
          <w:p>
            <w:pPr>
              <w:ind w:left="40"/>
              <w:spacing w:after="0" w:line="114" w:lineRule="exact"/>
              <w:rPr>
                <w:sz w:val="20"/>
                <w:szCs w:val="20"/>
                <w:color w:val="auto"/>
              </w:rPr>
            </w:pPr>
            <w:r>
              <w:rPr>
                <w:rFonts w:ascii="Arial" w:cs="Arial" w:eastAsia="Arial" w:hAnsi="Arial"/>
                <w:sz w:val="12"/>
                <w:szCs w:val="12"/>
                <w:b w:val="1"/>
                <w:bCs w:val="1"/>
                <w:color w:val="auto"/>
              </w:rPr>
              <w:t>Unearned</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center"/>
              <w:ind w:right="180"/>
              <w:spacing w:after="0" w:line="114" w:lineRule="exact"/>
              <w:rPr>
                <w:sz w:val="20"/>
                <w:szCs w:val="20"/>
                <w:color w:val="auto"/>
              </w:rPr>
            </w:pPr>
            <w:r>
              <w:rPr>
                <w:rFonts w:ascii="Arial" w:cs="Arial" w:eastAsia="Arial" w:hAnsi="Arial"/>
                <w:sz w:val="12"/>
                <w:szCs w:val="12"/>
                <w:b w:val="1"/>
                <w:bCs w:val="1"/>
                <w:color w:val="auto"/>
              </w:rPr>
              <w:t>ESOP</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9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300"/>
              <w:spacing w:after="0" w:line="143" w:lineRule="exact"/>
              <w:rPr>
                <w:sz w:val="20"/>
                <w:szCs w:val="20"/>
                <w:color w:val="auto"/>
              </w:rPr>
            </w:pPr>
            <w:r>
              <w:rPr>
                <w:rFonts w:ascii="Arial" w:cs="Arial" w:eastAsia="Arial" w:hAnsi="Arial"/>
                <w:sz w:val="14"/>
                <w:szCs w:val="14"/>
                <w:b w:val="1"/>
                <w:bCs w:val="1"/>
                <w:color w:val="auto"/>
                <w:w w:val="89"/>
              </w:rPr>
              <w:t>Paid-in</w:t>
            </w:r>
          </w:p>
        </w:tc>
        <w:tc>
          <w:tcPr>
            <w:tcW w:w="840" w:type="dxa"/>
            <w:vAlign w:val="bottom"/>
            <w:gridSpan w:val="2"/>
          </w:tcPr>
          <w:p>
            <w:pPr>
              <w:jc w:val="right"/>
              <w:ind w:right="240"/>
              <w:spacing w:after="0" w:line="143" w:lineRule="exact"/>
              <w:rPr>
                <w:sz w:val="20"/>
                <w:szCs w:val="20"/>
                <w:color w:val="auto"/>
              </w:rPr>
            </w:pPr>
            <w:r>
              <w:rPr>
                <w:rFonts w:ascii="Arial" w:cs="Arial" w:eastAsia="Arial" w:hAnsi="Arial"/>
                <w:sz w:val="14"/>
                <w:szCs w:val="14"/>
                <w:b w:val="1"/>
                <w:bCs w:val="1"/>
                <w:color w:val="auto"/>
                <w:w w:val="98"/>
              </w:rPr>
              <w:t>Retained</w:t>
            </w:r>
          </w:p>
        </w:tc>
        <w:tc>
          <w:tcPr>
            <w:tcW w:w="1140" w:type="dxa"/>
            <w:vAlign w:val="bottom"/>
            <w:gridSpan w:val="3"/>
          </w:tcPr>
          <w:p>
            <w:pPr>
              <w:jc w:val="center"/>
              <w:ind w:right="160"/>
              <w:spacing w:after="0" w:line="143" w:lineRule="exact"/>
              <w:rPr>
                <w:sz w:val="20"/>
                <w:szCs w:val="20"/>
                <w:color w:val="auto"/>
              </w:rPr>
            </w:pPr>
            <w:r>
              <w:rPr>
                <w:rFonts w:ascii="Arial" w:cs="Arial" w:eastAsia="Arial" w:hAnsi="Arial"/>
                <w:sz w:val="14"/>
                <w:szCs w:val="14"/>
                <w:b w:val="1"/>
                <w:bCs w:val="1"/>
                <w:color w:val="auto"/>
                <w:w w:val="85"/>
              </w:rPr>
              <w:t>Comprehensive</w:t>
            </w:r>
          </w:p>
        </w:tc>
        <w:tc>
          <w:tcPr>
            <w:tcW w:w="120" w:type="dxa"/>
            <w:vAlign w:val="bottom"/>
          </w:tcPr>
          <w:p>
            <w:pPr>
              <w:spacing w:after="0"/>
              <w:rPr>
                <w:sz w:val="12"/>
                <w:szCs w:val="12"/>
                <w:color w:val="auto"/>
              </w:rPr>
            </w:pPr>
          </w:p>
        </w:tc>
        <w:tc>
          <w:tcPr>
            <w:tcW w:w="680" w:type="dxa"/>
            <w:vAlign w:val="bottom"/>
            <w:gridSpan w:val="2"/>
          </w:tcPr>
          <w:p>
            <w:pPr>
              <w:jc w:val="right"/>
              <w:ind w:right="300"/>
              <w:spacing w:after="0" w:line="143" w:lineRule="exact"/>
              <w:rPr>
                <w:sz w:val="20"/>
                <w:szCs w:val="20"/>
                <w:color w:val="auto"/>
              </w:rPr>
            </w:pPr>
            <w:r>
              <w:rPr>
                <w:rFonts w:ascii="Arial" w:cs="Arial" w:eastAsia="Arial" w:hAnsi="Arial"/>
                <w:sz w:val="14"/>
                <w:szCs w:val="14"/>
                <w:b w:val="1"/>
                <w:bCs w:val="1"/>
                <w:color w:val="auto"/>
                <w:w w:val="92"/>
              </w:rPr>
              <w:t>ESOP</w:t>
            </w:r>
          </w:p>
        </w:tc>
        <w:tc>
          <w:tcPr>
            <w:tcW w:w="760" w:type="dxa"/>
            <w:vAlign w:val="bottom"/>
            <w:gridSpan w:val="3"/>
          </w:tcPr>
          <w:p>
            <w:pPr>
              <w:ind w:left="40"/>
              <w:spacing w:after="0" w:line="143" w:lineRule="exact"/>
              <w:rPr>
                <w:sz w:val="20"/>
                <w:szCs w:val="20"/>
                <w:color w:val="auto"/>
              </w:rPr>
            </w:pPr>
            <w:r>
              <w:rPr>
                <w:rFonts w:ascii="Arial" w:cs="Arial" w:eastAsia="Arial" w:hAnsi="Arial"/>
                <w:sz w:val="14"/>
                <w:szCs w:val="14"/>
                <w:b w:val="1"/>
                <w:bCs w:val="1"/>
                <w:color w:val="auto"/>
              </w:rPr>
              <w:t>Treasury</w:t>
            </w:r>
          </w:p>
        </w:tc>
        <w:tc>
          <w:tcPr>
            <w:tcW w:w="78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w w:val="85"/>
              </w:rPr>
              <w:t>Owned</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980" w:type="dxa"/>
            <w:vAlign w:val="bottom"/>
          </w:tcPr>
          <w:p>
            <w:pPr>
              <w:spacing w:after="0"/>
              <w:rPr>
                <w:sz w:val="14"/>
                <w:szCs w:val="14"/>
                <w:color w:val="auto"/>
              </w:rPr>
            </w:pPr>
          </w:p>
        </w:tc>
        <w:tc>
          <w:tcPr>
            <w:tcW w:w="82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89"/>
              </w:rPr>
              <w:t>Capital</w:t>
            </w:r>
          </w:p>
        </w:tc>
        <w:tc>
          <w:tcPr>
            <w:tcW w:w="18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Earnings</w:t>
            </w:r>
          </w:p>
        </w:tc>
        <w:tc>
          <w:tcPr>
            <w:tcW w:w="180" w:type="dxa"/>
            <w:vAlign w:val="bottom"/>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Income (Loss)</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76"/>
              </w:rPr>
              <w:t>Shares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83"/>
              </w:rPr>
              <w:t>Stock</w:t>
            </w:r>
          </w:p>
        </w:tc>
        <w:tc>
          <w:tcPr>
            <w:tcW w:w="18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4"/>
                <w:szCs w:val="14"/>
                <w:color w:val="auto"/>
              </w:rPr>
            </w:pPr>
          </w:p>
        </w:tc>
        <w:tc>
          <w:tcPr>
            <w:tcW w:w="62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80" w:type="dxa"/>
            <w:vAlign w:val="bottom"/>
            <w:gridSpan w:val="8"/>
          </w:tcPr>
          <w:p>
            <w:pPr>
              <w:jc w:val="right"/>
              <w:ind w:right="640"/>
              <w:spacing w:after="0"/>
              <w:rPr>
                <w:sz w:val="20"/>
                <w:szCs w:val="20"/>
                <w:color w:val="auto"/>
              </w:rPr>
            </w:pPr>
            <w:r>
              <w:rPr>
                <w:rFonts w:ascii="Arial" w:cs="Arial" w:eastAsia="Arial" w:hAnsi="Arial"/>
                <w:sz w:val="14"/>
                <w:szCs w:val="14"/>
                <w:b w:val="1"/>
                <w:bCs w:val="1"/>
                <w:color w:val="auto"/>
                <w:w w:val="95"/>
              </w:rPr>
              <w:t>(In thousands, except share data)</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1980" w:type="dxa"/>
            <w:vAlign w:val="bottom"/>
            <w:shd w:val="clear" w:color="auto" w:fill="CCEEFF"/>
          </w:tcPr>
          <w:p>
            <w:pPr>
              <w:spacing w:after="0"/>
              <w:rPr>
                <w:sz w:val="20"/>
                <w:szCs w:val="20"/>
                <w:color w:val="auto"/>
              </w:rPr>
            </w:pPr>
            <w:r>
              <w:rPr>
                <w:rFonts w:ascii="Arial" w:cs="Arial" w:eastAsia="Arial" w:hAnsi="Arial"/>
                <w:sz w:val="16"/>
                <w:szCs w:val="16"/>
                <w:color w:val="auto"/>
              </w:rPr>
              <w:t>Balance at December 31,</w:t>
            </w:r>
          </w:p>
        </w:tc>
        <w:tc>
          <w:tcPr>
            <w:tcW w:w="82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1980" w:type="dxa"/>
            <w:vAlign w:val="bottom"/>
            <w:shd w:val="clear" w:color="auto" w:fill="CCEEFF"/>
          </w:tcPr>
          <w:p>
            <w:pPr>
              <w:spacing w:after="0"/>
              <w:rPr>
                <w:sz w:val="20"/>
                <w:szCs w:val="20"/>
                <w:color w:val="auto"/>
              </w:rPr>
            </w:pPr>
            <w:r>
              <w:rPr>
                <w:rFonts w:ascii="Arial" w:cs="Arial" w:eastAsia="Arial" w:hAnsi="Arial"/>
                <w:sz w:val="16"/>
                <w:szCs w:val="16"/>
                <w:color w:val="auto"/>
              </w:rPr>
              <w:t>2016</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15,153,510</w:t>
            </w:r>
          </w:p>
        </w:tc>
        <w:tc>
          <w:tcPr>
            <w:tcW w:w="160" w:type="dxa"/>
            <w:vAlign w:val="bottom"/>
            <w:tcBorders>
              <w:right w:val="single" w:sz="8" w:color="CCEEFF"/>
            </w:tcBorders>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$ 15,154</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85,490</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$ 105,226</w:t>
            </w:r>
          </w:p>
        </w:tc>
        <w:tc>
          <w:tcPr>
            <w:tcW w:w="18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jc w:val="right"/>
              <w:ind w:right="27"/>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(676)</w:t>
            </w: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8"/>
              </w:rPr>
              <w:t>(5,858)</w:t>
            </w: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3"/>
              </w:rPr>
              <w:t>$(49,700)</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$150,019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980" w:type="dxa"/>
            <w:vAlign w:val="bottom"/>
          </w:tcPr>
          <w:p>
            <w:pPr>
              <w:spacing w:after="0"/>
              <w:rPr>
                <w:sz w:val="20"/>
                <w:szCs w:val="20"/>
                <w:color w:val="auto"/>
              </w:rPr>
            </w:pPr>
            <w:r>
              <w:rPr>
                <w:rFonts w:ascii="Arial" w:cs="Arial" w:eastAsia="Arial" w:hAnsi="Arial"/>
                <w:sz w:val="16"/>
                <w:szCs w:val="16"/>
                <w:color w:val="auto"/>
              </w:rPr>
              <w:t>Net income</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23,635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23,635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980" w:type="dxa"/>
            <w:vAlign w:val="bottom"/>
            <w:shd w:val="clear" w:color="auto" w:fill="CCEEFF"/>
          </w:tcPr>
          <w:p>
            <w:pPr>
              <w:spacing w:after="0"/>
              <w:rPr>
                <w:sz w:val="20"/>
                <w:szCs w:val="20"/>
                <w:color w:val="auto"/>
              </w:rPr>
            </w:pPr>
            <w:r>
              <w:rPr>
                <w:rFonts w:ascii="Arial" w:cs="Arial" w:eastAsia="Arial" w:hAnsi="Arial"/>
                <w:sz w:val="16"/>
                <w:szCs w:val="16"/>
                <w:color w:val="auto"/>
              </w:rPr>
              <w:t>Cash dividends:</w:t>
            </w:r>
          </w:p>
        </w:tc>
        <w:tc>
          <w:tcPr>
            <w:tcW w:w="820" w:type="dxa"/>
            <w:vAlign w:val="bottom"/>
            <w:tcBorders>
              <w:right w:val="single" w:sz="8" w:color="CCEEFF"/>
            </w:tcBorders>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620" w:type="dxa"/>
            <w:vAlign w:val="bottom"/>
            <w:tcBorders>
              <w:right w:val="single" w:sz="8" w:color="CCEEFF"/>
            </w:tcBorders>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62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1980" w:type="dxa"/>
            <w:vAlign w:val="bottom"/>
          </w:tcPr>
          <w:p>
            <w:pPr>
              <w:ind w:left="180"/>
              <w:spacing w:after="0"/>
              <w:rPr>
                <w:sz w:val="20"/>
                <w:szCs w:val="20"/>
                <w:color w:val="auto"/>
              </w:rPr>
            </w:pPr>
            <w:r>
              <w:rPr>
                <w:rFonts w:ascii="Arial" w:cs="Arial" w:eastAsia="Arial" w:hAnsi="Arial"/>
                <w:sz w:val="16"/>
                <w:szCs w:val="16"/>
                <w:color w:val="auto"/>
              </w:rPr>
              <w:t>Common - $0.53 per</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80" w:type="dxa"/>
            <w:vAlign w:val="bottom"/>
          </w:tcPr>
          <w:p>
            <w:pPr>
              <w:ind w:left="180"/>
              <w:spacing w:after="0"/>
              <w:rPr>
                <w:sz w:val="20"/>
                <w:szCs w:val="20"/>
                <w:color w:val="auto"/>
              </w:rPr>
            </w:pPr>
            <w:r>
              <w:rPr>
                <w:rFonts w:ascii="Arial" w:cs="Arial" w:eastAsia="Arial" w:hAnsi="Arial"/>
                <w:sz w:val="16"/>
                <w:szCs w:val="16"/>
                <w:color w:val="auto"/>
              </w:rPr>
              <w:t>share</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(7,874)</w:t>
            </w: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(7,874)</w:t>
            </w:r>
          </w:p>
        </w:tc>
        <w:tc>
          <w:tcPr>
            <w:tcW w:w="0" w:type="dxa"/>
            <w:vAlign w:val="bottom"/>
          </w:tcPr>
          <w:p>
            <w:pPr>
              <w:spacing w:after="0"/>
              <w:rPr>
                <w:sz w:val="1"/>
                <w:szCs w:val="1"/>
                <w:color w:val="auto"/>
              </w:rPr>
            </w:pPr>
          </w:p>
        </w:tc>
      </w:tr>
      <w:tr>
        <w:trPr>
          <w:trHeight w:val="239"/>
        </w:trPr>
        <w:tc>
          <w:tcPr>
            <w:tcW w:w="1980" w:type="dxa"/>
            <w:vAlign w:val="bottom"/>
            <w:shd w:val="clear" w:color="auto" w:fill="CCEEFF"/>
          </w:tcPr>
          <w:p>
            <w:pPr>
              <w:spacing w:after="0"/>
              <w:rPr>
                <w:sz w:val="20"/>
                <w:szCs w:val="20"/>
                <w:color w:val="auto"/>
              </w:rPr>
            </w:pPr>
            <w:r>
              <w:rPr>
                <w:rFonts w:ascii="Arial" w:cs="Arial" w:eastAsia="Arial" w:hAnsi="Arial"/>
                <w:sz w:val="16"/>
                <w:szCs w:val="16"/>
                <w:color w:val="auto"/>
                <w:w w:val="99"/>
              </w:rPr>
              <w:t>Other comprehensive (loss)</w:t>
            </w: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(829)</w:t>
            </w: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6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(829)</w:t>
            </w:r>
          </w:p>
        </w:tc>
        <w:tc>
          <w:tcPr>
            <w:tcW w:w="0" w:type="dxa"/>
            <w:vAlign w:val="bottom"/>
          </w:tcPr>
          <w:p>
            <w:pPr>
              <w:spacing w:after="0"/>
              <w:rPr>
                <w:sz w:val="1"/>
                <w:szCs w:val="1"/>
                <w:color w:val="auto"/>
              </w:rPr>
            </w:pPr>
          </w:p>
        </w:tc>
      </w:tr>
      <w:tr>
        <w:trPr>
          <w:trHeight w:val="220"/>
        </w:trPr>
        <w:tc>
          <w:tcPr>
            <w:tcW w:w="1980" w:type="dxa"/>
            <w:vAlign w:val="bottom"/>
          </w:tcPr>
          <w:p>
            <w:pPr>
              <w:spacing w:after="0"/>
              <w:rPr>
                <w:sz w:val="20"/>
                <w:szCs w:val="20"/>
                <w:color w:val="auto"/>
              </w:rPr>
            </w:pPr>
            <w:r>
              <w:rPr>
                <w:rFonts w:ascii="Arial" w:cs="Arial" w:eastAsia="Arial" w:hAnsi="Arial"/>
                <w:sz w:val="16"/>
                <w:szCs w:val="16"/>
                <w:color w:val="auto"/>
              </w:rPr>
              <w:t>Earned ESOP shares</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398</w:t>
            </w:r>
          </w:p>
        </w:tc>
        <w:tc>
          <w:tcPr>
            <w:tcW w:w="18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(398)</w:t>
            </w:r>
          </w:p>
        </w:tc>
        <w:tc>
          <w:tcPr>
            <w:tcW w:w="2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676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(1,074)</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spacing w:after="0"/>
              <w:rPr>
                <w:sz w:val="20"/>
                <w:szCs w:val="20"/>
                <w:color w:val="auto"/>
              </w:rPr>
            </w:pPr>
            <w:r>
              <w:rPr>
                <w:rFonts w:ascii="Arial" w:cs="Arial" w:eastAsia="Arial" w:hAnsi="Arial"/>
                <w:sz w:val="16"/>
                <w:szCs w:val="16"/>
                <w:color w:val="auto"/>
              </w:rPr>
              <w:t>Net change in value of</w:t>
            </w:r>
          </w:p>
        </w:tc>
        <w:tc>
          <w:tcPr>
            <w:tcW w:w="98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(6,347)</w:t>
            </w: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(6,347)</w:t>
            </w:r>
          </w:p>
        </w:tc>
        <w:tc>
          <w:tcPr>
            <w:tcW w:w="0" w:type="dxa"/>
            <w:vAlign w:val="bottom"/>
          </w:tcPr>
          <w:p>
            <w:pPr>
              <w:spacing w:after="0"/>
              <w:rPr>
                <w:sz w:val="1"/>
                <w:szCs w:val="1"/>
                <w:color w:val="auto"/>
              </w:rPr>
            </w:pPr>
          </w:p>
        </w:tc>
      </w:tr>
      <w:tr>
        <w:trPr>
          <w:trHeight w:val="206"/>
        </w:trPr>
        <w:tc>
          <w:tcPr>
            <w:tcW w:w="19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ESOP shares</w:t>
            </w:r>
          </w:p>
        </w:tc>
        <w:tc>
          <w:tcPr>
            <w:tcW w:w="980" w:type="dxa"/>
            <w:vAlign w:val="bottom"/>
            <w:tcBorders>
              <w:right w:val="single" w:sz="8" w:color="CCEEFF"/>
            </w:tcBorders>
            <w:gridSpan w:val="2"/>
            <w:vMerge w:val="continue"/>
            <w:shd w:val="clear" w:color="auto" w:fill="CCEEFF"/>
          </w:tcPr>
          <w:p>
            <w:pPr>
              <w:spacing w:after="0"/>
              <w:rPr>
                <w:sz w:val="17"/>
                <w:szCs w:val="17"/>
                <w:color w:val="auto"/>
              </w:rPr>
            </w:pPr>
          </w:p>
        </w:tc>
        <w:tc>
          <w:tcPr>
            <w:tcW w:w="760" w:type="dxa"/>
            <w:vAlign w:val="bottom"/>
            <w:tcBorders>
              <w:right w:val="single" w:sz="8" w:color="CCEEFF"/>
            </w:tcBorders>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840" w:type="dxa"/>
            <w:vAlign w:val="bottom"/>
            <w:tcBorders>
              <w:right w:val="single" w:sz="8" w:color="CCEEFF"/>
            </w:tcBorders>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tcBorders>
              <w:right w:val="single" w:sz="8" w:color="CCEEFF"/>
            </w:tcBorders>
            <w:gridSpan w:val="2"/>
            <w:vMerge w:val="continue"/>
            <w:shd w:val="clear" w:color="auto" w:fill="CCEEFF"/>
          </w:tcPr>
          <w:p>
            <w:pPr>
              <w:spacing w:after="0"/>
              <w:rPr>
                <w:sz w:val="17"/>
                <w:szCs w:val="17"/>
                <w:color w:val="auto"/>
              </w:rPr>
            </w:pPr>
          </w:p>
        </w:tc>
        <w:tc>
          <w:tcPr>
            <w:tcW w:w="780" w:type="dxa"/>
            <w:vAlign w:val="bottom"/>
            <w:tcBorders>
              <w:right w:val="single" w:sz="8" w:color="CCEEFF"/>
            </w:tcBorders>
            <w:gridSpan w:val="2"/>
            <w:vMerge w:val="continue"/>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8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Balance at December 31,</w:t>
            </w:r>
          </w:p>
        </w:tc>
        <w:tc>
          <w:tcPr>
            <w:tcW w:w="8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6"/>
                <w:szCs w:val="16"/>
                <w:color w:val="auto"/>
              </w:rPr>
              <w:t>2017</w:t>
            </w:r>
          </w:p>
        </w:tc>
        <w:tc>
          <w:tcPr>
            <w:tcW w:w="820" w:type="dxa"/>
            <w:vAlign w:val="bottom"/>
          </w:tcPr>
          <w:p>
            <w:pPr>
              <w:jc w:val="right"/>
              <w:spacing w:after="0"/>
              <w:rPr>
                <w:sz w:val="20"/>
                <w:szCs w:val="20"/>
                <w:color w:val="auto"/>
              </w:rPr>
            </w:pPr>
            <w:r>
              <w:rPr>
                <w:rFonts w:ascii="Arial" w:cs="Arial" w:eastAsia="Arial" w:hAnsi="Arial"/>
                <w:sz w:val="16"/>
                <w:szCs w:val="16"/>
                <w:color w:val="auto"/>
                <w:w w:val="97"/>
              </w:rPr>
              <w:t>15,153,510</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15,154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85,888</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120,589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(446)</w:t>
            </w:r>
          </w:p>
        </w:tc>
        <w:tc>
          <w:tcPr>
            <w:tcW w:w="1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w w:val="98"/>
              </w:rPr>
              <w:t>(5,858)</w:t>
            </w: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(57,121)</w:t>
            </w:r>
          </w:p>
        </w:tc>
        <w:tc>
          <w:tcPr>
            <w:tcW w:w="620" w:type="dxa"/>
            <w:vAlign w:val="bottom"/>
          </w:tcPr>
          <w:p>
            <w:pPr>
              <w:jc w:val="right"/>
              <w:spacing w:after="0"/>
              <w:rPr>
                <w:sz w:val="20"/>
                <w:szCs w:val="20"/>
                <w:color w:val="auto"/>
              </w:rPr>
            </w:pPr>
            <w:r>
              <w:rPr>
                <w:rFonts w:ascii="Arial" w:cs="Arial" w:eastAsia="Arial" w:hAnsi="Arial"/>
                <w:sz w:val="16"/>
                <w:szCs w:val="16"/>
                <w:color w:val="auto"/>
              </w:rPr>
              <w:t>158,206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98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29,290</w:t>
            </w:r>
          </w:p>
        </w:tc>
        <w:tc>
          <w:tcPr>
            <w:tcW w:w="18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6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20" w:type="dxa"/>
            <w:vAlign w:val="bottom"/>
            <w:tcBorders>
              <w:right w:val="single" w:sz="8" w:color="CCEEFF"/>
            </w:tcBorders>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29,290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980" w:type="dxa"/>
            <w:vAlign w:val="bottom"/>
          </w:tcPr>
          <w:p>
            <w:pPr>
              <w:spacing w:after="0"/>
              <w:rPr>
                <w:sz w:val="20"/>
                <w:szCs w:val="20"/>
                <w:color w:val="auto"/>
              </w:rPr>
            </w:pPr>
            <w:r>
              <w:rPr>
                <w:rFonts w:ascii="Arial" w:cs="Arial" w:eastAsia="Arial" w:hAnsi="Arial"/>
                <w:sz w:val="16"/>
                <w:szCs w:val="16"/>
                <w:color w:val="auto"/>
              </w:rPr>
              <w:t>Cash dividends:</w:t>
            </w: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Common - $2.03 per</w:t>
            </w:r>
          </w:p>
        </w:tc>
        <w:tc>
          <w:tcPr>
            <w:tcW w:w="8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w:t>
            </w: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(30,045)</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20" w:type="dxa"/>
            <w:vAlign w:val="bottom"/>
            <w:tcBorders>
              <w:right w:val="single" w:sz="8" w:color="CCEEFF"/>
            </w:tcBorders>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(30,045)</w:t>
            </w:r>
          </w:p>
        </w:tc>
        <w:tc>
          <w:tcPr>
            <w:tcW w:w="0" w:type="dxa"/>
            <w:vAlign w:val="bottom"/>
          </w:tcPr>
          <w:p>
            <w:pPr>
              <w:spacing w:after="0"/>
              <w:rPr>
                <w:sz w:val="1"/>
                <w:szCs w:val="1"/>
                <w:color w:val="auto"/>
              </w:rPr>
            </w:pPr>
          </w:p>
        </w:tc>
      </w:tr>
      <w:tr>
        <w:trPr>
          <w:trHeight w:val="206"/>
        </w:trPr>
        <w:tc>
          <w:tcPr>
            <w:tcW w:w="1980" w:type="dxa"/>
            <w:vAlign w:val="bottom"/>
          </w:tcPr>
          <w:p>
            <w:pPr>
              <w:spacing w:after="0"/>
              <w:rPr>
                <w:sz w:val="20"/>
                <w:szCs w:val="20"/>
                <w:color w:val="auto"/>
              </w:rPr>
            </w:pPr>
            <w:r>
              <w:rPr>
                <w:rFonts w:ascii="Arial" w:cs="Arial" w:eastAsia="Arial" w:hAnsi="Arial"/>
                <w:sz w:val="16"/>
                <w:szCs w:val="16"/>
                <w:color w:val="auto"/>
                <w:w w:val="97"/>
              </w:rPr>
              <w:t>Other comprehensive (loss),</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80" w:type="dxa"/>
            <w:vAlign w:val="bottom"/>
          </w:tcPr>
          <w:p>
            <w:pPr>
              <w:ind w:left="160"/>
              <w:spacing w:after="0"/>
              <w:rPr>
                <w:sz w:val="20"/>
                <w:szCs w:val="20"/>
                <w:color w:val="auto"/>
              </w:rPr>
            </w:pPr>
            <w:r>
              <w:rPr>
                <w:rFonts w:ascii="Arial" w:cs="Arial" w:eastAsia="Arial" w:hAnsi="Arial"/>
                <w:sz w:val="16"/>
                <w:szCs w:val="16"/>
                <w:color w:val="auto"/>
              </w:rPr>
              <w:t>(net of tax)</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(1,797)</w:t>
            </w:r>
          </w:p>
        </w:tc>
        <w:tc>
          <w:tcPr>
            <w:tcW w:w="1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(1,797)</w:t>
            </w: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spacing w:after="0"/>
              <w:rPr>
                <w:sz w:val="20"/>
                <w:szCs w:val="20"/>
                <w:color w:val="auto"/>
              </w:rPr>
            </w:pPr>
            <w:r>
              <w:rPr>
                <w:rFonts w:ascii="Arial" w:cs="Arial" w:eastAsia="Arial" w:hAnsi="Arial"/>
                <w:sz w:val="16"/>
                <w:szCs w:val="16"/>
                <w:color w:val="auto"/>
              </w:rPr>
              <w:t>Net change in value of</w:t>
            </w:r>
          </w:p>
        </w:tc>
        <w:tc>
          <w:tcPr>
            <w:tcW w:w="8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9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ESOP shares</w:t>
            </w: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(1,074)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(1,074)</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6"/>
                <w:szCs w:val="16"/>
                <w:color w:val="auto"/>
              </w:rPr>
              <w:t>Extinguish treasury stock</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(381,990)</w:t>
            </w: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(382)</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(5,476)</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5,858</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1980" w:type="dxa"/>
            <w:vAlign w:val="bottom"/>
          </w:tcPr>
          <w:p>
            <w:pPr>
              <w:spacing w:after="0"/>
              <w:rPr>
                <w:sz w:val="2"/>
                <w:szCs w:val="2"/>
                <w:color w:val="auto"/>
              </w:rPr>
            </w:pPr>
          </w:p>
        </w:tc>
        <w:tc>
          <w:tcPr>
            <w:tcW w:w="820" w:type="dxa"/>
            <w:vAlign w:val="bottom"/>
            <w:tcBorders>
              <w:right w:val="single" w:sz="8" w:color="auto"/>
            </w:tcBorders>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620" w:type="dxa"/>
            <w:vAlign w:val="bottom"/>
            <w:tcBorders>
              <w:right w:val="single" w:sz="8" w:color="auto"/>
            </w:tcBorders>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2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1980" w:type="dxa"/>
            <w:vAlign w:val="bottom"/>
            <w:shd w:val="clear" w:color="auto" w:fill="CCEEFF"/>
          </w:tcPr>
          <w:p>
            <w:pPr>
              <w:spacing w:after="0"/>
              <w:rPr>
                <w:sz w:val="20"/>
                <w:szCs w:val="20"/>
                <w:color w:val="auto"/>
              </w:rPr>
            </w:pPr>
            <w:r>
              <w:rPr>
                <w:rFonts w:ascii="Arial" w:cs="Arial" w:eastAsia="Arial" w:hAnsi="Arial"/>
                <w:sz w:val="16"/>
                <w:szCs w:val="16"/>
                <w:color w:val="auto"/>
              </w:rPr>
              <w:t>Balance at December 31,</w:t>
            </w:r>
          </w:p>
        </w:tc>
        <w:tc>
          <w:tcPr>
            <w:tcW w:w="8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97"/>
              </w:rPr>
              <w:t>14,771,520</w:t>
            </w:r>
          </w:p>
        </w:tc>
        <w:tc>
          <w:tcPr>
            <w:tcW w:w="160" w:type="dxa"/>
            <w:vAlign w:val="bottom"/>
            <w:tcBorders>
              <w:right w:val="single" w:sz="8" w:color="CCEEFF"/>
            </w:tcBorders>
            <w:shd w:val="clear" w:color="auto" w:fill="CCEEFF"/>
          </w:tcPr>
          <w:p>
            <w:pPr>
              <w:spacing w:after="0"/>
              <w:rPr>
                <w:sz w:val="17"/>
                <w:szCs w:val="17"/>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$ 14,772</w:t>
            </w: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80,412</w:t>
            </w:r>
          </w:p>
        </w:tc>
        <w:tc>
          <w:tcPr>
            <w:tcW w:w="18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$ 119,834</w:t>
            </w:r>
          </w:p>
        </w:tc>
        <w:tc>
          <w:tcPr>
            <w:tcW w:w="180" w:type="dxa"/>
            <w:vAlign w:val="bottom"/>
            <w:tcBorders>
              <w:right w:val="single" w:sz="8" w:color="CCEEFF"/>
            </w:tcBorders>
            <w:shd w:val="clear" w:color="auto" w:fill="CCEEFF"/>
          </w:tcPr>
          <w:p>
            <w:pPr>
              <w:spacing w:after="0"/>
              <w:rPr>
                <w:sz w:val="17"/>
                <w:szCs w:val="17"/>
                <w:color w:val="auto"/>
              </w:rPr>
            </w:pPr>
          </w:p>
        </w:tc>
        <w:tc>
          <w:tcPr>
            <w:tcW w:w="200" w:type="dxa"/>
            <w:vAlign w:val="bottom"/>
            <w:vMerge w:val="restart"/>
            <w:shd w:val="clear" w:color="auto" w:fill="CCEEFF"/>
          </w:tcPr>
          <w:p>
            <w:pPr>
              <w:jc w:val="right"/>
              <w:ind w:right="27"/>
              <w:spacing w:after="0"/>
              <w:rPr>
                <w:sz w:val="20"/>
                <w:szCs w:val="20"/>
                <w:color w:val="auto"/>
              </w:rPr>
            </w:pPr>
            <w:r>
              <w:rPr>
                <w:rFonts w:ascii="Arial" w:cs="Arial" w:eastAsia="Arial" w:hAnsi="Arial"/>
                <w:sz w:val="16"/>
                <w:szCs w:val="16"/>
                <w:color w:val="auto"/>
                <w:w w:val="89"/>
              </w:rPr>
              <w:t>$</w:t>
            </w:r>
          </w:p>
        </w:tc>
        <w:tc>
          <w:tcPr>
            <w:tcW w:w="94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(2,243)</w:t>
            </w:r>
          </w:p>
        </w:tc>
        <w:tc>
          <w:tcPr>
            <w:tcW w:w="120" w:type="dxa"/>
            <w:vAlign w:val="bottom"/>
            <w:vMerge w:val="restart"/>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6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6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6"/>
                <w:szCs w:val="16"/>
                <w:u w:val="single" w:color="auto"/>
                <w:color w:val="auto"/>
                <w:w w:val="93"/>
              </w:rPr>
              <w:t>$</w:t>
            </w:r>
            <w:r>
              <w:rPr>
                <w:rFonts w:ascii="Arial" w:cs="Arial" w:eastAsia="Arial" w:hAnsi="Arial"/>
                <w:sz w:val="16"/>
                <w:szCs w:val="16"/>
                <w:color w:val="auto"/>
                <w:w w:val="93"/>
              </w:rPr>
              <w:t>(58,195)</w:t>
            </w:r>
          </w:p>
        </w:tc>
        <w:tc>
          <w:tcPr>
            <w:tcW w:w="6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154,580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980" w:type="dxa"/>
            <w:vAlign w:val="bottom"/>
            <w:shd w:val="clear" w:color="auto" w:fill="CCEEFF"/>
          </w:tcPr>
          <w:p>
            <w:pPr>
              <w:spacing w:after="0"/>
              <w:rPr>
                <w:sz w:val="20"/>
                <w:szCs w:val="20"/>
                <w:color w:val="auto"/>
              </w:rPr>
            </w:pPr>
            <w:r>
              <w:rPr>
                <w:rFonts w:ascii="Arial" w:cs="Arial" w:eastAsia="Arial" w:hAnsi="Arial"/>
                <w:sz w:val="16"/>
                <w:szCs w:val="16"/>
                <w:color w:val="auto"/>
              </w:rPr>
              <w:t>2018</w:t>
            </w:r>
          </w:p>
        </w:tc>
        <w:tc>
          <w:tcPr>
            <w:tcW w:w="820" w:type="dxa"/>
            <w:vAlign w:val="bottom"/>
            <w:tcBorders>
              <w:right w:val="single" w:sz="8" w:color="CCEEFF"/>
            </w:tcBorders>
            <w:vMerge w:val="continue"/>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940" w:type="dxa"/>
            <w:vAlign w:val="bottom"/>
            <w:tcBorders>
              <w:right w:val="single" w:sz="8" w:color="CCEEFF"/>
            </w:tcBorders>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640" w:type="dxa"/>
            <w:vAlign w:val="bottom"/>
            <w:tcBorders>
              <w:right w:val="single" w:sz="8" w:color="CCEEFF"/>
            </w:tcBorders>
            <w:gridSpan w:val="2"/>
            <w:vMerge w:val="continue"/>
            <w:shd w:val="clear" w:color="auto" w:fill="CCEEFF"/>
          </w:tcPr>
          <w:p>
            <w:pPr>
              <w:spacing w:after="0"/>
              <w:rPr>
                <w:sz w:val="19"/>
                <w:szCs w:val="19"/>
                <w:color w:val="auto"/>
              </w:rPr>
            </w:pPr>
          </w:p>
        </w:tc>
        <w:tc>
          <w:tcPr>
            <w:tcW w:w="780" w:type="dxa"/>
            <w:vAlign w:val="bottom"/>
            <w:tcBorders>
              <w:right w:val="single" w:sz="8" w:color="CCEEFF"/>
            </w:tcBorders>
            <w:gridSpan w:val="2"/>
            <w:vMerge w:val="continue"/>
            <w:shd w:val="clear" w:color="auto" w:fill="CCEEFF"/>
          </w:tcPr>
          <w:p>
            <w:pPr>
              <w:spacing w:after="0"/>
              <w:rPr>
                <w:sz w:val="19"/>
                <w:szCs w:val="19"/>
                <w:color w:val="auto"/>
              </w:rPr>
            </w:pPr>
          </w:p>
        </w:tc>
        <w:tc>
          <w:tcPr>
            <w:tcW w:w="620" w:type="dxa"/>
            <w:vAlign w:val="bottom"/>
            <w:tcBorders>
              <w:right w:val="single" w:sz="8" w:color="CCEEFF"/>
            </w:tcBorders>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9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auto"/>
              <w:right w:val="single" w:sz="8" w:color="auto"/>
            </w:tcBorders>
            <w:shd w:val="clear" w:color="auto" w:fill="000000"/>
          </w:tcPr>
          <w:p>
            <w:pPr>
              <w:spacing w:after="0"/>
              <w:rPr>
                <w:sz w:val="2"/>
                <w:szCs w:val="2"/>
                <w:color w:val="auto"/>
              </w:rPr>
            </w:pPr>
          </w:p>
        </w:tc>
        <w:tc>
          <w:tcPr>
            <w:tcW w:w="160" w:type="dxa"/>
            <w:vAlign w:val="bottom"/>
            <w:tcBorders>
              <w:top w:val="single" w:sz="8" w:color="CCEEFF"/>
              <w:right w:val="single" w:sz="8" w:color="auto"/>
            </w:tcBorders>
            <w:shd w:val="clear" w:color="auto" w:fill="CCEEFF"/>
          </w:tcPr>
          <w:p>
            <w:pPr>
              <w:spacing w:after="0"/>
              <w:rPr>
                <w:sz w:val="2"/>
                <w:szCs w:val="2"/>
                <w:color w:val="auto"/>
              </w:rPr>
            </w:pPr>
          </w:p>
        </w:tc>
        <w:tc>
          <w:tcPr>
            <w:tcW w:w="58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56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76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52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46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620" w:type="dxa"/>
            <w:vAlign w:val="bottom"/>
            <w:tcBorders>
              <w:top w:val="single" w:sz="8" w:color="auto"/>
              <w:right w:val="single" w:sz="8" w:color="auto"/>
            </w:tcBorders>
            <w:shd w:val="clear" w:color="auto" w:fill="000000"/>
          </w:tcPr>
          <w:p>
            <w:pPr>
              <w:spacing w:after="0"/>
              <w:rPr>
                <w:sz w:val="2"/>
                <w:szCs w:val="2"/>
                <w:color w:val="auto"/>
              </w:rPr>
            </w:pPr>
          </w:p>
        </w:tc>
        <w:tc>
          <w:tcPr>
            <w:tcW w:w="160" w:type="dxa"/>
            <w:vAlign w:val="bottom"/>
            <w:tcBorders>
              <w:top w:val="single" w:sz="8" w:color="CCEEFF"/>
              <w:right w:val="single" w:sz="8" w:color="auto"/>
            </w:tcBorders>
            <w:shd w:val="clear" w:color="auto" w:fill="CCEEFF"/>
          </w:tcPr>
          <w:p>
            <w:pPr>
              <w:spacing w:after="0"/>
              <w:rPr>
                <w:sz w:val="2"/>
                <w:szCs w:val="2"/>
                <w:color w:val="auto"/>
              </w:rPr>
            </w:pPr>
          </w:p>
        </w:tc>
        <w:tc>
          <w:tcPr>
            <w:tcW w:w="620" w:type="dxa"/>
            <w:vAlign w:val="bottom"/>
            <w:tcBorders>
              <w:top w:val="single" w:sz="8" w:color="auto"/>
              <w:right w:val="single" w:sz="8" w:color="auto"/>
            </w:tcBorders>
            <w:shd w:val="clear" w:color="auto" w:fill="000000"/>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57" w:name="page158"/>
    <w:bookmarkEnd w:id="15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CONSOLIDATED STATEMENTS OF CASH FLOWS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Years Ended December 31,</w:t>
            </w:r>
          </w:p>
        </w:tc>
      </w:tr>
      <w:tr>
        <w:trPr>
          <w:trHeight w:val="183"/>
        </w:trPr>
        <w:tc>
          <w:tcPr>
            <w:tcW w:w="2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6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3"/>
              </w:rPr>
              <w:t>(In thousands except per share data)</w:t>
            </w:r>
          </w:p>
        </w:tc>
      </w:tr>
      <w:tr>
        <w:trPr>
          <w:trHeight w:val="243"/>
        </w:trPr>
        <w:tc>
          <w:tcPr>
            <w:tcW w:w="20" w:type="dxa"/>
            <w:vAlign w:val="bottom"/>
          </w:tcPr>
          <w:p>
            <w:pPr>
              <w:spacing w:after="0"/>
              <w:rPr>
                <w:sz w:val="21"/>
                <w:szCs w:val="21"/>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760" w:type="dxa"/>
            <w:vAlign w:val="bottom"/>
            <w:gridSpan w:val="2"/>
          </w:tcPr>
          <w:p>
            <w:pPr>
              <w:ind w:left="16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29,290</w:t>
            </w:r>
          </w:p>
        </w:tc>
        <w:tc>
          <w:tcPr>
            <w:tcW w:w="1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23,635</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760" w:type="dxa"/>
            <w:vAlign w:val="bottom"/>
            <w:gridSpan w:val="2"/>
          </w:tcPr>
          <w:p>
            <w:pPr>
              <w:ind w:left="340"/>
              <w:spacing w:after="0"/>
              <w:rPr>
                <w:sz w:val="20"/>
                <w:szCs w:val="20"/>
                <w:color w:val="auto"/>
              </w:rPr>
            </w:pPr>
            <w:r>
              <w:rPr>
                <w:rFonts w:ascii="Arial" w:cs="Arial" w:eastAsia="Arial" w:hAnsi="Arial"/>
                <w:sz w:val="18"/>
                <w:szCs w:val="18"/>
                <w:color w:val="auto"/>
              </w:rPr>
              <w:t>Provision for loan losses</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6,901</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3,966</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Provision for foreclosed asset losses</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760" w:type="dxa"/>
            <w:vAlign w:val="bottom"/>
            <w:gridSpan w:val="2"/>
          </w:tcPr>
          <w:p>
            <w:pPr>
              <w:ind w:left="3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5,185</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5,284</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Accretion and amortization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2,984</w:t>
            </w: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760" w:type="dxa"/>
            <w:vAlign w:val="bottom"/>
            <w:gridSpan w:val="2"/>
          </w:tcPr>
          <w:p>
            <w:pPr>
              <w:ind w:left="340"/>
              <w:spacing w:after="0"/>
              <w:rPr>
                <w:sz w:val="20"/>
                <w:szCs w:val="20"/>
                <w:color w:val="auto"/>
              </w:rPr>
            </w:pPr>
            <w:r>
              <w:rPr>
                <w:rFonts w:ascii="Arial" w:cs="Arial" w:eastAsia="Arial" w:hAnsi="Arial"/>
                <w:sz w:val="18"/>
                <w:szCs w:val="18"/>
                <w:color w:val="auto"/>
              </w:rPr>
              <w:t>Other gains, net</w:t>
            </w:r>
          </w:p>
        </w:tc>
        <w:tc>
          <w:tcPr>
            <w:tcW w:w="18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(788)</w:t>
            </w:r>
          </w:p>
        </w:tc>
        <w:tc>
          <w:tcPr>
            <w:tcW w:w="3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49"/>
        </w:trPr>
        <w:tc>
          <w:tcPr>
            <w:tcW w:w="20" w:type="dxa"/>
            <w:vAlign w:val="bottom"/>
          </w:tcPr>
          <w:p>
            <w:pPr>
              <w:spacing w:after="0"/>
              <w:rPr>
                <w:sz w:val="21"/>
                <w:szCs w:val="21"/>
                <w:color w:val="auto"/>
              </w:rPr>
            </w:pPr>
          </w:p>
        </w:tc>
        <w:tc>
          <w:tcPr>
            <w:tcW w:w="6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gain on sales of loans</w:t>
            </w:r>
          </w:p>
        </w:tc>
        <w:tc>
          <w:tcPr>
            <w:tcW w:w="1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(19,703)</w:t>
            </w:r>
          </w:p>
        </w:tc>
        <w:tc>
          <w:tcPr>
            <w:tcW w:w="3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(18,936)</w:t>
            </w:r>
          </w:p>
        </w:tc>
      </w:tr>
      <w:tr>
        <w:trPr>
          <w:trHeight w:val="237"/>
        </w:trPr>
        <w:tc>
          <w:tcPr>
            <w:tcW w:w="20" w:type="dxa"/>
            <w:vAlign w:val="bottom"/>
          </w:tcPr>
          <w:p>
            <w:pPr>
              <w:spacing w:after="0"/>
              <w:rPr>
                <w:sz w:val="20"/>
                <w:szCs w:val="20"/>
                <w:color w:val="auto"/>
              </w:rPr>
            </w:pPr>
          </w:p>
        </w:tc>
        <w:tc>
          <w:tcPr>
            <w:tcW w:w="6760" w:type="dxa"/>
            <w:vAlign w:val="bottom"/>
            <w:gridSpan w:val="2"/>
          </w:tcPr>
          <w:p>
            <w:pPr>
              <w:ind w:left="340"/>
              <w:spacing w:after="0"/>
              <w:rPr>
                <w:sz w:val="20"/>
                <w:szCs w:val="20"/>
                <w:color w:val="auto"/>
              </w:rPr>
            </w:pPr>
            <w:r>
              <w:rPr>
                <w:rFonts w:ascii="Arial" w:cs="Arial" w:eastAsia="Arial" w:hAnsi="Arial"/>
                <w:sz w:val="18"/>
                <w:szCs w:val="18"/>
                <w:color w:val="auto"/>
              </w:rPr>
              <w:t>Proceeds from sales of loans held for sale</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555,325</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542,132</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Loans originated for sale</w:t>
            </w:r>
          </w:p>
        </w:tc>
        <w:tc>
          <w:tcPr>
            <w:tcW w:w="1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(544,690)</w:t>
            </w:r>
          </w:p>
        </w:tc>
        <w:tc>
          <w:tcPr>
            <w:tcW w:w="3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(526,728)</w:t>
            </w:r>
          </w:p>
        </w:tc>
      </w:tr>
      <w:tr>
        <w:trPr>
          <w:trHeight w:val="237"/>
        </w:trPr>
        <w:tc>
          <w:tcPr>
            <w:tcW w:w="20" w:type="dxa"/>
            <w:vAlign w:val="bottom"/>
          </w:tcPr>
          <w:p>
            <w:pPr>
              <w:spacing w:after="0"/>
              <w:rPr>
                <w:sz w:val="20"/>
                <w:szCs w:val="20"/>
                <w:color w:val="auto"/>
              </w:rPr>
            </w:pPr>
          </w:p>
        </w:tc>
        <w:tc>
          <w:tcPr>
            <w:tcW w:w="6760" w:type="dxa"/>
            <w:vAlign w:val="bottom"/>
            <w:gridSpan w:val="2"/>
          </w:tcPr>
          <w:p>
            <w:pPr>
              <w:ind w:left="340"/>
              <w:spacing w:after="0"/>
              <w:rPr>
                <w:sz w:val="20"/>
                <w:szCs w:val="20"/>
                <w:color w:val="auto"/>
              </w:rPr>
            </w:pPr>
            <w:r>
              <w:rPr>
                <w:rFonts w:ascii="Arial" w:cs="Arial" w:eastAsia="Arial" w:hAnsi="Arial"/>
                <w:sz w:val="18"/>
                <w:szCs w:val="18"/>
                <w:color w:val="auto"/>
              </w:rPr>
              <w:t>Earned ESOP shares</w:t>
            </w:r>
          </w:p>
        </w:tc>
        <w:tc>
          <w:tcPr>
            <w:tcW w:w="18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Earnings on bank-owned life insurance</w:t>
            </w:r>
          </w:p>
        </w:tc>
        <w:tc>
          <w:tcPr>
            <w:tcW w:w="1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(1,282)</w:t>
            </w:r>
          </w:p>
        </w:tc>
        <w:tc>
          <w:tcPr>
            <w:tcW w:w="3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(1,332)</w:t>
            </w:r>
          </w:p>
        </w:tc>
      </w:tr>
      <w:tr>
        <w:trPr>
          <w:trHeight w:val="237"/>
        </w:trPr>
        <w:tc>
          <w:tcPr>
            <w:tcW w:w="20" w:type="dxa"/>
            <w:vAlign w:val="bottom"/>
          </w:tcPr>
          <w:p>
            <w:pPr>
              <w:spacing w:after="0"/>
              <w:rPr>
                <w:sz w:val="20"/>
                <w:szCs w:val="20"/>
                <w:color w:val="auto"/>
              </w:rPr>
            </w:pPr>
          </w:p>
        </w:tc>
        <w:tc>
          <w:tcPr>
            <w:tcW w:w="6760" w:type="dxa"/>
            <w:vAlign w:val="bottom"/>
            <w:gridSpan w:val="2"/>
          </w:tcPr>
          <w:p>
            <w:pPr>
              <w:ind w:left="340"/>
              <w:spacing w:after="0"/>
              <w:rPr>
                <w:sz w:val="20"/>
                <w:szCs w:val="20"/>
                <w:color w:val="auto"/>
              </w:rPr>
            </w:pPr>
            <w:r>
              <w:rPr>
                <w:rFonts w:ascii="Arial" w:cs="Arial" w:eastAsia="Arial" w:hAnsi="Arial"/>
                <w:sz w:val="18"/>
                <w:szCs w:val="18"/>
                <w:color w:val="auto"/>
              </w:rPr>
              <w:t>Net change in:</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7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Accrued interest receivable and other assets</w:t>
            </w:r>
          </w:p>
        </w:tc>
        <w:tc>
          <w:tcPr>
            <w:tcW w:w="1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(8,187)</w:t>
            </w:r>
          </w:p>
        </w:tc>
        <w:tc>
          <w:tcPr>
            <w:tcW w:w="3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(2,044)</w:t>
            </w:r>
          </w:p>
        </w:tc>
      </w:tr>
      <w:tr>
        <w:trPr>
          <w:trHeight w:val="237"/>
        </w:trPr>
        <w:tc>
          <w:tcPr>
            <w:tcW w:w="20" w:type="dxa"/>
            <w:vAlign w:val="bottom"/>
          </w:tcPr>
          <w:p>
            <w:pPr>
              <w:spacing w:after="0"/>
              <w:rPr>
                <w:sz w:val="20"/>
                <w:szCs w:val="20"/>
                <w:color w:val="auto"/>
              </w:rPr>
            </w:pPr>
          </w:p>
        </w:tc>
        <w:tc>
          <w:tcPr>
            <w:tcW w:w="6740" w:type="dxa"/>
            <w:vAlign w:val="bottom"/>
          </w:tcPr>
          <w:p>
            <w:pPr>
              <w:ind w:left="520"/>
              <w:spacing w:after="0"/>
              <w:rPr>
                <w:sz w:val="20"/>
                <w:szCs w:val="20"/>
                <w:color w:val="auto"/>
              </w:rPr>
            </w:pPr>
            <w:r>
              <w:rPr>
                <w:rFonts w:ascii="Arial" w:cs="Arial" w:eastAsia="Arial" w:hAnsi="Arial"/>
                <w:sz w:val="18"/>
                <w:szCs w:val="18"/>
                <w:color w:val="auto"/>
              </w:rPr>
              <w:t>Accrued expenses and other liabilities</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3,279</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5,162</w:t>
            </w:r>
          </w:p>
        </w:tc>
        <w:tc>
          <w:tcPr>
            <w:tcW w:w="10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67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Net cash from operating activities</w:t>
            </w:r>
          </w:p>
        </w:tc>
        <w:tc>
          <w:tcPr>
            <w:tcW w:w="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26,920</w:t>
            </w:r>
          </w:p>
        </w:tc>
        <w:tc>
          <w:tcPr>
            <w:tcW w:w="1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35,324</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Activity in securities available for sale:</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760" w:type="dxa"/>
            <w:vAlign w:val="bottom"/>
            <w:gridSpan w:val="2"/>
          </w:tcPr>
          <w:p>
            <w:pPr>
              <w:ind w:left="340"/>
              <w:spacing w:after="0"/>
              <w:rPr>
                <w:sz w:val="20"/>
                <w:szCs w:val="20"/>
                <w:color w:val="auto"/>
              </w:rPr>
            </w:pPr>
            <w:r>
              <w:rPr>
                <w:rFonts w:ascii="Arial" w:cs="Arial" w:eastAsia="Arial" w:hAnsi="Arial"/>
                <w:sz w:val="18"/>
                <w:szCs w:val="18"/>
                <w:color w:val="auto"/>
              </w:rPr>
              <w:t>Purchases</w:t>
            </w:r>
          </w:p>
        </w:tc>
        <w:tc>
          <w:tcPr>
            <w:tcW w:w="18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(539,091)</w:t>
            </w:r>
          </w:p>
        </w:tc>
        <w:tc>
          <w:tcPr>
            <w:tcW w:w="3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(328,160)</w:t>
            </w:r>
          </w:p>
        </w:tc>
      </w:tr>
      <w:tr>
        <w:trPr>
          <w:trHeight w:val="249"/>
        </w:trPr>
        <w:tc>
          <w:tcPr>
            <w:tcW w:w="20" w:type="dxa"/>
            <w:vAlign w:val="bottom"/>
          </w:tcPr>
          <w:p>
            <w:pPr>
              <w:spacing w:after="0"/>
              <w:rPr>
                <w:sz w:val="21"/>
                <w:szCs w:val="21"/>
                <w:color w:val="auto"/>
              </w:rPr>
            </w:pPr>
          </w:p>
        </w:tc>
        <w:tc>
          <w:tcPr>
            <w:tcW w:w="6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Sales</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102,332</w:t>
            </w: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64,767</w:t>
            </w: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760" w:type="dxa"/>
            <w:vAlign w:val="bottom"/>
            <w:gridSpan w:val="2"/>
          </w:tcPr>
          <w:p>
            <w:pPr>
              <w:ind w:left="340"/>
              <w:spacing w:after="0"/>
              <w:rPr>
                <w:sz w:val="20"/>
                <w:szCs w:val="20"/>
                <w:color w:val="auto"/>
              </w:rPr>
            </w:pPr>
            <w:r>
              <w:rPr>
                <w:rFonts w:ascii="Arial" w:cs="Arial" w:eastAsia="Arial" w:hAnsi="Arial"/>
                <w:sz w:val="18"/>
                <w:szCs w:val="18"/>
                <w:color w:val="auto"/>
              </w:rPr>
              <w:t>Maturities, prepayments, and calls</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364,909</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287,788</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Activity in securities held to maturity:</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760" w:type="dxa"/>
            <w:vAlign w:val="bottom"/>
            <w:gridSpan w:val="2"/>
          </w:tcPr>
          <w:p>
            <w:pPr>
              <w:ind w:left="340"/>
              <w:spacing w:after="0"/>
              <w:rPr>
                <w:sz w:val="20"/>
                <w:szCs w:val="20"/>
                <w:color w:val="auto"/>
              </w:rPr>
            </w:pPr>
            <w:r>
              <w:rPr>
                <w:rFonts w:ascii="Arial" w:cs="Arial" w:eastAsia="Arial" w:hAnsi="Arial"/>
                <w:sz w:val="18"/>
                <w:szCs w:val="18"/>
                <w:color w:val="auto"/>
              </w:rPr>
              <w:t>Maturities, prepayments, and calls</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14,675</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12,025</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Loan originations and principal collections, net</w:t>
            </w:r>
          </w:p>
        </w:tc>
        <w:tc>
          <w:tcPr>
            <w:tcW w:w="1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(126,732)</w:t>
            </w:r>
          </w:p>
        </w:tc>
        <w:tc>
          <w:tcPr>
            <w:tcW w:w="3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(180,322)</w:t>
            </w:r>
          </w:p>
        </w:tc>
      </w:tr>
      <w:tr>
        <w:trPr>
          <w:trHeight w:val="237"/>
        </w:trPr>
        <w:tc>
          <w:tcPr>
            <w:tcW w:w="20" w:type="dxa"/>
            <w:vAlign w:val="bottom"/>
          </w:tcPr>
          <w:p>
            <w:pPr>
              <w:spacing w:after="0"/>
              <w:rPr>
                <w:sz w:val="20"/>
                <w:szCs w:val="20"/>
                <w:color w:val="auto"/>
              </w:rPr>
            </w:pPr>
          </w:p>
        </w:tc>
        <w:tc>
          <w:tcPr>
            <w:tcW w:w="6760" w:type="dxa"/>
            <w:vAlign w:val="bottom"/>
            <w:gridSpan w:val="2"/>
          </w:tcPr>
          <w:p>
            <w:pPr>
              <w:ind w:left="160"/>
              <w:spacing w:after="0"/>
              <w:rPr>
                <w:sz w:val="20"/>
                <w:szCs w:val="20"/>
                <w:color w:val="auto"/>
              </w:rPr>
            </w:pPr>
            <w:r>
              <w:rPr>
                <w:rFonts w:ascii="Arial" w:cs="Arial" w:eastAsia="Arial" w:hAnsi="Arial"/>
                <w:sz w:val="18"/>
                <w:szCs w:val="18"/>
                <w:color w:val="auto"/>
              </w:rPr>
              <w:t>Purchases of premises and equipment, net</w:t>
            </w:r>
          </w:p>
        </w:tc>
        <w:tc>
          <w:tcPr>
            <w:tcW w:w="18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(3,134)</w:t>
            </w:r>
          </w:p>
        </w:tc>
        <w:tc>
          <w:tcPr>
            <w:tcW w:w="3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(9,024)</w:t>
            </w:r>
          </w:p>
        </w:tc>
      </w:tr>
      <w:tr>
        <w:trPr>
          <w:trHeight w:val="249"/>
        </w:trPr>
        <w:tc>
          <w:tcPr>
            <w:tcW w:w="20" w:type="dxa"/>
            <w:vAlign w:val="bottom"/>
          </w:tcPr>
          <w:p>
            <w:pPr>
              <w:spacing w:after="0"/>
              <w:rPr>
                <w:sz w:val="21"/>
                <w:szCs w:val="21"/>
                <w:color w:val="auto"/>
              </w:rPr>
            </w:pPr>
          </w:p>
        </w:tc>
        <w:tc>
          <w:tcPr>
            <w:tcW w:w="6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Proceeds from sales of premises and equipment</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Proceeds from sales of foreclosed assets</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2,823</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4,674</w:t>
            </w:r>
          </w:p>
        </w:tc>
        <w:tc>
          <w:tcPr>
            <w:tcW w:w="10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67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from investing activities</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(184,092)</w:t>
            </w: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(148,079)</w:t>
            </w:r>
          </w:p>
        </w:tc>
      </w:tr>
      <w:tr>
        <w:trPr>
          <w:trHeight w:val="237"/>
        </w:trPr>
        <w:tc>
          <w:tcPr>
            <w:tcW w:w="20" w:type="dxa"/>
            <w:vAlign w:val="bottom"/>
          </w:tcPr>
          <w:p>
            <w:pPr>
              <w:spacing w:after="0"/>
              <w:rPr>
                <w:sz w:val="20"/>
                <w:szCs w:val="20"/>
                <w:color w:val="auto"/>
              </w:rPr>
            </w:pPr>
          </w:p>
        </w:tc>
        <w:tc>
          <w:tcPr>
            <w:tcW w:w="67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change in deposits</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123,373</w:t>
            </w: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63,158</w:t>
            </w: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760" w:type="dxa"/>
            <w:vAlign w:val="bottom"/>
            <w:gridSpan w:val="2"/>
          </w:tcPr>
          <w:p>
            <w:pPr>
              <w:ind w:left="160"/>
              <w:spacing w:after="0"/>
              <w:rPr>
                <w:sz w:val="20"/>
                <w:szCs w:val="20"/>
                <w:color w:val="auto"/>
              </w:rPr>
            </w:pPr>
            <w:r>
              <w:rPr>
                <w:rFonts w:ascii="Arial" w:cs="Arial" w:eastAsia="Arial" w:hAnsi="Arial"/>
                <w:sz w:val="18"/>
                <w:szCs w:val="18"/>
                <w:color w:val="auto"/>
              </w:rPr>
              <w:t>Net change in short-term borrowings</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2,155</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(10,690)</w:t>
            </w:r>
          </w:p>
        </w:tc>
      </w:tr>
      <w:tr>
        <w:trPr>
          <w:trHeight w:val="249"/>
        </w:trPr>
        <w:tc>
          <w:tcPr>
            <w:tcW w:w="20" w:type="dxa"/>
            <w:vAlign w:val="bottom"/>
          </w:tcPr>
          <w:p>
            <w:pPr>
              <w:spacing w:after="0"/>
              <w:rPr>
                <w:sz w:val="21"/>
                <w:szCs w:val="21"/>
                <w:color w:val="auto"/>
              </w:rPr>
            </w:pPr>
          </w:p>
        </w:tc>
        <w:tc>
          <w:tcPr>
            <w:tcW w:w="6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Proceeds from notes payable and other borrowings</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13,115</w:t>
            </w: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6760" w:type="dxa"/>
            <w:vAlign w:val="bottom"/>
            <w:gridSpan w:val="2"/>
          </w:tcPr>
          <w:p>
            <w:pPr>
              <w:ind w:left="160"/>
              <w:spacing w:after="0"/>
              <w:rPr>
                <w:sz w:val="20"/>
                <w:szCs w:val="20"/>
                <w:color w:val="auto"/>
              </w:rPr>
            </w:pPr>
            <w:r>
              <w:rPr>
                <w:rFonts w:ascii="Arial" w:cs="Arial" w:eastAsia="Arial" w:hAnsi="Arial"/>
                <w:sz w:val="18"/>
                <w:szCs w:val="18"/>
                <w:color w:val="auto"/>
              </w:rPr>
              <w:t>Payments made on notes payable and other borrowings</w:t>
            </w:r>
          </w:p>
        </w:tc>
        <w:tc>
          <w:tcPr>
            <w:tcW w:w="18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(676)</w:t>
            </w:r>
          </w:p>
        </w:tc>
      </w:tr>
      <w:tr>
        <w:trPr>
          <w:trHeight w:val="243"/>
        </w:trPr>
        <w:tc>
          <w:tcPr>
            <w:tcW w:w="20" w:type="dxa"/>
            <w:vAlign w:val="bottom"/>
          </w:tcPr>
          <w:p>
            <w:pPr>
              <w:spacing w:after="0"/>
              <w:rPr>
                <w:sz w:val="21"/>
                <w:szCs w:val="21"/>
                <w:color w:val="auto"/>
              </w:rPr>
            </w:pPr>
          </w:p>
        </w:tc>
        <w:tc>
          <w:tcPr>
            <w:tcW w:w="6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dividends on common stock</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(30,045)</w:t>
            </w:r>
          </w:p>
        </w:tc>
        <w:tc>
          <w:tcPr>
            <w:tcW w:w="3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(7,874)</w:t>
            </w:r>
          </w:p>
        </w:tc>
      </w:tr>
      <w:tr>
        <w:trPr>
          <w:trHeight w:val="237"/>
        </w:trPr>
        <w:tc>
          <w:tcPr>
            <w:tcW w:w="20" w:type="dxa"/>
            <w:vAlign w:val="bottom"/>
          </w:tcPr>
          <w:p>
            <w:pPr>
              <w:spacing w:after="0"/>
              <w:rPr>
                <w:sz w:val="20"/>
                <w:szCs w:val="20"/>
                <w:color w:val="auto"/>
              </w:rPr>
            </w:pPr>
          </w:p>
        </w:tc>
        <w:tc>
          <w:tcPr>
            <w:tcW w:w="6740" w:type="dxa"/>
            <w:vAlign w:val="bottom"/>
            <w:tcBorders>
              <w:top w:val="single" w:sz="8" w:color="CCEEFF"/>
            </w:tcBorders>
          </w:tcPr>
          <w:p>
            <w:pPr>
              <w:ind w:left="700"/>
              <w:spacing w:after="0"/>
              <w:rPr>
                <w:sz w:val="20"/>
                <w:szCs w:val="20"/>
                <w:color w:val="auto"/>
              </w:rPr>
            </w:pPr>
            <w:r>
              <w:rPr>
                <w:rFonts w:ascii="Arial" w:cs="Arial" w:eastAsia="Arial" w:hAnsi="Arial"/>
                <w:sz w:val="18"/>
                <w:szCs w:val="18"/>
                <w:color w:val="auto"/>
              </w:rPr>
              <w:t>Net cash from financing activities</w:t>
            </w:r>
          </w:p>
        </w:tc>
        <w:tc>
          <w:tcPr>
            <w:tcW w:w="2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108,598</w:t>
            </w:r>
          </w:p>
        </w:tc>
        <w:tc>
          <w:tcPr>
            <w:tcW w:w="180" w:type="dxa"/>
            <w:vAlign w:val="bottom"/>
            <w:tcBorders>
              <w:top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43,918</w:t>
            </w:r>
          </w:p>
        </w:tc>
        <w:tc>
          <w:tcPr>
            <w:tcW w:w="100" w:type="dxa"/>
            <w:vAlign w:val="bottom"/>
            <w:tcBorders>
              <w:top w:val="single" w:sz="8" w:color="CCEEFF"/>
            </w:tcBorders>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(48,574)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(68,837)</w:t>
            </w:r>
          </w:p>
        </w:tc>
      </w:tr>
      <w:tr>
        <w:trPr>
          <w:trHeight w:val="237"/>
        </w:trPr>
        <w:tc>
          <w:tcPr>
            <w:tcW w:w="6760" w:type="dxa"/>
            <w:vAlign w:val="bottom"/>
            <w:gridSpan w:val="2"/>
          </w:tcPr>
          <w:p>
            <w:pPr>
              <w:spacing w:after="0"/>
              <w:rPr>
                <w:sz w:val="20"/>
                <w:szCs w:val="20"/>
                <w:color w:val="auto"/>
              </w:rPr>
            </w:pPr>
            <w:r>
              <w:rPr>
                <w:rFonts w:ascii="Arial" w:cs="Arial" w:eastAsia="Arial" w:hAnsi="Arial"/>
                <w:sz w:val="18"/>
                <w:szCs w:val="18"/>
                <w:color w:val="auto"/>
              </w:rPr>
              <w:t>Beginning cash and cash equivalents</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294,563</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363,400</w:t>
            </w:r>
          </w:p>
        </w:tc>
        <w:tc>
          <w:tcPr>
            <w:tcW w:w="10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cash and cash equivalents</w:t>
            </w:r>
          </w:p>
        </w:tc>
        <w:tc>
          <w:tcPr>
            <w:tcW w:w="2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245,989</w:t>
            </w:r>
          </w:p>
        </w:tc>
        <w:tc>
          <w:tcPr>
            <w:tcW w:w="1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294,563</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Supplemental disclosures of cash flow information:</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paid on deposits and borrowed funds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22,024</w:t>
            </w: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15,892</w:t>
            </w:r>
          </w:p>
        </w:tc>
        <w:tc>
          <w:tcPr>
            <w:tcW w:w="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6760" w:type="dxa"/>
            <w:vAlign w:val="bottom"/>
            <w:gridSpan w:val="2"/>
          </w:tcPr>
          <w:p>
            <w:pPr>
              <w:ind w:left="160"/>
              <w:spacing w:after="0"/>
              <w:rPr>
                <w:sz w:val="20"/>
                <w:szCs w:val="20"/>
                <w:color w:val="auto"/>
              </w:rPr>
            </w:pPr>
            <w:r>
              <w:rPr>
                <w:rFonts w:ascii="Arial" w:cs="Arial" w:eastAsia="Arial" w:hAnsi="Arial"/>
                <w:sz w:val="18"/>
                <w:szCs w:val="18"/>
                <w:color w:val="auto"/>
              </w:rPr>
              <w:t>Income taxes paid</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2,729</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6760" w:type="dxa"/>
            <w:vAlign w:val="bottom"/>
            <w:gridSpan w:val="2"/>
          </w:tcPr>
          <w:p>
            <w:pPr>
              <w:ind w:left="160"/>
              <w:spacing w:after="0"/>
              <w:rPr>
                <w:sz w:val="20"/>
                <w:szCs w:val="20"/>
                <w:color w:val="auto"/>
              </w:rPr>
            </w:pPr>
            <w:r>
              <w:rPr>
                <w:rFonts w:ascii="Arial" w:cs="Arial" w:eastAsia="Arial" w:hAnsi="Arial"/>
                <w:sz w:val="18"/>
                <w:szCs w:val="18"/>
                <w:color w:val="auto"/>
              </w:rPr>
              <w:t>Loans transferred to foreclosed assets</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6,473</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1,954</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Financed foreclosed asset sales</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4,019</w:t>
            </w: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100" w:type="dxa"/>
            <w:vAlign w:val="bottom"/>
            <w:shd w:val="clear" w:color="auto" w:fill="CCEEFF"/>
          </w:tcPr>
          <w:p>
            <w:pPr>
              <w:spacing w:after="0"/>
              <w:rPr>
                <w:sz w:val="21"/>
                <w:szCs w:val="2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58" w:name="page159"/>
    <w:bookmarkEnd w:id="158"/>
    <w:p>
      <w:pPr>
        <w:ind w:left="7"/>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2527"/>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69" w:lineRule="exact"/>
        <w:rPr>
          <w:sz w:val="20"/>
          <w:szCs w:val="20"/>
          <w:color w:val="auto"/>
        </w:rPr>
      </w:pPr>
    </w:p>
    <w:p>
      <w:pPr>
        <w:ind w:left="2507"/>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ind w:right="-6"/>
        <w:spacing w:after="0"/>
        <w:rPr>
          <w:sz w:val="20"/>
          <w:szCs w:val="20"/>
          <w:color w:val="auto"/>
        </w:rPr>
      </w:pPr>
      <w:r>
        <w:rPr>
          <w:rFonts w:ascii="Arial" w:cs="Arial" w:eastAsia="Arial" w:hAnsi="Arial"/>
          <w:sz w:val="18"/>
          <w:szCs w:val="18"/>
          <w:b w:val="1"/>
          <w:bCs w:val="1"/>
          <w:i w:val="1"/>
          <w:iCs w:val="1"/>
          <w:color w:val="auto"/>
        </w:rPr>
        <w:t>(Dollar in thousands except per share data)</w:t>
      </w:r>
    </w:p>
    <w:p>
      <w:pPr>
        <w:spacing w:after="0" w:line="88" w:lineRule="exact"/>
        <w:rPr>
          <w:sz w:val="20"/>
          <w:szCs w:val="20"/>
          <w:color w:val="auto"/>
        </w:rPr>
      </w:pPr>
    </w:p>
    <w:p>
      <w:pPr>
        <w:ind w:left="347" w:hanging="347"/>
        <w:spacing w:after="0"/>
        <w:tabs>
          <w:tab w:leader="none" w:pos="347" w:val="left"/>
        </w:tabs>
        <w:numPr>
          <w:ilvl w:val="0"/>
          <w:numId w:val="7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SUMMARY OF SIGNIFICANT ACCOUNTING POLICIES</w:t>
      </w:r>
    </w:p>
    <w:p>
      <w:pPr>
        <w:spacing w:after="0" w:line="117" w:lineRule="exact"/>
        <w:rPr>
          <w:sz w:val="20"/>
          <w:szCs w:val="20"/>
          <w:color w:val="auto"/>
        </w:rPr>
      </w:pPr>
    </w:p>
    <w:p>
      <w:pPr>
        <w:ind w:left="7" w:right="40"/>
        <w:spacing w:after="0" w:line="286" w:lineRule="auto"/>
        <w:rPr>
          <w:sz w:val="20"/>
          <w:szCs w:val="20"/>
          <w:color w:val="auto"/>
        </w:rPr>
      </w:pPr>
      <w:r>
        <w:rPr>
          <w:rFonts w:ascii="Arial" w:cs="Arial" w:eastAsia="Arial" w:hAnsi="Arial"/>
          <w:sz w:val="17"/>
          <w:szCs w:val="17"/>
          <w:i w:val="1"/>
          <w:iCs w:val="1"/>
          <w:u w:val="single" w:color="auto"/>
          <w:color w:val="auto"/>
        </w:rPr>
        <w:t>Nature of Operations</w:t>
      </w:r>
      <w:r>
        <w:rPr>
          <w:rFonts w:ascii="Arial" w:cs="Arial" w:eastAsia="Arial" w:hAnsi="Arial"/>
          <w:sz w:val="17"/>
          <w:szCs w:val="17"/>
          <w:i w:val="1"/>
          <w:iCs w:val="1"/>
          <w:color w:val="auto"/>
        </w:rPr>
        <w:t xml:space="preserve"> </w:t>
      </w:r>
      <w:r>
        <w:rPr>
          <w:rFonts w:ascii="Arial" w:cs="Arial" w:eastAsia="Arial" w:hAnsi="Arial"/>
          <w:sz w:val="17"/>
          <w:szCs w:val="17"/>
          <w:color w:val="auto"/>
        </w:rPr>
        <w:t>– South Plains Financial, Inc. (SPFI) is a Texas bank holding company that conducts its principal activities</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its subsidiaries from offices located throughout Texas and Eastern New Mexico. Principal activities include commercial and retail banking, along with insurance, investment, trust, and mortgage services. Subsidiaries of SPFI follow:</w:t>
      </w:r>
    </w:p>
    <w:p>
      <w:pPr>
        <w:spacing w:after="0" w:line="18" w:lineRule="exact"/>
        <w:rPr>
          <w:sz w:val="20"/>
          <w:szCs w:val="20"/>
          <w:color w:val="auto"/>
        </w:rPr>
      </w:pPr>
    </w:p>
    <w:tbl>
      <w:tblPr>
        <w:tblLayout w:type="fixed"/>
        <w:tblInd w:w="7" w:type="dxa"/>
        <w:tblCellMar>
          <w:top w:w="0" w:type="dxa"/>
          <w:left w:w="0" w:type="dxa"/>
          <w:bottom w:w="0" w:type="dxa"/>
          <w:right w:w="0" w:type="dxa"/>
        </w:tblCellMar>
      </w:tblPr>
      <w:tr>
        <w:trPr>
          <w:trHeight w:val="243"/>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Wholly Owned, Consolidated Subsidiaries:</w:t>
            </w:r>
          </w:p>
        </w:tc>
        <w:tc>
          <w:tcPr>
            <w:tcW w:w="4980" w:type="dxa"/>
            <w:vAlign w:val="bottom"/>
            <w:shd w:val="clear" w:color="auto" w:fill="CCEEFF"/>
          </w:tcPr>
          <w:p>
            <w:pPr>
              <w:spacing w:after="0"/>
              <w:rPr>
                <w:sz w:val="21"/>
                <w:szCs w:val="21"/>
                <w:color w:val="auto"/>
              </w:rPr>
            </w:pPr>
          </w:p>
        </w:tc>
      </w:tr>
      <w:tr>
        <w:trPr>
          <w:trHeight w:val="237"/>
        </w:trPr>
        <w:tc>
          <w:tcPr>
            <w:tcW w:w="4580" w:type="dxa"/>
            <w:vAlign w:val="bottom"/>
          </w:tcPr>
          <w:p>
            <w:pPr>
              <w:ind w:left="180"/>
              <w:spacing w:after="0"/>
              <w:rPr>
                <w:sz w:val="20"/>
                <w:szCs w:val="20"/>
                <w:color w:val="auto"/>
              </w:rPr>
            </w:pPr>
            <w:r>
              <w:rPr>
                <w:rFonts w:ascii="Arial" w:cs="Arial" w:eastAsia="Arial" w:hAnsi="Arial"/>
                <w:sz w:val="18"/>
                <w:szCs w:val="18"/>
                <w:color w:val="auto"/>
              </w:rPr>
              <w:t>City Bank</w:t>
            </w:r>
          </w:p>
        </w:tc>
        <w:tc>
          <w:tcPr>
            <w:tcW w:w="4980" w:type="dxa"/>
            <w:vAlign w:val="bottom"/>
          </w:tcPr>
          <w:p>
            <w:pPr>
              <w:ind w:left="620"/>
              <w:spacing w:after="0"/>
              <w:rPr>
                <w:sz w:val="20"/>
                <w:szCs w:val="20"/>
                <w:color w:val="auto"/>
              </w:rPr>
            </w:pPr>
            <w:r>
              <w:rPr>
                <w:rFonts w:ascii="Arial" w:cs="Arial" w:eastAsia="Arial" w:hAnsi="Arial"/>
                <w:sz w:val="18"/>
                <w:szCs w:val="18"/>
                <w:color w:val="auto"/>
              </w:rPr>
              <w:t>Bank subsidiary</w:t>
            </w:r>
          </w:p>
        </w:tc>
      </w:tr>
      <w:tr>
        <w:trPr>
          <w:trHeight w:val="249"/>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Windmark Insurance Agency, Inc.</w:t>
            </w:r>
          </w:p>
        </w:tc>
        <w:tc>
          <w:tcPr>
            <w:tcW w:w="49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Non-bank subsidiary</w:t>
            </w:r>
          </w:p>
        </w:tc>
      </w:tr>
      <w:tr>
        <w:trPr>
          <w:trHeight w:val="237"/>
        </w:trPr>
        <w:tc>
          <w:tcPr>
            <w:tcW w:w="4580" w:type="dxa"/>
            <w:vAlign w:val="bottom"/>
          </w:tcPr>
          <w:p>
            <w:pPr>
              <w:ind w:left="180"/>
              <w:spacing w:after="0"/>
              <w:rPr>
                <w:sz w:val="20"/>
                <w:szCs w:val="20"/>
                <w:color w:val="auto"/>
              </w:rPr>
            </w:pPr>
            <w:r>
              <w:rPr>
                <w:rFonts w:ascii="Arial" w:cs="Arial" w:eastAsia="Arial" w:hAnsi="Arial"/>
                <w:sz w:val="18"/>
                <w:szCs w:val="18"/>
                <w:color w:val="auto"/>
              </w:rPr>
              <w:t>Ruidoso Retail, Inc.</w:t>
            </w:r>
          </w:p>
        </w:tc>
        <w:tc>
          <w:tcPr>
            <w:tcW w:w="4980" w:type="dxa"/>
            <w:vAlign w:val="bottom"/>
          </w:tcPr>
          <w:p>
            <w:pPr>
              <w:ind w:left="620"/>
              <w:spacing w:after="0"/>
              <w:rPr>
                <w:sz w:val="20"/>
                <w:szCs w:val="20"/>
                <w:color w:val="auto"/>
              </w:rPr>
            </w:pPr>
            <w:r>
              <w:rPr>
                <w:rFonts w:ascii="Arial" w:cs="Arial" w:eastAsia="Arial" w:hAnsi="Arial"/>
                <w:sz w:val="18"/>
                <w:szCs w:val="18"/>
                <w:color w:val="auto"/>
              </w:rPr>
              <w:t>Non-bank subsidiary</w:t>
            </w:r>
          </w:p>
        </w:tc>
      </w:tr>
      <w:tr>
        <w:trPr>
          <w:trHeight w:val="249"/>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CB Provence, LLC</w:t>
            </w:r>
          </w:p>
        </w:tc>
        <w:tc>
          <w:tcPr>
            <w:tcW w:w="49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Non-bank subsidiary</w:t>
            </w:r>
          </w:p>
        </w:tc>
      </w:tr>
      <w:tr>
        <w:trPr>
          <w:trHeight w:val="237"/>
        </w:trPr>
        <w:tc>
          <w:tcPr>
            <w:tcW w:w="4580" w:type="dxa"/>
            <w:vAlign w:val="bottom"/>
          </w:tcPr>
          <w:p>
            <w:pPr>
              <w:ind w:left="180"/>
              <w:spacing w:after="0"/>
              <w:rPr>
                <w:sz w:val="20"/>
                <w:szCs w:val="20"/>
                <w:color w:val="auto"/>
              </w:rPr>
            </w:pPr>
            <w:r>
              <w:rPr>
                <w:rFonts w:ascii="Arial" w:cs="Arial" w:eastAsia="Arial" w:hAnsi="Arial"/>
                <w:sz w:val="18"/>
                <w:szCs w:val="18"/>
                <w:color w:val="auto"/>
              </w:rPr>
              <w:t>CBT Brushy Creek, LLC</w:t>
            </w:r>
          </w:p>
        </w:tc>
        <w:tc>
          <w:tcPr>
            <w:tcW w:w="4980" w:type="dxa"/>
            <w:vAlign w:val="bottom"/>
          </w:tcPr>
          <w:p>
            <w:pPr>
              <w:ind w:left="620"/>
              <w:spacing w:after="0"/>
              <w:rPr>
                <w:sz w:val="20"/>
                <w:szCs w:val="20"/>
                <w:color w:val="auto"/>
              </w:rPr>
            </w:pPr>
            <w:r>
              <w:rPr>
                <w:rFonts w:ascii="Arial" w:cs="Arial" w:eastAsia="Arial" w:hAnsi="Arial"/>
                <w:sz w:val="18"/>
                <w:szCs w:val="18"/>
                <w:color w:val="auto"/>
              </w:rPr>
              <w:t>Non-bank subsidiary</w:t>
            </w:r>
          </w:p>
        </w:tc>
      </w:tr>
      <w:tr>
        <w:trPr>
          <w:trHeight w:val="249"/>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CBT Properties, LLC</w:t>
            </w:r>
          </w:p>
        </w:tc>
        <w:tc>
          <w:tcPr>
            <w:tcW w:w="49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Non-bank subsidiary</w:t>
            </w:r>
          </w:p>
        </w:tc>
      </w:tr>
      <w:tr>
        <w:trPr>
          <w:trHeight w:val="237"/>
        </w:trPr>
        <w:tc>
          <w:tcPr>
            <w:tcW w:w="4580" w:type="dxa"/>
            <w:vAlign w:val="bottom"/>
          </w:tcPr>
          <w:p>
            <w:pPr>
              <w:spacing w:after="0"/>
              <w:rPr>
                <w:sz w:val="20"/>
                <w:szCs w:val="20"/>
                <w:color w:val="auto"/>
              </w:rPr>
            </w:pPr>
            <w:r>
              <w:rPr>
                <w:rFonts w:ascii="Arial" w:cs="Arial" w:eastAsia="Arial" w:hAnsi="Arial"/>
                <w:sz w:val="18"/>
                <w:szCs w:val="18"/>
                <w:color w:val="auto"/>
              </w:rPr>
              <w:t>Wholly Owned, Equity Method Subsidiaries:</w:t>
            </w:r>
          </w:p>
        </w:tc>
        <w:tc>
          <w:tcPr>
            <w:tcW w:w="4980" w:type="dxa"/>
            <w:vAlign w:val="bottom"/>
          </w:tcPr>
          <w:p>
            <w:pPr>
              <w:spacing w:after="0"/>
              <w:rPr>
                <w:sz w:val="20"/>
                <w:szCs w:val="20"/>
                <w:color w:val="auto"/>
              </w:rPr>
            </w:pPr>
          </w:p>
        </w:tc>
      </w:tr>
      <w:tr>
        <w:trPr>
          <w:trHeight w:val="249"/>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South Plains Financial Capital Trusts (SPFCT) III-V</w:t>
            </w:r>
          </w:p>
        </w:tc>
        <w:tc>
          <w:tcPr>
            <w:tcW w:w="49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Non-bank subsidiaries</w:t>
            </w:r>
          </w:p>
        </w:tc>
      </w:tr>
    </w:tbl>
    <w:p>
      <w:pPr>
        <w:spacing w:after="0" w:line="94" w:lineRule="exact"/>
        <w:rPr>
          <w:sz w:val="20"/>
          <w:szCs w:val="20"/>
          <w:color w:val="auto"/>
        </w:rPr>
      </w:pPr>
    </w:p>
    <w:p>
      <w:pPr>
        <w:jc w:val="both"/>
        <w:ind w:left="7" w:right="40"/>
        <w:spacing w:after="0" w:line="264" w:lineRule="auto"/>
        <w:rPr>
          <w:sz w:val="20"/>
          <w:szCs w:val="20"/>
          <w:color w:val="auto"/>
        </w:rPr>
      </w:pPr>
      <w:r>
        <w:rPr>
          <w:rFonts w:ascii="Arial" w:cs="Arial" w:eastAsia="Arial" w:hAnsi="Arial"/>
          <w:sz w:val="18"/>
          <w:szCs w:val="18"/>
          <w:i w:val="1"/>
          <w:iCs w:val="1"/>
          <w:u w:val="single" w:color="auto"/>
          <w:color w:val="auto"/>
        </w:rPr>
        <w:t>Basis of Presentation and Consolidation</w:t>
      </w:r>
      <w:r>
        <w:rPr>
          <w:rFonts w:ascii="Arial" w:cs="Arial" w:eastAsia="Arial" w:hAnsi="Arial"/>
          <w:sz w:val="18"/>
          <w:szCs w:val="18"/>
          <w:i w:val="1"/>
          <w:iCs w:val="1"/>
          <w:color w:val="auto"/>
        </w:rPr>
        <w:t xml:space="preserve"> </w:t>
      </w:r>
      <w:r>
        <w:rPr>
          <w:rFonts w:ascii="Arial" w:cs="Arial" w:eastAsia="Arial" w:hAnsi="Arial"/>
          <w:sz w:val="18"/>
          <w:szCs w:val="18"/>
          <w:color w:val="auto"/>
        </w:rPr>
        <w:t>– The consolidated financial statements (CFS) include the accounts of SPFI and its wholly</w:t>
      </w:r>
      <w:r>
        <w:rPr>
          <w:rFonts w:ascii="Arial" w:cs="Arial" w:eastAsia="Arial" w:hAnsi="Arial"/>
          <w:sz w:val="18"/>
          <w:szCs w:val="18"/>
          <w:i w:val="1"/>
          <w:iCs w:val="1"/>
          <w:color w:val="auto"/>
        </w:rPr>
        <w:t xml:space="preserve"> </w:t>
      </w:r>
      <w:r>
        <w:rPr>
          <w:rFonts w:ascii="Arial" w:cs="Arial" w:eastAsia="Arial" w:hAnsi="Arial"/>
          <w:sz w:val="18"/>
          <w:szCs w:val="18"/>
          <w:color w:val="auto"/>
        </w:rPr>
        <w:t>owned consolidated subsidiaries (collectively referred to as the “Company”) identified above. All significant intercompany balances and transactions have been eliminated in consolidation.</w:t>
      </w:r>
    </w:p>
    <w:p>
      <w:pPr>
        <w:spacing w:after="0" w:line="73" w:lineRule="exact"/>
        <w:rPr>
          <w:sz w:val="20"/>
          <w:szCs w:val="20"/>
          <w:color w:val="auto"/>
        </w:rPr>
      </w:pPr>
    </w:p>
    <w:p>
      <w:pPr>
        <w:jc w:val="both"/>
        <w:ind w:left="7" w:right="40"/>
        <w:spacing w:after="0" w:line="277" w:lineRule="auto"/>
        <w:rPr>
          <w:sz w:val="20"/>
          <w:szCs w:val="20"/>
          <w:color w:val="auto"/>
        </w:rPr>
      </w:pPr>
      <w:r>
        <w:rPr>
          <w:rFonts w:ascii="Arial" w:cs="Arial" w:eastAsia="Arial" w:hAnsi="Arial"/>
          <w:sz w:val="18"/>
          <w:szCs w:val="18"/>
          <w:color w:val="auto"/>
        </w:rPr>
        <w:t>The Company’s CFS are prepared and presented in accordance with accounting principles generally accepted in the United States of America (GAAP).</w:t>
      </w:r>
    </w:p>
    <w:p>
      <w:pPr>
        <w:spacing w:after="0" w:line="62" w:lineRule="exact"/>
        <w:rPr>
          <w:sz w:val="20"/>
          <w:szCs w:val="20"/>
          <w:color w:val="auto"/>
        </w:rPr>
      </w:pPr>
    </w:p>
    <w:p>
      <w:pPr>
        <w:ind w:left="7" w:right="100"/>
        <w:spacing w:after="0" w:line="277" w:lineRule="auto"/>
        <w:rPr>
          <w:sz w:val="20"/>
          <w:szCs w:val="20"/>
          <w:color w:val="auto"/>
        </w:rPr>
      </w:pPr>
      <w:r>
        <w:rPr>
          <w:rFonts w:ascii="Arial" w:cs="Arial" w:eastAsia="Arial" w:hAnsi="Arial"/>
          <w:sz w:val="18"/>
          <w:szCs w:val="18"/>
          <w:i w:val="1"/>
          <w:iCs w:val="1"/>
          <w:u w:val="single" w:color="auto"/>
          <w:color w:val="auto"/>
        </w:rPr>
        <w:t>Subsequent Events</w:t>
      </w:r>
      <w:r>
        <w:rPr>
          <w:rFonts w:ascii="Arial" w:cs="Arial" w:eastAsia="Arial" w:hAnsi="Arial"/>
          <w:sz w:val="18"/>
          <w:szCs w:val="18"/>
          <w:i w:val="1"/>
          <w:iCs w:val="1"/>
          <w:color w:val="auto"/>
        </w:rPr>
        <w:t xml:space="preserve"> </w:t>
      </w:r>
      <w:r>
        <w:rPr>
          <w:rFonts w:ascii="Arial" w:cs="Arial" w:eastAsia="Arial" w:hAnsi="Arial"/>
          <w:sz w:val="18"/>
          <w:szCs w:val="18"/>
          <w:color w:val="auto"/>
        </w:rPr>
        <w:t>– The Company evaluated subsequent events for potential recognition and/or disclosure through March 1, 2019,</w:t>
      </w:r>
      <w:r>
        <w:rPr>
          <w:rFonts w:ascii="Arial" w:cs="Arial" w:eastAsia="Arial" w:hAnsi="Arial"/>
          <w:sz w:val="18"/>
          <w:szCs w:val="18"/>
          <w:i w:val="1"/>
          <w:iCs w:val="1"/>
          <w:color w:val="auto"/>
        </w:rPr>
        <w:t xml:space="preserve"> </w:t>
      </w:r>
      <w:r>
        <w:rPr>
          <w:rFonts w:ascii="Arial" w:cs="Arial" w:eastAsia="Arial" w:hAnsi="Arial"/>
          <w:sz w:val="18"/>
          <w:szCs w:val="18"/>
          <w:color w:val="auto"/>
        </w:rPr>
        <w:t>the date the CFS were available to be issued.</w:t>
      </w:r>
    </w:p>
    <w:p>
      <w:pPr>
        <w:spacing w:after="0" w:line="62" w:lineRule="exact"/>
        <w:rPr>
          <w:sz w:val="20"/>
          <w:szCs w:val="20"/>
          <w:color w:val="auto"/>
        </w:rPr>
      </w:pPr>
    </w:p>
    <w:p>
      <w:pPr>
        <w:ind w:left="7" w:right="60"/>
        <w:spacing w:after="0" w:line="255" w:lineRule="auto"/>
        <w:rPr>
          <w:sz w:val="20"/>
          <w:szCs w:val="20"/>
          <w:color w:val="auto"/>
        </w:rPr>
      </w:pPr>
      <w:r>
        <w:rPr>
          <w:rFonts w:ascii="Arial" w:cs="Arial" w:eastAsia="Arial" w:hAnsi="Arial"/>
          <w:sz w:val="18"/>
          <w:szCs w:val="18"/>
          <w:i w:val="1"/>
          <w:iCs w:val="1"/>
          <w:u w:val="single" w:color="auto"/>
          <w:color w:val="auto"/>
        </w:rPr>
        <w:t>Use of Estimates</w:t>
      </w:r>
      <w:r>
        <w:rPr>
          <w:rFonts w:ascii="Arial" w:cs="Arial" w:eastAsia="Arial" w:hAnsi="Arial"/>
          <w:sz w:val="18"/>
          <w:szCs w:val="18"/>
          <w:i w:val="1"/>
          <w:iCs w:val="1"/>
          <w:color w:val="auto"/>
        </w:rPr>
        <w:t xml:space="preserve"> </w:t>
      </w:r>
      <w:r>
        <w:rPr>
          <w:rFonts w:ascii="Arial" w:cs="Arial" w:eastAsia="Arial" w:hAnsi="Arial"/>
          <w:sz w:val="18"/>
          <w:szCs w:val="18"/>
          <w:color w:val="auto"/>
        </w:rPr>
        <w:t>– The preparation of financial statements in conformity with GAAP requires management to make estimates and</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Determination of the adequacy of the allowance for loan losses is a material estimate that is particularly susceptible to significant change in the near term; the valuation of foreclosed assets and fair values of financial instruments can also involve significant management estimates.</w:t>
      </w:r>
    </w:p>
    <w:p>
      <w:pPr>
        <w:spacing w:after="0" w:line="85" w:lineRule="exact"/>
        <w:rPr>
          <w:sz w:val="20"/>
          <w:szCs w:val="20"/>
          <w:color w:val="auto"/>
        </w:rPr>
      </w:pPr>
    </w:p>
    <w:p>
      <w:pPr>
        <w:ind w:left="7" w:right="160"/>
        <w:spacing w:after="0" w:line="257" w:lineRule="auto"/>
        <w:rPr>
          <w:sz w:val="20"/>
          <w:szCs w:val="20"/>
          <w:color w:val="auto"/>
        </w:rPr>
      </w:pPr>
      <w:r>
        <w:rPr>
          <w:rFonts w:ascii="Arial" w:cs="Arial" w:eastAsia="Arial" w:hAnsi="Arial"/>
          <w:sz w:val="18"/>
          <w:szCs w:val="18"/>
          <w:i w:val="1"/>
          <w:iCs w:val="1"/>
          <w:u w:val="single" w:color="auto"/>
          <w:color w:val="auto"/>
        </w:rPr>
        <w:t>Concentration of Credit Risk</w:t>
      </w:r>
      <w:r>
        <w:rPr>
          <w:rFonts w:ascii="Arial" w:cs="Arial" w:eastAsia="Arial" w:hAnsi="Arial"/>
          <w:sz w:val="18"/>
          <w:szCs w:val="18"/>
          <w:i w:val="1"/>
          <w:iCs w:val="1"/>
          <w:color w:val="auto"/>
        </w:rPr>
        <w:t xml:space="preserve"> </w:t>
      </w:r>
      <w:r>
        <w:rPr>
          <w:rFonts w:ascii="Arial" w:cs="Arial" w:eastAsia="Arial" w:hAnsi="Arial"/>
          <w:sz w:val="18"/>
          <w:szCs w:val="18"/>
          <w:color w:val="auto"/>
        </w:rPr>
        <w:t>– The bank subsidiary is primarily involved in real estate, commercial, agricultural, and consumer</w:t>
      </w:r>
      <w:r>
        <w:rPr>
          <w:rFonts w:ascii="Arial" w:cs="Arial" w:eastAsia="Arial" w:hAnsi="Arial"/>
          <w:sz w:val="18"/>
          <w:szCs w:val="18"/>
          <w:i w:val="1"/>
          <w:iCs w:val="1"/>
          <w:color w:val="auto"/>
        </w:rPr>
        <w:t xml:space="preserve"> </w:t>
      </w:r>
      <w:r>
        <w:rPr>
          <w:rFonts w:ascii="Arial" w:cs="Arial" w:eastAsia="Arial" w:hAnsi="Arial"/>
          <w:sz w:val="18"/>
          <w:szCs w:val="18"/>
          <w:color w:val="auto"/>
        </w:rPr>
        <w:t>lending activities with customers throughout Texas and Eastern New Mexico. Although the bank subsidiary has a diversified portfolio, its debtors’ ability to honor their contracts is substantially dependent upon the general economic conditions of the region which consist primarily of agribusiness, wholesale/retail, oil and gas and related business, healthcare industries, and institutions of higher education.</w:t>
      </w:r>
    </w:p>
    <w:p>
      <w:pPr>
        <w:spacing w:after="0" w:line="80" w:lineRule="exact"/>
        <w:rPr>
          <w:sz w:val="20"/>
          <w:szCs w:val="20"/>
          <w:color w:val="auto"/>
        </w:rPr>
      </w:pPr>
    </w:p>
    <w:p>
      <w:pPr>
        <w:ind w:left="7" w:right="20"/>
        <w:spacing w:after="0" w:line="259" w:lineRule="auto"/>
        <w:rPr>
          <w:sz w:val="20"/>
          <w:szCs w:val="20"/>
          <w:color w:val="auto"/>
        </w:rPr>
      </w:pPr>
      <w:r>
        <w:rPr>
          <w:rFonts w:ascii="Arial" w:cs="Arial" w:eastAsia="Arial" w:hAnsi="Arial"/>
          <w:sz w:val="18"/>
          <w:szCs w:val="18"/>
          <w:i w:val="1"/>
          <w:iCs w:val="1"/>
          <w:u w:val="single" w:color="auto"/>
          <w:color w:val="auto"/>
        </w:rPr>
        <w:t>Comprehensive Income</w:t>
      </w:r>
      <w:r>
        <w:rPr>
          <w:rFonts w:ascii="Arial" w:cs="Arial" w:eastAsia="Arial" w:hAnsi="Arial"/>
          <w:sz w:val="18"/>
          <w:szCs w:val="18"/>
          <w:i w:val="1"/>
          <w:iCs w:val="1"/>
          <w:color w:val="auto"/>
        </w:rPr>
        <w:t xml:space="preserve"> </w:t>
      </w:r>
      <w:r>
        <w:rPr>
          <w:rFonts w:ascii="Arial" w:cs="Arial" w:eastAsia="Arial" w:hAnsi="Arial"/>
          <w:sz w:val="18"/>
          <w:szCs w:val="18"/>
          <w:color w:val="auto"/>
        </w:rPr>
        <w:t>– Comprehensive income is comprised of net income or loss and other comprehensive income or loss (OCI).</w:t>
      </w:r>
      <w:r>
        <w:rPr>
          <w:rFonts w:ascii="Arial" w:cs="Arial" w:eastAsia="Arial" w:hAnsi="Arial"/>
          <w:sz w:val="18"/>
          <w:szCs w:val="18"/>
          <w:i w:val="1"/>
          <w:iCs w:val="1"/>
          <w:color w:val="auto"/>
        </w:rPr>
        <w:t xml:space="preserve"> </w:t>
      </w:r>
      <w:r>
        <w:rPr>
          <w:rFonts w:ascii="Arial" w:cs="Arial" w:eastAsia="Arial" w:hAnsi="Arial"/>
          <w:sz w:val="18"/>
          <w:szCs w:val="18"/>
          <w:color w:val="auto"/>
        </w:rPr>
        <w:t>Relevant examples of OCI items are unrealized holding gains and losses on securities available for sale, and subsequent decreases (if not an other-than-temporary impairment) or increases in the fair value of securities available for sale previously written down as impaired.</w:t>
      </w:r>
    </w:p>
    <w:p>
      <w:pPr>
        <w:spacing w:after="0" w:line="79" w:lineRule="exact"/>
        <w:rPr>
          <w:sz w:val="20"/>
          <w:szCs w:val="20"/>
          <w:color w:val="auto"/>
        </w:rPr>
      </w:pPr>
    </w:p>
    <w:p>
      <w:pPr>
        <w:ind w:left="7" w:right="40"/>
        <w:spacing w:after="0" w:line="257" w:lineRule="auto"/>
        <w:rPr>
          <w:sz w:val="20"/>
          <w:szCs w:val="20"/>
          <w:color w:val="auto"/>
        </w:rPr>
      </w:pPr>
      <w:r>
        <w:rPr>
          <w:rFonts w:ascii="Arial" w:cs="Arial" w:eastAsia="Arial" w:hAnsi="Arial"/>
          <w:sz w:val="18"/>
          <w:szCs w:val="18"/>
          <w:i w:val="1"/>
          <w:iCs w:val="1"/>
          <w:u w:val="single" w:color="auto"/>
          <w:color w:val="auto"/>
        </w:rPr>
        <w:t>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 The Company includes all cash on hand, balances due from other banks, and Federal funds sold, all of</w:t>
      </w:r>
      <w:r>
        <w:rPr>
          <w:rFonts w:ascii="Arial" w:cs="Arial" w:eastAsia="Arial" w:hAnsi="Arial"/>
          <w:sz w:val="18"/>
          <w:szCs w:val="18"/>
          <w:i w:val="1"/>
          <w:iCs w:val="1"/>
          <w:color w:val="auto"/>
        </w:rPr>
        <w:t xml:space="preserve"> </w:t>
      </w:r>
      <w:r>
        <w:rPr>
          <w:rFonts w:ascii="Arial" w:cs="Arial" w:eastAsia="Arial" w:hAnsi="Arial"/>
          <w:sz w:val="18"/>
          <w:szCs w:val="18"/>
          <w:color w:val="auto"/>
        </w:rPr>
        <w:t>which have original maturities within three months, as cash and cash equivalents in the accompanying CFS. Federal regulations require the bank subsidiary to set aside specified amounts of cash as reserves against transaction and time deposits, which fluctuate daily. These reserves may be held as cash on hand or on deposit with a district Federal Reserve Bank. Management believes that the bank subsidiary complies with these requirements.</w:t>
      </w:r>
    </w:p>
    <w:p>
      <w:pPr>
        <w:spacing w:after="0" w:line="80" w:lineRule="exact"/>
        <w:rPr>
          <w:sz w:val="20"/>
          <w:szCs w:val="20"/>
          <w:color w:val="auto"/>
        </w:rPr>
      </w:pPr>
    </w:p>
    <w:p>
      <w:pPr>
        <w:ind w:left="7"/>
        <w:spacing w:after="0"/>
        <w:rPr>
          <w:sz w:val="20"/>
          <w:szCs w:val="20"/>
          <w:color w:val="auto"/>
        </w:rPr>
      </w:pPr>
      <w:r>
        <w:rPr>
          <w:rFonts w:ascii="Arial" w:cs="Arial" w:eastAsia="Arial" w:hAnsi="Arial"/>
          <w:sz w:val="17"/>
          <w:szCs w:val="17"/>
          <w:i w:val="1"/>
          <w:iCs w:val="1"/>
          <w:u w:val="single" w:color="auto"/>
          <w:color w:val="auto"/>
        </w:rPr>
        <w:t>Securities</w:t>
      </w:r>
      <w:r>
        <w:rPr>
          <w:rFonts w:ascii="Arial" w:cs="Arial" w:eastAsia="Arial" w:hAnsi="Arial"/>
          <w:sz w:val="17"/>
          <w:szCs w:val="17"/>
          <w:i w:val="1"/>
          <w:iCs w:val="1"/>
          <w:color w:val="auto"/>
        </w:rPr>
        <w:t xml:space="preserve"> </w:t>
      </w:r>
      <w:r>
        <w:rPr>
          <w:rFonts w:ascii="Arial" w:cs="Arial" w:eastAsia="Arial" w:hAnsi="Arial"/>
          <w:sz w:val="17"/>
          <w:szCs w:val="17"/>
          <w:color w:val="auto"/>
        </w:rPr>
        <w:t>– Investment securities may be classified into trading, held to maturity (HTM) or available for sale (AFS) portfolios.</w:t>
      </w:r>
    </w:p>
    <w:p>
      <w:pPr>
        <w:spacing w:after="0" w:line="35" w:lineRule="exact"/>
        <w:rPr>
          <w:sz w:val="20"/>
          <w:szCs w:val="20"/>
          <w:color w:val="auto"/>
        </w:rPr>
      </w:pPr>
    </w:p>
    <w:p>
      <w:pPr>
        <w:ind w:left="7"/>
        <w:spacing w:after="0"/>
        <w:rPr>
          <w:sz w:val="20"/>
          <w:szCs w:val="20"/>
          <w:color w:val="auto"/>
        </w:rPr>
      </w:pPr>
      <w:r>
        <w:rPr>
          <w:rFonts w:ascii="Arial" w:cs="Arial" w:eastAsia="Arial" w:hAnsi="Arial"/>
          <w:sz w:val="18"/>
          <w:szCs w:val="18"/>
          <w:color w:val="auto"/>
        </w:rPr>
        <w:t>Securities that are held principally for resale in the near term are classified as trading.</w:t>
      </w:r>
    </w:p>
    <w:p>
      <w:pPr>
        <w:spacing w:after="0" w:line="211"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59" w:name="page160"/>
    <w:bookmarkEnd w:id="159"/>
    <w:p>
      <w:pPr>
        <w:ind w:left="7"/>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27"/>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07"/>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ind w:right="-26"/>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74" w:lineRule="exact"/>
        <w:rPr>
          <w:sz w:val="20"/>
          <w:szCs w:val="20"/>
          <w:color w:val="auto"/>
        </w:rPr>
      </w:pPr>
    </w:p>
    <w:p>
      <w:pPr>
        <w:ind w:left="367" w:hanging="367"/>
        <w:spacing w:after="0"/>
        <w:tabs>
          <w:tab w:leader="none" w:pos="367" w:val="left"/>
        </w:tabs>
        <w:numPr>
          <w:ilvl w:val="0"/>
          <w:numId w:val="7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SUMMARY OF SIGNIFICANT ACCOUNTING POLICIES (Continued)</w:t>
      </w:r>
    </w:p>
    <w:p>
      <w:pPr>
        <w:spacing w:after="0" w:line="63" w:lineRule="exact"/>
        <w:rPr>
          <w:sz w:val="20"/>
          <w:szCs w:val="20"/>
          <w:color w:val="auto"/>
        </w:rPr>
      </w:pPr>
    </w:p>
    <w:p>
      <w:pPr>
        <w:ind w:left="7" w:right="60"/>
        <w:spacing w:after="0" w:line="271" w:lineRule="auto"/>
        <w:rPr>
          <w:sz w:val="20"/>
          <w:szCs w:val="20"/>
          <w:color w:val="auto"/>
        </w:rPr>
      </w:pPr>
      <w:r>
        <w:rPr>
          <w:rFonts w:ascii="Arial" w:cs="Arial" w:eastAsia="Arial" w:hAnsi="Arial"/>
          <w:sz w:val="17"/>
          <w:szCs w:val="17"/>
          <w:color w:val="auto"/>
        </w:rPr>
        <w:t>Securities that management has the ability and positive intent to hold to maturity are classified as HTM and recorded at amortized cost. Securities not classified as trading or HTM are AFS and are reported at fair value with unrealized gains and losses excluded from earnings, but included in the determination of OCI. Management uses these assets as part of its asset/liability management strategy; they may be sold in response to changes in liquidity needs, interest rates, resultant prepayment risk changes, and other factors. Management determines the appropriate classification of securities at the time of purchase. Purchase premiums and discounts are recognized in interest income using the interest method over the terms of the securities. Realized gains and losses and declines in value judged to be other-than-temporary are included in gain (loss) on sale of securities. The cost of securities sold is based on the specific identification method.</w:t>
      </w:r>
    </w:p>
    <w:p>
      <w:pPr>
        <w:spacing w:after="0" w:line="71" w:lineRule="exact"/>
        <w:rPr>
          <w:sz w:val="20"/>
          <w:szCs w:val="20"/>
          <w:color w:val="auto"/>
        </w:rPr>
      </w:pPr>
    </w:p>
    <w:p>
      <w:pPr>
        <w:ind w:left="7"/>
        <w:spacing w:after="0" w:line="272" w:lineRule="auto"/>
        <w:rPr>
          <w:sz w:val="20"/>
          <w:szCs w:val="20"/>
          <w:color w:val="auto"/>
        </w:rPr>
      </w:pPr>
      <w:r>
        <w:rPr>
          <w:rFonts w:ascii="Arial" w:cs="Arial" w:eastAsia="Arial" w:hAnsi="Arial"/>
          <w:sz w:val="17"/>
          <w:szCs w:val="17"/>
          <w:color w:val="auto"/>
        </w:rPr>
        <w:t>When the fair value of a security is below its amortized cost, additional analysis is performed to determine whether an other-than-temporary impairment condition exists. The analysis considers (i) whether there is intent to sell securities prior to recovery and/or maturity, (ii) whether it is more likely than not that securities will have to be sold prior to recovery and/or maturity, and (iii) whether there is a credit loss component to the impairment. Often, the information available to conduct these assessments is limited and rapidly changing, making estimates of fair value subject to judgment. If actual information or conditions are different than estimated, the extent of the impairment of a security may be different than previously estimated, which could have a material effect on the Company’s results of operations and financial condition.</w:t>
      </w:r>
    </w:p>
    <w:p>
      <w:pPr>
        <w:spacing w:after="0" w:line="70" w:lineRule="exact"/>
        <w:rPr>
          <w:sz w:val="20"/>
          <w:szCs w:val="20"/>
          <w:color w:val="auto"/>
        </w:rPr>
      </w:pPr>
    </w:p>
    <w:p>
      <w:pPr>
        <w:ind w:left="7" w:right="240"/>
        <w:spacing w:after="0" w:line="264" w:lineRule="auto"/>
        <w:rPr>
          <w:sz w:val="20"/>
          <w:szCs w:val="20"/>
          <w:color w:val="auto"/>
        </w:rPr>
      </w:pPr>
      <w:r>
        <w:rPr>
          <w:rFonts w:ascii="Arial" w:cs="Arial" w:eastAsia="Arial" w:hAnsi="Arial"/>
          <w:sz w:val="18"/>
          <w:szCs w:val="18"/>
          <w:i w:val="1"/>
          <w:iCs w:val="1"/>
          <w:u w:val="single" w:color="auto"/>
          <w:color w:val="auto"/>
        </w:rPr>
        <w:t>Nonmarketable Equity Securities</w:t>
      </w:r>
      <w:r>
        <w:rPr>
          <w:rFonts w:ascii="Arial" w:cs="Arial" w:eastAsia="Arial" w:hAnsi="Arial"/>
          <w:sz w:val="18"/>
          <w:szCs w:val="18"/>
          <w:i w:val="1"/>
          <w:iCs w:val="1"/>
          <w:color w:val="auto"/>
        </w:rPr>
        <w:t xml:space="preserve"> – </w:t>
      </w:r>
      <w:r>
        <w:rPr>
          <w:rFonts w:ascii="Arial" w:cs="Arial" w:eastAsia="Arial" w:hAnsi="Arial"/>
          <w:sz w:val="18"/>
          <w:szCs w:val="18"/>
          <w:color w:val="auto"/>
        </w:rPr>
        <w:t>Securities with limited marketability, such as stock in the Federal Home Loan Bank of Dallas</w:t>
      </w:r>
      <w:r>
        <w:rPr>
          <w:rFonts w:ascii="Arial" w:cs="Arial" w:eastAsia="Arial" w:hAnsi="Arial"/>
          <w:sz w:val="18"/>
          <w:szCs w:val="18"/>
          <w:i w:val="1"/>
          <w:iCs w:val="1"/>
          <w:color w:val="auto"/>
        </w:rPr>
        <w:t xml:space="preserve"> </w:t>
      </w:r>
      <w:r>
        <w:rPr>
          <w:rFonts w:ascii="Arial" w:cs="Arial" w:eastAsia="Arial" w:hAnsi="Arial"/>
          <w:sz w:val="18"/>
          <w:szCs w:val="18"/>
          <w:color w:val="auto"/>
        </w:rPr>
        <w:t>(FHLB), are carried at cost and are reported in other assets. Windmark Insurance Agency, Inc. owns 50% of WBSPF, LLC and accounts for its ownership using the equity method of accounting.</w:t>
      </w:r>
    </w:p>
    <w:p>
      <w:pPr>
        <w:spacing w:after="0" w:line="73" w:lineRule="exact"/>
        <w:rPr>
          <w:sz w:val="20"/>
          <w:szCs w:val="20"/>
          <w:color w:val="auto"/>
        </w:rPr>
      </w:pPr>
    </w:p>
    <w:p>
      <w:pPr>
        <w:jc w:val="both"/>
        <w:ind w:left="7" w:right="60"/>
        <w:spacing w:after="0" w:line="297" w:lineRule="auto"/>
        <w:rPr>
          <w:sz w:val="20"/>
          <w:szCs w:val="20"/>
          <w:color w:val="auto"/>
        </w:rPr>
      </w:pPr>
      <w:r>
        <w:rPr>
          <w:rFonts w:ascii="Arial" w:cs="Arial" w:eastAsia="Arial" w:hAnsi="Arial"/>
          <w:sz w:val="16"/>
          <w:szCs w:val="16"/>
          <w:i w:val="1"/>
          <w:iCs w:val="1"/>
          <w:u w:val="single" w:color="auto"/>
          <w:color w:val="auto"/>
        </w:rPr>
        <w:t>Loans</w:t>
      </w:r>
      <w:r>
        <w:rPr>
          <w:rFonts w:ascii="Arial" w:cs="Arial" w:eastAsia="Arial" w:hAnsi="Arial"/>
          <w:sz w:val="16"/>
          <w:szCs w:val="16"/>
          <w:i w:val="1"/>
          <w:iCs w:val="1"/>
          <w:color w:val="auto"/>
        </w:rPr>
        <w:t xml:space="preserve"> </w:t>
      </w:r>
      <w:r>
        <w:rPr>
          <w:rFonts w:ascii="Arial" w:cs="Arial" w:eastAsia="Arial" w:hAnsi="Arial"/>
          <w:sz w:val="16"/>
          <w:szCs w:val="16"/>
          <w:color w:val="auto"/>
        </w:rPr>
        <w:t>– Loans that management has the intent and ability to hold for the foreseeable future or until maturity or payoff are reported</w:t>
      </w:r>
      <w:r>
        <w:rPr>
          <w:rFonts w:ascii="Arial" w:cs="Arial" w:eastAsia="Arial" w:hAnsi="Arial"/>
          <w:sz w:val="16"/>
          <w:szCs w:val="16"/>
          <w:i w:val="1"/>
          <w:iCs w:val="1"/>
          <w:color w:val="auto"/>
        </w:rPr>
        <w:t xml:space="preserve"> </w:t>
      </w:r>
      <w:r>
        <w:rPr>
          <w:rFonts w:ascii="Arial" w:cs="Arial" w:eastAsia="Arial" w:hAnsi="Arial"/>
          <w:sz w:val="16"/>
          <w:szCs w:val="16"/>
          <w:color w:val="auto"/>
        </w:rPr>
        <w:t>at their outstanding principal balances net of any unearned income, charge-offs, unamortized deferred fees and costs on originated loans, and premiums or discounts on purchased loans. Interest income is accrued on the unpaid principal balance. Loan origination fees, net of certain direct origination costs, are deferred and recognized as an adjustment of the related loan yield using the straight-line method, which is not materially different from the effective interest method required by GAAP.</w:t>
      </w:r>
    </w:p>
    <w:p>
      <w:pPr>
        <w:spacing w:after="0" w:line="50" w:lineRule="exact"/>
        <w:rPr>
          <w:sz w:val="20"/>
          <w:szCs w:val="20"/>
          <w:color w:val="auto"/>
        </w:rPr>
      </w:pPr>
    </w:p>
    <w:p>
      <w:pPr>
        <w:ind w:left="7" w:right="140"/>
        <w:spacing w:after="0" w:line="276" w:lineRule="auto"/>
        <w:rPr>
          <w:sz w:val="20"/>
          <w:szCs w:val="20"/>
          <w:color w:val="auto"/>
        </w:rPr>
      </w:pPr>
      <w:r>
        <w:rPr>
          <w:rFonts w:ascii="Arial" w:cs="Arial" w:eastAsia="Arial" w:hAnsi="Arial"/>
          <w:sz w:val="17"/>
          <w:szCs w:val="17"/>
          <w:color w:val="auto"/>
        </w:rPr>
        <w:t>Loans are placed on nonaccrual status when, in management’s opinion, collection of interest is unlikely, which typically occurs when principal or interest payments are more than ninety days past due. When interest accrual is discontinued, all unpaid accrued interest is reversed against interest income. The interest on these loans is accounted for on the cash-basis or cost-recovery method, until qualifying for return to accrual. Loans are returned to accrual status when all the principal and interest amounts contractually due are brought current and future payments are reasonably assured.</w:t>
      </w:r>
    </w:p>
    <w:p>
      <w:pPr>
        <w:spacing w:after="0" w:line="64" w:lineRule="exact"/>
        <w:rPr>
          <w:sz w:val="20"/>
          <w:szCs w:val="20"/>
          <w:color w:val="auto"/>
        </w:rPr>
      </w:pPr>
    </w:p>
    <w:p>
      <w:pPr>
        <w:ind w:left="7" w:right="300"/>
        <w:spacing w:after="0" w:line="293" w:lineRule="auto"/>
        <w:rPr>
          <w:sz w:val="20"/>
          <w:szCs w:val="20"/>
          <w:color w:val="auto"/>
        </w:rPr>
      </w:pPr>
      <w:r>
        <w:rPr>
          <w:rFonts w:ascii="Arial" w:cs="Arial" w:eastAsia="Arial" w:hAnsi="Arial"/>
          <w:sz w:val="16"/>
          <w:szCs w:val="16"/>
          <w:i w:val="1"/>
          <w:iCs w:val="1"/>
          <w:u w:val="single" w:color="auto"/>
          <w:color w:val="auto"/>
        </w:rPr>
        <w:t>Allowance for Loan Losses</w:t>
      </w:r>
      <w:r>
        <w:rPr>
          <w:rFonts w:ascii="Arial" w:cs="Arial" w:eastAsia="Arial" w:hAnsi="Arial"/>
          <w:sz w:val="16"/>
          <w:szCs w:val="16"/>
          <w:i w:val="1"/>
          <w:iCs w:val="1"/>
          <w:color w:val="auto"/>
        </w:rPr>
        <w:t xml:space="preserve"> </w:t>
      </w:r>
      <w:r>
        <w:rPr>
          <w:rFonts w:ascii="Arial" w:cs="Arial" w:eastAsia="Arial" w:hAnsi="Arial"/>
          <w:sz w:val="16"/>
          <w:szCs w:val="16"/>
          <w:color w:val="auto"/>
        </w:rPr>
        <w:t>– The allowance for loan losses is established as losses are estimated to have occurred through a</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 for loan losses charged to earnings. Loan losses are charged against the allowance when management believes the uncollectibility of a loan balance is confirmed. Subsequent recoveries, if any, are credited to the allowance. The Company’s allowance for loan losses consists of specific valuation allowances established for probable losses on specific loans and general valuation allowances calculated based on historical loan loss experience for similar loans with similar characteristics and trends, judgmentally adjusted for general economic conditions and other qualitative risk factors internal and external to the Company.</w:t>
      </w:r>
    </w:p>
    <w:p>
      <w:pPr>
        <w:spacing w:after="0" w:line="57" w:lineRule="exact"/>
        <w:rPr>
          <w:sz w:val="20"/>
          <w:szCs w:val="20"/>
          <w:color w:val="auto"/>
        </w:rPr>
      </w:pPr>
    </w:p>
    <w:p>
      <w:pPr>
        <w:ind w:left="7" w:right="100"/>
        <w:spacing w:after="0" w:line="255" w:lineRule="auto"/>
        <w:rPr>
          <w:sz w:val="20"/>
          <w:szCs w:val="20"/>
          <w:color w:val="auto"/>
        </w:rPr>
      </w:pPr>
      <w:r>
        <w:rPr>
          <w:rFonts w:ascii="Arial" w:cs="Arial" w:eastAsia="Arial" w:hAnsi="Arial"/>
          <w:sz w:val="18"/>
          <w:szCs w:val="18"/>
          <w:color w:val="auto"/>
        </w:rPr>
        <w:t>The allowance for loan losses is evaluated on a quarterly basis by management and is based upon management’s review of the collectibility of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 The determination of the adequacy of the allowance for loan losses is based on estimates that are particularly susceptible to significant</w:t>
      </w:r>
    </w:p>
    <w:p>
      <w:pPr>
        <w:spacing w:after="0" w:line="193" w:lineRule="exact"/>
        <w:rPr>
          <w:sz w:val="20"/>
          <w:szCs w:val="20"/>
          <w:color w:val="auto"/>
        </w:rPr>
      </w:pPr>
    </w:p>
    <w:p>
      <w:pPr>
        <w:jc w:val="center"/>
        <w:ind w:right="-26"/>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7"/>
          </w:cols>
          <w:pgMar w:left="1173" w:top="279" w:right="1199" w:bottom="1440" w:gutter="0" w:footer="0" w:header="0"/>
        </w:sectPr>
      </w:pPr>
    </w:p>
    <w:bookmarkStart w:id="160" w:name="page161"/>
    <w:bookmarkEnd w:id="160"/>
    <w:p>
      <w:pPr>
        <w:ind w:left="7"/>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27"/>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07"/>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ind w:right="-6"/>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74" w:lineRule="exact"/>
        <w:rPr>
          <w:sz w:val="20"/>
          <w:szCs w:val="20"/>
          <w:color w:val="auto"/>
        </w:rPr>
      </w:pPr>
    </w:p>
    <w:p>
      <w:pPr>
        <w:ind w:left="367" w:hanging="367"/>
        <w:spacing w:after="0"/>
        <w:tabs>
          <w:tab w:leader="none" w:pos="367" w:val="left"/>
        </w:tabs>
        <w:numPr>
          <w:ilvl w:val="0"/>
          <w:numId w:val="8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SUMMARY OF SIGNIFICANT ACCOUNTING POLICIES (Continued)</w:t>
      </w:r>
    </w:p>
    <w:p>
      <w:pPr>
        <w:spacing w:after="0" w:line="63" w:lineRule="exact"/>
        <w:rPr>
          <w:sz w:val="20"/>
          <w:szCs w:val="20"/>
          <w:color w:val="auto"/>
        </w:rPr>
      </w:pPr>
    </w:p>
    <w:p>
      <w:pPr>
        <w:jc w:val="both"/>
        <w:ind w:left="7" w:right="60"/>
        <w:spacing w:after="0" w:line="286" w:lineRule="auto"/>
        <w:rPr>
          <w:sz w:val="20"/>
          <w:szCs w:val="20"/>
          <w:color w:val="auto"/>
        </w:rPr>
      </w:pPr>
      <w:r>
        <w:rPr>
          <w:rFonts w:ascii="Arial" w:cs="Arial" w:eastAsia="Arial" w:hAnsi="Arial"/>
          <w:sz w:val="17"/>
          <w:szCs w:val="17"/>
          <w:color w:val="auto"/>
        </w:rPr>
        <w:t>changes in the economic environment and market conditions. In connection with the determination of the estimated losses on loans, management obtains independent appraisals for significant collateral. The bank subsidiary’s loans are generally secured by specific items of collateral including real property, crops, livestock, consumer assets, and other business assets.</w:t>
      </w:r>
    </w:p>
    <w:p>
      <w:pPr>
        <w:spacing w:after="0" w:line="57" w:lineRule="exact"/>
        <w:rPr>
          <w:sz w:val="20"/>
          <w:szCs w:val="20"/>
          <w:color w:val="auto"/>
        </w:rPr>
      </w:pPr>
    </w:p>
    <w:p>
      <w:pPr>
        <w:ind w:left="7" w:right="40"/>
        <w:spacing w:after="0" w:line="255" w:lineRule="auto"/>
        <w:rPr>
          <w:sz w:val="20"/>
          <w:szCs w:val="20"/>
          <w:color w:val="auto"/>
        </w:rPr>
      </w:pPr>
      <w:r>
        <w:rPr>
          <w:rFonts w:ascii="Arial" w:cs="Arial" w:eastAsia="Arial" w:hAnsi="Arial"/>
          <w:sz w:val="18"/>
          <w:szCs w:val="18"/>
          <w:color w:val="auto"/>
        </w:rPr>
        <w:t>While management uses available information to recognize losses on loans, further reductions in the carrying amounts of loans may be necessary based on various factors. In addition, regulatory agencies, as an integral part of their examination process, periodically review the estimated losses on loans. Such agencies may require the bank subsidiary to recognize additional losses based on their judgments about information available to them at the time of their examination. Because of these factors, it is reasonably possible that the estimated losses on loans may change materially in the near term. However, the amount of the change that is reasonably possible cannot be estimated.</w:t>
      </w:r>
    </w:p>
    <w:p>
      <w:pPr>
        <w:spacing w:after="0" w:line="85" w:lineRule="exact"/>
        <w:rPr>
          <w:sz w:val="20"/>
          <w:szCs w:val="20"/>
          <w:color w:val="auto"/>
        </w:rPr>
      </w:pPr>
    </w:p>
    <w:p>
      <w:pPr>
        <w:ind w:left="7"/>
        <w:spacing w:after="0" w:line="270" w:lineRule="auto"/>
        <w:rPr>
          <w:sz w:val="20"/>
          <w:szCs w:val="20"/>
          <w:color w:val="auto"/>
        </w:rPr>
      </w:pPr>
      <w:r>
        <w:rPr>
          <w:rFonts w:ascii="Arial" w:cs="Arial" w:eastAsia="Arial" w:hAnsi="Arial"/>
          <w:sz w:val="17"/>
          <w:szCs w:val="17"/>
          <w:color w:val="auto"/>
        </w:rPr>
        <w:t>A loan is considered impaired when, based on current information and events, it is probable that the Company will be unable to collect the scheduled payments of principal or interest when due according to the contractual terms of the loan agreement. All loans rated substandard or worse and greater than $250,000 are specifically reviewed to determine if they are impaired. Factors considered by management in determining whether a loan is impaired include payment status and the sources, amounts, and probabilities of estimated cash flow available to service debt in relation to amounts due according to contractual terms.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w:t>
      </w:r>
    </w:p>
    <w:p>
      <w:pPr>
        <w:spacing w:after="0" w:line="74" w:lineRule="exact"/>
        <w:rPr>
          <w:sz w:val="20"/>
          <w:szCs w:val="20"/>
          <w:color w:val="auto"/>
        </w:rPr>
      </w:pPr>
    </w:p>
    <w:p>
      <w:pPr>
        <w:ind w:left="7" w:right="20"/>
        <w:spacing w:after="0" w:line="257" w:lineRule="auto"/>
        <w:rPr>
          <w:sz w:val="20"/>
          <w:szCs w:val="20"/>
          <w:color w:val="auto"/>
        </w:rPr>
      </w:pPr>
      <w:r>
        <w:rPr>
          <w:rFonts w:ascii="Arial" w:cs="Arial" w:eastAsia="Arial" w:hAnsi="Arial"/>
          <w:sz w:val="18"/>
          <w:szCs w:val="18"/>
          <w:color w:val="auto"/>
        </w:rPr>
        <w:t>Loans that are determined to be impaired are then evaluated to determine estimated impairment, if any. GAAP allows impairment to be measured on a loan-by-loan basis by either the present value of expected future cash flows discounted at the loan’s effective interest rate, the loan’s obtainable market price, or the fair value of the collateral if the loan is collateral dependent. Loans that are not individually determined to be impaired or are not subject to the specific review of impaired status are subject to the general valuation allowance portion of the allowance for loan loss.</w:t>
      </w:r>
    </w:p>
    <w:p>
      <w:pPr>
        <w:spacing w:after="0" w:line="80" w:lineRule="exact"/>
        <w:rPr>
          <w:sz w:val="20"/>
          <w:szCs w:val="20"/>
          <w:color w:val="auto"/>
        </w:rPr>
      </w:pPr>
    </w:p>
    <w:p>
      <w:pPr>
        <w:ind w:left="7" w:right="20"/>
        <w:spacing w:after="0" w:line="291" w:lineRule="auto"/>
        <w:rPr>
          <w:sz w:val="20"/>
          <w:szCs w:val="20"/>
          <w:color w:val="auto"/>
        </w:rPr>
      </w:pPr>
      <w:r>
        <w:rPr>
          <w:rFonts w:ascii="Arial" w:cs="Arial" w:eastAsia="Arial" w:hAnsi="Arial"/>
          <w:sz w:val="16"/>
          <w:szCs w:val="16"/>
          <w:color w:val="auto"/>
        </w:rPr>
        <w:t>The Company may modify its loan agreement with a borrower. The modification will be considered a troubled debt restructuring if the following criteria are met: (1) the borrower is experiencing a financial difficulty and (2) the Company makes a concession that it would not otherwise make. Concessions may include debt forgiveness, interest rate change, or maturity extension. Each of these loans is impaired and is evaluated for impairment, with a specific reserve recorded as necessary based on probable losses related to collateral and cash flow. A loan will no longer be required to be reported as restructured in calendar years following the restructure if the interest rate at the time of restructure is greater than or equal to the rate the Company was willing to accept for a new extension of credit with similar risk and the loan is in compliance with its modified terms.</w:t>
      </w:r>
    </w:p>
    <w:p>
      <w:pPr>
        <w:spacing w:after="0" w:line="59" w:lineRule="exact"/>
        <w:rPr>
          <w:sz w:val="20"/>
          <w:szCs w:val="20"/>
          <w:color w:val="auto"/>
        </w:rPr>
      </w:pPr>
    </w:p>
    <w:p>
      <w:pPr>
        <w:ind w:left="7" w:right="20"/>
        <w:spacing w:after="0" w:line="259" w:lineRule="auto"/>
        <w:rPr>
          <w:sz w:val="20"/>
          <w:szCs w:val="20"/>
          <w:color w:val="auto"/>
        </w:rPr>
      </w:pPr>
      <w:r>
        <w:rPr>
          <w:rFonts w:ascii="Arial" w:cs="Arial" w:eastAsia="Arial" w:hAnsi="Arial"/>
          <w:sz w:val="18"/>
          <w:szCs w:val="18"/>
          <w:i w:val="1"/>
          <w:iCs w:val="1"/>
          <w:u w:val="single" w:color="auto"/>
          <w:color w:val="auto"/>
        </w:rPr>
        <w:t>Servicing Rights</w:t>
      </w:r>
      <w:r>
        <w:rPr>
          <w:rFonts w:ascii="Arial" w:cs="Arial" w:eastAsia="Arial" w:hAnsi="Arial"/>
          <w:sz w:val="18"/>
          <w:szCs w:val="18"/>
          <w:i w:val="1"/>
          <w:iCs w:val="1"/>
          <w:color w:val="auto"/>
        </w:rPr>
        <w:t xml:space="preserve"> </w:t>
      </w:r>
      <w:r>
        <w:rPr>
          <w:rFonts w:ascii="Arial" w:cs="Arial" w:eastAsia="Arial" w:hAnsi="Arial"/>
          <w:sz w:val="18"/>
          <w:szCs w:val="18"/>
          <w:color w:val="auto"/>
        </w:rPr>
        <w:t>– When mortgage loans are sold with servicing retained, servicing rights are initially recorded at fair value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statement effect recorded in net gain on sale of loans. Fair value is based on market prices for comparable mortgage servicing contracts, when available, or alternatively, is based on a valuation model that calculates present value of estimated future servicing income.</w:t>
      </w:r>
    </w:p>
    <w:p>
      <w:pPr>
        <w:spacing w:after="0" w:line="79" w:lineRule="exact"/>
        <w:rPr>
          <w:sz w:val="20"/>
          <w:szCs w:val="20"/>
          <w:color w:val="auto"/>
        </w:rPr>
      </w:pPr>
    </w:p>
    <w:p>
      <w:pPr>
        <w:ind w:left="7" w:right="60"/>
        <w:spacing w:after="0" w:line="257" w:lineRule="auto"/>
        <w:rPr>
          <w:sz w:val="20"/>
          <w:szCs w:val="20"/>
          <w:color w:val="auto"/>
        </w:rPr>
      </w:pPr>
      <w:r>
        <w:rPr>
          <w:rFonts w:ascii="Arial" w:cs="Arial" w:eastAsia="Arial" w:hAnsi="Arial"/>
          <w:sz w:val="18"/>
          <w:szCs w:val="18"/>
          <w:color w:val="auto"/>
        </w:rPr>
        <w:t>Under the fair value measurement method, the Company measures servicing rights at fair value at each reporting date and reports change in fair value of servicing assets in earnings in the period in which the changes occur, and are included with other noninterest income on the CFS. The fair values of servicing rights are subject to significant fluctuations as a result of changes in estimated and actual prepayment speeds and default rates and losses. Servicing rights were $1.3 million and $0 at December 31, 2018 and 2017, respectively.</w:t>
      </w:r>
    </w:p>
    <w:p>
      <w:pPr>
        <w:spacing w:after="0" w:line="188"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sectPr>
      </w:pPr>
    </w:p>
    <w:bookmarkStart w:id="161" w:name="page162"/>
    <w:bookmarkEnd w:id="161"/>
    <w:p>
      <w:pPr>
        <w:ind w:left="7"/>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27"/>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07"/>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ind w:right="-46"/>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74" w:lineRule="exact"/>
        <w:rPr>
          <w:sz w:val="20"/>
          <w:szCs w:val="20"/>
          <w:color w:val="auto"/>
        </w:rPr>
      </w:pPr>
    </w:p>
    <w:p>
      <w:pPr>
        <w:ind w:left="367" w:hanging="367"/>
        <w:spacing w:after="0"/>
        <w:tabs>
          <w:tab w:leader="none" w:pos="367" w:val="left"/>
        </w:tabs>
        <w:numPr>
          <w:ilvl w:val="0"/>
          <w:numId w:val="8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SUMMARY OF SIGNIFICANT ACCOUNTING POLICIES (Continued)</w:t>
      </w:r>
    </w:p>
    <w:p>
      <w:pPr>
        <w:spacing w:after="0" w:line="63" w:lineRule="exact"/>
        <w:rPr>
          <w:sz w:val="20"/>
          <w:szCs w:val="20"/>
          <w:color w:val="auto"/>
        </w:rPr>
      </w:pPr>
    </w:p>
    <w:p>
      <w:pPr>
        <w:ind w:left="7" w:right="20"/>
        <w:spacing w:after="0" w:line="286" w:lineRule="auto"/>
        <w:rPr>
          <w:sz w:val="20"/>
          <w:szCs w:val="20"/>
          <w:color w:val="auto"/>
        </w:rPr>
      </w:pPr>
      <w:r>
        <w:rPr>
          <w:rFonts w:ascii="Arial" w:cs="Arial" w:eastAsia="Arial" w:hAnsi="Arial"/>
          <w:sz w:val="17"/>
          <w:szCs w:val="17"/>
          <w:color w:val="auto"/>
        </w:rPr>
        <w:t>Servicing fee income, which is reported on the CFS as other noninterest income, is recorded for fees earned for servicing loans. The fees are based on a contractual percentage of the outstanding principal; or a fixed amount per loan as recorded when income is earned. Servicing income was immaterial for the years ended December 31, 2018 and 2017.</w:t>
      </w:r>
    </w:p>
    <w:p>
      <w:pPr>
        <w:spacing w:after="0" w:line="57" w:lineRule="exact"/>
        <w:rPr>
          <w:sz w:val="20"/>
          <w:szCs w:val="20"/>
          <w:color w:val="auto"/>
        </w:rPr>
      </w:pPr>
    </w:p>
    <w:p>
      <w:pPr>
        <w:ind w:left="7" w:right="40"/>
        <w:spacing w:after="0" w:line="279" w:lineRule="auto"/>
        <w:rPr>
          <w:sz w:val="20"/>
          <w:szCs w:val="20"/>
          <w:color w:val="auto"/>
        </w:rPr>
      </w:pPr>
      <w:r>
        <w:rPr>
          <w:rFonts w:ascii="Arial" w:cs="Arial" w:eastAsia="Arial" w:hAnsi="Arial"/>
          <w:sz w:val="17"/>
          <w:szCs w:val="17"/>
          <w:i w:val="1"/>
          <w:iCs w:val="1"/>
          <w:u w:val="single" w:color="auto"/>
          <w:color w:val="auto"/>
        </w:rPr>
        <w:t>Transfers of Financial Assets</w:t>
      </w:r>
      <w:r>
        <w:rPr>
          <w:rFonts w:ascii="Arial" w:cs="Arial" w:eastAsia="Arial" w:hAnsi="Arial"/>
          <w:sz w:val="17"/>
          <w:szCs w:val="17"/>
          <w:i w:val="1"/>
          <w:iCs w:val="1"/>
          <w:color w:val="auto"/>
        </w:rPr>
        <w:t xml:space="preserve"> </w:t>
      </w:r>
      <w:r>
        <w:rPr>
          <w:rFonts w:ascii="Arial" w:cs="Arial" w:eastAsia="Arial" w:hAnsi="Arial"/>
          <w:sz w:val="17"/>
          <w:szCs w:val="17"/>
          <w:color w:val="auto"/>
        </w:rPr>
        <w:t>– Transfers of financial assets are accounted for as sales, when control over the assets has been</w:t>
      </w:r>
      <w:r>
        <w:rPr>
          <w:rFonts w:ascii="Arial" w:cs="Arial" w:eastAsia="Arial" w:hAnsi="Arial"/>
          <w:sz w:val="17"/>
          <w:szCs w:val="17"/>
          <w:i w:val="1"/>
          <w:iCs w:val="1"/>
          <w:color w:val="auto"/>
        </w:rPr>
        <w:t xml:space="preserve"> </w:t>
      </w:r>
      <w:r>
        <w:rPr>
          <w:rFonts w:ascii="Arial" w:cs="Arial" w:eastAsia="Arial" w:hAnsi="Arial"/>
          <w:sz w:val="17"/>
          <w:szCs w:val="17"/>
          <w:color w:val="auto"/>
        </w:rPr>
        <w:t>relinquished. Control over transferred assets is deemed to be surrendered when the assets have been isolated from the Company, the transferee obtains the right to pledge or exchange the transferred assets, and the Company does not maintain effective control over the transferred assets through an agreement to repurchase them before maturity.</w:t>
      </w:r>
    </w:p>
    <w:p>
      <w:pPr>
        <w:spacing w:after="0" w:line="63" w:lineRule="exact"/>
        <w:rPr>
          <w:sz w:val="20"/>
          <w:szCs w:val="20"/>
          <w:color w:val="auto"/>
        </w:rPr>
      </w:pPr>
    </w:p>
    <w:p>
      <w:pPr>
        <w:ind w:left="7" w:right="20"/>
        <w:spacing w:after="0" w:line="257" w:lineRule="auto"/>
        <w:rPr>
          <w:sz w:val="20"/>
          <w:szCs w:val="20"/>
          <w:color w:val="auto"/>
        </w:rPr>
      </w:pPr>
      <w:r>
        <w:rPr>
          <w:rFonts w:ascii="Arial" w:cs="Arial" w:eastAsia="Arial" w:hAnsi="Arial"/>
          <w:sz w:val="18"/>
          <w:szCs w:val="18"/>
          <w:i w:val="1"/>
          <w:iCs w:val="1"/>
          <w:u w:val="single" w:color="auto"/>
          <w:color w:val="auto"/>
        </w:rPr>
        <w:t>Loans Held for Sale</w:t>
      </w:r>
      <w:r>
        <w:rPr>
          <w:rFonts w:ascii="Arial" w:cs="Arial" w:eastAsia="Arial" w:hAnsi="Arial"/>
          <w:sz w:val="18"/>
          <w:szCs w:val="18"/>
          <w:i w:val="1"/>
          <w:iCs w:val="1"/>
          <w:color w:val="auto"/>
        </w:rPr>
        <w:t xml:space="preserve"> </w:t>
      </w:r>
      <w:r>
        <w:rPr>
          <w:rFonts w:ascii="Arial" w:cs="Arial" w:eastAsia="Arial" w:hAnsi="Arial"/>
          <w:sz w:val="18"/>
          <w:szCs w:val="18"/>
          <w:color w:val="auto"/>
        </w:rPr>
        <w:t>– Loans held for sale are comprised of residential mortgage loans. Loans that are originated for best efforts</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are carried at the lower of aggregate cost or fair value as determined by aggregate outstanding commitments from investors or current investor yield requirements. All other loans held for sale are carried at fair value. Loans sold are typically subject to certain indemnification provisions with the investor; management does not believe these provisions will have any significant consequences.</w:t>
      </w:r>
    </w:p>
    <w:p>
      <w:pPr>
        <w:spacing w:after="0" w:line="80" w:lineRule="exact"/>
        <w:rPr>
          <w:sz w:val="20"/>
          <w:szCs w:val="20"/>
          <w:color w:val="auto"/>
        </w:rPr>
      </w:pPr>
    </w:p>
    <w:p>
      <w:pPr>
        <w:ind w:left="7" w:right="280"/>
        <w:spacing w:after="0" w:line="264" w:lineRule="auto"/>
        <w:rPr>
          <w:sz w:val="20"/>
          <w:szCs w:val="20"/>
          <w:color w:val="auto"/>
        </w:rPr>
      </w:pPr>
      <w:r>
        <w:rPr>
          <w:rFonts w:ascii="Arial" w:cs="Arial" w:eastAsia="Arial" w:hAnsi="Arial"/>
          <w:sz w:val="18"/>
          <w:szCs w:val="18"/>
          <w:i w:val="1"/>
          <w:iCs w:val="1"/>
          <w:u w:val="single" w:color="auto"/>
          <w:color w:val="auto"/>
        </w:rPr>
        <w:t>Premises and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 Land is carried at cost. Buildings and equipment are carried at cost, less accumulated depreciation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computed on the straight-line method. Buildings and improvements are depreciated on a useful life up to 40 years. Furniture and equipment are depreciated on a useful life between 3 to 10 years.</w:t>
      </w:r>
    </w:p>
    <w:p>
      <w:pPr>
        <w:spacing w:after="0" w:line="73" w:lineRule="exact"/>
        <w:rPr>
          <w:sz w:val="20"/>
          <w:szCs w:val="20"/>
          <w:color w:val="auto"/>
        </w:rPr>
      </w:pPr>
    </w:p>
    <w:p>
      <w:pPr>
        <w:ind w:left="7" w:right="460"/>
        <w:spacing w:after="0" w:line="257" w:lineRule="auto"/>
        <w:rPr>
          <w:sz w:val="20"/>
          <w:szCs w:val="20"/>
          <w:color w:val="auto"/>
        </w:rPr>
      </w:pPr>
      <w:r>
        <w:rPr>
          <w:rFonts w:ascii="Arial" w:cs="Arial" w:eastAsia="Arial" w:hAnsi="Arial"/>
          <w:sz w:val="18"/>
          <w:szCs w:val="18"/>
          <w:i w:val="1"/>
          <w:iCs w:val="1"/>
          <w:u w:val="single" w:color="auto"/>
          <w:color w:val="auto"/>
        </w:rPr>
        <w:t>Foreclosed Assets</w:t>
      </w:r>
      <w:r>
        <w:rPr>
          <w:rFonts w:ascii="Arial" w:cs="Arial" w:eastAsia="Arial" w:hAnsi="Arial"/>
          <w:sz w:val="18"/>
          <w:szCs w:val="18"/>
          <w:i w:val="1"/>
          <w:iCs w:val="1"/>
          <w:color w:val="auto"/>
        </w:rPr>
        <w:t xml:space="preserve"> </w:t>
      </w:r>
      <w:r>
        <w:rPr>
          <w:rFonts w:ascii="Arial" w:cs="Arial" w:eastAsia="Arial" w:hAnsi="Arial"/>
          <w:sz w:val="18"/>
          <w:szCs w:val="18"/>
          <w:color w:val="auto"/>
        </w:rPr>
        <w:t>– Assets acquired through, or in lieu of, loan foreclosure or repossession are held for sale and are initially</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at fair value less estimated selling costs when acquired, establishing a new cost basis. Subsequent to foreclosure, valuations are periodically performed by management and the assets are carried at the lower of the cost basis or fair value less estimated costs to sell. Revenue and expenses from operations and changes in the valuation allowance are included in other noninterest expense.</w:t>
      </w:r>
    </w:p>
    <w:p>
      <w:pPr>
        <w:spacing w:after="0" w:line="80" w:lineRule="exact"/>
        <w:rPr>
          <w:sz w:val="20"/>
          <w:szCs w:val="20"/>
          <w:color w:val="auto"/>
        </w:rPr>
      </w:pPr>
    </w:p>
    <w:p>
      <w:pPr>
        <w:ind w:left="7"/>
        <w:spacing w:after="0" w:line="264" w:lineRule="auto"/>
        <w:rPr>
          <w:sz w:val="20"/>
          <w:szCs w:val="20"/>
          <w:color w:val="auto"/>
        </w:rPr>
      </w:pPr>
      <w:r>
        <w:rPr>
          <w:rFonts w:ascii="Arial" w:cs="Arial" w:eastAsia="Arial" w:hAnsi="Arial"/>
          <w:sz w:val="18"/>
          <w:szCs w:val="18"/>
          <w:i w:val="1"/>
          <w:iCs w:val="1"/>
          <w:u w:val="single" w:color="auto"/>
          <w:color w:val="auto"/>
        </w:rPr>
        <w:t>Bank-Owned Life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 The bank subsidiary has purchased life insurance policies on various officers and also is the</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beneficiary. These policies are issued by third party insurance companies. Assets are carried at the cash surrender value and changes in the cash surrender values are recognized in other noninterest income in the accompanying CFS.</w:t>
      </w:r>
    </w:p>
    <w:p>
      <w:pPr>
        <w:spacing w:after="0" w:line="73" w:lineRule="exact"/>
        <w:rPr>
          <w:sz w:val="20"/>
          <w:szCs w:val="20"/>
          <w:color w:val="auto"/>
        </w:rPr>
      </w:pPr>
    </w:p>
    <w:p>
      <w:pPr>
        <w:ind w:left="7" w:right="260"/>
        <w:spacing w:after="0" w:line="259" w:lineRule="auto"/>
        <w:rPr>
          <w:sz w:val="20"/>
          <w:szCs w:val="20"/>
          <w:color w:val="auto"/>
        </w:rPr>
      </w:pPr>
      <w:r>
        <w:rPr>
          <w:rFonts w:ascii="Arial" w:cs="Arial" w:eastAsia="Arial" w:hAnsi="Arial"/>
          <w:sz w:val="18"/>
          <w:szCs w:val="18"/>
          <w:i w:val="1"/>
          <w:iCs w:val="1"/>
          <w:u w:val="single" w:color="auto"/>
          <w:color w:val="auto"/>
        </w:rPr>
        <w:t>Mortgage Banking Derivatives</w:t>
      </w:r>
      <w:r>
        <w:rPr>
          <w:rFonts w:ascii="Arial" w:cs="Arial" w:eastAsia="Arial" w:hAnsi="Arial"/>
          <w:sz w:val="18"/>
          <w:szCs w:val="18"/>
          <w:i w:val="1"/>
          <w:iCs w:val="1"/>
          <w:color w:val="auto"/>
        </w:rPr>
        <w:t xml:space="preserve"> </w:t>
      </w:r>
      <w:r>
        <w:rPr>
          <w:rFonts w:ascii="Arial" w:cs="Arial" w:eastAsia="Arial" w:hAnsi="Arial"/>
          <w:sz w:val="18"/>
          <w:szCs w:val="18"/>
          <w:color w:val="auto"/>
        </w:rPr>
        <w:t>– Commitments to fund mortgage loans (interest rate locks) to be sold into the secondary market,</w:t>
      </w:r>
      <w:r>
        <w:rPr>
          <w:rFonts w:ascii="Arial" w:cs="Arial" w:eastAsia="Arial" w:hAnsi="Arial"/>
          <w:sz w:val="18"/>
          <w:szCs w:val="18"/>
          <w:i w:val="1"/>
          <w:iCs w:val="1"/>
          <w:color w:val="auto"/>
        </w:rPr>
        <w:t xml:space="preserve"> </w:t>
      </w:r>
      <w:r>
        <w:rPr>
          <w:rFonts w:ascii="Arial" w:cs="Arial" w:eastAsia="Arial" w:hAnsi="Arial"/>
          <w:sz w:val="18"/>
          <w:szCs w:val="18"/>
          <w:color w:val="auto"/>
        </w:rPr>
        <w:t>forward commitments for the future delivery of these mortgage loans, and forward sales of mortgage-backed securities are accounted for as free standing derivatives. At the time of the interest rate lock, the Company determines whether the loan will be sold through a best efforts contract or a mandatory delivery contract.</w:t>
      </w:r>
    </w:p>
    <w:p>
      <w:pPr>
        <w:spacing w:after="0" w:line="79" w:lineRule="exact"/>
        <w:rPr>
          <w:sz w:val="20"/>
          <w:szCs w:val="20"/>
          <w:color w:val="auto"/>
        </w:rPr>
      </w:pPr>
    </w:p>
    <w:p>
      <w:pPr>
        <w:ind w:left="7" w:right="20"/>
        <w:spacing w:after="0" w:line="297" w:lineRule="auto"/>
        <w:rPr>
          <w:sz w:val="20"/>
          <w:szCs w:val="20"/>
          <w:color w:val="auto"/>
        </w:rPr>
      </w:pPr>
      <w:r>
        <w:rPr>
          <w:rFonts w:ascii="Arial" w:cs="Arial" w:eastAsia="Arial" w:hAnsi="Arial"/>
          <w:sz w:val="16"/>
          <w:szCs w:val="16"/>
          <w:color w:val="auto"/>
        </w:rPr>
        <w:t>In order to hedge the change in interest rates resulting from the commitments to fund the loans that will be sold through a best efforts contract, the Company enters into forward loans sales commitments for the future delivery of mortgage loans when interest rate locks are entered into. At inception, these interest rate locks and the related forward loan sales commitments, adjusted for the expected exercise of the commitment before the loan is funded, are recorded with a zero value. Subsequent changes in fair value are estimated based on changes in mortgage interest rates from the date the interest on the loan is locked.</w:t>
      </w:r>
    </w:p>
    <w:p>
      <w:pPr>
        <w:spacing w:after="0" w:line="50" w:lineRule="exact"/>
        <w:rPr>
          <w:sz w:val="20"/>
          <w:szCs w:val="20"/>
          <w:color w:val="auto"/>
        </w:rPr>
      </w:pPr>
    </w:p>
    <w:p>
      <w:pPr>
        <w:ind w:left="7" w:right="160"/>
        <w:spacing w:after="0" w:line="276" w:lineRule="auto"/>
        <w:rPr>
          <w:sz w:val="20"/>
          <w:szCs w:val="20"/>
          <w:color w:val="auto"/>
        </w:rPr>
      </w:pPr>
      <w:r>
        <w:rPr>
          <w:rFonts w:ascii="Arial" w:cs="Arial" w:eastAsia="Arial" w:hAnsi="Arial"/>
          <w:sz w:val="17"/>
          <w:szCs w:val="17"/>
          <w:color w:val="auto"/>
        </w:rPr>
        <w:t>In order to hedge the change in interest rates resulting from all other mortgage commitments to funds loans, the Company enters into forward sales of mortgage-backed securities contracts. At inception, these interest rate locks are recorded at fair value and are adjusted for the expected exercise of the commitment before the loan is funded. Subsequent changes in fair value are estimated based on changes in mortgage interest rates from the date the interest on the loan is locked. Changes in the fair values of these derivatives are included in net gain on sales of loans in the CFS.</w:t>
      </w:r>
    </w:p>
    <w:p>
      <w:pPr>
        <w:spacing w:after="0" w:line="173" w:lineRule="exact"/>
        <w:rPr>
          <w:sz w:val="20"/>
          <w:szCs w:val="20"/>
          <w:color w:val="auto"/>
        </w:rPr>
      </w:pPr>
    </w:p>
    <w:p>
      <w:pPr>
        <w:jc w:val="center"/>
        <w:ind w:right="-46"/>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7"/>
          </w:cols>
          <w:pgMar w:left="1173" w:top="279" w:right="1199" w:bottom="1440" w:gutter="0" w:footer="0" w:header="0"/>
        </w:sectPr>
      </w:pPr>
    </w:p>
    <w:bookmarkStart w:id="162" w:name="page163"/>
    <w:bookmarkEnd w:id="162"/>
    <w:p>
      <w:pPr>
        <w:ind w:left="7"/>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27"/>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07"/>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ind w:right="-6"/>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74" w:lineRule="exact"/>
        <w:rPr>
          <w:sz w:val="20"/>
          <w:szCs w:val="20"/>
          <w:color w:val="auto"/>
        </w:rPr>
      </w:pPr>
    </w:p>
    <w:p>
      <w:pPr>
        <w:ind w:left="367" w:hanging="367"/>
        <w:spacing w:after="0"/>
        <w:tabs>
          <w:tab w:leader="none" w:pos="367" w:val="left"/>
        </w:tabs>
        <w:numPr>
          <w:ilvl w:val="0"/>
          <w:numId w:val="8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SUMMARY OF SIGNIFICANT ACCOUNTING POLICIES (Continued)</w:t>
      </w:r>
    </w:p>
    <w:p>
      <w:pPr>
        <w:spacing w:after="0" w:line="63" w:lineRule="exact"/>
        <w:rPr>
          <w:sz w:val="20"/>
          <w:szCs w:val="20"/>
          <w:color w:val="auto"/>
        </w:rPr>
      </w:pPr>
    </w:p>
    <w:p>
      <w:pPr>
        <w:ind w:left="7" w:right="60"/>
        <w:spacing w:after="0" w:line="269" w:lineRule="auto"/>
        <w:rPr>
          <w:sz w:val="20"/>
          <w:szCs w:val="20"/>
          <w:color w:val="auto"/>
        </w:rPr>
      </w:pPr>
      <w:r>
        <w:rPr>
          <w:rFonts w:ascii="Arial" w:cs="Arial" w:eastAsia="Arial" w:hAnsi="Arial"/>
          <w:sz w:val="17"/>
          <w:szCs w:val="17"/>
          <w:i w:val="1"/>
          <w:iCs w:val="1"/>
          <w:u w:val="single" w:color="auto"/>
          <w:color w:val="auto"/>
        </w:rPr>
        <w:t>Derivatives</w:t>
      </w:r>
      <w:r>
        <w:rPr>
          <w:rFonts w:ascii="Arial" w:cs="Arial" w:eastAsia="Arial" w:hAnsi="Arial"/>
          <w:sz w:val="17"/>
          <w:szCs w:val="17"/>
          <w:i w:val="1"/>
          <w:iCs w:val="1"/>
          <w:color w:val="auto"/>
        </w:rPr>
        <w:t xml:space="preserve"> </w:t>
      </w:r>
      <w:r>
        <w:rPr>
          <w:rFonts w:ascii="Arial" w:cs="Arial" w:eastAsia="Arial" w:hAnsi="Arial"/>
          <w:sz w:val="17"/>
          <w:szCs w:val="17"/>
          <w:color w:val="auto"/>
        </w:rPr>
        <w:t>– At the inception of a derivative contract, the Company designates the derivative as one of three types based on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intentions and belief as to likely effectiveness as a hedge. These three types are (1) a hedge of the fair value of a recognized asset or liability or of an unrecognized firm commitment (“fair value hedge”), (2) a hedge of a forecasted transaction or the variability of cash flows to be received or paid related to a recognized asset or liability (“cash flow hedge”), or (3) an instrument with no hedging designation (“stand-alone derivative”). For a fair value hedge, the gain or loss on the derivative, as well as the offsetting loss or gain on the hedged item, are recognized in current earnings as fair values change. For a cash flow hedge, the gain or loss on the derivative is reported in other comprehensive income and is reclassified into earnings in the same periods during which the hedged transaction affects earnings. For both types of hedges, changes in the fair value of derivatives that are not highly effective in hedging the changes in fair value or expected cash flows of the hedged item are recognized immediately in current earnings. Changes in the fair value of derivatives that do not qualify for hedge accounting are reported currently in earnings, as noninterest income.</w:t>
      </w:r>
    </w:p>
    <w:p>
      <w:pPr>
        <w:spacing w:after="0" w:line="75" w:lineRule="exact"/>
        <w:rPr>
          <w:sz w:val="20"/>
          <w:szCs w:val="20"/>
          <w:color w:val="auto"/>
        </w:rPr>
      </w:pPr>
    </w:p>
    <w:p>
      <w:pPr>
        <w:ind w:left="7" w:right="200"/>
        <w:spacing w:after="0" w:line="312" w:lineRule="auto"/>
        <w:rPr>
          <w:sz w:val="20"/>
          <w:szCs w:val="20"/>
          <w:color w:val="auto"/>
        </w:rPr>
      </w:pPr>
      <w:r>
        <w:rPr>
          <w:rFonts w:ascii="Arial" w:cs="Arial" w:eastAsia="Arial" w:hAnsi="Arial"/>
          <w:sz w:val="16"/>
          <w:szCs w:val="16"/>
          <w:color w:val="auto"/>
        </w:rPr>
        <w:t>Net cash settlements on derivatives that qualify for hedge accounting are recorded in interest income or interest expense, based on the item being hedged. Net cash settlements on derivatives that do not qualify for hedge accounting are reported in noninterest income. Cash flows on hedges are classified in the cash flow statement the same as the cash flows of the items being hedged.</w:t>
      </w:r>
    </w:p>
    <w:p>
      <w:pPr>
        <w:spacing w:after="0" w:line="39" w:lineRule="exact"/>
        <w:rPr>
          <w:sz w:val="20"/>
          <w:szCs w:val="20"/>
          <w:color w:val="auto"/>
        </w:rPr>
      </w:pPr>
    </w:p>
    <w:p>
      <w:pPr>
        <w:ind w:left="7" w:right="20"/>
        <w:spacing w:after="0" w:line="290" w:lineRule="auto"/>
        <w:rPr>
          <w:sz w:val="20"/>
          <w:szCs w:val="20"/>
          <w:color w:val="auto"/>
        </w:rPr>
      </w:pPr>
      <w:r>
        <w:rPr>
          <w:rFonts w:ascii="Arial" w:cs="Arial" w:eastAsia="Arial" w:hAnsi="Arial"/>
          <w:sz w:val="16"/>
          <w:szCs w:val="16"/>
          <w:color w:val="auto"/>
        </w:rPr>
        <w:t>The Company formally documents the relationship between derivatives and hedged items, as well as the risk-management objective and the strategy for undertaking hedge transactions at the inception of the hedging relationship. This documentation includes linking fair value or cash flow hedges to specific assets and liabilities on the balance sheet or to specific firm commitments or forecasted transactions. The Company also formally assesses, both at the hedge’s inception and on an ongoing basis, whether the derivative instruments that are used are highly effective in offsetting changes in fair values or cash flows of the hedged items. The Company discontinues hedge accounting when it determines that the derivative is no longer effective in offsetting changes in the fair value or cash flows of the hedged item, the derivative is settled or terminates, a hedged forecasted transaction is no longer probable, a hedged firm commitment is no longer firm, or treatment of the derivative as a hedge is no longer appropriate or intended.</w:t>
      </w:r>
    </w:p>
    <w:p>
      <w:pPr>
        <w:spacing w:after="0" w:line="58" w:lineRule="exact"/>
        <w:rPr>
          <w:sz w:val="20"/>
          <w:szCs w:val="20"/>
          <w:color w:val="auto"/>
        </w:rPr>
      </w:pPr>
    </w:p>
    <w:p>
      <w:pPr>
        <w:ind w:left="7"/>
        <w:spacing w:after="0" w:line="297" w:lineRule="auto"/>
        <w:rPr>
          <w:sz w:val="20"/>
          <w:szCs w:val="20"/>
          <w:color w:val="auto"/>
        </w:rPr>
      </w:pPr>
      <w:r>
        <w:rPr>
          <w:rFonts w:ascii="Arial" w:cs="Arial" w:eastAsia="Arial" w:hAnsi="Arial"/>
          <w:sz w:val="16"/>
          <w:szCs w:val="16"/>
          <w:color w:val="auto"/>
        </w:rPr>
        <w:t>When hedge accounting is discontinued, subsequent changes in fair value of the derivative are recorded as noninterest income. When a fair value hedge is discontinued, the hedged asset or liability is no longer adjusted for changes in fair value and the existing basis adjustment is amortized or accreted over the remaining life of the asset or liability. When a cash flow hedge is discontinued but the hedged cash flows or forecasted transactions are still expected to occur, gains or losses that were accumulated in other comprehensive income are amortized into earnings over the same periods which the hedged transactions will affect earnings.</w:t>
      </w:r>
    </w:p>
    <w:p>
      <w:pPr>
        <w:spacing w:after="0" w:line="50" w:lineRule="exact"/>
        <w:rPr>
          <w:sz w:val="20"/>
          <w:szCs w:val="20"/>
          <w:color w:val="auto"/>
        </w:rPr>
      </w:pPr>
    </w:p>
    <w:p>
      <w:pPr>
        <w:ind w:left="7" w:right="300"/>
        <w:spacing w:after="0" w:line="277" w:lineRule="auto"/>
        <w:rPr>
          <w:sz w:val="20"/>
          <w:szCs w:val="20"/>
          <w:color w:val="auto"/>
        </w:rPr>
      </w:pPr>
      <w:r>
        <w:rPr>
          <w:rFonts w:ascii="Arial" w:cs="Arial" w:eastAsia="Arial" w:hAnsi="Arial"/>
          <w:sz w:val="18"/>
          <w:szCs w:val="18"/>
          <w:i w:val="1"/>
          <w:iCs w:val="1"/>
          <w:u w:val="single" w:color="auto"/>
          <w:color w:val="auto"/>
        </w:rPr>
        <w:t>Advertising</w:t>
      </w:r>
      <w:r>
        <w:rPr>
          <w:rFonts w:ascii="Arial" w:cs="Arial" w:eastAsia="Arial" w:hAnsi="Arial"/>
          <w:sz w:val="18"/>
          <w:szCs w:val="18"/>
          <w:i w:val="1"/>
          <w:iCs w:val="1"/>
          <w:color w:val="auto"/>
        </w:rPr>
        <w:t xml:space="preserve"> </w:t>
      </w:r>
      <w:r>
        <w:rPr>
          <w:rFonts w:ascii="Arial" w:cs="Arial" w:eastAsia="Arial" w:hAnsi="Arial"/>
          <w:sz w:val="18"/>
          <w:szCs w:val="18"/>
          <w:color w:val="auto"/>
        </w:rPr>
        <w:t>– Advertising costs are recognized when incurred. Advertising costs during 2018 and 2017 were approximately $2.5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and $2.6 million, respectively.</w:t>
      </w:r>
    </w:p>
    <w:p>
      <w:pPr>
        <w:spacing w:after="0" w:line="62" w:lineRule="exact"/>
        <w:rPr>
          <w:sz w:val="20"/>
          <w:szCs w:val="20"/>
          <w:color w:val="auto"/>
        </w:rPr>
      </w:pPr>
    </w:p>
    <w:p>
      <w:pPr>
        <w:ind w:left="7" w:right="20"/>
        <w:spacing w:after="0" w:line="257" w:lineRule="auto"/>
        <w:rPr>
          <w:sz w:val="20"/>
          <w:szCs w:val="20"/>
          <w:color w:val="auto"/>
        </w:rPr>
      </w:pPr>
      <w:r>
        <w:rPr>
          <w:rFonts w:ascii="Arial" w:cs="Arial" w:eastAsia="Arial" w:hAnsi="Arial"/>
          <w:sz w:val="18"/>
          <w:szCs w:val="18"/>
          <w:i w:val="1"/>
          <w:iCs w:val="1"/>
          <w:u w:val="single" w:color="auto"/>
          <w:color w:val="auto"/>
        </w:rPr>
        <w:t>Income Taxes</w:t>
      </w:r>
      <w:r>
        <w:rPr>
          <w:rFonts w:ascii="Arial" w:cs="Arial" w:eastAsia="Arial" w:hAnsi="Arial"/>
          <w:sz w:val="18"/>
          <w:szCs w:val="18"/>
          <w:i w:val="1"/>
          <w:iCs w:val="1"/>
          <w:color w:val="auto"/>
        </w:rPr>
        <w:t xml:space="preserve"> </w:t>
      </w:r>
      <w:r>
        <w:rPr>
          <w:rFonts w:ascii="Arial" w:cs="Arial" w:eastAsia="Arial" w:hAnsi="Arial"/>
          <w:sz w:val="18"/>
          <w:szCs w:val="18"/>
          <w:color w:val="auto"/>
        </w:rPr>
        <w:t>– Effective May 31, 2018, the Company revoked its election to be taxed as an S Corporation, and became taxed as a C</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under the provisions of Sections 301 to 385 of the Code, and established a deferred tax asset of $6.7 million to reflect the S corporation revocation. Thus, net income is now subject to U.S. federal income tax and the Company bears the liability for those taxes. Subsequent to the revocation, the Company distributed $25.0 million to shareholders from its accumulated adjustments account to take advantage of special tax treatment.</w:t>
      </w:r>
    </w:p>
    <w:p>
      <w:pPr>
        <w:spacing w:after="0" w:line="80" w:lineRule="exact"/>
        <w:rPr>
          <w:sz w:val="20"/>
          <w:szCs w:val="20"/>
          <w:color w:val="auto"/>
        </w:rPr>
      </w:pPr>
    </w:p>
    <w:p>
      <w:pPr>
        <w:ind w:left="7" w:right="180"/>
        <w:spacing w:after="0" w:line="264" w:lineRule="auto"/>
        <w:rPr>
          <w:sz w:val="20"/>
          <w:szCs w:val="20"/>
          <w:color w:val="auto"/>
        </w:rPr>
      </w:pPr>
      <w:r>
        <w:rPr>
          <w:rFonts w:ascii="Arial" w:cs="Arial" w:eastAsia="Arial" w:hAnsi="Arial"/>
          <w:sz w:val="18"/>
          <w:szCs w:val="18"/>
          <w:color w:val="auto"/>
        </w:rPr>
        <w:t>In 2006, the State of Texas modified the franchise tax structure. The change was effective for franchise tax reports filed on or after January 1, 2008. The modified tax is an income tax for financial reporting purposes under GAAP and the Company and its subsidiaries are subject to the modified tax as a combined group.</w:t>
      </w:r>
    </w:p>
    <w:p>
      <w:pPr>
        <w:spacing w:after="0" w:line="73" w:lineRule="exact"/>
        <w:rPr>
          <w:sz w:val="20"/>
          <w:szCs w:val="20"/>
          <w:color w:val="auto"/>
        </w:rPr>
      </w:pPr>
    </w:p>
    <w:p>
      <w:pPr>
        <w:ind w:left="7" w:right="120"/>
        <w:spacing w:after="0" w:line="264" w:lineRule="auto"/>
        <w:rPr>
          <w:sz w:val="20"/>
          <w:szCs w:val="20"/>
          <w:color w:val="auto"/>
        </w:rPr>
      </w:pPr>
      <w:r>
        <w:rPr>
          <w:rFonts w:ascii="Arial" w:cs="Arial" w:eastAsia="Arial" w:hAnsi="Arial"/>
          <w:sz w:val="18"/>
          <w:szCs w:val="18"/>
          <w:color w:val="auto"/>
        </w:rPr>
        <w:t>Income tax expense is the total of the current year income tax due or refundable and the change in deferred tax assets and liabilities (excluding deferred tax assets and liabilities related to components of other comprehensive income). Deferred tax assets and liabilities are the expected future tax amounts for the temporary differences</w:t>
      </w:r>
    </w:p>
    <w:p>
      <w:pPr>
        <w:spacing w:after="0" w:line="181"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63" w:name="page164"/>
    <w:bookmarkEnd w:id="163"/>
    <w:p>
      <w:pPr>
        <w:ind w:left="7"/>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27"/>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07"/>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ind w:right="-6"/>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74" w:lineRule="exact"/>
        <w:rPr>
          <w:sz w:val="20"/>
          <w:szCs w:val="20"/>
          <w:color w:val="auto"/>
        </w:rPr>
      </w:pPr>
    </w:p>
    <w:p>
      <w:pPr>
        <w:ind w:left="367" w:hanging="367"/>
        <w:spacing w:after="0"/>
        <w:tabs>
          <w:tab w:leader="none" w:pos="367" w:val="left"/>
        </w:tabs>
        <w:numPr>
          <w:ilvl w:val="0"/>
          <w:numId w:val="8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SUMMARY OF SIGNIFICANT ACCOUNTING POLICIES (Continued)</w:t>
      </w:r>
    </w:p>
    <w:p>
      <w:pPr>
        <w:spacing w:after="0" w:line="63" w:lineRule="exact"/>
        <w:rPr>
          <w:sz w:val="20"/>
          <w:szCs w:val="20"/>
          <w:color w:val="auto"/>
        </w:rPr>
      </w:pPr>
    </w:p>
    <w:p>
      <w:pPr>
        <w:ind w:left="7" w:right="20"/>
        <w:spacing w:after="0" w:line="257" w:lineRule="auto"/>
        <w:rPr>
          <w:sz w:val="20"/>
          <w:szCs w:val="20"/>
          <w:color w:val="auto"/>
        </w:rPr>
      </w:pPr>
      <w:r>
        <w:rPr>
          <w:rFonts w:ascii="Arial" w:cs="Arial" w:eastAsia="Arial" w:hAnsi="Arial"/>
          <w:sz w:val="18"/>
          <w:szCs w:val="18"/>
          <w:color w:val="auto"/>
        </w:rPr>
        <w:t>between carrying amounts and tax bases of assets and liabilities, computed using enacted tax rates. A valuation allowance, if needed, reduces deferred tax assets to the expected amount most likely to be realized. Realization of deferred tax assets is dependent upon the generation of a sufficient level of future taxable income. Although realization is not assured, management believes it is more likely than not that all of the deferred tax assets will be realized. Interest and/or penalties related to income taxes are reported as a component of income tax expense.</w:t>
      </w:r>
    </w:p>
    <w:p>
      <w:pPr>
        <w:spacing w:after="0" w:line="80" w:lineRule="exact"/>
        <w:rPr>
          <w:sz w:val="20"/>
          <w:szCs w:val="20"/>
          <w:color w:val="auto"/>
        </w:rPr>
      </w:pPr>
    </w:p>
    <w:p>
      <w:pPr>
        <w:ind w:left="7" w:right="300"/>
        <w:spacing w:after="0" w:line="259" w:lineRule="auto"/>
        <w:rPr>
          <w:sz w:val="20"/>
          <w:szCs w:val="20"/>
          <w:color w:val="auto"/>
        </w:rPr>
      </w:pPr>
      <w:r>
        <w:rPr>
          <w:rFonts w:ascii="Arial" w:cs="Arial" w:eastAsia="Arial" w:hAnsi="Arial"/>
          <w:sz w:val="18"/>
          <w:szCs w:val="18"/>
          <w:color w:val="auto"/>
        </w:rPr>
        <w:t>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w:t>
      </w:r>
    </w:p>
    <w:p>
      <w:pPr>
        <w:spacing w:after="0" w:line="79" w:lineRule="exact"/>
        <w:rPr>
          <w:sz w:val="20"/>
          <w:szCs w:val="20"/>
          <w:color w:val="auto"/>
        </w:rPr>
      </w:pPr>
    </w:p>
    <w:p>
      <w:pPr>
        <w:ind w:left="7" w:right="40"/>
        <w:spacing w:after="0" w:line="257" w:lineRule="auto"/>
        <w:rPr>
          <w:sz w:val="20"/>
          <w:szCs w:val="20"/>
          <w:color w:val="auto"/>
        </w:rPr>
      </w:pPr>
      <w:r>
        <w:rPr>
          <w:rFonts w:ascii="Arial" w:cs="Arial" w:eastAsia="Arial" w:hAnsi="Arial"/>
          <w:sz w:val="18"/>
          <w:szCs w:val="18"/>
          <w:i w:val="1"/>
          <w:iCs w:val="1"/>
          <w:u w:val="single" w:color="auto"/>
          <w:color w:val="auto"/>
        </w:rPr>
        <w:t>Earnings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 Basic earnings per share is net income divided by the weighted average number of common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during the period. ESOP shares are considered outstanding for this calculation unless unearned. Diluted earnings per share includes the dilutive effect of unearned ESOP shares. There are no other dilutive instruments at December 31, 2018 and 2017. Earnings and dividends per share are restated for all stock splits and dividends through the date of issuance of the financial statements.</w:t>
      </w:r>
    </w:p>
    <w:p>
      <w:pPr>
        <w:spacing w:after="0" w:line="80" w:lineRule="exact"/>
        <w:rPr>
          <w:sz w:val="20"/>
          <w:szCs w:val="20"/>
          <w:color w:val="auto"/>
        </w:rPr>
      </w:pPr>
    </w:p>
    <w:p>
      <w:pPr>
        <w:ind w:left="7" w:right="20"/>
        <w:spacing w:after="0" w:line="257" w:lineRule="auto"/>
        <w:rPr>
          <w:sz w:val="20"/>
          <w:szCs w:val="20"/>
          <w:color w:val="auto"/>
        </w:rPr>
      </w:pPr>
      <w:r>
        <w:rPr>
          <w:rFonts w:ascii="Arial" w:cs="Arial" w:eastAsia="Arial" w:hAnsi="Arial"/>
          <w:sz w:val="18"/>
          <w:szCs w:val="18"/>
          <w:i w:val="1"/>
          <w:iCs w:val="1"/>
          <w:u w:val="single" w:color="auto"/>
          <w:color w:val="auto"/>
        </w:rPr>
        <w:t>Unaudited Pro Forma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 As a result of the revocation of the S corporation election, the net income and earnings per</w:t>
      </w:r>
      <w:r>
        <w:rPr>
          <w:rFonts w:ascii="Arial" w:cs="Arial" w:eastAsia="Arial" w:hAnsi="Arial"/>
          <w:sz w:val="18"/>
          <w:szCs w:val="18"/>
          <w:i w:val="1"/>
          <w:iCs w:val="1"/>
          <w:color w:val="auto"/>
        </w:rPr>
        <w:t xml:space="preserve"> </w:t>
      </w:r>
      <w:r>
        <w:rPr>
          <w:rFonts w:ascii="Arial" w:cs="Arial" w:eastAsia="Arial" w:hAnsi="Arial"/>
          <w:sz w:val="18"/>
          <w:szCs w:val="18"/>
          <w:color w:val="auto"/>
        </w:rPr>
        <w:t>share data presented in the CFS are not comparable with historical financial statements or future years, which will be calculated by including a full year of federal income tax expense. As a result, the Company is disclosing pro forma net income, income tax expense, and earnings per share as if the conversion to a C corporation had occurred at the beginning of each period. The federal tax rate used is 21% and 35% for 2018 and 2017, respectively.</w:t>
      </w:r>
    </w:p>
    <w:p>
      <w:pPr>
        <w:spacing w:after="0" w:line="80" w:lineRule="exact"/>
        <w:rPr>
          <w:sz w:val="20"/>
          <w:szCs w:val="20"/>
          <w:color w:val="auto"/>
        </w:rPr>
      </w:pPr>
    </w:p>
    <w:p>
      <w:pPr>
        <w:ind w:left="7" w:right="360"/>
        <w:spacing w:after="0" w:line="286" w:lineRule="auto"/>
        <w:rPr>
          <w:sz w:val="20"/>
          <w:szCs w:val="20"/>
          <w:color w:val="auto"/>
        </w:rPr>
      </w:pPr>
      <w:r>
        <w:rPr>
          <w:rFonts w:ascii="Arial" w:cs="Arial" w:eastAsia="Arial" w:hAnsi="Arial"/>
          <w:sz w:val="17"/>
          <w:szCs w:val="17"/>
          <w:i w:val="1"/>
          <w:iCs w:val="1"/>
          <w:u w:val="single" w:color="auto"/>
          <w:color w:val="auto"/>
        </w:rPr>
        <w:t>Fair Values of Financial Instruments</w:t>
      </w:r>
      <w:r>
        <w:rPr>
          <w:rFonts w:ascii="Arial" w:cs="Arial" w:eastAsia="Arial" w:hAnsi="Arial"/>
          <w:sz w:val="17"/>
          <w:szCs w:val="17"/>
          <w:i w:val="1"/>
          <w:iCs w:val="1"/>
          <w:color w:val="auto"/>
        </w:rPr>
        <w:t xml:space="preserve"> </w:t>
      </w:r>
      <w:r>
        <w:rPr>
          <w:rFonts w:ascii="Arial" w:cs="Arial" w:eastAsia="Arial" w:hAnsi="Arial"/>
          <w:sz w:val="17"/>
          <w:szCs w:val="17"/>
          <w:color w:val="auto"/>
        </w:rPr>
        <w:t>– Fair values of financial instruments are estimated using relevant market information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other assumptions, as more fully described in Note 17. Fair value estimates involve uncertainties and matters of significant judgment. Changes in assumptions or in market conditions could significantly affect estimates.</w:t>
      </w:r>
    </w:p>
    <w:p>
      <w:pPr>
        <w:spacing w:after="0" w:line="57" w:lineRule="exact"/>
        <w:rPr>
          <w:sz w:val="20"/>
          <w:szCs w:val="20"/>
          <w:color w:val="auto"/>
        </w:rPr>
      </w:pPr>
    </w:p>
    <w:p>
      <w:pPr>
        <w:ind w:left="7" w:right="180"/>
        <w:spacing w:after="0" w:line="342" w:lineRule="auto"/>
        <w:rPr>
          <w:sz w:val="20"/>
          <w:szCs w:val="20"/>
          <w:color w:val="auto"/>
        </w:rPr>
      </w:pPr>
      <w:r>
        <w:rPr>
          <w:rFonts w:ascii="Arial" w:cs="Arial" w:eastAsia="Arial" w:hAnsi="Arial"/>
          <w:sz w:val="16"/>
          <w:szCs w:val="16"/>
          <w:i w:val="1"/>
          <w:iCs w:val="1"/>
          <w:u w:val="single" w:color="auto"/>
          <w:color w:val="auto"/>
        </w:rPr>
        <w:t>Trust Assets</w:t>
      </w:r>
      <w:r>
        <w:rPr>
          <w:rFonts w:ascii="Arial" w:cs="Arial" w:eastAsia="Arial" w:hAnsi="Arial"/>
          <w:sz w:val="16"/>
          <w:szCs w:val="16"/>
          <w:i w:val="1"/>
          <w:iCs w:val="1"/>
          <w:color w:val="auto"/>
        </w:rPr>
        <w:t xml:space="preserve"> </w:t>
      </w:r>
      <w:r>
        <w:rPr>
          <w:rFonts w:ascii="Arial" w:cs="Arial" w:eastAsia="Arial" w:hAnsi="Arial"/>
          <w:sz w:val="16"/>
          <w:szCs w:val="16"/>
          <w:color w:val="auto"/>
        </w:rPr>
        <w:t>– Custodial assets of City Bank’s trust department, other than cash on deposit at City Bank, if any, are not included in</w:t>
      </w:r>
      <w:r>
        <w:rPr>
          <w:rFonts w:ascii="Arial" w:cs="Arial" w:eastAsia="Arial" w:hAnsi="Arial"/>
          <w:sz w:val="16"/>
          <w:szCs w:val="16"/>
          <w:i w:val="1"/>
          <w:iCs w:val="1"/>
          <w:color w:val="auto"/>
        </w:rPr>
        <w:t xml:space="preserve"> </w:t>
      </w:r>
      <w:r>
        <w:rPr>
          <w:rFonts w:ascii="Arial" w:cs="Arial" w:eastAsia="Arial" w:hAnsi="Arial"/>
          <w:sz w:val="16"/>
          <w:szCs w:val="16"/>
          <w:color w:val="auto"/>
        </w:rPr>
        <w:t>the accompanying CFS because they are not assets of City Bank. Trust fees are recognized on the accrual basis.</w:t>
      </w:r>
    </w:p>
    <w:p>
      <w:pPr>
        <w:spacing w:after="0" w:line="16" w:lineRule="exact"/>
        <w:rPr>
          <w:sz w:val="20"/>
          <w:szCs w:val="20"/>
          <w:color w:val="auto"/>
        </w:rPr>
      </w:pPr>
    </w:p>
    <w:p>
      <w:pPr>
        <w:ind w:left="7" w:right="40"/>
        <w:spacing w:after="0" w:line="259" w:lineRule="auto"/>
        <w:rPr>
          <w:sz w:val="20"/>
          <w:szCs w:val="20"/>
          <w:color w:val="auto"/>
        </w:rPr>
      </w:pPr>
      <w:r>
        <w:rPr>
          <w:rFonts w:ascii="Arial" w:cs="Arial" w:eastAsia="Arial" w:hAnsi="Arial"/>
          <w:sz w:val="18"/>
          <w:szCs w:val="18"/>
          <w:i w:val="1"/>
          <w:iCs w:val="1"/>
          <w:u w:val="single" w:color="auto"/>
          <w:color w:val="auto"/>
        </w:rPr>
        <w:t>Segment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 The Company has two reportable segments: banking and insurance. The accounting policies of the segments</w:t>
      </w:r>
      <w:r>
        <w:rPr>
          <w:rFonts w:ascii="Arial" w:cs="Arial" w:eastAsia="Arial" w:hAnsi="Arial"/>
          <w:sz w:val="18"/>
          <w:szCs w:val="18"/>
          <w:i w:val="1"/>
          <w:iCs w:val="1"/>
          <w:color w:val="auto"/>
        </w:rPr>
        <w:t xml:space="preserve"> </w:t>
      </w:r>
      <w:r>
        <w:rPr>
          <w:rFonts w:ascii="Arial" w:cs="Arial" w:eastAsia="Arial" w:hAnsi="Arial"/>
          <w:sz w:val="18"/>
          <w:szCs w:val="18"/>
          <w:color w:val="auto"/>
        </w:rPr>
        <w:t>are the same as those described in the summary of significant accounting policies. The Company’s reportable segments are strategic business units that offer different products and services. Operations are managed and financial performance is evaluated on a Company-wide basis.</w:t>
      </w:r>
    </w:p>
    <w:p>
      <w:pPr>
        <w:spacing w:after="0" w:line="79" w:lineRule="exact"/>
        <w:rPr>
          <w:sz w:val="20"/>
          <w:szCs w:val="20"/>
          <w:color w:val="auto"/>
        </w:rPr>
      </w:pPr>
    </w:p>
    <w:p>
      <w:pPr>
        <w:ind w:left="7"/>
        <w:spacing w:after="0"/>
        <w:rPr>
          <w:sz w:val="20"/>
          <w:szCs w:val="20"/>
          <w:color w:val="auto"/>
        </w:rPr>
      </w:pPr>
      <w:r>
        <w:rPr>
          <w:rFonts w:ascii="Arial" w:cs="Arial" w:eastAsia="Arial" w:hAnsi="Arial"/>
          <w:sz w:val="18"/>
          <w:szCs w:val="18"/>
          <w:i w:val="1"/>
          <w:iCs w:val="1"/>
          <w:u w:val="single" w:color="auto"/>
          <w:color w:val="auto"/>
        </w:rPr>
        <w:t>Reclassification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 Certain amounts in the 2017 CFS have been reclassified to conform to the 2018 presentation.</w:t>
      </w:r>
    </w:p>
    <w:p>
      <w:pPr>
        <w:spacing w:after="0" w:line="117" w:lineRule="exact"/>
        <w:rPr>
          <w:sz w:val="20"/>
          <w:szCs w:val="20"/>
          <w:color w:val="auto"/>
        </w:rPr>
      </w:pPr>
    </w:p>
    <w:p>
      <w:pPr>
        <w:ind w:left="7"/>
        <w:spacing w:after="0" w:line="269" w:lineRule="auto"/>
        <w:rPr>
          <w:sz w:val="20"/>
          <w:szCs w:val="20"/>
          <w:color w:val="auto"/>
        </w:rPr>
      </w:pPr>
      <w:r>
        <w:rPr>
          <w:rFonts w:ascii="Arial" w:cs="Arial" w:eastAsia="Arial" w:hAnsi="Arial"/>
          <w:sz w:val="17"/>
          <w:szCs w:val="17"/>
          <w:i w:val="1"/>
          <w:iCs w:val="1"/>
          <w:u w:val="single" w:color="auto"/>
          <w:color w:val="auto"/>
        </w:rPr>
        <w:t>Change in Accounting Principle</w:t>
      </w:r>
      <w:r>
        <w:rPr>
          <w:rFonts w:ascii="Arial" w:cs="Arial" w:eastAsia="Arial" w:hAnsi="Arial"/>
          <w:sz w:val="17"/>
          <w:szCs w:val="17"/>
          <w:i w:val="1"/>
          <w:iCs w:val="1"/>
          <w:color w:val="auto"/>
        </w:rPr>
        <w:t xml:space="preserve"> </w:t>
      </w:r>
      <w:r>
        <w:rPr>
          <w:rFonts w:ascii="Arial" w:cs="Arial" w:eastAsia="Arial" w:hAnsi="Arial"/>
          <w:sz w:val="17"/>
          <w:szCs w:val="17"/>
          <w:color w:val="auto"/>
        </w:rPr>
        <w:t>– The Company’s ESOP includes a “put option” for shares of the Company’s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distributed from the ESOP. Shares are distributed from the ESOP primarily to separated vested participants and certain eligible participants who elect to diversify their account balances. Since the Company’s common stock is not currently traded on an established securities market, if the owners of distributed shares desire to sell their shares, the Company is required to purchase the shares at fair value during two put option periods following the distribution of the shares from the ESOP. The distributed shares subject to the put option and the shares held by the ESOP (ESOP shares) were previously recorded in permanent equity, as permitted by </w:t>
      </w:r>
      <w:r>
        <w:rPr>
          <w:rFonts w:ascii="Arial" w:cs="Arial" w:eastAsia="Arial" w:hAnsi="Arial"/>
          <w:sz w:val="17"/>
          <w:szCs w:val="17"/>
          <w:i w:val="1"/>
          <w:iCs w:val="1"/>
          <w:color w:val="auto"/>
        </w:rPr>
        <w:t>Accounting Standards Codification 718, Compensation — Stock Compensation</w:t>
      </w:r>
      <w:r>
        <w:rPr>
          <w:rFonts w:ascii="Arial" w:cs="Arial" w:eastAsia="Arial" w:hAnsi="Arial"/>
          <w:sz w:val="17"/>
          <w:szCs w:val="17"/>
          <w:color w:val="auto"/>
        </w:rPr>
        <w:t>. Due to the Company filing these financial statements with the Securities and Exchange Commission (SEC) and its obligation under the put option, the distributed shares and ESOP shares should be classified as temporary equity in the mezzanine section of the CFS per SEC requiremenets. This change in principle resulted in the December 31, 2017 permanent equity decreasing $57 million and temporary equity increasing by $57 million from amounts previously reported.</w:t>
      </w:r>
    </w:p>
    <w:p>
      <w:pPr>
        <w:spacing w:after="0" w:line="183"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sectPr>
      </w:pPr>
    </w:p>
    <w:bookmarkStart w:id="164" w:name="page165"/>
    <w:bookmarkEnd w:id="164"/>
    <w:p>
      <w:pPr>
        <w:ind w:left="7"/>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27"/>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07"/>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ind w:right="-6"/>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74" w:lineRule="exact"/>
        <w:rPr>
          <w:sz w:val="20"/>
          <w:szCs w:val="20"/>
          <w:color w:val="auto"/>
        </w:rPr>
      </w:pPr>
    </w:p>
    <w:p>
      <w:pPr>
        <w:ind w:left="367" w:hanging="367"/>
        <w:spacing w:after="0"/>
        <w:tabs>
          <w:tab w:leader="none" w:pos="367" w:val="left"/>
        </w:tabs>
        <w:numPr>
          <w:ilvl w:val="0"/>
          <w:numId w:val="8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SUMMARY OF SIGNIFICANT ACCOUNTING POLICIES (Continued)</w:t>
      </w:r>
    </w:p>
    <w:p>
      <w:pPr>
        <w:spacing w:after="0" w:line="63" w:lineRule="exact"/>
        <w:rPr>
          <w:sz w:val="20"/>
          <w:szCs w:val="20"/>
          <w:color w:val="auto"/>
        </w:rPr>
      </w:pPr>
    </w:p>
    <w:p>
      <w:pPr>
        <w:jc w:val="both"/>
        <w:ind w:left="7" w:right="320"/>
        <w:spacing w:after="0" w:line="264" w:lineRule="auto"/>
        <w:rPr>
          <w:sz w:val="20"/>
          <w:szCs w:val="20"/>
          <w:color w:val="auto"/>
        </w:rPr>
      </w:pPr>
      <w:r>
        <w:rPr>
          <w:rFonts w:ascii="Arial" w:cs="Arial" w:eastAsia="Arial" w:hAnsi="Arial"/>
          <w:sz w:val="18"/>
          <w:szCs w:val="18"/>
          <w:i w:val="1"/>
          <w:iCs w:val="1"/>
          <w:u w:val="single" w:color="auto"/>
          <w:color w:val="auto"/>
        </w:rPr>
        <w:t>Recent Accounting Pronouncements</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 xml:space="preserve"> Financial Accounting Standards Board (FASB) Accounting Standards Codification (ASC) </w:t>
      </w:r>
      <w:r>
        <w:rPr>
          <w:rFonts w:ascii="Arial" w:cs="Arial" w:eastAsia="Arial" w:hAnsi="Arial"/>
          <w:sz w:val="18"/>
          <w:szCs w:val="18"/>
          <w:color w:val="auto"/>
        </w:rPr>
        <w:t>constitutes U.S. GAAP for nongovernmental entities. Updates to ASC are prescribed in Accounting Standards Updates (ASU), which are not authoritative until incorporated into ASC.</w:t>
      </w:r>
    </w:p>
    <w:p>
      <w:pPr>
        <w:spacing w:after="0" w:line="73" w:lineRule="exact"/>
        <w:rPr>
          <w:sz w:val="20"/>
          <w:szCs w:val="20"/>
          <w:color w:val="auto"/>
        </w:rPr>
      </w:pPr>
    </w:p>
    <w:p>
      <w:pPr>
        <w:ind w:left="7" w:right="80"/>
        <w:spacing w:after="0" w:line="289" w:lineRule="auto"/>
        <w:rPr>
          <w:sz w:val="20"/>
          <w:szCs w:val="20"/>
          <w:color w:val="auto"/>
        </w:rPr>
      </w:pPr>
      <w:r>
        <w:rPr>
          <w:rFonts w:ascii="Arial" w:cs="Arial" w:eastAsia="Arial" w:hAnsi="Arial"/>
          <w:sz w:val="16"/>
          <w:szCs w:val="16"/>
          <w:i w:val="1"/>
          <w:iCs w:val="1"/>
          <w:color w:val="auto"/>
        </w:rPr>
        <w:t xml:space="preserve">ASU 2014-09 Revenue from Contracts with Customers (Topic 606) </w:t>
      </w:r>
      <w:r>
        <w:rPr>
          <w:rFonts w:ascii="Arial" w:cs="Arial" w:eastAsia="Arial" w:hAnsi="Arial"/>
          <w:sz w:val="16"/>
          <w:szCs w:val="16"/>
          <w:color w:val="auto"/>
        </w:rPr>
        <w:t>and</w:t>
      </w:r>
      <w:r>
        <w:rPr>
          <w:rFonts w:ascii="Arial" w:cs="Arial" w:eastAsia="Arial" w:hAnsi="Arial"/>
          <w:sz w:val="16"/>
          <w:szCs w:val="16"/>
          <w:i w:val="1"/>
          <w:iCs w:val="1"/>
          <w:color w:val="auto"/>
        </w:rPr>
        <w:t xml:space="preserve"> ASU 2015-14 - Revenue from Contracts with Customers (Topic 606) - Deferral of the Effective Date. </w:t>
      </w:r>
      <w:r>
        <w:rPr>
          <w:rFonts w:ascii="Arial" w:cs="Arial" w:eastAsia="Arial" w:hAnsi="Arial"/>
          <w:sz w:val="16"/>
          <w:szCs w:val="16"/>
          <w:color w:val="auto"/>
        </w:rPr>
        <w:t>The FASB amended existing guidance related to revenue from contracts with</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This amendment supersedes and replaces nearly all existing revenue recognition guidance, including industry-specific guidance, establishes a new control-based revenue recognition model, changes the basis for deciding when revenue is recognized over time or at a point in time, provides new and more detailed guidance on specific topics and expands and improves disclosures about revenue. In addition, this amendment specifies the accounting for some costs to obtain or fulfill a contract with a customer. These amendments are effective beginning January 1, 2019. The adoption of this standard is not expected to have a material impact on the Company’s operating results or financial condition as a majority of the Company’s revenue streams are not within the scope of Topic 606 and the recognition on those streams within the scope is not expected to significantly change.</w:t>
      </w:r>
    </w:p>
    <w:p>
      <w:pPr>
        <w:spacing w:after="0" w:line="59" w:lineRule="exact"/>
        <w:rPr>
          <w:sz w:val="20"/>
          <w:szCs w:val="20"/>
          <w:color w:val="auto"/>
        </w:rPr>
      </w:pPr>
    </w:p>
    <w:p>
      <w:pPr>
        <w:ind w:left="7"/>
        <w:spacing w:after="0" w:line="255" w:lineRule="auto"/>
        <w:rPr>
          <w:sz w:val="20"/>
          <w:szCs w:val="20"/>
          <w:color w:val="auto"/>
        </w:rPr>
      </w:pPr>
      <w:r>
        <w:rPr>
          <w:rFonts w:ascii="Arial" w:cs="Arial" w:eastAsia="Arial" w:hAnsi="Arial"/>
          <w:sz w:val="18"/>
          <w:szCs w:val="18"/>
          <w:i w:val="1"/>
          <w:iCs w:val="1"/>
          <w:color w:val="auto"/>
        </w:rPr>
        <w:t>ASU 2016-01 Financial Instruments - Overall (Subtopic 825-10): Recognition and Measurement of Financial Assets and Financial Liabilities</w:t>
      </w:r>
      <w:r>
        <w:rPr>
          <w:rFonts w:ascii="Arial" w:cs="Arial" w:eastAsia="Arial" w:hAnsi="Arial"/>
          <w:sz w:val="18"/>
          <w:szCs w:val="18"/>
          <w:color w:val="auto"/>
        </w:rPr>
        <w:t>. ASU 2016-01, among other things, eliminates the requirement to disclose the fair value of financial instruments at</w:t>
      </w:r>
      <w:r>
        <w:rPr>
          <w:rFonts w:ascii="Arial" w:cs="Arial" w:eastAsia="Arial" w:hAnsi="Arial"/>
          <w:sz w:val="18"/>
          <w:szCs w:val="18"/>
          <w:i w:val="1"/>
          <w:iCs w:val="1"/>
          <w:color w:val="auto"/>
        </w:rPr>
        <w:t xml:space="preserve"> </w:t>
      </w:r>
      <w:r>
        <w:rPr>
          <w:rFonts w:ascii="Arial" w:cs="Arial" w:eastAsia="Arial" w:hAnsi="Arial"/>
          <w:sz w:val="18"/>
          <w:szCs w:val="18"/>
          <w:color w:val="auto"/>
        </w:rPr>
        <w:t>amortized cost for entities that are not public business entities. We adopted the new standard effective January 1, 2018, the effective date of the guidance. Accordingly, the Company’s fair value of financial instruments at amortized cost are no longer disclosed in our consolidated financial statements. The adoption of this guidance did not have any other significant impact on our consolidated financial statements.</w:t>
      </w:r>
    </w:p>
    <w:p>
      <w:pPr>
        <w:spacing w:after="0" w:line="85" w:lineRule="exact"/>
        <w:rPr>
          <w:sz w:val="20"/>
          <w:szCs w:val="20"/>
          <w:color w:val="auto"/>
        </w:rPr>
      </w:pPr>
    </w:p>
    <w:p>
      <w:pPr>
        <w:ind w:left="7" w:right="100"/>
        <w:spacing w:after="0" w:line="259" w:lineRule="auto"/>
        <w:rPr>
          <w:sz w:val="20"/>
          <w:szCs w:val="20"/>
          <w:color w:val="auto"/>
        </w:rPr>
      </w:pPr>
      <w:r>
        <w:rPr>
          <w:rFonts w:ascii="Arial" w:cs="Arial" w:eastAsia="Arial" w:hAnsi="Arial"/>
          <w:sz w:val="18"/>
          <w:szCs w:val="18"/>
          <w:i w:val="1"/>
          <w:iCs w:val="1"/>
          <w:color w:val="auto"/>
        </w:rPr>
        <w:t xml:space="preserve">ASU 2016-02 Leases (Topic 842). </w:t>
      </w:r>
      <w:r>
        <w:rPr>
          <w:rFonts w:ascii="Arial" w:cs="Arial" w:eastAsia="Arial" w:hAnsi="Arial"/>
          <w:sz w:val="18"/>
          <w:szCs w:val="18"/>
          <w:color w:val="auto"/>
        </w:rPr>
        <w:t>The FASB amended existing guidance that requires that lessees recognize lease assets and lease</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on the balance sheet and disclose key information about leasing arrangements. The Company is in the process of determining the effect of the standard on its consolidated operating results and financial condition. These amendments are effective beginning January 1, 2020.</w:t>
      </w:r>
    </w:p>
    <w:p>
      <w:pPr>
        <w:spacing w:after="0" w:line="79" w:lineRule="exact"/>
        <w:rPr>
          <w:sz w:val="20"/>
          <w:szCs w:val="20"/>
          <w:color w:val="auto"/>
        </w:rPr>
      </w:pPr>
    </w:p>
    <w:p>
      <w:pPr>
        <w:ind w:left="7"/>
        <w:spacing w:after="0" w:line="291" w:lineRule="auto"/>
        <w:rPr>
          <w:sz w:val="20"/>
          <w:szCs w:val="20"/>
          <w:color w:val="auto"/>
        </w:rPr>
      </w:pPr>
      <w:r>
        <w:rPr>
          <w:rFonts w:ascii="Arial" w:cs="Arial" w:eastAsia="Arial" w:hAnsi="Arial"/>
          <w:sz w:val="16"/>
          <w:szCs w:val="16"/>
          <w:i w:val="1"/>
          <w:iCs w:val="1"/>
          <w:color w:val="auto"/>
        </w:rPr>
        <w:t xml:space="preserve">ASU 2016-13 Financial Instruments - Credit Losses (Topic 326). </w:t>
      </w:r>
      <w:r>
        <w:rPr>
          <w:rFonts w:ascii="Arial" w:cs="Arial" w:eastAsia="Arial" w:hAnsi="Arial"/>
          <w:sz w:val="16"/>
          <w:szCs w:val="16"/>
          <w:color w:val="auto"/>
        </w:rPr>
        <w:t>The FASB issued guidance to replace the incurred loss model with</w:t>
      </w:r>
      <w:r>
        <w:rPr>
          <w:rFonts w:ascii="Arial" w:cs="Arial" w:eastAsia="Arial" w:hAnsi="Arial"/>
          <w:sz w:val="16"/>
          <w:szCs w:val="16"/>
          <w:i w:val="1"/>
          <w:iCs w:val="1"/>
          <w:color w:val="auto"/>
        </w:rPr>
        <w:t xml:space="preserve"> </w:t>
      </w:r>
      <w:r>
        <w:rPr>
          <w:rFonts w:ascii="Arial" w:cs="Arial" w:eastAsia="Arial" w:hAnsi="Arial"/>
          <w:sz w:val="16"/>
          <w:szCs w:val="16"/>
          <w:color w:val="auto"/>
        </w:rPr>
        <w:t>an expected loss model, which is referred to as the current expected credit loss (CECL) model. The CECL model is applicable to the measurement of credit losses on financial assets measured at amortized cost, including loan receivables, held to maturity securities, and debt securities. ASU 2016-13 is effective for the Company for annual periods beginning after December 15, 2021, including interim periods within those fiscal years. Entities will apply the standard’s provisions as a cumulative-effect adjustment to retained earnings as of the beginning of the first reporting period in which the guidance is adopted. The Company is currently evaluating the impact adoption of ASU 2016-13 will have on its consolidated operating results and financial condition.</w:t>
      </w:r>
    </w:p>
    <w:p>
      <w:pPr>
        <w:spacing w:after="0" w:line="59" w:lineRule="exact"/>
        <w:rPr>
          <w:sz w:val="20"/>
          <w:szCs w:val="20"/>
          <w:color w:val="auto"/>
        </w:rPr>
      </w:pPr>
    </w:p>
    <w:p>
      <w:pPr>
        <w:jc w:val="both"/>
        <w:ind w:left="7" w:right="60"/>
        <w:spacing w:after="0" w:line="259" w:lineRule="auto"/>
        <w:rPr>
          <w:sz w:val="20"/>
          <w:szCs w:val="20"/>
          <w:color w:val="auto"/>
        </w:rPr>
      </w:pPr>
      <w:r>
        <w:rPr>
          <w:rFonts w:ascii="Arial" w:cs="Arial" w:eastAsia="Arial" w:hAnsi="Arial"/>
          <w:sz w:val="18"/>
          <w:szCs w:val="18"/>
          <w:i w:val="1"/>
          <w:iCs w:val="1"/>
          <w:color w:val="auto"/>
        </w:rPr>
        <w:t xml:space="preserve">ASU 2016-15 Statement of Cash Flows (Topic 320). </w:t>
      </w:r>
      <w:r>
        <w:rPr>
          <w:rFonts w:ascii="Arial" w:cs="Arial" w:eastAsia="Arial" w:hAnsi="Arial"/>
          <w:sz w:val="18"/>
          <w:szCs w:val="18"/>
          <w:color w:val="auto"/>
        </w:rPr>
        <w:t>The FASB issued guidance to address the diversity in how certain cash receipts</w:t>
      </w:r>
      <w:r>
        <w:rPr>
          <w:rFonts w:ascii="Arial" w:cs="Arial" w:eastAsia="Arial" w:hAnsi="Arial"/>
          <w:sz w:val="18"/>
          <w:szCs w:val="18"/>
          <w:i w:val="1"/>
          <w:iCs w:val="1"/>
          <w:color w:val="auto"/>
        </w:rPr>
        <w:t xml:space="preserve"> </w:t>
      </w:r>
      <w:r>
        <w:rPr>
          <w:rFonts w:ascii="Arial" w:cs="Arial" w:eastAsia="Arial" w:hAnsi="Arial"/>
          <w:sz w:val="18"/>
          <w:szCs w:val="18"/>
          <w:color w:val="auto"/>
        </w:rPr>
        <w:t>and cash payments are presented and classified in the statement of cash flows. The adoption of this standard is not expected to have a material impact on the Company’s operating results or financial condition. These amendments are effective beginning January 1, 2019.</w:t>
      </w:r>
    </w:p>
    <w:p>
      <w:pPr>
        <w:spacing w:after="0" w:line="79" w:lineRule="exact"/>
        <w:rPr>
          <w:sz w:val="20"/>
          <w:szCs w:val="20"/>
          <w:color w:val="auto"/>
        </w:rPr>
      </w:pPr>
    </w:p>
    <w:p>
      <w:pPr>
        <w:ind w:left="7"/>
        <w:spacing w:after="0" w:line="297" w:lineRule="auto"/>
        <w:rPr>
          <w:sz w:val="20"/>
          <w:szCs w:val="20"/>
          <w:color w:val="auto"/>
        </w:rPr>
      </w:pPr>
      <w:r>
        <w:rPr>
          <w:rFonts w:ascii="Arial" w:cs="Arial" w:eastAsia="Arial" w:hAnsi="Arial"/>
          <w:sz w:val="16"/>
          <w:szCs w:val="16"/>
          <w:i w:val="1"/>
          <w:iCs w:val="1"/>
          <w:color w:val="auto"/>
        </w:rPr>
        <w:t xml:space="preserve">ASU 2017-12 Derivatives and Hedging (Topic 815). </w:t>
      </w:r>
      <w:r>
        <w:rPr>
          <w:rFonts w:ascii="Arial" w:cs="Arial" w:eastAsia="Arial" w:hAnsi="Arial"/>
          <w:sz w:val="16"/>
          <w:szCs w:val="16"/>
          <w:color w:val="auto"/>
        </w:rPr>
        <w:t>The FASB issued guidance to improve the financial reporting of hedging</w:t>
      </w:r>
      <w:r>
        <w:rPr>
          <w:rFonts w:ascii="Arial" w:cs="Arial" w:eastAsia="Arial" w:hAnsi="Arial"/>
          <w:sz w:val="16"/>
          <w:szCs w:val="16"/>
          <w:i w:val="1"/>
          <w:iCs w:val="1"/>
          <w:color w:val="auto"/>
        </w:rPr>
        <w:t xml:space="preserve"> </w:t>
      </w:r>
      <w:r>
        <w:rPr>
          <w:rFonts w:ascii="Arial" w:cs="Arial" w:eastAsia="Arial" w:hAnsi="Arial"/>
          <w:sz w:val="16"/>
          <w:szCs w:val="16"/>
          <w:color w:val="auto"/>
        </w:rPr>
        <w:t>relationships to better portray economic results of an entity’s risk management activities in its financial statements. The amendments expand and refine hedge accounting for both nonfinancial and financial risk components and align the recognition and presentation of the effects of the hedging instrument and the hedged item in the financial statements. The Company early adopted this ASU in 2018 and it did not have a material impact on the Company’s operating results or financial condition.</w:t>
      </w:r>
    </w:p>
    <w:p>
      <w:pPr>
        <w:spacing w:after="0" w:line="158"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sectPr>
      </w:pPr>
    </w:p>
    <w:bookmarkStart w:id="165" w:name="page166"/>
    <w:bookmarkEnd w:id="165"/>
    <w:p>
      <w:pPr>
        <w:ind w:left="7"/>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27"/>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69" w:lineRule="exact"/>
        <w:rPr>
          <w:sz w:val="20"/>
          <w:szCs w:val="20"/>
          <w:color w:val="auto"/>
        </w:rPr>
      </w:pPr>
    </w:p>
    <w:p>
      <w:pPr>
        <w:ind w:left="2507"/>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ind w:right="-6"/>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88" w:lineRule="exact"/>
        <w:rPr>
          <w:sz w:val="20"/>
          <w:szCs w:val="20"/>
          <w:color w:val="auto"/>
        </w:rPr>
      </w:pPr>
    </w:p>
    <w:p>
      <w:pPr>
        <w:ind w:left="347" w:hanging="347"/>
        <w:spacing w:after="0"/>
        <w:tabs>
          <w:tab w:leader="none" w:pos="347" w:val="left"/>
        </w:tabs>
        <w:numPr>
          <w:ilvl w:val="0"/>
          <w:numId w:val="8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SECURITIES</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The amortized cost and fair value of securities, with gross unrealized gains and losses, at year-end follow:</w:t>
      </w:r>
    </w:p>
    <w:p>
      <w:pPr>
        <w:spacing w:after="0" w:line="82"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153"/>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b w:val="1"/>
                <w:bCs w:val="1"/>
                <w:color w:val="auto"/>
                <w:w w:val="93"/>
              </w:rPr>
              <w:t>Amortized</w:t>
            </w:r>
          </w:p>
        </w:tc>
        <w:tc>
          <w:tcPr>
            <w:tcW w:w="180" w:type="dxa"/>
            <w:vAlign w:val="bottom"/>
          </w:tcPr>
          <w:p>
            <w:pPr>
              <w:spacing w:after="0"/>
              <w:rPr>
                <w:sz w:val="14"/>
                <w:szCs w:val="14"/>
                <w:color w:val="auto"/>
              </w:rPr>
            </w:pPr>
          </w:p>
        </w:tc>
        <w:tc>
          <w:tcPr>
            <w:tcW w:w="86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4"/>
                <w:szCs w:val="14"/>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4"/>
                <w:szCs w:val="1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213"/>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153"/>
              <w:spacing w:after="0"/>
              <w:rPr>
                <w:sz w:val="20"/>
                <w:szCs w:val="20"/>
                <w:color w:val="auto"/>
              </w:rPr>
            </w:pPr>
            <w:r>
              <w:rPr>
                <w:rFonts w:ascii="Arial" w:cs="Arial" w:eastAsia="Arial" w:hAnsi="Arial"/>
                <w:sz w:val="14"/>
                <w:szCs w:val="14"/>
                <w:b w:val="1"/>
                <w:bCs w:val="1"/>
                <w:color w:val="auto"/>
              </w:rPr>
              <w:t>Gains</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6"/>
                <w:szCs w:val="16"/>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79"/>
              </w:rPr>
              <w:t>2018</w:t>
            </w:r>
          </w:p>
        </w:tc>
        <w:tc>
          <w:tcPr>
            <w:tcW w:w="508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Available for sale:</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U.S. government and agencies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84,765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84,707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gridSpan w:val="2"/>
          </w:tcPr>
          <w:p>
            <w:pPr>
              <w:ind w:left="160"/>
              <w:spacing w:after="0"/>
              <w:rPr>
                <w:sz w:val="20"/>
                <w:szCs w:val="20"/>
                <w:color w:val="auto"/>
              </w:rPr>
            </w:pPr>
            <w:r>
              <w:rPr>
                <w:rFonts w:ascii="Arial" w:cs="Arial" w:eastAsia="Arial" w:hAnsi="Arial"/>
                <w:sz w:val="18"/>
                <w:szCs w:val="18"/>
                <w:color w:val="auto"/>
              </w:rPr>
              <w:t>State and municipal</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32,205</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(375)</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32,310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Mortgage-backed securities</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184,267</w:t>
            </w:r>
          </w:p>
        </w:tc>
        <w:tc>
          <w:tcPr>
            <w:tcW w:w="1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(2,040)</w:t>
            </w: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182,256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20" w:type="dxa"/>
            <w:vAlign w:val="bottom"/>
            <w:gridSpan w:val="2"/>
          </w:tcPr>
          <w:p>
            <w:pPr>
              <w:ind w:left="160"/>
              <w:spacing w:after="0"/>
              <w:rPr>
                <w:sz w:val="20"/>
                <w:szCs w:val="20"/>
                <w:color w:val="auto"/>
              </w:rPr>
            </w:pPr>
            <w:r>
              <w:rPr>
                <w:rFonts w:ascii="Arial" w:cs="Arial" w:eastAsia="Arial" w:hAnsi="Arial"/>
                <w:sz w:val="18"/>
                <w:szCs w:val="18"/>
                <w:color w:val="auto"/>
              </w:rPr>
              <w:t>Asset-backed and other amortizing securities</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39,799</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(877)</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38,923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5080" w:type="dxa"/>
            <w:vAlign w:val="bottom"/>
            <w:tcBorders>
              <w:right w:val="single" w:sz="8" w:color="CCEEFF"/>
            </w:tcBorders>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341,036</w:t>
            </w:r>
          </w:p>
        </w:tc>
        <w:tc>
          <w:tcPr>
            <w:tcW w:w="180" w:type="dxa"/>
            <w:vAlign w:val="bottom"/>
            <w:tcBorders>
              <w:right w:val="single" w:sz="8" w:color="CCEEFF"/>
            </w:tcBorders>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80" w:type="dxa"/>
            <w:vAlign w:val="bottom"/>
            <w:tcBorders>
              <w:right w:val="single" w:sz="8" w:color="CCEEFF"/>
            </w:tcBorders>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(3,368)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338,196</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Held to maturity:</w:t>
            </w: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4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State and municipal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508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79"/>
              </w:rPr>
              <w:t>2017</w:t>
            </w:r>
          </w:p>
        </w:tc>
        <w:tc>
          <w:tcPr>
            <w:tcW w:w="508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Available for sale:</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U.S. government and agencies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gridSpan w:val="2"/>
          </w:tcPr>
          <w:p>
            <w:pPr>
              <w:ind w:left="160"/>
              <w:spacing w:after="0"/>
              <w:rPr>
                <w:sz w:val="20"/>
                <w:szCs w:val="20"/>
                <w:color w:val="auto"/>
              </w:rPr>
            </w:pPr>
            <w:r>
              <w:rPr>
                <w:rFonts w:ascii="Arial" w:cs="Arial" w:eastAsia="Arial" w:hAnsi="Arial"/>
                <w:sz w:val="18"/>
                <w:szCs w:val="18"/>
                <w:color w:val="auto"/>
              </w:rPr>
              <w:t>State and municipal</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74,597</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(368)</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74,984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Mortgage-backed securities</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66,373</w:t>
            </w:r>
          </w:p>
        </w:tc>
        <w:tc>
          <w:tcPr>
            <w:tcW w:w="1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(629)</w:t>
            </w: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65,783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20" w:type="dxa"/>
            <w:vAlign w:val="bottom"/>
            <w:gridSpan w:val="2"/>
          </w:tcPr>
          <w:p>
            <w:pPr>
              <w:ind w:left="160"/>
              <w:spacing w:after="0"/>
              <w:rPr>
                <w:sz w:val="20"/>
                <w:szCs w:val="20"/>
                <w:color w:val="auto"/>
              </w:rPr>
            </w:pPr>
            <w:r>
              <w:rPr>
                <w:rFonts w:ascii="Arial" w:cs="Arial" w:eastAsia="Arial" w:hAnsi="Arial"/>
                <w:sz w:val="18"/>
                <w:szCs w:val="18"/>
                <w:color w:val="auto"/>
              </w:rPr>
              <w:t>Asset-backed and other amortizing securities</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43,353</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(342)</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43,020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5080" w:type="dxa"/>
            <w:vAlign w:val="bottom"/>
            <w:tcBorders>
              <w:right w:val="single" w:sz="8" w:color="CCEEFF"/>
            </w:tcBorders>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194,625</w:t>
            </w:r>
          </w:p>
        </w:tc>
        <w:tc>
          <w:tcPr>
            <w:tcW w:w="180" w:type="dxa"/>
            <w:vAlign w:val="bottom"/>
            <w:tcBorders>
              <w:right w:val="single" w:sz="8" w:color="CCEEFF"/>
            </w:tcBorders>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80" w:type="dxa"/>
            <w:vAlign w:val="bottom"/>
            <w:tcBorders>
              <w:right w:val="single" w:sz="8" w:color="CCEEFF"/>
            </w:tcBorders>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194,179</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Held to maturity:</w:t>
            </w: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4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State and municipal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89,920</w:t>
            </w:r>
          </w:p>
        </w:tc>
        <w:tc>
          <w:tcPr>
            <w:tcW w:w="18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18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92,310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508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78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68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70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68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7" w:right="220"/>
        <w:spacing w:after="0" w:line="264" w:lineRule="auto"/>
        <w:rPr>
          <w:sz w:val="20"/>
          <w:szCs w:val="20"/>
          <w:color w:val="auto"/>
        </w:rPr>
      </w:pPr>
      <w:r>
        <w:rPr>
          <w:rFonts w:ascii="Arial" w:cs="Arial" w:eastAsia="Arial" w:hAnsi="Arial"/>
          <w:sz w:val="18"/>
          <w:szCs w:val="18"/>
          <w:color w:val="auto"/>
        </w:rPr>
        <w:t>The amortized cost and fair value of debt securities at December 31, 2018 are presented below by contractual maturity. Expected maturities may differ from contractual maturities because issuers may have the right to call or prepay obligations. Other securities are shown separately since they are not due at a single maturity date.</w:t>
      </w:r>
    </w:p>
    <w:p>
      <w:pPr>
        <w:spacing w:after="0" w:line="38"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54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434"/>
              <w:spacing w:after="0"/>
              <w:rPr>
                <w:sz w:val="20"/>
                <w:szCs w:val="20"/>
                <w:color w:val="auto"/>
              </w:rPr>
            </w:pPr>
            <w:r>
              <w:rPr>
                <w:rFonts w:ascii="Arial" w:cs="Arial" w:eastAsia="Arial" w:hAnsi="Arial"/>
                <w:sz w:val="14"/>
                <w:szCs w:val="14"/>
                <w:b w:val="1"/>
                <w:bCs w:val="1"/>
                <w:color w:val="auto"/>
              </w:rPr>
              <w:t>Available for Sale</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Held to Maturity</w:t>
            </w:r>
          </w:p>
        </w:tc>
        <w:tc>
          <w:tcPr>
            <w:tcW w:w="100" w:type="dxa"/>
            <w:vAlign w:val="bottom"/>
          </w:tcPr>
          <w:p>
            <w:pPr>
              <w:spacing w:after="0"/>
              <w:rPr>
                <w:sz w:val="16"/>
                <w:szCs w:val="16"/>
                <w:color w:val="auto"/>
              </w:rPr>
            </w:pPr>
          </w:p>
        </w:tc>
      </w:tr>
      <w:tr>
        <w:trPr>
          <w:trHeight w:val="160"/>
        </w:trPr>
        <w:tc>
          <w:tcPr>
            <w:tcW w:w="5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76"/>
              <w:spacing w:after="0" w:line="160" w:lineRule="exact"/>
              <w:rPr>
                <w:sz w:val="20"/>
                <w:szCs w:val="20"/>
                <w:color w:val="auto"/>
              </w:rPr>
            </w:pPr>
            <w:r>
              <w:rPr>
                <w:rFonts w:ascii="Arial" w:cs="Arial" w:eastAsia="Arial" w:hAnsi="Arial"/>
                <w:sz w:val="14"/>
                <w:szCs w:val="14"/>
                <w:b w:val="1"/>
                <w:bCs w:val="1"/>
                <w:color w:val="auto"/>
                <w:w w:val="99"/>
              </w:rPr>
              <w:t>Amortized</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ind w:right="274"/>
              <w:spacing w:after="0" w:line="160" w:lineRule="exact"/>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20"/>
              <w:spacing w:after="0" w:line="160" w:lineRule="exact"/>
              <w:rPr>
                <w:sz w:val="20"/>
                <w:szCs w:val="20"/>
                <w:color w:val="auto"/>
              </w:rPr>
            </w:pPr>
            <w:r>
              <w:rPr>
                <w:rFonts w:ascii="Arial" w:cs="Arial" w:eastAsia="Arial" w:hAnsi="Arial"/>
                <w:sz w:val="14"/>
                <w:szCs w:val="14"/>
                <w:b w:val="1"/>
                <w:bCs w:val="1"/>
                <w:color w:val="auto"/>
              </w:rPr>
              <w:t>Amortized</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ind w:left="60"/>
              <w:spacing w:after="0" w:line="160" w:lineRule="exact"/>
              <w:rPr>
                <w:sz w:val="20"/>
                <w:szCs w:val="20"/>
                <w:color w:val="auto"/>
              </w:rPr>
            </w:pPr>
            <w:r>
              <w:rPr>
                <w:rFonts w:ascii="Arial" w:cs="Arial" w:eastAsia="Arial" w:hAnsi="Arial"/>
                <w:sz w:val="14"/>
                <w:szCs w:val="14"/>
                <w:b w:val="1"/>
                <w:bCs w:val="1"/>
                <w:color w:val="auto"/>
              </w:rPr>
              <w:t>Fair</w:t>
            </w:r>
          </w:p>
        </w:tc>
      </w:tr>
      <w:tr>
        <w:trPr>
          <w:trHeight w:val="185"/>
        </w:trPr>
        <w:tc>
          <w:tcPr>
            <w:tcW w:w="54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r>
      <w:tr>
        <w:trPr>
          <w:trHeight w:val="237"/>
        </w:trPr>
        <w:tc>
          <w:tcPr>
            <w:tcW w:w="5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Within 1 year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77,918</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77,891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After 1 year through 5 years</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7,317</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7,287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56"/>
        </w:trPr>
        <w:tc>
          <w:tcPr>
            <w:tcW w:w="5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After 5 years through 10 years</w:t>
            </w:r>
          </w:p>
        </w:tc>
        <w:tc>
          <w:tcPr>
            <w:tcW w:w="140" w:type="dxa"/>
            <w:vAlign w:val="bottom"/>
            <w:shd w:val="clear" w:color="auto" w:fill="CCEEFF"/>
          </w:tcPr>
          <w:p>
            <w:pPr>
              <w:spacing w:after="0"/>
              <w:rPr>
                <w:sz w:val="22"/>
                <w:szCs w:val="22"/>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8,995</w:t>
            </w:r>
          </w:p>
        </w:tc>
        <w:tc>
          <w:tcPr>
            <w:tcW w:w="180" w:type="dxa"/>
            <w:vAlign w:val="bottom"/>
            <w:tcBorders>
              <w:right w:val="single" w:sz="8" w:color="CCEEFF"/>
            </w:tcBorders>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8,850</w:t>
            </w:r>
          </w:p>
        </w:tc>
        <w:tc>
          <w:tcPr>
            <w:tcW w:w="1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37"/>
        </w:trPr>
        <w:tc>
          <w:tcPr>
            <w:tcW w:w="5440" w:type="dxa"/>
            <w:vAlign w:val="bottom"/>
          </w:tcPr>
          <w:p>
            <w:pPr>
              <w:spacing w:after="0"/>
              <w:rPr>
                <w:sz w:val="20"/>
                <w:szCs w:val="20"/>
                <w:color w:val="auto"/>
              </w:rPr>
            </w:pPr>
            <w:r>
              <w:rPr>
                <w:rFonts w:ascii="Arial" w:cs="Arial" w:eastAsia="Arial" w:hAnsi="Arial"/>
                <w:sz w:val="18"/>
                <w:szCs w:val="18"/>
                <w:color w:val="auto"/>
              </w:rPr>
              <w:t>After 10 years</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22,740</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22,989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49"/>
        </w:trPr>
        <w:tc>
          <w:tcPr>
            <w:tcW w:w="5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21"/>
                <w:szCs w:val="21"/>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224,066</w:t>
            </w:r>
          </w:p>
        </w:tc>
        <w:tc>
          <w:tcPr>
            <w:tcW w:w="18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221,179</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0"/>
        </w:trPr>
        <w:tc>
          <w:tcPr>
            <w:tcW w:w="544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54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341,036</w:t>
            </w:r>
          </w:p>
        </w:tc>
        <w:tc>
          <w:tcPr>
            <w:tcW w:w="1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338,196</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1"/>
        </w:trPr>
        <w:tc>
          <w:tcPr>
            <w:tcW w:w="5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7" w:right="120"/>
        <w:spacing w:after="0" w:line="286" w:lineRule="auto"/>
        <w:rPr>
          <w:sz w:val="20"/>
          <w:szCs w:val="20"/>
          <w:color w:val="auto"/>
        </w:rPr>
      </w:pPr>
      <w:r>
        <w:rPr>
          <w:rFonts w:ascii="Arial" w:cs="Arial" w:eastAsia="Arial" w:hAnsi="Arial"/>
          <w:sz w:val="17"/>
          <w:szCs w:val="17"/>
          <w:color w:val="auto"/>
        </w:rPr>
        <w:t>During 2018, all 122 securities designated as HTM were transferred to AFS based on ASU 2017-12. These securities had a book value of $75.2 million and a fair value of $77.6 million as of January 1, 2018, the effective date of the transfer. The unrealized gain is recorded in the change in unrealized loss on securities in other comprehensive income.</w:t>
      </w:r>
    </w:p>
    <w:p>
      <w:pPr>
        <w:spacing w:after="0" w:line="57" w:lineRule="exact"/>
        <w:rPr>
          <w:sz w:val="20"/>
          <w:szCs w:val="20"/>
          <w:color w:val="auto"/>
        </w:rPr>
      </w:pPr>
    </w:p>
    <w:p>
      <w:pPr>
        <w:ind w:left="7" w:right="60"/>
        <w:spacing w:after="0" w:line="277" w:lineRule="auto"/>
        <w:rPr>
          <w:sz w:val="20"/>
          <w:szCs w:val="20"/>
          <w:color w:val="auto"/>
        </w:rPr>
      </w:pPr>
      <w:r>
        <w:rPr>
          <w:rFonts w:ascii="Arial" w:cs="Arial" w:eastAsia="Arial" w:hAnsi="Arial"/>
          <w:sz w:val="18"/>
          <w:szCs w:val="18"/>
          <w:color w:val="auto"/>
        </w:rPr>
        <w:t>At year-end 2018 and 2017, there were no holdings of securities of any one issuer, other than the U.S. Government and its agencies, in an amount greater than 10% of stockholders’ equity.</w:t>
      </w:r>
    </w:p>
    <w:p>
      <w:pPr>
        <w:spacing w:after="0" w:line="62" w:lineRule="exact"/>
        <w:rPr>
          <w:sz w:val="20"/>
          <w:szCs w:val="20"/>
          <w:color w:val="auto"/>
        </w:rPr>
      </w:pPr>
    </w:p>
    <w:p>
      <w:pPr>
        <w:ind w:left="7" w:right="160"/>
        <w:spacing w:after="0" w:line="277" w:lineRule="auto"/>
        <w:rPr>
          <w:sz w:val="20"/>
          <w:szCs w:val="20"/>
          <w:color w:val="auto"/>
        </w:rPr>
      </w:pPr>
      <w:r>
        <w:rPr>
          <w:rFonts w:ascii="Arial" w:cs="Arial" w:eastAsia="Arial" w:hAnsi="Arial"/>
          <w:sz w:val="18"/>
          <w:szCs w:val="18"/>
          <w:color w:val="auto"/>
        </w:rPr>
        <w:t>Securities with a carrying value of approximately $200.0 million and $188.1 million at December 31, 2018 and 2017, respectively, were pledged to collateralize public deposits and for other purposes as required or permitted by law.</w:t>
      </w:r>
    </w:p>
    <w:p>
      <w:pPr>
        <w:spacing w:after="0" w:line="170"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66" w:name="page167"/>
    <w:bookmarkEnd w:id="166"/>
    <w:p>
      <w:pPr>
        <w:ind w:left="7"/>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27"/>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07"/>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ind w:right="-6"/>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74" w:lineRule="exact"/>
        <w:rPr>
          <w:sz w:val="20"/>
          <w:szCs w:val="20"/>
          <w:color w:val="auto"/>
        </w:rPr>
      </w:pPr>
    </w:p>
    <w:p>
      <w:pPr>
        <w:ind w:left="367" w:hanging="367"/>
        <w:spacing w:after="0"/>
        <w:tabs>
          <w:tab w:leader="none" w:pos="367" w:val="left"/>
        </w:tabs>
        <w:numPr>
          <w:ilvl w:val="0"/>
          <w:numId w:val="8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SECURITIES (Continued)</w:t>
      </w:r>
    </w:p>
    <w:p>
      <w:pPr>
        <w:spacing w:after="0" w:line="63" w:lineRule="exact"/>
        <w:rPr>
          <w:sz w:val="20"/>
          <w:szCs w:val="20"/>
          <w:color w:val="auto"/>
        </w:rPr>
      </w:pPr>
    </w:p>
    <w:p>
      <w:pPr>
        <w:ind w:left="7"/>
        <w:spacing w:after="0"/>
        <w:rPr>
          <w:sz w:val="20"/>
          <w:szCs w:val="20"/>
          <w:color w:val="auto"/>
        </w:rPr>
      </w:pPr>
      <w:r>
        <w:rPr>
          <w:rFonts w:ascii="Arial" w:cs="Arial" w:eastAsia="Arial" w:hAnsi="Arial"/>
          <w:sz w:val="17"/>
          <w:szCs w:val="17"/>
          <w:color w:val="auto"/>
        </w:rPr>
        <w:t>The following table segregates securities with unrealized losses at year-end, by the period they have been in a loss position:</w:t>
      </w:r>
    </w:p>
    <w:p>
      <w:pPr>
        <w:spacing w:after="0" w:line="93"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right"/>
              <w:ind w:right="131"/>
              <w:spacing w:after="0"/>
              <w:rPr>
                <w:sz w:val="20"/>
                <w:szCs w:val="20"/>
                <w:color w:val="auto"/>
              </w:rPr>
            </w:pPr>
            <w:r>
              <w:rPr>
                <w:rFonts w:ascii="Arial" w:cs="Arial" w:eastAsia="Arial" w:hAnsi="Arial"/>
                <w:sz w:val="14"/>
                <w:szCs w:val="14"/>
                <w:b w:val="1"/>
                <w:bCs w:val="1"/>
                <w:color w:val="auto"/>
                <w:w w:val="96"/>
              </w:rPr>
              <w:t>Less than 12 Months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5"/>
          </w:tcPr>
          <w:p>
            <w:pPr>
              <w:jc w:val="right"/>
              <w:ind w:right="171"/>
              <w:spacing w:after="0"/>
              <w:rPr>
                <w:sz w:val="20"/>
                <w:szCs w:val="20"/>
                <w:color w:val="auto"/>
              </w:rPr>
            </w:pPr>
            <w:r>
              <w:rPr>
                <w:rFonts w:ascii="Arial" w:cs="Arial" w:eastAsia="Arial" w:hAnsi="Arial"/>
                <w:sz w:val="14"/>
                <w:szCs w:val="14"/>
                <w:b w:val="1"/>
                <w:bCs w:val="1"/>
                <w:color w:val="auto"/>
              </w:rPr>
              <w:t>12 Months or More</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Total</w:t>
            </w:r>
          </w:p>
        </w:tc>
        <w:tc>
          <w:tcPr>
            <w:tcW w:w="5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ind w:right="174"/>
              <w:spacing w:after="0" w:line="160"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3"/>
                <w:szCs w:val="13"/>
                <w:color w:val="auto"/>
              </w:rPr>
            </w:pPr>
          </w:p>
        </w:tc>
        <w:tc>
          <w:tcPr>
            <w:tcW w:w="780" w:type="dxa"/>
            <w:vAlign w:val="bottom"/>
            <w:gridSpan w:val="2"/>
          </w:tcPr>
          <w:p>
            <w:pPr>
              <w:jc w:val="right"/>
              <w:spacing w:after="0" w:line="160" w:lineRule="exact"/>
              <w:rPr>
                <w:sz w:val="20"/>
                <w:szCs w:val="20"/>
                <w:color w:val="auto"/>
              </w:rPr>
            </w:pPr>
            <w:r>
              <w:rPr>
                <w:rFonts w:ascii="Arial" w:cs="Arial" w:eastAsia="Arial" w:hAnsi="Arial"/>
                <w:sz w:val="14"/>
                <w:szCs w:val="14"/>
                <w:b w:val="1"/>
                <w:bCs w:val="1"/>
                <w:color w:val="auto"/>
                <w:w w:val="98"/>
              </w:rPr>
              <w:t>Unrealized</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ind w:right="154"/>
              <w:spacing w:after="0" w:line="160"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jc w:val="right"/>
              <w:spacing w:after="0" w:line="160" w:lineRule="exact"/>
              <w:rPr>
                <w:sz w:val="20"/>
                <w:szCs w:val="20"/>
                <w:color w:val="auto"/>
              </w:rPr>
            </w:pPr>
            <w:r>
              <w:rPr>
                <w:rFonts w:ascii="Arial" w:cs="Arial" w:eastAsia="Arial" w:hAnsi="Arial"/>
                <w:sz w:val="14"/>
                <w:szCs w:val="14"/>
                <w:b w:val="1"/>
                <w:bCs w:val="1"/>
                <w:color w:val="auto"/>
                <w:w w:val="98"/>
              </w:rPr>
              <w:t>Unrealized</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ind w:right="174"/>
              <w:spacing w:after="0" w:line="160"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gridSpan w:val="4"/>
          </w:tcPr>
          <w:p>
            <w:pPr>
              <w:jc w:val="center"/>
              <w:ind w:right="60"/>
              <w:spacing w:after="0" w:line="160"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134"/>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151"/>
              <w:spacing w:after="0"/>
              <w:rPr>
                <w:sz w:val="20"/>
                <w:szCs w:val="20"/>
                <w:color w:val="auto"/>
              </w:rPr>
            </w:pPr>
            <w:r>
              <w:rPr>
                <w:rFonts w:ascii="Arial" w:cs="Arial" w:eastAsia="Arial" w:hAnsi="Arial"/>
                <w:sz w:val="14"/>
                <w:szCs w:val="14"/>
                <w:b w:val="1"/>
                <w:bCs w:val="1"/>
                <w:color w:val="auto"/>
              </w:rPr>
              <w:t>Loss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ind w:right="114"/>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ind w:right="151"/>
              <w:spacing w:after="0"/>
              <w:rPr>
                <w:sz w:val="20"/>
                <w:szCs w:val="20"/>
                <w:color w:val="auto"/>
              </w:rPr>
            </w:pPr>
            <w:r>
              <w:rPr>
                <w:rFonts w:ascii="Arial" w:cs="Arial" w:eastAsia="Arial" w:hAnsi="Arial"/>
                <w:sz w:val="14"/>
                <w:szCs w:val="14"/>
                <w:b w:val="1"/>
                <w:bCs w:val="1"/>
                <w:color w:val="auto"/>
                <w:w w:val="97"/>
              </w:rPr>
              <w:t>Loss</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134"/>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79"/>
              </w:rPr>
              <w:t>2018</w:t>
            </w:r>
          </w:p>
        </w:tc>
        <w:tc>
          <w:tcPr>
            <w:tcW w:w="36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U.S. government and agencies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77,891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27</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2,048</w:t>
            </w:r>
          </w:p>
        </w:tc>
        <w:tc>
          <w:tcPr>
            <w:tcW w:w="36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79,939</w:t>
            </w:r>
          </w:p>
        </w:tc>
        <w:tc>
          <w:tcPr>
            <w:tcW w:w="36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and municipal</w:t>
            </w: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5,662</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9,781</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15,443</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108,962</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54,035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1,747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162,997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2,040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Asset-backed and other amortizing securities</w:t>
            </w:r>
          </w:p>
        </w:tc>
        <w:tc>
          <w:tcPr>
            <w:tcW w:w="1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37,351</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37,351</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192,515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412</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103,215</w:t>
            </w:r>
          </w:p>
        </w:tc>
        <w:tc>
          <w:tcPr>
            <w:tcW w:w="36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2,956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295,730</w:t>
            </w:r>
          </w:p>
        </w:tc>
        <w:tc>
          <w:tcPr>
            <w:tcW w:w="36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3,368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Held to maturity:</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980" w:type="dxa"/>
            <w:vAlign w:val="bottom"/>
            <w:gridSpan w:val="3"/>
          </w:tcPr>
          <w:p>
            <w:pPr>
              <w:spacing w:after="0"/>
              <w:rPr>
                <w:sz w:val="20"/>
                <w:szCs w:val="20"/>
                <w:color w:val="auto"/>
              </w:rPr>
            </w:pPr>
            <w:r>
              <w:rPr>
                <w:rFonts w:ascii="Arial" w:cs="Arial" w:eastAsia="Arial" w:hAnsi="Arial"/>
                <w:sz w:val="18"/>
                <w:szCs w:val="18"/>
                <w:color w:val="auto"/>
              </w:rPr>
              <w:t>State and municipal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6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960" w:type="dxa"/>
            <w:vAlign w:val="bottom"/>
            <w:gridSpan w:val="2"/>
          </w:tcPr>
          <w:p>
            <w:pPr>
              <w:spacing w:after="0" w:line="189" w:lineRule="exact"/>
              <w:rPr>
                <w:sz w:val="20"/>
                <w:szCs w:val="20"/>
                <w:color w:val="auto"/>
              </w:rPr>
            </w:pPr>
            <w:r>
              <w:rPr>
                <w:rFonts w:ascii="Arial" w:cs="Arial" w:eastAsia="Arial" w:hAnsi="Arial"/>
                <w:sz w:val="18"/>
                <w:szCs w:val="18"/>
                <w:color w:val="auto"/>
              </w:rPr>
              <w:t>2017</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auto"/>
            </w:tcBorders>
            <w:vMerge w:val="restart"/>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3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and agencies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w:t>
            </w:r>
          </w:p>
        </w:tc>
        <w:tc>
          <w:tcPr>
            <w:tcW w:w="36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State and municipal</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30,247</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6,389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36,636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368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47,477</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11,623</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59,100</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980" w:type="dxa"/>
            <w:vAlign w:val="bottom"/>
            <w:gridSpan w:val="3"/>
          </w:tcPr>
          <w:p>
            <w:pPr>
              <w:spacing w:after="0"/>
              <w:rPr>
                <w:sz w:val="20"/>
                <w:szCs w:val="20"/>
                <w:color w:val="auto"/>
              </w:rPr>
            </w:pPr>
            <w:r>
              <w:rPr>
                <w:rFonts w:ascii="Arial" w:cs="Arial" w:eastAsia="Arial" w:hAnsi="Arial"/>
                <w:sz w:val="18"/>
                <w:szCs w:val="18"/>
                <w:color w:val="auto"/>
              </w:rPr>
              <w:t>Asset-backed and other amortizing securities</w:t>
            </w: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41,197</w:t>
            </w: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41,197</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342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36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120,994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18,012</w:t>
            </w:r>
          </w:p>
        </w:tc>
        <w:tc>
          <w:tcPr>
            <w:tcW w:w="36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139,006</w:t>
            </w:r>
          </w:p>
        </w:tc>
        <w:tc>
          <w:tcPr>
            <w:tcW w:w="36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6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Held to maturity:</w:t>
            </w: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State and municipal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14,764</w:t>
            </w:r>
          </w:p>
        </w:tc>
        <w:tc>
          <w:tcPr>
            <w:tcW w:w="1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15,224</w:t>
            </w:r>
          </w:p>
        </w:tc>
        <w:tc>
          <w:tcPr>
            <w:tcW w:w="1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7" w:right="60"/>
        <w:spacing w:after="0" w:line="291" w:lineRule="auto"/>
        <w:rPr>
          <w:sz w:val="20"/>
          <w:szCs w:val="20"/>
          <w:color w:val="auto"/>
        </w:rPr>
      </w:pPr>
      <w:r>
        <w:rPr>
          <w:rFonts w:ascii="Arial" w:cs="Arial" w:eastAsia="Arial" w:hAnsi="Arial"/>
          <w:sz w:val="16"/>
          <w:szCs w:val="16"/>
          <w:color w:val="auto"/>
        </w:rPr>
        <w:t>There were 83 securities with an unrealized loss at December 31, 2018. Management does not believe that these losses are other than temporary as there is no intent to sell any of these securities before recovery and it is not probable that we will be required to sell any of these securities before recovery, and credit loss, if any, is not material. Any unrealized losses are largely due to increases in market interest rates over the yields available at the time the underlying securities were purchased. The fair value is expected to recover as the securities approach their maturity date or if market yields for such investments decline. Management does not believe any of the securities are impaired due to reasons of credit quality. Accordingly, as of December 31, 2018, management believes the impairments detailed in the table above are temporary and no impairment loss has been realized in the Company’s CFS.</w:t>
      </w:r>
    </w:p>
    <w:p>
      <w:pPr>
        <w:spacing w:after="0" w:line="59" w:lineRule="exact"/>
        <w:rPr>
          <w:sz w:val="20"/>
          <w:szCs w:val="20"/>
          <w:color w:val="auto"/>
        </w:rPr>
      </w:pPr>
    </w:p>
    <w:p>
      <w:pPr>
        <w:ind w:left="7"/>
        <w:spacing w:after="0"/>
        <w:tabs>
          <w:tab w:leader="none" w:pos="326" w:val="left"/>
        </w:tabs>
        <w:rPr>
          <w:sz w:val="20"/>
          <w:szCs w:val="20"/>
          <w:color w:val="auto"/>
        </w:rPr>
      </w:pPr>
      <w:r>
        <w:rPr>
          <w:rFonts w:ascii="Arial" w:cs="Arial" w:eastAsia="Arial" w:hAnsi="Arial"/>
          <w:sz w:val="18"/>
          <w:szCs w:val="18"/>
          <w:b w:val="1"/>
          <w:bCs w:val="1"/>
          <w:i w:val="1"/>
          <w:iCs w:val="1"/>
          <w:color w:val="auto"/>
        </w:rPr>
        <w:t>3.</w:t>
        <w:tab/>
        <w:t>LOANS</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Loans are summarized by category at year-end as follows:</w:t>
      </w:r>
    </w:p>
    <w:p>
      <w:pPr>
        <w:spacing w:after="0" w:line="82"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32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r>
      <w:tr>
        <w:trPr>
          <w:trHeight w:val="237"/>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40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538,037</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506,894</w:t>
            </w:r>
          </w:p>
        </w:tc>
        <w:tc>
          <w:tcPr>
            <w:tcW w:w="100" w:type="dxa"/>
            <w:vAlign w:val="bottom"/>
            <w:shd w:val="clear" w:color="auto" w:fill="CCEEFF"/>
          </w:tcPr>
          <w:p>
            <w:pPr>
              <w:spacing w:after="0"/>
              <w:rPr>
                <w:sz w:val="20"/>
                <w:szCs w:val="20"/>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Commercial - specialized</w:t>
            </w:r>
          </w:p>
        </w:tc>
        <w:tc>
          <w:tcPr>
            <w:tcW w:w="3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305,022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329,119</w:t>
            </w:r>
          </w:p>
        </w:tc>
        <w:tc>
          <w:tcPr>
            <w:tcW w:w="100" w:type="dxa"/>
            <w:vAlign w:val="bottom"/>
          </w:tcPr>
          <w:p>
            <w:pPr>
              <w:spacing w:after="0"/>
              <w:rPr>
                <w:sz w:val="20"/>
                <w:szCs w:val="20"/>
                <w:color w:val="auto"/>
              </w:rPr>
            </w:pPr>
          </w:p>
        </w:tc>
      </w:tr>
      <w:tr>
        <w:trPr>
          <w:trHeight w:val="25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37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427,728</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410,057</w:t>
            </w:r>
          </w:p>
        </w:tc>
        <w:tc>
          <w:tcPr>
            <w:tcW w:w="100" w:type="dxa"/>
            <w:vAlign w:val="bottom"/>
            <w:shd w:val="clear" w:color="auto" w:fill="CCEEFF"/>
          </w:tcPr>
          <w:p>
            <w:pPr>
              <w:spacing w:after="0"/>
              <w:rPr>
                <w:sz w:val="22"/>
                <w:szCs w:val="22"/>
                <w:color w:val="auto"/>
              </w:rPr>
            </w:pPr>
          </w:p>
        </w:tc>
      </w:tr>
      <w:tr>
        <w:trPr>
          <w:trHeight w:val="237"/>
        </w:trPr>
        <w:tc>
          <w:tcPr>
            <w:tcW w:w="3240" w:type="dxa"/>
            <w:vAlign w:val="bottom"/>
          </w:tcPr>
          <w:p>
            <w:pPr>
              <w:spacing w:after="0"/>
              <w:rPr>
                <w:sz w:val="20"/>
                <w:szCs w:val="20"/>
                <w:color w:val="auto"/>
              </w:rPr>
            </w:pPr>
            <w:r>
              <w:rPr>
                <w:rFonts w:ascii="Arial" w:cs="Arial" w:eastAsia="Arial" w:hAnsi="Arial"/>
                <w:sz w:val="18"/>
                <w:szCs w:val="18"/>
                <w:color w:val="auto"/>
              </w:rPr>
              <w:t>Consumer:</w:t>
            </w:r>
          </w:p>
        </w:tc>
        <w:tc>
          <w:tcPr>
            <w:tcW w:w="3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37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346,153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313,350</w:t>
            </w:r>
          </w:p>
        </w:tc>
        <w:tc>
          <w:tcPr>
            <w:tcW w:w="100" w:type="dxa"/>
            <w:vAlign w:val="bottom"/>
            <w:shd w:val="clear" w:color="auto" w:fill="CCEEFF"/>
          </w:tcPr>
          <w:p>
            <w:pPr>
              <w:spacing w:after="0"/>
              <w:rPr>
                <w:sz w:val="21"/>
                <w:szCs w:val="21"/>
                <w:color w:val="auto"/>
              </w:rPr>
            </w:pPr>
          </w:p>
        </w:tc>
      </w:tr>
      <w:tr>
        <w:trPr>
          <w:trHeight w:val="237"/>
        </w:trPr>
        <w:tc>
          <w:tcPr>
            <w:tcW w:w="3240" w:type="dxa"/>
            <w:vAlign w:val="bottom"/>
          </w:tcPr>
          <w:p>
            <w:pPr>
              <w:ind w:left="180"/>
              <w:spacing w:after="0"/>
              <w:rPr>
                <w:sz w:val="20"/>
                <w:szCs w:val="20"/>
                <w:color w:val="auto"/>
              </w:rPr>
            </w:pPr>
            <w:r>
              <w:rPr>
                <w:rFonts w:ascii="Arial" w:cs="Arial" w:eastAsia="Arial" w:hAnsi="Arial"/>
                <w:sz w:val="18"/>
                <w:szCs w:val="18"/>
                <w:color w:val="auto"/>
              </w:rPr>
              <w:t>Auto loans</w:t>
            </w:r>
          </w:p>
        </w:tc>
        <w:tc>
          <w:tcPr>
            <w:tcW w:w="3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191,647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146,622</w:t>
            </w:r>
          </w:p>
        </w:tc>
        <w:tc>
          <w:tcPr>
            <w:tcW w:w="100" w:type="dxa"/>
            <w:vAlign w:val="bottom"/>
          </w:tcPr>
          <w:p>
            <w:pPr>
              <w:spacing w:after="0"/>
              <w:rPr>
                <w:sz w:val="20"/>
                <w:szCs w:val="20"/>
                <w:color w:val="auto"/>
              </w:rPr>
            </w:pPr>
          </w:p>
        </w:tc>
      </w:tr>
      <w:tr>
        <w:trPr>
          <w:trHeight w:val="249"/>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37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70,209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66,191</w:t>
            </w:r>
          </w:p>
        </w:tc>
        <w:tc>
          <w:tcPr>
            <w:tcW w:w="100" w:type="dxa"/>
            <w:vAlign w:val="bottom"/>
            <w:shd w:val="clear" w:color="auto" w:fill="CCEEFF"/>
          </w:tcPr>
          <w:p>
            <w:pPr>
              <w:spacing w:after="0"/>
              <w:rPr>
                <w:sz w:val="21"/>
                <w:szCs w:val="21"/>
                <w:color w:val="auto"/>
              </w:rPr>
            </w:pPr>
          </w:p>
        </w:tc>
      </w:tr>
      <w:tr>
        <w:trPr>
          <w:trHeight w:val="243"/>
        </w:trPr>
        <w:tc>
          <w:tcPr>
            <w:tcW w:w="3240" w:type="dxa"/>
            <w:vAlign w:val="bottom"/>
          </w:tcPr>
          <w:p>
            <w:pPr>
              <w:spacing w:after="0"/>
              <w:rPr>
                <w:sz w:val="20"/>
                <w:szCs w:val="20"/>
                <w:color w:val="auto"/>
              </w:rPr>
            </w:pPr>
            <w:r>
              <w:rPr>
                <w:rFonts w:ascii="Arial" w:cs="Arial" w:eastAsia="Arial" w:hAnsi="Arial"/>
                <w:sz w:val="18"/>
                <w:szCs w:val="18"/>
                <w:color w:val="auto"/>
              </w:rPr>
              <w:t>Construction</w:t>
            </w:r>
          </w:p>
        </w:tc>
        <w:tc>
          <w:tcPr>
            <w:tcW w:w="37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78,401</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65,922</w:t>
            </w:r>
          </w:p>
        </w:tc>
        <w:tc>
          <w:tcPr>
            <w:tcW w:w="100" w:type="dxa"/>
            <w:vAlign w:val="bottom"/>
          </w:tcPr>
          <w:p>
            <w:pPr>
              <w:spacing w:after="0"/>
              <w:rPr>
                <w:sz w:val="21"/>
                <w:szCs w:val="21"/>
                <w:color w:val="auto"/>
              </w:rPr>
            </w:pPr>
          </w:p>
        </w:tc>
      </w:tr>
      <w:tr>
        <w:trPr>
          <w:trHeight w:val="237"/>
        </w:trPr>
        <w:tc>
          <w:tcPr>
            <w:tcW w:w="3240" w:type="dxa"/>
            <w:vAlign w:val="bottom"/>
            <w:shd w:val="clear" w:color="auto" w:fill="CCEEFF"/>
          </w:tcPr>
          <w:p>
            <w:pPr>
              <w:spacing w:after="0"/>
              <w:rPr>
                <w:sz w:val="20"/>
                <w:szCs w:val="20"/>
                <w:color w:val="auto"/>
              </w:rPr>
            </w:pPr>
          </w:p>
        </w:tc>
        <w:tc>
          <w:tcPr>
            <w:tcW w:w="37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1,957,197</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1,838,155</w:t>
            </w:r>
          </w:p>
        </w:tc>
        <w:tc>
          <w:tcPr>
            <w:tcW w:w="100" w:type="dxa"/>
            <w:vAlign w:val="bottom"/>
            <w:shd w:val="clear" w:color="auto" w:fill="CCEEFF"/>
          </w:tcPr>
          <w:p>
            <w:pPr>
              <w:spacing w:after="0"/>
              <w:rPr>
                <w:sz w:val="20"/>
                <w:szCs w:val="20"/>
                <w:color w:val="auto"/>
              </w:rPr>
            </w:pPr>
          </w:p>
        </w:tc>
      </w:tr>
      <w:tr>
        <w:trPr>
          <w:trHeight w:val="243"/>
        </w:trPr>
        <w:tc>
          <w:tcPr>
            <w:tcW w:w="3240" w:type="dxa"/>
            <w:vAlign w:val="bottom"/>
          </w:tcPr>
          <w:p>
            <w:pPr>
              <w:spacing w:after="0"/>
              <w:rPr>
                <w:sz w:val="20"/>
                <w:szCs w:val="20"/>
                <w:color w:val="auto"/>
              </w:rPr>
            </w:pPr>
            <w:r>
              <w:rPr>
                <w:rFonts w:ascii="Arial" w:cs="Arial" w:eastAsia="Arial" w:hAnsi="Arial"/>
                <w:sz w:val="18"/>
                <w:szCs w:val="18"/>
                <w:color w:val="auto"/>
              </w:rPr>
              <w:t>Allowance for loan losses</w:t>
            </w:r>
          </w:p>
        </w:tc>
        <w:tc>
          <w:tcPr>
            <w:tcW w:w="3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(23,126)</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(21,461)</w:t>
            </w:r>
          </w:p>
        </w:tc>
      </w:tr>
      <w:tr>
        <w:trPr>
          <w:trHeight w:val="271"/>
        </w:trPr>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Loans, net</w:t>
            </w:r>
          </w:p>
        </w:tc>
        <w:tc>
          <w:tcPr>
            <w:tcW w:w="37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1,934,071</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1,816,694</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432"/>
        </w:trPr>
        <w:tc>
          <w:tcPr>
            <w:tcW w:w="3240" w:type="dxa"/>
            <w:vAlign w:val="bottom"/>
          </w:tcPr>
          <w:p>
            <w:pPr>
              <w:spacing w:after="0"/>
              <w:rPr>
                <w:sz w:val="24"/>
                <w:szCs w:val="24"/>
                <w:color w:val="auto"/>
              </w:rPr>
            </w:pPr>
          </w:p>
        </w:tc>
        <w:tc>
          <w:tcPr>
            <w:tcW w:w="4000" w:type="dxa"/>
            <w:vAlign w:val="bottom"/>
            <w:gridSpan w:val="2"/>
          </w:tcPr>
          <w:p>
            <w:pPr>
              <w:jc w:val="right"/>
              <w:ind w:right="2210"/>
              <w:spacing w:after="0"/>
              <w:rPr>
                <w:sz w:val="20"/>
                <w:szCs w:val="20"/>
                <w:color w:val="auto"/>
              </w:rPr>
            </w:pPr>
            <w:r>
              <w:rPr>
                <w:rFonts w:ascii="Arial" w:cs="Arial" w:eastAsia="Arial" w:hAnsi="Arial"/>
                <w:sz w:val="18"/>
                <w:szCs w:val="18"/>
                <w:color w:val="auto"/>
              </w:rPr>
              <w:t>F-16</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32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
        </w:trPr>
        <w:tc>
          <w:tcPr>
            <w:tcW w:w="3240" w:type="dxa"/>
            <w:vAlign w:val="bottom"/>
            <w:shd w:val="clear" w:color="auto" w:fill="000000"/>
          </w:tcPr>
          <w:p>
            <w:pPr>
              <w:spacing w:after="0"/>
              <w:rPr>
                <w:sz w:val="5"/>
                <w:szCs w:val="5"/>
                <w:color w:val="auto"/>
              </w:rPr>
            </w:pPr>
          </w:p>
        </w:tc>
        <w:tc>
          <w:tcPr>
            <w:tcW w:w="372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8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1900" w:h="16838" w:orient="portrait"/>
          <w:cols w:equalWidth="0" w:num="1">
            <w:col w:w="9567"/>
          </w:cols>
          <w:pgMar w:left="1173" w:top="279" w:right="1159" w:bottom="1440" w:gutter="0" w:footer="0" w:header="0"/>
        </w:sectPr>
      </w:pPr>
    </w:p>
    <w:bookmarkStart w:id="167" w:name="page168"/>
    <w:bookmarkEnd w:id="167"/>
    <w:p>
      <w:pPr>
        <w:ind w:left="7"/>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27"/>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07"/>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ind w:right="-26"/>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74" w:lineRule="exact"/>
        <w:rPr>
          <w:sz w:val="20"/>
          <w:szCs w:val="20"/>
          <w:color w:val="auto"/>
        </w:rPr>
      </w:pPr>
    </w:p>
    <w:p>
      <w:pPr>
        <w:ind w:left="367" w:hanging="367"/>
        <w:spacing w:after="0"/>
        <w:tabs>
          <w:tab w:leader="none" w:pos="367" w:val="left"/>
        </w:tabs>
        <w:numPr>
          <w:ilvl w:val="0"/>
          <w:numId w:val="8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LOANS (Continued)</w:t>
      </w:r>
    </w:p>
    <w:p>
      <w:pPr>
        <w:spacing w:after="0" w:line="63" w:lineRule="exact"/>
        <w:rPr>
          <w:sz w:val="20"/>
          <w:szCs w:val="20"/>
          <w:color w:val="auto"/>
        </w:rPr>
      </w:pPr>
    </w:p>
    <w:p>
      <w:pPr>
        <w:ind w:left="7" w:right="140"/>
        <w:spacing w:after="0" w:line="297" w:lineRule="auto"/>
        <w:rPr>
          <w:sz w:val="20"/>
          <w:szCs w:val="20"/>
          <w:color w:val="auto"/>
        </w:rPr>
      </w:pPr>
      <w:r>
        <w:rPr>
          <w:rFonts w:ascii="Arial" w:cs="Arial" w:eastAsia="Arial" w:hAnsi="Arial"/>
          <w:sz w:val="16"/>
          <w:szCs w:val="16"/>
          <w:color w:val="auto"/>
        </w:rPr>
        <w:t>The Company has certain lending policies, underwriting standards, and procedures in place that are designed to maximize loan income with an acceptable level of risk. Management reviews and approves these policies, underwriting standards, and procedures on a regular basis and makes changes as appropriate. Management receives frequent reports related to loan originations, quality, concentrations, delinquencies, non-performing, and potential problem loans. Diversification in the loan portfolio is a means of managing risk associated with fluctuations in economic conditions, both by type of loan and geography.</w:t>
      </w:r>
    </w:p>
    <w:p>
      <w:pPr>
        <w:spacing w:after="0" w:line="50" w:lineRule="exact"/>
        <w:rPr>
          <w:sz w:val="20"/>
          <w:szCs w:val="20"/>
          <w:color w:val="auto"/>
        </w:rPr>
      </w:pPr>
    </w:p>
    <w:p>
      <w:pPr>
        <w:ind w:left="7"/>
        <w:spacing w:after="0" w:line="268" w:lineRule="auto"/>
        <w:rPr>
          <w:sz w:val="20"/>
          <w:szCs w:val="20"/>
          <w:color w:val="auto"/>
        </w:rPr>
      </w:pPr>
      <w:r>
        <w:rPr>
          <w:rFonts w:ascii="Arial" w:cs="Arial" w:eastAsia="Arial" w:hAnsi="Arial"/>
          <w:sz w:val="17"/>
          <w:szCs w:val="17"/>
          <w:i w:val="1"/>
          <w:iCs w:val="1"/>
          <w:u w:val="single" w:color="auto"/>
          <w:color w:val="auto"/>
        </w:rPr>
        <w:t>Commercial – General and Specialized</w:t>
      </w:r>
      <w:r>
        <w:rPr>
          <w:rFonts w:ascii="Arial" w:cs="Arial" w:eastAsia="Arial" w:hAnsi="Arial"/>
          <w:sz w:val="17"/>
          <w:szCs w:val="17"/>
          <w:i w:val="1"/>
          <w:iCs w:val="1"/>
          <w:color w:val="auto"/>
        </w:rPr>
        <w:t xml:space="preserve"> </w:t>
      </w:r>
      <w:r>
        <w:rPr>
          <w:rFonts w:ascii="Arial" w:cs="Arial" w:eastAsia="Arial" w:hAnsi="Arial"/>
          <w:sz w:val="17"/>
          <w:szCs w:val="17"/>
          <w:color w:val="auto"/>
        </w:rPr>
        <w:t>– Commercial loans are underwritten after evaluating and understanding the borrower’s</w:t>
      </w:r>
      <w:r>
        <w:rPr>
          <w:rFonts w:ascii="Arial" w:cs="Arial" w:eastAsia="Arial" w:hAnsi="Arial"/>
          <w:sz w:val="17"/>
          <w:szCs w:val="17"/>
          <w:i w:val="1"/>
          <w:iCs w:val="1"/>
          <w:color w:val="auto"/>
        </w:rPr>
        <w:t xml:space="preserve"> </w:t>
      </w:r>
      <w:r>
        <w:rPr>
          <w:rFonts w:ascii="Arial" w:cs="Arial" w:eastAsia="Arial" w:hAnsi="Arial"/>
          <w:sz w:val="17"/>
          <w:szCs w:val="17"/>
          <w:color w:val="auto"/>
        </w:rPr>
        <w:t>ability to operate profitably. Underwriting standards have been designed to determine whether the borrower possesses sound business ethics and practices, evaluate current and projected cash flows to determine the ability of the borrower to repay their obligations, as agreed and ensure appropriate collateral is obtained to secure the loan. Commercial loans are primarily made based on the identified cash flows of the borrower and, secondarily, on the underlying collateral provided by the borrower. Most commercial loans are secured by the assets being financed or other business assets, such as real estate, accounts receivable, or inventory, and include personal guarantees. Owner-occupied real estate is included in commercial loans, as the repayment of these loans is generally dependent on the operations of the commercial borrower’s business rather than on income-producing properties or the sale of the properties. Commercial loans are grouped into two distinct sub-categories: specialized and general. Commercial related segments that are considered “specialized” include agricultural production and real estate loans, energy loans, and finance, investment, and insurance loans. Commercial related segments that contain a broader diversity of borrowers, sub-industries, or serviced industries are grouped into the “general category.” These include goods, services, restaurant &amp; retail, construction, and other industries.</w:t>
      </w:r>
    </w:p>
    <w:p>
      <w:pPr>
        <w:spacing w:after="0" w:line="80" w:lineRule="exact"/>
        <w:rPr>
          <w:sz w:val="20"/>
          <w:szCs w:val="20"/>
          <w:color w:val="auto"/>
        </w:rPr>
      </w:pPr>
    </w:p>
    <w:p>
      <w:pPr>
        <w:ind w:left="7" w:right="20"/>
        <w:spacing w:after="0" w:line="255" w:lineRule="auto"/>
        <w:rPr>
          <w:sz w:val="20"/>
          <w:szCs w:val="20"/>
          <w:color w:val="auto"/>
        </w:rPr>
      </w:pPr>
      <w:r>
        <w:rPr>
          <w:rFonts w:ascii="Arial" w:cs="Arial" w:eastAsia="Arial" w:hAnsi="Arial"/>
          <w:sz w:val="18"/>
          <w:szCs w:val="18"/>
          <w:i w:val="1"/>
          <w:iCs w:val="1"/>
          <w:u w:val="single" w:color="auto"/>
          <w:color w:val="auto"/>
        </w:rPr>
        <w:t>Commercial Real Estate</w:t>
      </w:r>
      <w:r>
        <w:rPr>
          <w:rFonts w:ascii="Arial" w:cs="Arial" w:eastAsia="Arial" w:hAnsi="Arial"/>
          <w:sz w:val="18"/>
          <w:szCs w:val="18"/>
          <w:i w:val="1"/>
          <w:iCs w:val="1"/>
          <w:color w:val="auto"/>
        </w:rPr>
        <w:t xml:space="preserve"> </w:t>
      </w:r>
      <w:r>
        <w:rPr>
          <w:rFonts w:ascii="Arial" w:cs="Arial" w:eastAsia="Arial" w:hAnsi="Arial"/>
          <w:sz w:val="18"/>
          <w:szCs w:val="18"/>
          <w:color w:val="auto"/>
        </w:rPr>
        <w:t>– Commercial real estate loans are also subject to underwriting standards and processes similar to</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loans. These loans are underwritten primarily based on projected cash flows for income-producing properties and collateral values for nonincome-producing properties. The repayment of these loans is generally dependent on the successful operation of the property securing the loans or the sale or refinancing of the property. Real estate loans may be adversely affected by conditions in the real estate markets or in the general economy. The properties securing the Company’s real estate portfolio are diversified by type and geographic location. This diversity helps reduce the exposure to adverse economic events that affect any single market or industry.</w:t>
      </w:r>
    </w:p>
    <w:p>
      <w:pPr>
        <w:spacing w:after="0" w:line="81" w:lineRule="exact"/>
        <w:rPr>
          <w:sz w:val="20"/>
          <w:szCs w:val="20"/>
          <w:color w:val="auto"/>
        </w:rPr>
      </w:pPr>
    </w:p>
    <w:p>
      <w:pPr>
        <w:jc w:val="both"/>
        <w:ind w:left="7" w:right="20"/>
        <w:spacing w:after="0" w:line="259" w:lineRule="auto"/>
        <w:rPr>
          <w:sz w:val="20"/>
          <w:szCs w:val="20"/>
          <w:color w:val="auto"/>
        </w:rPr>
      </w:pPr>
      <w:r>
        <w:rPr>
          <w:rFonts w:ascii="Arial" w:cs="Arial" w:eastAsia="Arial" w:hAnsi="Arial"/>
          <w:sz w:val="18"/>
          <w:szCs w:val="18"/>
          <w:i w:val="1"/>
          <w:iCs w:val="1"/>
          <w:u w:val="single" w:color="auto"/>
          <w:color w:val="auto"/>
        </w:rPr>
        <w:t>Construction</w:t>
      </w:r>
      <w:r>
        <w:rPr>
          <w:rFonts w:ascii="Arial" w:cs="Arial" w:eastAsia="Arial" w:hAnsi="Arial"/>
          <w:sz w:val="18"/>
          <w:szCs w:val="18"/>
          <w:i w:val="1"/>
          <w:iCs w:val="1"/>
          <w:color w:val="auto"/>
        </w:rPr>
        <w:t xml:space="preserve"> </w:t>
      </w:r>
      <w:r>
        <w:rPr>
          <w:rFonts w:ascii="Arial" w:cs="Arial" w:eastAsia="Arial" w:hAnsi="Arial"/>
          <w:sz w:val="18"/>
          <w:szCs w:val="18"/>
          <w:color w:val="auto"/>
        </w:rPr>
        <w:t>– Loans for residential construction are for single-family properties to developers, builders, or end-users. These loans</w:t>
      </w:r>
      <w:r>
        <w:rPr>
          <w:rFonts w:ascii="Arial" w:cs="Arial" w:eastAsia="Arial" w:hAnsi="Arial"/>
          <w:sz w:val="18"/>
          <w:szCs w:val="18"/>
          <w:i w:val="1"/>
          <w:iCs w:val="1"/>
          <w:color w:val="auto"/>
        </w:rPr>
        <w:t xml:space="preserve"> </w:t>
      </w:r>
      <w:r>
        <w:rPr>
          <w:rFonts w:ascii="Arial" w:cs="Arial" w:eastAsia="Arial" w:hAnsi="Arial"/>
          <w:sz w:val="18"/>
          <w:szCs w:val="18"/>
          <w:color w:val="auto"/>
        </w:rPr>
        <w:t>are underwritten based on estimates of costs and completed value of the project. Funds are advanced based on estimated percentage of completion for the project. Performance of these loans is affected by economic conditions as well as the ability to control costs of the projects.</w:t>
      </w:r>
    </w:p>
    <w:p>
      <w:pPr>
        <w:spacing w:after="0" w:line="79" w:lineRule="exact"/>
        <w:rPr>
          <w:sz w:val="20"/>
          <w:szCs w:val="20"/>
          <w:color w:val="auto"/>
        </w:rPr>
      </w:pPr>
    </w:p>
    <w:p>
      <w:pPr>
        <w:ind w:left="7" w:right="20"/>
        <w:spacing w:after="0" w:line="255" w:lineRule="auto"/>
        <w:rPr>
          <w:sz w:val="20"/>
          <w:szCs w:val="20"/>
          <w:color w:val="auto"/>
        </w:rPr>
      </w:pPr>
      <w:r>
        <w:rPr>
          <w:rFonts w:ascii="Arial" w:cs="Arial" w:eastAsia="Arial" w:hAnsi="Arial"/>
          <w:sz w:val="18"/>
          <w:szCs w:val="18"/>
          <w:i w:val="1"/>
          <w:iCs w:val="1"/>
          <w:u w:val="single" w:color="auto"/>
          <w:color w:val="auto"/>
        </w:rPr>
        <w:t>Consumer</w:t>
      </w:r>
      <w:r>
        <w:rPr>
          <w:rFonts w:ascii="Arial" w:cs="Arial" w:eastAsia="Arial" w:hAnsi="Arial"/>
          <w:sz w:val="18"/>
          <w:szCs w:val="18"/>
          <w:i w:val="1"/>
          <w:iCs w:val="1"/>
          <w:color w:val="auto"/>
        </w:rPr>
        <w:t xml:space="preserve"> </w:t>
      </w:r>
      <w:r>
        <w:rPr>
          <w:rFonts w:ascii="Arial" w:cs="Arial" w:eastAsia="Arial" w:hAnsi="Arial"/>
          <w:sz w:val="18"/>
          <w:szCs w:val="18"/>
          <w:color w:val="auto"/>
        </w:rPr>
        <w:t>– Loans to consumers include 1-4 family residential loans, auto loans, and other loans for recreational vehicles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purposes. The Company utilizes a computer-based credit scoring analysis to supplement its policies and procedures in underwriting consumer loans. The Company’s loan policy addresses types of consumer loans that may be originated and the collateral, if secured, which must be perfected. The relatively smaller individual dollar amounts of consumer loans that are spread over numerous individual borrowers also minimize the Company’s risk. The Company generally requires mortgage title insurance and hazard insurance on 1-4 family residential loans.</w:t>
      </w:r>
    </w:p>
    <w:p>
      <w:pPr>
        <w:spacing w:after="0" w:line="193" w:lineRule="exact"/>
        <w:rPr>
          <w:sz w:val="20"/>
          <w:szCs w:val="20"/>
          <w:color w:val="auto"/>
        </w:rPr>
      </w:pPr>
    </w:p>
    <w:p>
      <w:pPr>
        <w:jc w:val="center"/>
        <w:ind w:right="-26"/>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sectPr>
      </w:pPr>
    </w:p>
    <w:bookmarkStart w:id="168" w:name="page169"/>
    <w:bookmarkEnd w:id="168"/>
    <w:p>
      <w:pPr>
        <w:ind w:left="7"/>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27"/>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07"/>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ind w:right="-6"/>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74" w:lineRule="exact"/>
        <w:rPr>
          <w:sz w:val="20"/>
          <w:szCs w:val="20"/>
          <w:color w:val="auto"/>
        </w:rPr>
      </w:pPr>
    </w:p>
    <w:p>
      <w:pPr>
        <w:ind w:left="367" w:hanging="367"/>
        <w:spacing w:after="0"/>
        <w:tabs>
          <w:tab w:leader="none" w:pos="367" w:val="left"/>
        </w:tabs>
        <w:numPr>
          <w:ilvl w:val="0"/>
          <w:numId w:val="8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LOANS (Continued)</w:t>
      </w:r>
    </w:p>
    <w:p>
      <w:pPr>
        <w:spacing w:after="0" w:line="63" w:lineRule="exact"/>
        <w:rPr>
          <w:sz w:val="20"/>
          <w:szCs w:val="20"/>
          <w:color w:val="auto"/>
        </w:rPr>
      </w:pPr>
    </w:p>
    <w:p>
      <w:pPr>
        <w:ind w:left="7" w:right="640"/>
        <w:spacing w:after="0" w:line="308" w:lineRule="auto"/>
        <w:rPr>
          <w:sz w:val="20"/>
          <w:szCs w:val="20"/>
          <w:color w:val="auto"/>
        </w:rPr>
      </w:pPr>
      <w:r>
        <w:rPr>
          <w:rFonts w:ascii="Arial" w:cs="Arial" w:eastAsia="Arial" w:hAnsi="Arial"/>
          <w:sz w:val="17"/>
          <w:szCs w:val="17"/>
          <w:color w:val="auto"/>
        </w:rPr>
        <w:t>The following table details the activity in the allowance for loan losses during 2018 and 2017. Allocation of a portion of the allowance to one category of loans does not preclude its availability to absorb losses in other categories.</w:t>
      </w:r>
    </w:p>
    <w:p>
      <w:pPr>
        <w:spacing w:after="0" w:line="3"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82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rPr>
              <w:t>Beginning</w:t>
            </w:r>
          </w:p>
        </w:tc>
        <w:tc>
          <w:tcPr>
            <w:tcW w:w="160" w:type="dxa"/>
            <w:vAlign w:val="bottom"/>
          </w:tcPr>
          <w:p>
            <w:pPr>
              <w:spacing w:after="0"/>
              <w:rPr>
                <w:sz w:val="14"/>
                <w:szCs w:val="14"/>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Provision for</w:t>
            </w: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71"/>
              <w:spacing w:after="0"/>
              <w:rPr>
                <w:sz w:val="20"/>
                <w:szCs w:val="20"/>
                <w:color w:val="auto"/>
              </w:rPr>
            </w:pPr>
            <w:r>
              <w:rPr>
                <w:rFonts w:ascii="Arial" w:cs="Arial" w:eastAsia="Arial" w:hAnsi="Arial"/>
                <w:sz w:val="14"/>
                <w:szCs w:val="14"/>
                <w:b w:val="1"/>
                <w:bCs w:val="1"/>
                <w:color w:val="auto"/>
                <w:w w:val="93"/>
              </w:rPr>
              <w:t>Balance</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6"/>
              </w:rPr>
              <w:t>loan losses</w:t>
            </w:r>
          </w:p>
        </w:tc>
        <w:tc>
          <w:tcPr>
            <w:tcW w:w="10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9"/>
              </w:rPr>
              <w:t>Charge-offs</w:t>
            </w:r>
          </w:p>
        </w:tc>
        <w:tc>
          <w:tcPr>
            <w:tcW w:w="100" w:type="dxa"/>
            <w:vAlign w:val="bottom"/>
          </w:tcPr>
          <w:p>
            <w:pPr>
              <w:spacing w:after="0"/>
              <w:rPr>
                <w:sz w:val="16"/>
                <w:szCs w:val="16"/>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b w:val="1"/>
                <w:bCs w:val="1"/>
                <w:color w:val="auto"/>
                <w:w w:val="85"/>
              </w:rPr>
              <w:t>Recoveries</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79"/>
              </w:rPr>
              <w:t>2018</w:t>
            </w:r>
          </w:p>
        </w:tc>
        <w:tc>
          <w:tcPr>
            <w:tcW w:w="4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CCEEFF"/>
              <w:right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3,769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1,728</w:t>
            </w:r>
          </w:p>
        </w:tc>
        <w:tc>
          <w:tcPr>
            <w:tcW w:w="180" w:type="dxa"/>
            <w:vAlign w:val="bottom"/>
          </w:tcPr>
          <w:p>
            <w:pPr>
              <w:spacing w:after="0"/>
              <w:rPr>
                <w:sz w:val="20"/>
                <w:szCs w:val="20"/>
                <w:color w:val="auto"/>
              </w:rPr>
            </w:pPr>
          </w:p>
        </w:tc>
        <w:tc>
          <w:tcPr>
            <w:tcW w:w="240" w:type="dxa"/>
            <w:vAlign w:val="bottom"/>
          </w:tcPr>
          <w:p>
            <w:pPr>
              <w:jc w:val="right"/>
              <w:ind w:right="54"/>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(1,540)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1,622</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5,579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specialized</w:t>
            </w:r>
          </w:p>
        </w:tc>
        <w:tc>
          <w:tcPr>
            <w:tcW w:w="140" w:type="dxa"/>
            <w:vAlign w:val="bottom"/>
            <w:shd w:val="clear" w:color="auto" w:fill="CCEEFF"/>
          </w:tcPr>
          <w:p>
            <w:pPr>
              <w:spacing w:after="0"/>
              <w:rPr>
                <w:sz w:val="22"/>
                <w:szCs w:val="22"/>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2,367</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80" w:type="dxa"/>
            <w:vAlign w:val="bottom"/>
            <w:tcBorders>
              <w:right w:val="single" w:sz="8" w:color="CCEEFF"/>
            </w:tcBorders>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8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Commercial - general</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10,151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1,539</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(4,291)</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w:t>
            </w:r>
          </w:p>
        </w:tc>
        <w:tc>
          <w:tcPr>
            <w:tcW w:w="140" w:type="dxa"/>
            <w:vAlign w:val="bottom"/>
            <w:shd w:val="clear" w:color="auto" w:fill="CCEEFF"/>
          </w:tcPr>
          <w:p>
            <w:pPr>
              <w:spacing w:after="0"/>
              <w:rPr>
                <w:sz w:val="22"/>
                <w:szCs w:val="22"/>
                <w:color w:val="auto"/>
              </w:rPr>
            </w:pPr>
          </w:p>
        </w:tc>
        <w:tc>
          <w:tcPr>
            <w:tcW w:w="68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60" w:type="dxa"/>
            <w:vAlign w:val="bottom"/>
            <w:gridSpan w:val="2"/>
          </w:tcPr>
          <w:p>
            <w:pPr>
              <w:ind w:left="160"/>
              <w:spacing w:after="0"/>
              <w:rPr>
                <w:sz w:val="20"/>
                <w:szCs w:val="20"/>
                <w:color w:val="auto"/>
              </w:rPr>
            </w:pPr>
            <w:r>
              <w:rPr>
                <w:rFonts w:ascii="Arial" w:cs="Arial" w:eastAsia="Arial" w:hAnsi="Arial"/>
                <w:sz w:val="18"/>
                <w:szCs w:val="18"/>
                <w:color w:val="auto"/>
              </w:rPr>
              <w:t>1-4 family residential</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1,787</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660</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Auto loans</w:t>
            </w:r>
          </w:p>
        </w:tc>
        <w:tc>
          <w:tcPr>
            <w:tcW w:w="140" w:type="dxa"/>
            <w:vAlign w:val="bottom"/>
            <w:shd w:val="clear" w:color="auto" w:fill="CCEEFF"/>
          </w:tcPr>
          <w:p>
            <w:pPr>
              <w:spacing w:after="0"/>
              <w:rPr>
                <w:sz w:val="21"/>
                <w:szCs w:val="21"/>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18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(972)</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60" w:type="dxa"/>
            <w:vAlign w:val="bottom"/>
            <w:gridSpan w:val="2"/>
          </w:tcPr>
          <w:p>
            <w:pPr>
              <w:ind w:left="160"/>
              <w:spacing w:after="0"/>
              <w:rPr>
                <w:sz w:val="20"/>
                <w:szCs w:val="20"/>
                <w:color w:val="auto"/>
              </w:rPr>
            </w:pPr>
            <w:r>
              <w:rPr>
                <w:rFonts w:ascii="Arial" w:cs="Arial" w:eastAsia="Arial" w:hAnsi="Arial"/>
                <w:sz w:val="18"/>
                <w:szCs w:val="18"/>
                <w:color w:val="auto"/>
              </w:rPr>
              <w:t>Other consumer</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971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974</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(941)</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140" w:type="dxa"/>
            <w:vAlign w:val="bottom"/>
            <w:shd w:val="clear" w:color="auto" w:fill="CCEEFF"/>
          </w:tcPr>
          <w:p>
            <w:pPr>
              <w:spacing w:after="0"/>
              <w:rPr>
                <w:sz w:val="21"/>
                <w:szCs w:val="21"/>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8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80" w:type="dxa"/>
            <w:vAlign w:val="bottom"/>
            <w:gridSpan w:val="3"/>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21,461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6,901</w:t>
            </w:r>
          </w:p>
        </w:tc>
        <w:tc>
          <w:tcPr>
            <w:tcW w:w="18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(8,146)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2,910</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23,126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4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460" w:type="dxa"/>
            <w:vAlign w:val="bottom"/>
            <w:gridSpan w:val="2"/>
          </w:tcPr>
          <w:p>
            <w:pPr>
              <w:spacing w:after="0" w:line="189" w:lineRule="exact"/>
              <w:rPr>
                <w:sz w:val="20"/>
                <w:szCs w:val="20"/>
                <w:color w:val="auto"/>
              </w:rPr>
            </w:pPr>
            <w:r>
              <w:rPr>
                <w:rFonts w:ascii="Arial" w:cs="Arial" w:eastAsia="Arial" w:hAnsi="Arial"/>
                <w:sz w:val="18"/>
                <w:szCs w:val="18"/>
                <w:color w:val="auto"/>
              </w:rPr>
              <w:t>2017</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auto"/>
            </w:tcBorders>
            <w:vMerge w:val="restart"/>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(365)</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Commercial - specialized</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3,474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(1,724)</w:t>
            </w:r>
          </w:p>
        </w:tc>
        <w:tc>
          <w:tcPr>
            <w:tcW w:w="2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40" w:type="dxa"/>
            <w:vAlign w:val="bottom"/>
            <w:shd w:val="clear" w:color="auto" w:fill="CCEEFF"/>
          </w:tcPr>
          <w:p>
            <w:pPr>
              <w:spacing w:after="0"/>
              <w:rPr>
                <w:sz w:val="22"/>
                <w:szCs w:val="22"/>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9,589</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w:t>
            </w:r>
          </w:p>
        </w:tc>
        <w:tc>
          <w:tcPr>
            <w:tcW w:w="180" w:type="dxa"/>
            <w:vAlign w:val="bottom"/>
            <w:tcBorders>
              <w:right w:val="single" w:sz="8" w:color="CCEEFF"/>
            </w:tcBorders>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(2,658)</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8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10,151</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1-4 family residential</w:t>
            </w:r>
          </w:p>
        </w:tc>
        <w:tc>
          <w:tcPr>
            <w:tcW w:w="140" w:type="dxa"/>
            <w:vAlign w:val="bottom"/>
            <w:shd w:val="clear" w:color="auto" w:fill="CCEEFF"/>
          </w:tcPr>
          <w:p>
            <w:pPr>
              <w:spacing w:after="0"/>
              <w:rPr>
                <w:sz w:val="21"/>
                <w:szCs w:val="21"/>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8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60" w:type="dxa"/>
            <w:vAlign w:val="bottom"/>
            <w:gridSpan w:val="2"/>
          </w:tcPr>
          <w:p>
            <w:pPr>
              <w:ind w:left="160"/>
              <w:spacing w:after="0"/>
              <w:rPr>
                <w:sz w:val="20"/>
                <w:szCs w:val="20"/>
                <w:color w:val="auto"/>
              </w:rPr>
            </w:pPr>
            <w:r>
              <w:rPr>
                <w:rFonts w:ascii="Arial" w:cs="Arial" w:eastAsia="Arial" w:hAnsi="Arial"/>
                <w:sz w:val="18"/>
                <w:szCs w:val="18"/>
                <w:color w:val="auto"/>
              </w:rPr>
              <w:t>Auto loans</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1,272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1,522</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consumer</w:t>
            </w:r>
          </w:p>
        </w:tc>
        <w:tc>
          <w:tcPr>
            <w:tcW w:w="140" w:type="dxa"/>
            <w:vAlign w:val="bottom"/>
            <w:shd w:val="clear" w:color="auto" w:fill="CCEEFF"/>
          </w:tcPr>
          <w:p>
            <w:pPr>
              <w:spacing w:after="0"/>
              <w:rPr>
                <w:sz w:val="21"/>
                <w:szCs w:val="21"/>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18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(1,495)</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21,174</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3,966</w:t>
            </w:r>
          </w:p>
        </w:tc>
        <w:tc>
          <w:tcPr>
            <w:tcW w:w="18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680" w:type="dxa"/>
            <w:vAlign w:val="bottom"/>
            <w:tcBorders>
              <w:top w:val="single" w:sz="8" w:color="auto"/>
              <w:right w:val="single" w:sz="8" w:color="CCEEFF"/>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84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240" w:type="dxa"/>
            <w:vAlign w:val="bottom"/>
            <w:tcBorders>
              <w:top w:val="single" w:sz="8" w:color="auto"/>
            </w:tcBorders>
            <w:shd w:val="clear" w:color="auto" w:fill="000000"/>
          </w:tcPr>
          <w:p>
            <w:pPr>
              <w:spacing w:after="0"/>
              <w:rPr>
                <w:sz w:val="2"/>
                <w:szCs w:val="2"/>
                <w:color w:val="auto"/>
              </w:rPr>
            </w:pPr>
          </w:p>
        </w:tc>
        <w:tc>
          <w:tcPr>
            <w:tcW w:w="62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76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62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7"/>
        <w:spacing w:after="0"/>
        <w:rPr>
          <w:sz w:val="20"/>
          <w:szCs w:val="20"/>
          <w:color w:val="auto"/>
        </w:rPr>
      </w:pPr>
      <w:r>
        <w:rPr>
          <w:rFonts w:ascii="Arial" w:cs="Arial" w:eastAsia="Arial" w:hAnsi="Arial"/>
          <w:sz w:val="17"/>
          <w:szCs w:val="17"/>
          <w:color w:val="auto"/>
        </w:rPr>
        <w:t>The following table shows the Company’s investment in loans disaggregated based on the method of evaluating impairment:</w:t>
      </w:r>
    </w:p>
    <w:p>
      <w:pPr>
        <w:spacing w:after="0" w:line="93"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rPr>
              <w:t>Recorded Investment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94"/>
              <w:spacing w:after="0"/>
              <w:rPr>
                <w:sz w:val="20"/>
                <w:szCs w:val="20"/>
                <w:color w:val="auto"/>
              </w:rPr>
            </w:pPr>
            <w:r>
              <w:rPr>
                <w:rFonts w:ascii="Arial" w:cs="Arial" w:eastAsia="Arial" w:hAnsi="Arial"/>
                <w:sz w:val="14"/>
                <w:szCs w:val="14"/>
                <w:b w:val="1"/>
                <w:bCs w:val="1"/>
                <w:color w:val="auto"/>
                <w:w w:val="98"/>
              </w:rPr>
              <w:t>Allowance for Loan Losses</w:t>
            </w:r>
          </w:p>
        </w:tc>
        <w:tc>
          <w:tcPr>
            <w:tcW w:w="100" w:type="dxa"/>
            <w:vAlign w:val="bottom"/>
          </w:tcPr>
          <w:p>
            <w:pPr>
              <w:spacing w:after="0"/>
              <w:rPr>
                <w:sz w:val="16"/>
                <w:szCs w:val="16"/>
                <w:color w:val="auto"/>
              </w:rPr>
            </w:pPr>
          </w:p>
        </w:tc>
      </w:tr>
      <w:tr>
        <w:trPr>
          <w:trHeight w:val="160"/>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ind w:right="35"/>
              <w:spacing w:after="0" w:line="160" w:lineRule="exact"/>
              <w:rPr>
                <w:sz w:val="20"/>
                <w:szCs w:val="20"/>
                <w:color w:val="auto"/>
              </w:rPr>
            </w:pPr>
            <w:r>
              <w:rPr>
                <w:rFonts w:ascii="Arial" w:cs="Arial" w:eastAsia="Arial" w:hAnsi="Arial"/>
                <w:sz w:val="14"/>
                <w:szCs w:val="14"/>
                <w:b w:val="1"/>
                <w:bCs w:val="1"/>
                <w:color w:val="auto"/>
                <w:w w:val="96"/>
              </w:rPr>
              <w:t>Individually</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74"/>
              <w:spacing w:after="0" w:line="160" w:lineRule="exact"/>
              <w:rPr>
                <w:sz w:val="20"/>
                <w:szCs w:val="20"/>
                <w:color w:val="auto"/>
              </w:rPr>
            </w:pPr>
            <w:r>
              <w:rPr>
                <w:rFonts w:ascii="Arial" w:cs="Arial" w:eastAsia="Arial" w:hAnsi="Arial"/>
                <w:sz w:val="14"/>
                <w:szCs w:val="14"/>
                <w:b w:val="1"/>
                <w:bCs w:val="1"/>
                <w:color w:val="auto"/>
                <w:w w:val="95"/>
              </w:rPr>
              <w:t>Collectively</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35"/>
              <w:spacing w:after="0" w:line="160" w:lineRule="exact"/>
              <w:rPr>
                <w:sz w:val="20"/>
                <w:szCs w:val="20"/>
                <w:color w:val="auto"/>
              </w:rPr>
            </w:pPr>
            <w:r>
              <w:rPr>
                <w:rFonts w:ascii="Arial" w:cs="Arial" w:eastAsia="Arial" w:hAnsi="Arial"/>
                <w:sz w:val="14"/>
                <w:szCs w:val="14"/>
                <w:b w:val="1"/>
                <w:bCs w:val="1"/>
                <w:color w:val="auto"/>
                <w:w w:val="93"/>
              </w:rPr>
              <w:t>Individually</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160"/>
              <w:spacing w:after="0" w:line="160" w:lineRule="exact"/>
              <w:rPr>
                <w:sz w:val="20"/>
                <w:szCs w:val="20"/>
                <w:color w:val="auto"/>
              </w:rPr>
            </w:pPr>
            <w:r>
              <w:rPr>
                <w:rFonts w:ascii="Arial" w:cs="Arial" w:eastAsia="Arial" w:hAnsi="Arial"/>
                <w:sz w:val="14"/>
                <w:szCs w:val="14"/>
                <w:b w:val="1"/>
                <w:bCs w:val="1"/>
                <w:color w:val="auto"/>
                <w:w w:val="92"/>
              </w:rPr>
              <w:t>Collectively</w:t>
            </w:r>
          </w:p>
        </w:tc>
      </w:tr>
      <w:tr>
        <w:trPr>
          <w:trHeight w:val="185"/>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95"/>
              <w:spacing w:after="0"/>
              <w:rPr>
                <w:sz w:val="20"/>
                <w:szCs w:val="20"/>
                <w:color w:val="auto"/>
              </w:rPr>
            </w:pPr>
            <w:r>
              <w:rPr>
                <w:rFonts w:ascii="Arial" w:cs="Arial" w:eastAsia="Arial" w:hAnsi="Arial"/>
                <w:sz w:val="14"/>
                <w:szCs w:val="14"/>
                <w:b w:val="1"/>
                <w:bCs w:val="1"/>
                <w:color w:val="auto"/>
              </w:rPr>
              <w:t>Evaluated</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134"/>
              <w:spacing w:after="0"/>
              <w:rPr>
                <w:sz w:val="20"/>
                <w:szCs w:val="20"/>
                <w:color w:val="auto"/>
              </w:rPr>
            </w:pPr>
            <w:r>
              <w:rPr>
                <w:rFonts w:ascii="Arial" w:cs="Arial" w:eastAsia="Arial" w:hAnsi="Arial"/>
                <w:sz w:val="14"/>
                <w:szCs w:val="14"/>
                <w:b w:val="1"/>
                <w:bCs w:val="1"/>
                <w:color w:val="auto"/>
              </w:rPr>
              <w:t>Evaluated</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95"/>
              <w:spacing w:after="0"/>
              <w:rPr>
                <w:sz w:val="20"/>
                <w:szCs w:val="20"/>
                <w:color w:val="auto"/>
              </w:rPr>
            </w:pPr>
            <w:r>
              <w:rPr>
                <w:rFonts w:ascii="Arial" w:cs="Arial" w:eastAsia="Arial" w:hAnsi="Arial"/>
                <w:sz w:val="14"/>
                <w:szCs w:val="14"/>
                <w:b w:val="1"/>
                <w:bCs w:val="1"/>
                <w:color w:val="auto"/>
                <w:w w:val="99"/>
              </w:rPr>
              <w:t>Evaluated</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Evaluated</w:t>
            </w:r>
          </w:p>
        </w:tc>
      </w:tr>
      <w:tr>
        <w:trPr>
          <w:trHeight w:val="217"/>
        </w:trPr>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79"/>
              </w:rPr>
              <w:t>2018</w:t>
            </w:r>
          </w:p>
        </w:tc>
        <w:tc>
          <w:tcPr>
            <w:tcW w:w="286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Commercial -</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1,819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536,218</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5,579</w:t>
            </w: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specialized</w:t>
            </w:r>
          </w:p>
        </w:tc>
        <w:tc>
          <w:tcPr>
            <w:tcW w:w="1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302,906</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100" w:type="dxa"/>
            <w:vAlign w:val="bottom"/>
            <w:shd w:val="clear" w:color="auto" w:fill="CCEEFF"/>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Commercial - general</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2,950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424,778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7,940</w:t>
            </w: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w:t>
            </w:r>
          </w:p>
        </w:tc>
        <w:tc>
          <w:tcPr>
            <w:tcW w:w="1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3200" w:type="dxa"/>
            <w:vAlign w:val="bottom"/>
            <w:gridSpan w:val="2"/>
          </w:tcPr>
          <w:p>
            <w:pPr>
              <w:ind w:left="160"/>
              <w:spacing w:after="0"/>
              <w:rPr>
                <w:sz w:val="20"/>
                <w:szCs w:val="20"/>
                <w:color w:val="auto"/>
              </w:rPr>
            </w:pPr>
            <w:r>
              <w:rPr>
                <w:rFonts w:ascii="Arial" w:cs="Arial" w:eastAsia="Arial" w:hAnsi="Arial"/>
                <w:sz w:val="18"/>
                <w:szCs w:val="18"/>
                <w:color w:val="auto"/>
              </w:rPr>
              <w:t>1-4 family residential</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2,475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343,678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2,241</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3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Auto loans</w:t>
            </w:r>
          </w:p>
        </w:tc>
        <w:tc>
          <w:tcPr>
            <w:tcW w:w="1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191,647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2,994</w:t>
            </w: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3200" w:type="dxa"/>
            <w:vAlign w:val="bottom"/>
            <w:gridSpan w:val="2"/>
          </w:tcPr>
          <w:p>
            <w:pPr>
              <w:ind w:left="160"/>
              <w:spacing w:after="0"/>
              <w:rPr>
                <w:sz w:val="20"/>
                <w:szCs w:val="20"/>
                <w:color w:val="auto"/>
              </w:rPr>
            </w:pPr>
            <w:r>
              <w:rPr>
                <w:rFonts w:ascii="Arial" w:cs="Arial" w:eastAsia="Arial" w:hAnsi="Arial"/>
                <w:sz w:val="18"/>
                <w:szCs w:val="18"/>
                <w:color w:val="auto"/>
              </w:rPr>
              <w:t>Other consumer</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70,209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1,192</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3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78,401</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23"/>
        </w:trPr>
        <w:tc>
          <w:tcPr>
            <w:tcW w:w="3220" w:type="dxa"/>
            <w:vAlign w:val="bottom"/>
            <w:gridSpan w:val="3"/>
          </w:tcPr>
          <w:p>
            <w:pPr>
              <w:spacing w:after="0"/>
              <w:rPr>
                <w:sz w:val="20"/>
                <w:szCs w:val="20"/>
                <w:color w:val="auto"/>
              </w:rPr>
            </w:pPr>
            <w:r>
              <w:rPr>
                <w:rFonts w:ascii="Arial" w:cs="Arial" w:eastAsia="Arial" w:hAnsi="Arial"/>
                <w:sz w:val="18"/>
                <w:szCs w:val="18"/>
                <w:color w:val="auto"/>
              </w:rPr>
              <w:t>Total</w:t>
            </w:r>
          </w:p>
        </w:tc>
        <w:tc>
          <w:tcPr>
            <w:tcW w:w="17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9,360</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1,947,837</w:t>
            </w:r>
          </w:p>
        </w:tc>
        <w:tc>
          <w:tcPr>
            <w:tcW w:w="160" w:type="dxa"/>
            <w:vAlign w:val="bottom"/>
          </w:tcPr>
          <w:p>
            <w:pPr>
              <w:spacing w:after="0"/>
              <w:rPr>
                <w:sz w:val="19"/>
                <w:szCs w:val="19"/>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22,885</w:t>
            </w:r>
          </w:p>
        </w:tc>
        <w:tc>
          <w:tcPr>
            <w:tcW w:w="10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860" w:type="dxa"/>
            <w:vAlign w:val="bottom"/>
            <w:gridSpan w:val="2"/>
          </w:tcPr>
          <w:p>
            <w:pPr>
              <w:jc w:val="right"/>
              <w:ind w:right="50"/>
              <w:spacing w:after="0"/>
              <w:rPr>
                <w:sz w:val="20"/>
                <w:szCs w:val="20"/>
                <w:color w:val="auto"/>
              </w:rPr>
            </w:pPr>
            <w:r>
              <w:rPr>
                <w:rFonts w:ascii="Arial" w:cs="Arial" w:eastAsia="Arial" w:hAnsi="Arial"/>
                <w:sz w:val="18"/>
                <w:szCs w:val="18"/>
                <w:color w:val="auto"/>
              </w:rPr>
              <w:t>F-18</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
        </w:trPr>
        <w:tc>
          <w:tcPr>
            <w:tcW w:w="20" w:type="dxa"/>
            <w:vAlign w:val="bottom"/>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2860" w:type="dxa"/>
            <w:vAlign w:val="bottom"/>
            <w:shd w:val="clear" w:color="auto" w:fill="000000"/>
          </w:tcPr>
          <w:p>
            <w:pPr>
              <w:spacing w:after="0"/>
              <w:rPr>
                <w:sz w:val="5"/>
                <w:szCs w:val="5"/>
                <w:color w:val="auto"/>
              </w:rPr>
            </w:pPr>
          </w:p>
        </w:tc>
        <w:tc>
          <w:tcPr>
            <w:tcW w:w="174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88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9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8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1900" w:h="16838" w:orient="portrait"/>
          <w:cols w:equalWidth="0" w:num="1">
            <w:col w:w="9567"/>
          </w:cols>
          <w:pgMar w:left="1173" w:top="279" w:right="1159" w:bottom="1440" w:gutter="0" w:footer="0" w:header="0"/>
        </w:sectPr>
      </w:pPr>
    </w:p>
    <w:bookmarkStart w:id="169" w:name="page170"/>
    <w:bookmarkEnd w:id="16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20"/>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0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7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3.</w:t>
        <w:tab/>
        <w:t>LOANS (Continued)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w w:val="92"/>
              </w:rPr>
              <w:t>Recorded Investment</w:t>
            </w:r>
          </w:p>
        </w:tc>
        <w:tc>
          <w:tcPr>
            <w:tcW w:w="4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10"/>
          </w:tcPr>
          <w:p>
            <w:pPr>
              <w:jc w:val="right"/>
              <w:ind w:right="92"/>
              <w:spacing w:after="0"/>
              <w:rPr>
                <w:sz w:val="20"/>
                <w:szCs w:val="20"/>
                <w:color w:val="auto"/>
              </w:rPr>
            </w:pPr>
            <w:r>
              <w:rPr>
                <w:rFonts w:ascii="Arial" w:cs="Arial" w:eastAsia="Arial" w:hAnsi="Arial"/>
                <w:sz w:val="14"/>
                <w:szCs w:val="14"/>
                <w:b w:val="1"/>
                <w:bCs w:val="1"/>
                <w:color w:val="auto"/>
                <w:w w:val="97"/>
              </w:rPr>
              <w:t>Allowance for Loan Losses</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gridSpan w:val="4"/>
          </w:tcPr>
          <w:p>
            <w:pPr>
              <w:jc w:val="right"/>
              <w:ind w:right="40"/>
              <w:spacing w:after="0" w:line="160" w:lineRule="exact"/>
              <w:rPr>
                <w:sz w:val="20"/>
                <w:szCs w:val="20"/>
                <w:color w:val="auto"/>
              </w:rPr>
            </w:pPr>
            <w:r>
              <w:rPr>
                <w:rFonts w:ascii="Arial" w:cs="Arial" w:eastAsia="Arial" w:hAnsi="Arial"/>
                <w:sz w:val="14"/>
                <w:szCs w:val="14"/>
                <w:b w:val="1"/>
                <w:bCs w:val="1"/>
                <w:color w:val="auto"/>
              </w:rPr>
              <w:t>Individually</w:t>
            </w:r>
          </w:p>
        </w:tc>
        <w:tc>
          <w:tcPr>
            <w:tcW w:w="180" w:type="dxa"/>
            <w:vAlign w:val="bottom"/>
          </w:tcPr>
          <w:p>
            <w:pPr>
              <w:spacing w:after="0"/>
              <w:rPr>
                <w:sz w:val="13"/>
                <w:szCs w:val="13"/>
                <w:color w:val="auto"/>
              </w:rPr>
            </w:pPr>
          </w:p>
        </w:tc>
        <w:tc>
          <w:tcPr>
            <w:tcW w:w="1120" w:type="dxa"/>
            <w:vAlign w:val="bottom"/>
            <w:gridSpan w:val="6"/>
          </w:tcPr>
          <w:p>
            <w:pPr>
              <w:jc w:val="center"/>
              <w:ind w:right="40"/>
              <w:spacing w:after="0" w:line="160" w:lineRule="exact"/>
              <w:rPr>
                <w:sz w:val="20"/>
                <w:szCs w:val="20"/>
                <w:color w:val="auto"/>
              </w:rPr>
            </w:pPr>
            <w:r>
              <w:rPr>
                <w:rFonts w:ascii="Arial" w:cs="Arial" w:eastAsia="Arial" w:hAnsi="Arial"/>
                <w:sz w:val="14"/>
                <w:szCs w:val="14"/>
                <w:b w:val="1"/>
                <w:bCs w:val="1"/>
                <w:color w:val="auto"/>
                <w:w w:val="92"/>
              </w:rPr>
              <w:t>Collectively</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gridSpan w:val="7"/>
          </w:tcPr>
          <w:p>
            <w:pPr>
              <w:jc w:val="center"/>
              <w:ind w:right="180"/>
              <w:spacing w:after="0" w:line="160" w:lineRule="exact"/>
              <w:rPr>
                <w:sz w:val="20"/>
                <w:szCs w:val="20"/>
                <w:color w:val="auto"/>
              </w:rPr>
            </w:pPr>
            <w:r>
              <w:rPr>
                <w:rFonts w:ascii="Arial" w:cs="Arial" w:eastAsia="Arial" w:hAnsi="Arial"/>
                <w:sz w:val="14"/>
                <w:szCs w:val="14"/>
                <w:b w:val="1"/>
                <w:bCs w:val="1"/>
                <w:color w:val="auto"/>
                <w:w w:val="96"/>
              </w:rPr>
              <w:t>Individually</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4"/>
          </w:tcPr>
          <w:p>
            <w:pPr>
              <w:jc w:val="center"/>
              <w:ind w:right="140"/>
              <w:spacing w:after="0" w:line="160" w:lineRule="exact"/>
              <w:rPr>
                <w:sz w:val="20"/>
                <w:szCs w:val="20"/>
                <w:color w:val="auto"/>
              </w:rPr>
            </w:pPr>
            <w:r>
              <w:rPr>
                <w:rFonts w:ascii="Arial" w:cs="Arial" w:eastAsia="Arial" w:hAnsi="Arial"/>
                <w:sz w:val="14"/>
                <w:szCs w:val="14"/>
                <w:b w:val="1"/>
                <w:bCs w:val="1"/>
                <w:color w:val="auto"/>
                <w:w w:val="92"/>
              </w:rPr>
              <w:t>Collectively</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Evaluated</w:t>
            </w:r>
          </w:p>
        </w:tc>
        <w:tc>
          <w:tcPr>
            <w:tcW w:w="180" w:type="dxa"/>
            <w:vAlign w:val="bottom"/>
          </w:tcPr>
          <w:p>
            <w:pPr>
              <w:spacing w:after="0"/>
              <w:rPr>
                <w:sz w:val="16"/>
                <w:szCs w:val="16"/>
                <w:color w:val="auto"/>
              </w:rPr>
            </w:pPr>
          </w:p>
        </w:tc>
        <w:tc>
          <w:tcPr>
            <w:tcW w:w="112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93"/>
              </w:rPr>
              <w:t>Evaluated</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3"/>
              </w:rPr>
              <w:t>Evaluated</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6"/>
              </w:rPr>
              <w:t>Evaluated</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79"/>
              </w:rPr>
              <w:t>2017</w:t>
            </w:r>
          </w:p>
        </w:tc>
        <w:tc>
          <w:tcPr>
            <w:tcW w:w="3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gridSpan w:val="3"/>
          </w:tcPr>
          <w:p>
            <w:pPr>
              <w:spacing w:after="0"/>
              <w:rPr>
                <w:sz w:val="20"/>
                <w:szCs w:val="20"/>
                <w:color w:val="auto"/>
              </w:rPr>
            </w:pPr>
            <w:r>
              <w:rPr>
                <w:rFonts w:ascii="Arial" w:cs="Arial" w:eastAsia="Arial" w:hAnsi="Arial"/>
                <w:sz w:val="18"/>
                <w:szCs w:val="18"/>
                <w:color w:val="auto"/>
              </w:rPr>
              <w:t>Commercial -</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54"/>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7,360</w:t>
            </w:r>
          </w:p>
        </w:tc>
        <w:tc>
          <w:tcPr>
            <w:tcW w:w="500" w:type="dxa"/>
            <w:vAlign w:val="bottom"/>
            <w:gridSpan w:val="2"/>
          </w:tcPr>
          <w:p>
            <w:pPr>
              <w:jc w:val="right"/>
              <w:ind w:right="133"/>
              <w:spacing w:after="0"/>
              <w:rPr>
                <w:sz w:val="20"/>
                <w:szCs w:val="20"/>
                <w:color w:val="auto"/>
              </w:rPr>
            </w:pPr>
            <w:r>
              <w:rPr>
                <w:rFonts w:ascii="Arial" w:cs="Arial" w:eastAsia="Arial" w:hAnsi="Arial"/>
                <w:sz w:val="18"/>
                <w:szCs w:val="18"/>
                <w:color w:val="auto"/>
              </w:rPr>
              <w:t>$</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499,534</w:t>
            </w:r>
          </w:p>
        </w:tc>
        <w:tc>
          <w:tcPr>
            <w:tcW w:w="60" w:type="dxa"/>
            <w:vAlign w:val="bottom"/>
          </w:tcPr>
          <w:p>
            <w:pPr>
              <w:spacing w:after="0"/>
              <w:rPr>
                <w:sz w:val="20"/>
                <w:szCs w:val="20"/>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3,769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specialized</w:t>
            </w: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5,367</w:t>
            </w:r>
          </w:p>
        </w:tc>
        <w:tc>
          <w:tcPr>
            <w:tcW w:w="1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323,752</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gridSpan w:val="3"/>
          </w:tcPr>
          <w:p>
            <w:pPr>
              <w:spacing w:after="0"/>
              <w:rPr>
                <w:sz w:val="20"/>
                <w:szCs w:val="20"/>
                <w:color w:val="auto"/>
              </w:rPr>
            </w:pPr>
            <w:r>
              <w:rPr>
                <w:rFonts w:ascii="Arial" w:cs="Arial" w:eastAsia="Arial" w:hAnsi="Arial"/>
                <w:sz w:val="18"/>
                <w:szCs w:val="18"/>
                <w:color w:val="auto"/>
              </w:rPr>
              <w:t>Commercial - general</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4,975</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405,082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10,042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w:t>
            </w: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00" w:type="dxa"/>
            <w:vAlign w:val="bottom"/>
            <w:gridSpan w:val="3"/>
          </w:tcPr>
          <w:p>
            <w:pPr>
              <w:ind w:left="160"/>
              <w:spacing w:after="0"/>
              <w:rPr>
                <w:sz w:val="20"/>
                <w:szCs w:val="20"/>
                <w:color w:val="auto"/>
              </w:rPr>
            </w:pPr>
            <w:r>
              <w:rPr>
                <w:rFonts w:ascii="Arial" w:cs="Arial" w:eastAsia="Arial" w:hAnsi="Arial"/>
                <w:sz w:val="18"/>
                <w:szCs w:val="18"/>
                <w:color w:val="auto"/>
              </w:rPr>
              <w:t>1-4 family residential</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3,287</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310,063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1,753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5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Auto loans</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146,622</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00" w:type="dxa"/>
            <w:vAlign w:val="bottom"/>
            <w:gridSpan w:val="3"/>
          </w:tcPr>
          <w:p>
            <w:pPr>
              <w:ind w:left="160"/>
              <w:spacing w:after="0"/>
              <w:rPr>
                <w:sz w:val="20"/>
                <w:szCs w:val="20"/>
                <w:color w:val="auto"/>
              </w:rPr>
            </w:pPr>
            <w:r>
              <w:rPr>
                <w:rFonts w:ascii="Arial" w:cs="Arial" w:eastAsia="Arial" w:hAnsi="Arial"/>
                <w:sz w:val="18"/>
                <w:szCs w:val="18"/>
                <w:color w:val="auto"/>
              </w:rPr>
              <w:t>Other consumer</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66,191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Construction</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65,922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520" w:type="dxa"/>
            <w:vAlign w:val="bottom"/>
            <w:gridSpan w:val="4"/>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54"/>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90"/>
              </w:rPr>
              <w:t>20,989</w:t>
            </w:r>
          </w:p>
        </w:tc>
        <w:tc>
          <w:tcPr>
            <w:tcW w:w="500" w:type="dxa"/>
            <w:vAlign w:val="bottom"/>
            <w:gridSpan w:val="2"/>
          </w:tcPr>
          <w:p>
            <w:pPr>
              <w:jc w:val="right"/>
              <w:ind w:right="133"/>
              <w:spacing w:after="0"/>
              <w:rPr>
                <w:sz w:val="20"/>
                <w:szCs w:val="20"/>
                <w:color w:val="auto"/>
              </w:rPr>
            </w:pPr>
            <w:r>
              <w:rPr>
                <w:rFonts w:ascii="Arial" w:cs="Arial" w:eastAsia="Arial" w:hAnsi="Arial"/>
                <w:sz w:val="18"/>
                <w:szCs w:val="18"/>
                <w:color w:val="auto"/>
              </w:rPr>
              <w:t>$</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w w:val="89"/>
              </w:rPr>
              <w:t>1,817,166</w:t>
            </w:r>
          </w:p>
        </w:tc>
        <w:tc>
          <w:tcPr>
            <w:tcW w:w="6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21,318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520" w:type="dxa"/>
            <w:vAlign w:val="bottom"/>
            <w:gridSpan w:val="4"/>
            <w:vMerge w:val="restart"/>
          </w:tcPr>
          <w:p>
            <w:pPr>
              <w:spacing w:after="0"/>
              <w:rPr>
                <w:sz w:val="20"/>
                <w:szCs w:val="20"/>
                <w:color w:val="auto"/>
              </w:rPr>
            </w:pPr>
            <w:r>
              <w:rPr>
                <w:rFonts w:ascii="Arial" w:cs="Arial" w:eastAsia="Arial" w:hAnsi="Arial"/>
                <w:sz w:val="18"/>
                <w:szCs w:val="18"/>
                <w:color w:val="auto"/>
                <w:w w:val="96"/>
              </w:rPr>
              <w:t>Impaired loan information at year-end follows:</w:t>
            </w: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3520" w:type="dxa"/>
            <w:vAlign w:val="bottom"/>
            <w:gridSpan w:val="4"/>
            <w:vMerge w:val="continue"/>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center"/>
              <w:ind w:right="33"/>
              <w:spacing w:after="0"/>
              <w:rPr>
                <w:sz w:val="20"/>
                <w:szCs w:val="20"/>
                <w:color w:val="auto"/>
              </w:rPr>
            </w:pPr>
            <w:r>
              <w:rPr>
                <w:rFonts w:ascii="Arial" w:cs="Arial" w:eastAsia="Arial" w:hAnsi="Arial"/>
                <w:sz w:val="14"/>
                <w:szCs w:val="14"/>
                <w:b w:val="1"/>
                <w:bCs w:val="1"/>
                <w:color w:val="auto"/>
                <w:w w:val="96"/>
              </w:rPr>
              <w:t>Unpaid</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center"/>
              <w:ind w:right="34"/>
              <w:spacing w:after="0"/>
              <w:rPr>
                <w:sz w:val="20"/>
                <w:szCs w:val="20"/>
                <w:color w:val="auto"/>
              </w:rPr>
            </w:pPr>
            <w:r>
              <w:rPr>
                <w:rFonts w:ascii="Arial" w:cs="Arial" w:eastAsia="Arial" w:hAnsi="Arial"/>
                <w:sz w:val="14"/>
                <w:szCs w:val="14"/>
                <w:b w:val="1"/>
                <w:bCs w:val="1"/>
                <w:color w:val="auto"/>
                <w:w w:val="92"/>
              </w:rPr>
              <w:t>Recorded</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Recorded</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2"/>
          </w:tcPr>
          <w:p>
            <w:pPr>
              <w:jc w:val="center"/>
              <w:ind w:left="13"/>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53"/>
              <w:spacing w:after="0"/>
              <w:rPr>
                <w:sz w:val="20"/>
                <w:szCs w:val="20"/>
                <w:color w:val="auto"/>
              </w:rPr>
            </w:pPr>
            <w:r>
              <w:rPr>
                <w:rFonts w:ascii="Arial" w:cs="Arial" w:eastAsia="Arial" w:hAnsi="Arial"/>
                <w:sz w:val="14"/>
                <w:szCs w:val="14"/>
                <w:b w:val="1"/>
                <w:bCs w:val="1"/>
                <w:color w:val="auto"/>
                <w:w w:val="94"/>
              </w:rPr>
              <w:t>Principal</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34"/>
              <w:spacing w:after="0"/>
              <w:rPr>
                <w:sz w:val="20"/>
                <w:szCs w:val="20"/>
                <w:color w:val="auto"/>
              </w:rPr>
            </w:pPr>
            <w:r>
              <w:rPr>
                <w:rFonts w:ascii="Arial" w:cs="Arial" w:eastAsia="Arial" w:hAnsi="Arial"/>
                <w:sz w:val="14"/>
                <w:szCs w:val="14"/>
                <w:b w:val="1"/>
                <w:bCs w:val="1"/>
                <w:color w:val="auto"/>
                <w:w w:val="98"/>
              </w:rPr>
              <w:t>With No</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tcPr>
          <w:p>
            <w:pPr>
              <w:jc w:val="center"/>
              <w:spacing w:after="0"/>
              <w:rPr>
                <w:sz w:val="20"/>
                <w:szCs w:val="20"/>
                <w:color w:val="auto"/>
              </w:rPr>
            </w:pPr>
            <w:r>
              <w:rPr>
                <w:rFonts w:ascii="Arial" w:cs="Arial" w:eastAsia="Arial" w:hAnsi="Arial"/>
                <w:sz w:val="14"/>
                <w:szCs w:val="14"/>
                <w:b w:val="1"/>
                <w:bCs w:val="1"/>
                <w:color w:val="auto"/>
              </w:rPr>
              <w:t>With</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5"/>
          </w:tcPr>
          <w:p>
            <w:pPr>
              <w:jc w:val="center"/>
              <w:ind w:right="68"/>
              <w:spacing w:after="0"/>
              <w:rPr>
                <w:sz w:val="20"/>
                <w:szCs w:val="20"/>
                <w:color w:val="auto"/>
              </w:rPr>
            </w:pPr>
            <w:r>
              <w:rPr>
                <w:rFonts w:ascii="Arial" w:cs="Arial" w:eastAsia="Arial" w:hAnsi="Arial"/>
                <w:sz w:val="14"/>
                <w:szCs w:val="14"/>
                <w:b w:val="1"/>
                <w:bCs w:val="1"/>
                <w:color w:val="auto"/>
                <w:w w:val="92"/>
              </w:rPr>
              <w:t>Recorded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Related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9"/>
              </w:rPr>
              <w:t>Recorded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center"/>
              <w:ind w:right="53"/>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center"/>
              <w:ind w:right="34"/>
              <w:spacing w:after="0"/>
              <w:rPr>
                <w:sz w:val="20"/>
                <w:szCs w:val="20"/>
                <w:color w:val="auto"/>
              </w:rPr>
            </w:pPr>
            <w:r>
              <w:rPr>
                <w:rFonts w:ascii="Arial" w:cs="Arial" w:eastAsia="Arial" w:hAnsi="Arial"/>
                <w:sz w:val="14"/>
                <w:szCs w:val="14"/>
                <w:b w:val="1"/>
                <w:bCs w:val="1"/>
                <w:color w:val="auto"/>
                <w:w w:val="92"/>
              </w:rPr>
              <w:t>Allowance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Allowance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gridSpan w:val="6"/>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Allowance</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Investment</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79"/>
              </w:rPr>
              <w:t>2018</w:t>
            </w:r>
          </w:p>
        </w:tc>
        <w:tc>
          <w:tcPr>
            <w:tcW w:w="3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gridSpan w:val="3"/>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2,274</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1,819</w:t>
            </w:r>
          </w:p>
        </w:tc>
        <w:tc>
          <w:tcPr>
            <w:tcW w:w="5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center"/>
              <w:ind w:left="70"/>
              <w:spacing w:after="0"/>
              <w:rPr>
                <w:sz w:val="20"/>
                <w:szCs w:val="20"/>
                <w:color w:val="auto"/>
              </w:rPr>
            </w:pPr>
            <w:r>
              <w:rPr>
                <w:rFonts w:ascii="Arial" w:cs="Arial" w:eastAsia="Arial" w:hAnsi="Arial"/>
                <w:sz w:val="18"/>
                <w:szCs w:val="18"/>
                <w:color w:val="auto"/>
                <w:w w:val="99"/>
              </w:rPr>
              <w:t>$</w:t>
            </w:r>
          </w:p>
        </w:tc>
        <w:tc>
          <w:tcPr>
            <w:tcW w:w="740" w:type="dxa"/>
            <w:vAlign w:val="bottom"/>
            <w:gridSpan w:val="5"/>
          </w:tcPr>
          <w:p>
            <w:pPr>
              <w:jc w:val="right"/>
              <w:spacing w:after="0"/>
              <w:rPr>
                <w:sz w:val="20"/>
                <w:szCs w:val="20"/>
                <w:color w:val="auto"/>
              </w:rPr>
            </w:pPr>
            <w:r>
              <w:rPr>
                <w:rFonts w:ascii="Arial" w:cs="Arial" w:eastAsia="Arial" w:hAnsi="Arial"/>
                <w:sz w:val="18"/>
                <w:szCs w:val="18"/>
                <w:color w:val="auto"/>
              </w:rPr>
              <w:t>1,819</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4,590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specialized</w:t>
            </w: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3,742</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gridSpan w:val="3"/>
          </w:tcPr>
          <w:p>
            <w:pPr>
              <w:spacing w:after="0"/>
              <w:rPr>
                <w:sz w:val="20"/>
                <w:szCs w:val="20"/>
                <w:color w:val="auto"/>
              </w:rPr>
            </w:pPr>
            <w:r>
              <w:rPr>
                <w:rFonts w:ascii="Arial" w:cs="Arial" w:eastAsia="Arial" w:hAnsi="Arial"/>
                <w:sz w:val="18"/>
                <w:szCs w:val="18"/>
                <w:color w:val="auto"/>
              </w:rPr>
              <w:t>Commercial - general</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4,758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240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2,710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5"/>
          </w:tcPr>
          <w:p>
            <w:pPr>
              <w:jc w:val="right"/>
              <w:spacing w:after="0"/>
              <w:rPr>
                <w:sz w:val="20"/>
                <w:szCs w:val="20"/>
                <w:color w:val="auto"/>
              </w:rPr>
            </w:pPr>
            <w:r>
              <w:rPr>
                <w:rFonts w:ascii="Arial" w:cs="Arial" w:eastAsia="Arial" w:hAnsi="Arial"/>
                <w:sz w:val="18"/>
                <w:szCs w:val="18"/>
                <w:color w:val="auto"/>
              </w:rPr>
              <w:t>2,950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233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3,963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w:t>
            </w: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00" w:type="dxa"/>
            <w:vAlign w:val="bottom"/>
            <w:gridSpan w:val="3"/>
          </w:tcPr>
          <w:p>
            <w:pPr>
              <w:ind w:left="160"/>
              <w:spacing w:after="0"/>
              <w:rPr>
                <w:sz w:val="20"/>
                <w:szCs w:val="20"/>
                <w:color w:val="auto"/>
              </w:rPr>
            </w:pPr>
            <w:r>
              <w:rPr>
                <w:rFonts w:ascii="Arial" w:cs="Arial" w:eastAsia="Arial" w:hAnsi="Arial"/>
                <w:sz w:val="18"/>
                <w:szCs w:val="18"/>
                <w:color w:val="auto"/>
              </w:rPr>
              <w:t>1-4 family</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2,894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2,111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364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5"/>
          </w:tcPr>
          <w:p>
            <w:pPr>
              <w:jc w:val="right"/>
              <w:spacing w:after="0"/>
              <w:rPr>
                <w:sz w:val="20"/>
                <w:szCs w:val="20"/>
                <w:color w:val="auto"/>
              </w:rPr>
            </w:pPr>
            <w:r>
              <w:rPr>
                <w:rFonts w:ascii="Arial" w:cs="Arial" w:eastAsia="Arial" w:hAnsi="Arial"/>
                <w:sz w:val="18"/>
                <w:szCs w:val="18"/>
                <w:color w:val="auto"/>
              </w:rPr>
              <w:t>2,475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2,881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5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Auto loans</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00" w:type="dxa"/>
            <w:vAlign w:val="bottom"/>
            <w:gridSpan w:val="3"/>
          </w:tcPr>
          <w:p>
            <w:pPr>
              <w:ind w:left="160"/>
              <w:spacing w:after="0"/>
              <w:rPr>
                <w:sz w:val="20"/>
                <w:szCs w:val="20"/>
                <w:color w:val="auto"/>
              </w:rPr>
            </w:pPr>
            <w:r>
              <w:rPr>
                <w:rFonts w:ascii="Arial" w:cs="Arial" w:eastAsia="Arial" w:hAnsi="Arial"/>
                <w:sz w:val="18"/>
                <w:szCs w:val="18"/>
                <w:color w:val="auto"/>
              </w:rPr>
              <w:t>Other consumer</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520" w:type="dxa"/>
            <w:vAlign w:val="bottom"/>
            <w:gridSpan w:val="4"/>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12,042</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6,286</w:t>
            </w:r>
          </w:p>
        </w:tc>
        <w:tc>
          <w:tcPr>
            <w:tcW w:w="5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3,074</w:t>
            </w:r>
          </w:p>
        </w:tc>
        <w:tc>
          <w:tcPr>
            <w:tcW w:w="300" w:type="dxa"/>
            <w:vAlign w:val="bottom"/>
            <w:gridSpan w:val="3"/>
          </w:tcPr>
          <w:p>
            <w:pPr>
              <w:jc w:val="center"/>
              <w:ind w:left="70"/>
              <w:spacing w:after="0"/>
              <w:rPr>
                <w:sz w:val="20"/>
                <w:szCs w:val="20"/>
                <w:color w:val="auto"/>
              </w:rPr>
            </w:pPr>
            <w:r>
              <w:rPr>
                <w:rFonts w:ascii="Arial" w:cs="Arial" w:eastAsia="Arial" w:hAnsi="Arial"/>
                <w:sz w:val="18"/>
                <w:szCs w:val="18"/>
                <w:color w:val="auto"/>
                <w:w w:val="99"/>
              </w:rPr>
              <w:t>$</w:t>
            </w:r>
          </w:p>
        </w:tc>
        <w:tc>
          <w:tcPr>
            <w:tcW w:w="740" w:type="dxa"/>
            <w:vAlign w:val="bottom"/>
            <w:gridSpan w:val="5"/>
          </w:tcPr>
          <w:p>
            <w:pPr>
              <w:jc w:val="right"/>
              <w:spacing w:after="0"/>
              <w:rPr>
                <w:sz w:val="20"/>
                <w:szCs w:val="20"/>
                <w:color w:val="auto"/>
              </w:rPr>
            </w:pPr>
            <w:r>
              <w:rPr>
                <w:rFonts w:ascii="Arial" w:cs="Arial" w:eastAsia="Arial" w:hAnsi="Arial"/>
                <w:sz w:val="18"/>
                <w:szCs w:val="18"/>
                <w:color w:val="auto"/>
              </w:rPr>
              <w:t>9,360</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241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15,176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480" w:type="dxa"/>
            <w:vAlign w:val="bottom"/>
            <w:gridSpan w:val="2"/>
          </w:tcPr>
          <w:p>
            <w:pPr>
              <w:spacing w:after="0" w:line="189" w:lineRule="exact"/>
              <w:rPr>
                <w:sz w:val="20"/>
                <w:szCs w:val="20"/>
                <w:color w:val="auto"/>
              </w:rPr>
            </w:pPr>
            <w:r>
              <w:rPr>
                <w:rFonts w:ascii="Arial" w:cs="Arial" w:eastAsia="Arial" w:hAnsi="Arial"/>
                <w:sz w:val="18"/>
                <w:szCs w:val="18"/>
                <w:color w:val="auto"/>
              </w:rPr>
              <w:t>2017</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auto"/>
            </w:tcBorders>
            <w:vMerge w:val="restart"/>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3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7,815</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7,360</w:t>
            </w:r>
          </w:p>
        </w:tc>
        <w:tc>
          <w:tcPr>
            <w:tcW w:w="5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3"/>
            <w:shd w:val="clear" w:color="auto" w:fill="CCEEFF"/>
          </w:tcPr>
          <w:p>
            <w:pPr>
              <w:jc w:val="center"/>
              <w:ind w:left="70"/>
              <w:spacing w:after="0"/>
              <w:rPr>
                <w:sz w:val="20"/>
                <w:szCs w:val="20"/>
                <w:color w:val="auto"/>
              </w:rPr>
            </w:pPr>
            <w:r>
              <w:rPr>
                <w:rFonts w:ascii="Arial" w:cs="Arial" w:eastAsia="Arial" w:hAnsi="Arial"/>
                <w:sz w:val="18"/>
                <w:szCs w:val="18"/>
                <w:color w:val="auto"/>
                <w:w w:val="99"/>
              </w:rPr>
              <w:t>$</w:t>
            </w:r>
          </w:p>
        </w:tc>
        <w:tc>
          <w:tcPr>
            <w:tcW w:w="7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7,360</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gridSpan w:val="3"/>
          </w:tcPr>
          <w:p>
            <w:pPr>
              <w:spacing w:after="0"/>
              <w:rPr>
                <w:sz w:val="20"/>
                <w:szCs w:val="20"/>
                <w:color w:val="auto"/>
              </w:rPr>
            </w:pPr>
            <w:r>
              <w:rPr>
                <w:rFonts w:ascii="Arial" w:cs="Arial" w:eastAsia="Arial" w:hAnsi="Arial"/>
                <w:sz w:val="18"/>
                <w:szCs w:val="18"/>
                <w:color w:val="auto"/>
              </w:rPr>
              <w:t>Commercial - specialized</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6,074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5,367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5"/>
          </w:tcPr>
          <w:p>
            <w:pPr>
              <w:jc w:val="right"/>
              <w:spacing w:after="0"/>
              <w:rPr>
                <w:sz w:val="20"/>
                <w:szCs w:val="20"/>
                <w:color w:val="auto"/>
              </w:rPr>
            </w:pPr>
            <w:r>
              <w:rPr>
                <w:rFonts w:ascii="Arial" w:cs="Arial" w:eastAsia="Arial" w:hAnsi="Arial"/>
                <w:sz w:val="18"/>
                <w:szCs w:val="18"/>
                <w:color w:val="auto"/>
              </w:rPr>
              <w:t>5,367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5,244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7,433</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3,659</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4,975</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4,901</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0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5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1-4 family</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2,888</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3,287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00" w:type="dxa"/>
            <w:vAlign w:val="bottom"/>
            <w:gridSpan w:val="3"/>
          </w:tcPr>
          <w:p>
            <w:pPr>
              <w:ind w:left="160"/>
              <w:spacing w:after="0"/>
              <w:rPr>
                <w:sz w:val="20"/>
                <w:szCs w:val="20"/>
                <w:color w:val="auto"/>
              </w:rPr>
            </w:pPr>
            <w:r>
              <w:rPr>
                <w:rFonts w:ascii="Arial" w:cs="Arial" w:eastAsia="Arial" w:hAnsi="Arial"/>
                <w:sz w:val="18"/>
                <w:szCs w:val="18"/>
                <w:color w:val="auto"/>
              </w:rPr>
              <w:t>Auto loans</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5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Other consumer</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25,259</w:t>
            </w: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19,274</w:t>
            </w:r>
          </w:p>
        </w:tc>
        <w:tc>
          <w:tcPr>
            <w:tcW w:w="1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20,989</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17,922</w:t>
            </w:r>
          </w:p>
        </w:tc>
        <w:tc>
          <w:tcPr>
            <w:tcW w:w="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All impaired loans $250,000 and greater were specifically evaluated for impairment. Interest income recognized using a cash-basis method on impaired loans for 2018 and 2017 was not significant. Additional funds committed to be advanced on impaired loans are not significant.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70" w:name="page171"/>
    <w:bookmarkEnd w:id="170"/>
    <w:p>
      <w:pPr>
        <w:ind w:left="7"/>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27"/>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07"/>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ind w:right="-6"/>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74" w:lineRule="exact"/>
        <w:rPr>
          <w:sz w:val="20"/>
          <w:szCs w:val="20"/>
          <w:color w:val="auto"/>
        </w:rPr>
      </w:pPr>
    </w:p>
    <w:p>
      <w:pPr>
        <w:ind w:left="367" w:hanging="367"/>
        <w:spacing w:after="0"/>
        <w:tabs>
          <w:tab w:leader="none" w:pos="367" w:val="left"/>
        </w:tabs>
        <w:numPr>
          <w:ilvl w:val="0"/>
          <w:numId w:val="8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LOANS (Continued)</w:t>
      </w:r>
    </w:p>
    <w:p>
      <w:pPr>
        <w:spacing w:after="0" w:line="63" w:lineRule="exact"/>
        <w:rPr>
          <w:sz w:val="20"/>
          <w:szCs w:val="20"/>
          <w:color w:val="auto"/>
        </w:rPr>
      </w:pPr>
    </w:p>
    <w:p>
      <w:pPr>
        <w:ind w:left="7"/>
        <w:spacing w:after="0"/>
        <w:rPr>
          <w:sz w:val="20"/>
          <w:szCs w:val="20"/>
          <w:color w:val="auto"/>
        </w:rPr>
      </w:pPr>
      <w:r>
        <w:rPr>
          <w:rFonts w:ascii="Arial" w:cs="Arial" w:eastAsia="Arial" w:hAnsi="Arial"/>
          <w:sz w:val="18"/>
          <w:szCs w:val="18"/>
          <w:color w:val="auto"/>
        </w:rPr>
        <w:t>The table below provides an age analysis on accruing past-due loans and nonaccrual loans at year-end:</w:t>
      </w:r>
    </w:p>
    <w:p>
      <w:pPr>
        <w:spacing w:after="0" w:line="82"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52"/>
              <w:spacing w:after="0"/>
              <w:rPr>
                <w:sz w:val="20"/>
                <w:szCs w:val="20"/>
                <w:color w:val="auto"/>
              </w:rPr>
            </w:pPr>
            <w:r>
              <w:rPr>
                <w:rFonts w:ascii="Arial" w:cs="Arial" w:eastAsia="Arial" w:hAnsi="Arial"/>
                <w:sz w:val="14"/>
                <w:szCs w:val="14"/>
                <w:b w:val="1"/>
                <w:bCs w:val="1"/>
                <w:color w:val="auto"/>
                <w:w w:val="90"/>
              </w:rPr>
              <w:t>30-89 Days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192"/>
              <w:spacing w:after="0"/>
              <w:rPr>
                <w:sz w:val="20"/>
                <w:szCs w:val="20"/>
                <w:color w:val="auto"/>
              </w:rPr>
            </w:pPr>
            <w:r>
              <w:rPr>
                <w:rFonts w:ascii="Arial" w:cs="Arial" w:eastAsia="Arial" w:hAnsi="Arial"/>
                <w:sz w:val="14"/>
                <w:szCs w:val="14"/>
                <w:b w:val="1"/>
                <w:bCs w:val="1"/>
                <w:color w:val="auto"/>
              </w:rPr>
              <w:t>90 Days or</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112"/>
              <w:spacing w:after="0"/>
              <w:rPr>
                <w:sz w:val="20"/>
                <w:szCs w:val="20"/>
                <w:color w:val="auto"/>
              </w:rPr>
            </w:pPr>
            <w:r>
              <w:rPr>
                <w:rFonts w:ascii="Arial" w:cs="Arial" w:eastAsia="Arial" w:hAnsi="Arial"/>
                <w:sz w:val="14"/>
                <w:szCs w:val="14"/>
                <w:b w:val="1"/>
                <w:bCs w:val="1"/>
                <w:color w:val="auto"/>
              </w:rPr>
              <w:t>Past Due</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72"/>
              <w:spacing w:after="0"/>
              <w:rPr>
                <w:sz w:val="20"/>
                <w:szCs w:val="20"/>
                <w:color w:val="auto"/>
              </w:rPr>
            </w:pPr>
            <w:r>
              <w:rPr>
                <w:rFonts w:ascii="Arial" w:cs="Arial" w:eastAsia="Arial" w:hAnsi="Arial"/>
                <w:sz w:val="14"/>
                <w:szCs w:val="14"/>
                <w:b w:val="1"/>
                <w:bCs w:val="1"/>
                <w:color w:val="auto"/>
                <w:w w:val="94"/>
              </w:rPr>
              <w:t>More Past Due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Nonaccrual</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79"/>
              </w:rPr>
              <w:t>2018</w:t>
            </w:r>
          </w:p>
        </w:tc>
        <w:tc>
          <w:tcPr>
            <w:tcW w:w="56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1,748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specialized</w:t>
            </w: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2,550</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Commercial - general</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2,625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2,134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w:t>
            </w: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gridSpan w:val="2"/>
          </w:tcPr>
          <w:p>
            <w:pPr>
              <w:ind w:left="160"/>
              <w:spacing w:after="0"/>
              <w:rPr>
                <w:sz w:val="20"/>
                <w:szCs w:val="20"/>
                <w:color w:val="auto"/>
              </w:rPr>
            </w:pPr>
            <w:r>
              <w:rPr>
                <w:rFonts w:ascii="Arial" w:cs="Arial" w:eastAsia="Arial" w:hAnsi="Arial"/>
                <w:sz w:val="18"/>
                <w:szCs w:val="18"/>
                <w:color w:val="auto"/>
              </w:rPr>
              <w:t>1-4 Family residential</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1,611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1,489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Auto loans</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gridSpan w:val="2"/>
          </w:tcPr>
          <w:p>
            <w:pPr>
              <w:ind w:left="160"/>
              <w:spacing w:after="0"/>
              <w:rPr>
                <w:sz w:val="20"/>
                <w:szCs w:val="20"/>
                <w:color w:val="auto"/>
              </w:rPr>
            </w:pPr>
            <w:r>
              <w:rPr>
                <w:rFonts w:ascii="Arial" w:cs="Arial" w:eastAsia="Arial" w:hAnsi="Arial"/>
                <w:sz w:val="18"/>
                <w:szCs w:val="18"/>
                <w:color w:val="auto"/>
              </w:rPr>
              <w:t>Other consumer</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1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960" w:type="dxa"/>
            <w:vAlign w:val="bottom"/>
            <w:gridSpan w:val="3"/>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8,684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564</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6,390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56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940" w:type="dxa"/>
            <w:vAlign w:val="bottom"/>
            <w:gridSpan w:val="2"/>
          </w:tcPr>
          <w:p>
            <w:pPr>
              <w:spacing w:after="0" w:line="189" w:lineRule="exact"/>
              <w:rPr>
                <w:sz w:val="20"/>
                <w:szCs w:val="20"/>
                <w:color w:val="auto"/>
              </w:rPr>
            </w:pPr>
            <w:r>
              <w:rPr>
                <w:rFonts w:ascii="Arial" w:cs="Arial" w:eastAsia="Arial" w:hAnsi="Arial"/>
                <w:sz w:val="18"/>
                <w:szCs w:val="18"/>
                <w:color w:val="auto"/>
              </w:rPr>
              <w:t>2017</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auto"/>
            </w:tcBorders>
            <w:vMerge w:val="restart"/>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5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5,558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Commercial - specialized</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1,587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3,385</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1-4 Family residential</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gridSpan w:val="2"/>
          </w:tcPr>
          <w:p>
            <w:pPr>
              <w:ind w:left="160"/>
              <w:spacing w:after="0"/>
              <w:rPr>
                <w:sz w:val="20"/>
                <w:szCs w:val="20"/>
                <w:color w:val="auto"/>
              </w:rPr>
            </w:pPr>
            <w:r>
              <w:rPr>
                <w:rFonts w:ascii="Arial" w:cs="Arial" w:eastAsia="Arial" w:hAnsi="Arial"/>
                <w:sz w:val="18"/>
                <w:szCs w:val="18"/>
                <w:color w:val="auto"/>
              </w:rPr>
              <w:t>Auto loans</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consumer</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96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5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9,251</w:t>
            </w:r>
          </w:p>
        </w:tc>
        <w:tc>
          <w:tcPr>
            <w:tcW w:w="1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12,704</w:t>
            </w:r>
          </w:p>
        </w:tc>
        <w:tc>
          <w:tcPr>
            <w:tcW w:w="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7" w:right="80"/>
        <w:spacing w:after="0" w:line="259" w:lineRule="auto"/>
        <w:rPr>
          <w:sz w:val="20"/>
          <w:szCs w:val="20"/>
          <w:color w:val="auto"/>
        </w:rPr>
      </w:pPr>
      <w:r>
        <w:rPr>
          <w:rFonts w:ascii="Arial" w:cs="Arial" w:eastAsia="Arial" w:hAnsi="Arial"/>
          <w:sz w:val="18"/>
          <w:szCs w:val="18"/>
          <w:color w:val="auto"/>
        </w:rPr>
        <w:t>The Company grades its loans on a thirteen-point grading scale. These grades fit in one of the following categories: (i) pass, (ii) special mention, (iii) substandard, (iv) doubtful, or (v) loss. Loans categorized as loss are charged-off immediately. The grading of loans reflect a judgment about the risks of default associated with the loan. The Company reviews the grades on loans as part of our on-going monitoring of the credit quality of our loan portfolio.</w:t>
      </w:r>
    </w:p>
    <w:p>
      <w:pPr>
        <w:spacing w:after="0" w:line="79" w:lineRule="exact"/>
        <w:rPr>
          <w:sz w:val="20"/>
          <w:szCs w:val="20"/>
          <w:color w:val="auto"/>
        </w:rPr>
      </w:pPr>
    </w:p>
    <w:p>
      <w:pPr>
        <w:ind w:left="7" w:right="280"/>
        <w:spacing w:after="0" w:line="259" w:lineRule="auto"/>
        <w:rPr>
          <w:sz w:val="20"/>
          <w:szCs w:val="20"/>
          <w:color w:val="auto"/>
        </w:rPr>
      </w:pPr>
      <w:r>
        <w:rPr>
          <w:rFonts w:ascii="Arial" w:cs="Arial" w:eastAsia="Arial" w:hAnsi="Arial"/>
          <w:sz w:val="18"/>
          <w:szCs w:val="18"/>
          <w:color w:val="auto"/>
        </w:rPr>
        <w:t>Pass loans have financial factors or nature of collateral that are considered reasonable credit risks in the normal course of lending and encompass several grades that are assigned based on varying levels of risk, ranging from credits that are secured by cash or marketable securities, to watch credits which have all the characteristics of an acceptable credit risk but warrant more than the normal level of monitoring.</w:t>
      </w:r>
    </w:p>
    <w:p>
      <w:pPr>
        <w:spacing w:after="0" w:line="79" w:lineRule="exact"/>
        <w:rPr>
          <w:sz w:val="20"/>
          <w:szCs w:val="20"/>
          <w:color w:val="auto"/>
        </w:rPr>
      </w:pPr>
    </w:p>
    <w:p>
      <w:pPr>
        <w:ind w:left="7" w:right="420"/>
        <w:spacing w:after="0" w:line="277" w:lineRule="auto"/>
        <w:rPr>
          <w:sz w:val="20"/>
          <w:szCs w:val="20"/>
          <w:color w:val="auto"/>
        </w:rPr>
      </w:pPr>
      <w:r>
        <w:rPr>
          <w:rFonts w:ascii="Arial" w:cs="Arial" w:eastAsia="Arial" w:hAnsi="Arial"/>
          <w:sz w:val="18"/>
          <w:szCs w:val="18"/>
          <w:color w:val="auto"/>
        </w:rPr>
        <w:t>Special mention loans have potential weaknesses that deserve management’s close attention. If left uncorrected, these potential weaknesses may result in deterioration of repayment prospects for the loans at some future date.</w:t>
      </w:r>
    </w:p>
    <w:p>
      <w:pPr>
        <w:spacing w:after="0" w:line="62" w:lineRule="exact"/>
        <w:rPr>
          <w:sz w:val="20"/>
          <w:szCs w:val="20"/>
          <w:color w:val="auto"/>
        </w:rPr>
      </w:pPr>
    </w:p>
    <w:p>
      <w:pPr>
        <w:ind w:left="7" w:right="160"/>
        <w:spacing w:after="0" w:line="289" w:lineRule="auto"/>
        <w:rPr>
          <w:sz w:val="20"/>
          <w:szCs w:val="20"/>
          <w:color w:val="auto"/>
        </w:rPr>
      </w:pPr>
      <w:r>
        <w:rPr>
          <w:rFonts w:ascii="Arial" w:cs="Arial" w:eastAsia="Arial" w:hAnsi="Arial"/>
          <w:sz w:val="16"/>
          <w:szCs w:val="16"/>
          <w:color w:val="auto"/>
        </w:rPr>
        <w:t>Substandard loans are inadequately protected by the current net worth and paying capacity of the borrower or by the collateral pledged, if any. These loans have a well-defined weakness or weaknesses that jeopardize collection and present the distinct possibility that some loss will be sustained if the deficiencies are not corrected. A protracted workout on these credits is a distinct possibility. Prompt corrective action is therefore required to strengthen the Company’s position, and/or to reduce exposure and to assure that adequate remedial measures are taken by the borrower. Credit exposure becomes more likely in such credits and a serious evaluation of the secondary support to the credit is performed. Substandard loans can be accruing or can be nonaccrual depending on the circumstances of the individual loans. Doubtful loans have all the weaknesses inherent in substandard loans with the added characteristics that the weaknesses make collection or liquidation in full on the basis of currently existing facts, conditions, and values highly questionable and improbable. All doubtful loans are on nonaccrual.</w:t>
      </w:r>
    </w:p>
    <w:p>
      <w:pPr>
        <w:spacing w:after="0" w:line="167"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71" w:name="page172"/>
    <w:bookmarkEnd w:id="17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20"/>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0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2"/>
              </w:rPr>
              <w:t>3.</w:t>
            </w:r>
          </w:p>
        </w:tc>
        <w:tc>
          <w:tcPr>
            <w:tcW w:w="200" w:type="dxa"/>
            <w:vAlign w:val="bottom"/>
          </w:tcPr>
          <w:p>
            <w:pPr>
              <w:spacing w:after="0"/>
              <w:rPr>
                <w:sz w:val="20"/>
                <w:szCs w:val="20"/>
                <w:color w:val="auto"/>
              </w:rPr>
            </w:pPr>
          </w:p>
        </w:tc>
        <w:tc>
          <w:tcPr>
            <w:tcW w:w="36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LOANS (Continued)</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60" w:type="dxa"/>
            <w:vAlign w:val="bottom"/>
            <w:gridSpan w:val="11"/>
          </w:tcPr>
          <w:p>
            <w:pPr>
              <w:spacing w:after="0"/>
              <w:rPr>
                <w:sz w:val="20"/>
                <w:szCs w:val="20"/>
                <w:color w:val="auto"/>
              </w:rPr>
            </w:pPr>
            <w:r>
              <w:rPr>
                <w:rFonts w:ascii="Arial" w:cs="Arial" w:eastAsia="Arial" w:hAnsi="Arial"/>
                <w:sz w:val="18"/>
                <w:szCs w:val="18"/>
                <w:color w:val="auto"/>
                <w:w w:val="95"/>
              </w:rPr>
              <w:t>The following table summarizes the internal classifications of loans at year-end:</w:t>
            </w: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72"/>
              <w:spacing w:after="0"/>
              <w:rPr>
                <w:sz w:val="20"/>
                <w:szCs w:val="20"/>
                <w:color w:val="auto"/>
              </w:rPr>
            </w:pPr>
            <w:r>
              <w:rPr>
                <w:rFonts w:ascii="Arial" w:cs="Arial" w:eastAsia="Arial" w:hAnsi="Arial"/>
                <w:sz w:val="14"/>
                <w:szCs w:val="14"/>
                <w:b w:val="1"/>
                <w:bCs w:val="1"/>
                <w:color w:val="auto"/>
                <w:w w:val="97"/>
              </w:rPr>
              <w:t>Special</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ind w:right="311"/>
              <w:spacing w:after="0"/>
              <w:rPr>
                <w:sz w:val="20"/>
                <w:szCs w:val="20"/>
                <w:color w:val="auto"/>
              </w:rPr>
            </w:pPr>
            <w:r>
              <w:rPr>
                <w:rFonts w:ascii="Arial" w:cs="Arial" w:eastAsia="Arial" w:hAnsi="Arial"/>
                <w:sz w:val="14"/>
                <w:szCs w:val="14"/>
                <w:b w:val="1"/>
                <w:bCs w:val="1"/>
                <w:color w:val="auto"/>
              </w:rPr>
              <w:t>Pass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b w:val="1"/>
                <w:bCs w:val="1"/>
                <w:color w:val="auto"/>
                <w:w w:val="96"/>
              </w:rPr>
              <w:t>Mention</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51"/>
              <w:spacing w:after="0"/>
              <w:rPr>
                <w:sz w:val="20"/>
                <w:szCs w:val="20"/>
                <w:color w:val="auto"/>
              </w:rPr>
            </w:pPr>
            <w:r>
              <w:rPr>
                <w:rFonts w:ascii="Arial" w:cs="Arial" w:eastAsia="Arial" w:hAnsi="Arial"/>
                <w:sz w:val="14"/>
                <w:szCs w:val="14"/>
                <w:b w:val="1"/>
                <w:bCs w:val="1"/>
                <w:color w:val="auto"/>
                <w:w w:val="91"/>
              </w:rPr>
              <w:t>Substandard</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Doubtful</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3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79"/>
              </w:rPr>
              <w:t>2018</w:t>
            </w:r>
          </w:p>
        </w:tc>
        <w:tc>
          <w:tcPr>
            <w:tcW w:w="36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CCEEFF"/>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rPr>
              <w:t>Commercial real estate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514,249</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17,300</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6,488</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538,037</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 specialized</w:t>
            </w: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301,289</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3,733</w:t>
            </w:r>
          </w:p>
        </w:tc>
        <w:tc>
          <w:tcPr>
            <w:tcW w:w="80" w:type="dxa"/>
            <w:vAlign w:val="bottom"/>
            <w:shd w:val="clear" w:color="auto" w:fill="CCEEFF"/>
          </w:tcPr>
          <w:p>
            <w:pPr>
              <w:spacing w:after="0"/>
              <w:rPr>
                <w:sz w:val="22"/>
                <w:szCs w:val="22"/>
                <w:color w:val="auto"/>
              </w:rPr>
            </w:pPr>
          </w:p>
        </w:tc>
        <w:tc>
          <w:tcPr>
            <w:tcW w:w="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305,022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rPr>
              <w:t>Commercial - general</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415,675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1,449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10,604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427,728</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Consumer:</w:t>
            </w: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tcBorders>
              <w:right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60" w:type="dxa"/>
            <w:vAlign w:val="bottom"/>
            <w:gridSpan w:val="3"/>
          </w:tcPr>
          <w:p>
            <w:pPr>
              <w:ind w:left="20"/>
              <w:spacing w:after="0"/>
              <w:rPr>
                <w:sz w:val="20"/>
                <w:szCs w:val="20"/>
                <w:color w:val="auto"/>
              </w:rPr>
            </w:pPr>
            <w:r>
              <w:rPr>
                <w:rFonts w:ascii="Arial" w:cs="Arial" w:eastAsia="Arial" w:hAnsi="Arial"/>
                <w:sz w:val="18"/>
                <w:szCs w:val="18"/>
                <w:color w:val="auto"/>
              </w:rPr>
              <w:t>1-4 family residential</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340,836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5,317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346,153</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Auto loans</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191,435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80" w:type="dxa"/>
            <w:vAlign w:val="bottom"/>
            <w:shd w:val="clear" w:color="auto" w:fill="CCEEFF"/>
          </w:tcPr>
          <w:p>
            <w:pPr>
              <w:spacing w:after="0"/>
              <w:rPr>
                <w:sz w:val="21"/>
                <w:szCs w:val="21"/>
                <w:color w:val="auto"/>
              </w:rPr>
            </w:pPr>
          </w:p>
        </w:tc>
        <w:tc>
          <w:tcPr>
            <w:tcW w:w="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191,647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60" w:type="dxa"/>
            <w:vAlign w:val="bottom"/>
            <w:gridSpan w:val="3"/>
          </w:tcPr>
          <w:p>
            <w:pPr>
              <w:ind w:left="20"/>
              <w:spacing w:after="0"/>
              <w:rPr>
                <w:sz w:val="20"/>
                <w:szCs w:val="20"/>
                <w:color w:val="auto"/>
              </w:rPr>
            </w:pPr>
            <w:r>
              <w:rPr>
                <w:rFonts w:ascii="Arial" w:cs="Arial" w:eastAsia="Arial" w:hAnsi="Arial"/>
                <w:sz w:val="18"/>
                <w:szCs w:val="18"/>
                <w:color w:val="auto"/>
              </w:rPr>
              <w:t>Other consumer</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70,075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70,209</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9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Construction</w:t>
            </w: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78,401</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auto"/>
              <w:right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78,401</w:t>
            </w:r>
          </w:p>
        </w:tc>
        <w:tc>
          <w:tcPr>
            <w:tcW w:w="0" w:type="dxa"/>
            <w:vAlign w:val="bottom"/>
          </w:tcPr>
          <w:p>
            <w:pPr>
              <w:spacing w:after="0"/>
              <w:rPr>
                <w:sz w:val="1"/>
                <w:szCs w:val="1"/>
                <w:color w:val="auto"/>
              </w:rPr>
            </w:pPr>
          </w:p>
        </w:tc>
      </w:tr>
      <w:tr>
        <w:trPr>
          <w:trHeight w:val="223"/>
        </w:trPr>
        <w:tc>
          <w:tcPr>
            <w:tcW w:w="4020" w:type="dxa"/>
            <w:vAlign w:val="bottom"/>
            <w:gridSpan w:val="5"/>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1,911,960</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18,749</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26,488</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w w:val="94"/>
              </w:rPr>
              <w:t>1,957,197</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40" w:type="dxa"/>
            <w:vAlign w:val="bottom"/>
            <w:gridSpan w:val="2"/>
            <w:shd w:val="clear" w:color="auto" w:fill="CCEEFF"/>
          </w:tcPr>
          <w:p>
            <w:pPr>
              <w:spacing w:after="0"/>
              <w:rPr>
                <w:sz w:val="21"/>
                <w:szCs w:val="21"/>
                <w:color w:val="auto"/>
              </w:rPr>
            </w:pPr>
          </w:p>
        </w:tc>
        <w:tc>
          <w:tcPr>
            <w:tcW w:w="36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980" w:type="dxa"/>
            <w:vAlign w:val="bottom"/>
            <w:gridSpan w:val="3"/>
          </w:tcPr>
          <w:p>
            <w:pPr>
              <w:spacing w:after="0" w:line="189" w:lineRule="exact"/>
              <w:rPr>
                <w:sz w:val="20"/>
                <w:szCs w:val="20"/>
                <w:color w:val="auto"/>
              </w:rPr>
            </w:pPr>
            <w:r>
              <w:rPr>
                <w:rFonts w:ascii="Arial" w:cs="Arial" w:eastAsia="Arial" w:hAnsi="Arial"/>
                <w:sz w:val="18"/>
                <w:szCs w:val="18"/>
                <w:color w:val="auto"/>
              </w:rPr>
              <w:t>2017</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auto"/>
            </w:tcBorders>
            <w:vMerge w:val="restart"/>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3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4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495,860</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9,801</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506,894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rPr>
              <w:t>Commercial - specialized</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322,424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6,695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329,119</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397,390</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4,037</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8,150</w:t>
            </w:r>
          </w:p>
        </w:tc>
        <w:tc>
          <w:tcPr>
            <w:tcW w:w="80" w:type="dxa"/>
            <w:vAlign w:val="bottom"/>
            <w:shd w:val="clear" w:color="auto" w:fill="CCEEFF"/>
          </w:tcPr>
          <w:p>
            <w:pPr>
              <w:spacing w:after="0"/>
              <w:rPr>
                <w:sz w:val="22"/>
                <w:szCs w:val="22"/>
                <w:color w:val="auto"/>
              </w:rPr>
            </w:pPr>
          </w:p>
        </w:tc>
        <w:tc>
          <w:tcPr>
            <w:tcW w:w="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80" w:type="dxa"/>
            <w:vAlign w:val="bottom"/>
            <w:tcBorders>
              <w:right w:val="single" w:sz="8" w:color="CCEEFF"/>
            </w:tcBorders>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410,057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rPr>
              <w:t>Consumer:</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1-4 family residential</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306,743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6,607</w:t>
            </w:r>
          </w:p>
        </w:tc>
        <w:tc>
          <w:tcPr>
            <w:tcW w:w="80" w:type="dxa"/>
            <w:vAlign w:val="bottom"/>
            <w:shd w:val="clear" w:color="auto" w:fill="CCEEFF"/>
          </w:tcPr>
          <w:p>
            <w:pPr>
              <w:spacing w:after="0"/>
              <w:rPr>
                <w:sz w:val="21"/>
                <w:szCs w:val="21"/>
                <w:color w:val="auto"/>
              </w:rPr>
            </w:pPr>
          </w:p>
        </w:tc>
        <w:tc>
          <w:tcPr>
            <w:tcW w:w="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313,350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60" w:type="dxa"/>
            <w:vAlign w:val="bottom"/>
            <w:gridSpan w:val="3"/>
          </w:tcPr>
          <w:p>
            <w:pPr>
              <w:ind w:left="20"/>
              <w:spacing w:after="0"/>
              <w:rPr>
                <w:sz w:val="20"/>
                <w:szCs w:val="20"/>
                <w:color w:val="auto"/>
              </w:rPr>
            </w:pPr>
            <w:r>
              <w:rPr>
                <w:rFonts w:ascii="Arial" w:cs="Arial" w:eastAsia="Arial" w:hAnsi="Arial"/>
                <w:sz w:val="18"/>
                <w:szCs w:val="18"/>
                <w:color w:val="auto"/>
              </w:rPr>
              <w:t>Auto loans</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146,489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146,622</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consumer</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65,959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80" w:type="dxa"/>
            <w:vAlign w:val="bottom"/>
            <w:shd w:val="clear" w:color="auto" w:fill="CCEEFF"/>
          </w:tcPr>
          <w:p>
            <w:pPr>
              <w:spacing w:after="0"/>
              <w:rPr>
                <w:sz w:val="21"/>
                <w:szCs w:val="21"/>
                <w:color w:val="auto"/>
              </w:rPr>
            </w:pPr>
          </w:p>
        </w:tc>
        <w:tc>
          <w:tcPr>
            <w:tcW w:w="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66,191</w:t>
            </w:r>
          </w:p>
        </w:tc>
        <w:tc>
          <w:tcPr>
            <w:tcW w:w="0" w:type="dxa"/>
            <w:vAlign w:val="bottom"/>
          </w:tcPr>
          <w:p>
            <w:pPr>
              <w:spacing w:after="0"/>
              <w:rPr>
                <w:sz w:val="1"/>
                <w:szCs w:val="1"/>
                <w:color w:val="auto"/>
              </w:rPr>
            </w:pPr>
          </w:p>
        </w:tc>
      </w:tr>
      <w:tr>
        <w:trPr>
          <w:trHeight w:val="243"/>
        </w:trPr>
        <w:tc>
          <w:tcPr>
            <w:tcW w:w="4000" w:type="dxa"/>
            <w:vAlign w:val="bottom"/>
            <w:gridSpan w:val="4"/>
          </w:tcPr>
          <w:p>
            <w:pPr>
              <w:spacing w:after="0"/>
              <w:rPr>
                <w:sz w:val="20"/>
                <w:szCs w:val="20"/>
                <w:color w:val="auto"/>
              </w:rPr>
            </w:pPr>
            <w:r>
              <w:rPr>
                <w:rFonts w:ascii="Arial" w:cs="Arial" w:eastAsia="Arial" w:hAnsi="Arial"/>
                <w:sz w:val="18"/>
                <w:szCs w:val="18"/>
                <w:color w:val="auto"/>
              </w:rPr>
              <w:t>Construction</w:t>
            </w: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65,847</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65,922</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9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1,800,712</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5,270</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31,693</w:t>
            </w:r>
          </w:p>
        </w:tc>
        <w:tc>
          <w:tcPr>
            <w:tcW w:w="160" w:type="dxa"/>
            <w:vAlign w:val="bottom"/>
            <w:tcBorders>
              <w:bottom w:val="single" w:sz="8" w:color="CCEEFF"/>
              <w:right w:val="single" w:sz="8" w:color="CCEEFF"/>
            </w:tcBorders>
            <w:gridSpan w:val="2"/>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80" w:type="dxa"/>
            <w:vAlign w:val="bottom"/>
            <w:tcBorders>
              <w:bottom w:val="single" w:sz="8" w:color="CCEEFF"/>
              <w:right w:val="single" w:sz="8" w:color="CCEEFF"/>
            </w:tcBorders>
            <w:shd w:val="clear" w:color="auto" w:fill="CCEEFF"/>
          </w:tcPr>
          <w:p>
            <w:pPr>
              <w:spacing w:after="0"/>
              <w:rPr>
                <w:sz w:val="23"/>
                <w:szCs w:val="23"/>
                <w:color w:val="auto"/>
              </w:rPr>
            </w:pPr>
          </w:p>
        </w:tc>
        <w:tc>
          <w:tcPr>
            <w:tcW w:w="1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4"/>
              </w:rPr>
              <w:t>1,838,155</w:t>
            </w:r>
          </w:p>
        </w:tc>
        <w:tc>
          <w:tcPr>
            <w:tcW w:w="0" w:type="dxa"/>
            <w:vAlign w:val="bottom"/>
          </w:tcPr>
          <w:p>
            <w:pPr>
              <w:spacing w:after="0"/>
              <w:rPr>
                <w:sz w:val="1"/>
                <w:szCs w:val="1"/>
                <w:color w:val="auto"/>
              </w:rPr>
            </w:pPr>
          </w:p>
        </w:tc>
      </w:tr>
      <w:tr>
        <w:trPr>
          <w:trHeight w:val="324"/>
        </w:trPr>
        <w:tc>
          <w:tcPr>
            <w:tcW w:w="5100" w:type="dxa"/>
            <w:vAlign w:val="bottom"/>
            <w:gridSpan w:val="7"/>
          </w:tcPr>
          <w:p>
            <w:pPr>
              <w:spacing w:after="0"/>
              <w:rPr>
                <w:sz w:val="20"/>
                <w:szCs w:val="20"/>
                <w:color w:val="auto"/>
              </w:rPr>
            </w:pPr>
            <w:r>
              <w:rPr>
                <w:rFonts w:ascii="Arial" w:cs="Arial" w:eastAsia="Arial" w:hAnsi="Arial"/>
                <w:sz w:val="18"/>
                <w:szCs w:val="18"/>
                <w:color w:val="auto"/>
                <w:w w:val="96"/>
              </w:rPr>
              <w:t>There were no troubled debt restructurings during 2018 and 2017.</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2"/>
              </w:rPr>
              <w:t>4.</w:t>
            </w:r>
          </w:p>
        </w:tc>
        <w:tc>
          <w:tcPr>
            <w:tcW w:w="3860" w:type="dxa"/>
            <w:vAlign w:val="bottom"/>
            <w:gridSpan w:val="3"/>
          </w:tcPr>
          <w:p>
            <w:pPr>
              <w:ind w:left="180"/>
              <w:spacing w:after="0"/>
              <w:rPr>
                <w:sz w:val="20"/>
                <w:szCs w:val="20"/>
                <w:color w:val="auto"/>
              </w:rPr>
            </w:pPr>
            <w:r>
              <w:rPr>
                <w:rFonts w:ascii="Arial" w:cs="Arial" w:eastAsia="Arial" w:hAnsi="Arial"/>
                <w:sz w:val="18"/>
                <w:szCs w:val="18"/>
                <w:b w:val="1"/>
                <w:bCs w:val="1"/>
                <w:i w:val="1"/>
                <w:iCs w:val="1"/>
                <w:color w:val="auto"/>
              </w:rPr>
              <w:t>FORECLOSED ASSETS</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20" w:type="dxa"/>
            <w:vAlign w:val="bottom"/>
            <w:gridSpan w:val="5"/>
          </w:tcPr>
          <w:p>
            <w:pPr>
              <w:spacing w:after="0"/>
              <w:rPr>
                <w:sz w:val="20"/>
                <w:szCs w:val="20"/>
                <w:color w:val="auto"/>
              </w:rPr>
            </w:pPr>
            <w:r>
              <w:rPr>
                <w:rFonts w:ascii="Arial" w:cs="Arial" w:eastAsia="Arial" w:hAnsi="Arial"/>
                <w:sz w:val="18"/>
                <w:szCs w:val="18"/>
                <w:color w:val="auto"/>
              </w:rPr>
              <w:t>Foreclosed assets activity was as follows:</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2,830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rPr>
              <w:t>Additions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6,473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1,953</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Sales, net</w:t>
            </w: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(6,733)</w:t>
            </w:r>
          </w:p>
        </w:tc>
        <w:tc>
          <w:tcPr>
            <w:tcW w:w="12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(6,434)</w:t>
            </w:r>
          </w:p>
        </w:tc>
        <w:tc>
          <w:tcPr>
            <w:tcW w:w="0" w:type="dxa"/>
            <w:vAlign w:val="bottom"/>
          </w:tcPr>
          <w:p>
            <w:pPr>
              <w:spacing w:after="0"/>
              <w:rPr>
                <w:sz w:val="1"/>
                <w:szCs w:val="1"/>
                <w:color w:val="auto"/>
              </w:rPr>
            </w:pPr>
          </w:p>
        </w:tc>
      </w:tr>
      <w:tr>
        <w:trPr>
          <w:trHeight w:val="243"/>
        </w:trPr>
        <w:tc>
          <w:tcPr>
            <w:tcW w:w="4020" w:type="dxa"/>
            <w:vAlign w:val="bottom"/>
            <w:gridSpan w:val="5"/>
          </w:tcPr>
          <w:p>
            <w:pPr>
              <w:spacing w:after="0"/>
              <w:rPr>
                <w:sz w:val="20"/>
                <w:szCs w:val="20"/>
                <w:color w:val="auto"/>
              </w:rPr>
            </w:pPr>
            <w:r>
              <w:rPr>
                <w:rFonts w:ascii="Arial" w:cs="Arial" w:eastAsia="Arial" w:hAnsi="Arial"/>
                <w:sz w:val="18"/>
                <w:szCs w:val="18"/>
                <w:color w:val="auto"/>
              </w:rPr>
              <w:t>Current year valuation write-down</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0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2,285</w:t>
            </w:r>
          </w:p>
        </w:tc>
        <w:tc>
          <w:tcPr>
            <w:tcW w:w="120" w:type="dxa"/>
            <w:vAlign w:val="bottom"/>
            <w:tcBorders>
              <w:bottom w:val="single" w:sz="8" w:color="CCEEFF"/>
              <w:right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2,830</w:t>
            </w:r>
          </w:p>
        </w:tc>
        <w:tc>
          <w:tcPr>
            <w:tcW w:w="0" w:type="dxa"/>
            <w:vAlign w:val="bottom"/>
          </w:tcPr>
          <w:p>
            <w:pPr>
              <w:spacing w:after="0"/>
              <w:rPr>
                <w:sz w:val="1"/>
                <w:szCs w:val="1"/>
                <w:color w:val="auto"/>
              </w:rPr>
            </w:pPr>
          </w:p>
        </w:tc>
      </w:tr>
      <w:tr>
        <w:trPr>
          <w:trHeight w:val="324"/>
        </w:trPr>
        <w:tc>
          <w:tcPr>
            <w:tcW w:w="4020" w:type="dxa"/>
            <w:vAlign w:val="bottom"/>
            <w:gridSpan w:val="5"/>
          </w:tcPr>
          <w:p>
            <w:pPr>
              <w:spacing w:after="0"/>
              <w:rPr>
                <w:sz w:val="20"/>
                <w:szCs w:val="20"/>
                <w:color w:val="auto"/>
              </w:rPr>
            </w:pPr>
            <w:r>
              <w:rPr>
                <w:rFonts w:ascii="Arial" w:cs="Arial" w:eastAsia="Arial" w:hAnsi="Arial"/>
                <w:sz w:val="18"/>
                <w:szCs w:val="18"/>
                <w:color w:val="auto"/>
              </w:rPr>
              <w:t>Activity in the valuation allowance was as follows:</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2,709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rPr>
              <w:t>Current year valuation write-down</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Reductions from sales</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w:t>
            </w:r>
          </w:p>
        </w:tc>
        <w:tc>
          <w:tcPr>
            <w:tcW w:w="1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20" w:type="dxa"/>
            <w:vAlign w:val="bottom"/>
            <w:gridSpan w:val="5"/>
          </w:tcPr>
          <w:p>
            <w:pPr>
              <w:spacing w:after="0"/>
              <w:rPr>
                <w:sz w:val="20"/>
                <w:szCs w:val="20"/>
                <w:color w:val="auto"/>
              </w:rPr>
            </w:pPr>
            <w:r>
              <w:rPr>
                <w:rFonts w:ascii="Arial" w:cs="Arial" w:eastAsia="Arial" w:hAnsi="Arial"/>
                <w:sz w:val="18"/>
                <w:szCs w:val="18"/>
                <w:color w:val="auto"/>
              </w:rPr>
              <w:t>Ending balance</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1,520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vMerge w:val="restart"/>
          </w:tcPr>
          <w:p>
            <w:pPr>
              <w:jc w:val="right"/>
              <w:ind w:right="71"/>
              <w:spacing w:after="0"/>
              <w:rPr>
                <w:sz w:val="20"/>
                <w:szCs w:val="20"/>
                <w:color w:val="auto"/>
              </w:rPr>
            </w:pPr>
            <w:r>
              <w:rPr>
                <w:rFonts w:ascii="Arial" w:cs="Arial" w:eastAsia="Arial" w:hAnsi="Arial"/>
                <w:sz w:val="18"/>
                <w:szCs w:val="18"/>
                <w:color w:val="auto"/>
              </w:rPr>
              <w:t>F-21</w:t>
            </w: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36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8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94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80" w:type="dxa"/>
            <w:vAlign w:val="bottom"/>
            <w:tcBorders>
              <w:right w:val="single" w:sz="8" w:color="auto"/>
            </w:tcBorders>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6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20" w:type="dxa"/>
            <w:vAlign w:val="bottom"/>
            <w:tcBorders>
              <w:right w:val="single" w:sz="8" w:color="auto"/>
            </w:tcBorders>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880" w:type="dxa"/>
            <w:vAlign w:val="bottom"/>
            <w:tcBorders>
              <w:right w:val="single" w:sz="8" w:color="auto"/>
            </w:tcBorders>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9" w:right="1159" w:bottom="1440" w:gutter="0" w:footer="0" w:header="0"/>
        </w:sectPr>
      </w:pPr>
    </w:p>
    <w:bookmarkStart w:id="172" w:name="page173"/>
    <w:bookmarkEnd w:id="1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gridSpan w:val="4"/>
          </w:tcPr>
          <w:p>
            <w:pPr>
              <w:spacing w:after="0"/>
              <w:rPr>
                <w:rFonts w:ascii="Arial" w:cs="Arial" w:eastAsia="Arial" w:hAnsi="Arial"/>
                <w:sz w:val="14"/>
                <w:szCs w:val="14"/>
                <w:b w:val="1"/>
                <w:bCs w:val="1"/>
                <w:color w:val="0000EE"/>
              </w:rPr>
            </w:pPr>
            <w:hyperlink w:anchor="page4">
              <w:r>
                <w:rPr>
                  <w:rFonts w:ascii="Arial" w:cs="Arial" w:eastAsia="Arial" w:hAnsi="Arial"/>
                  <w:sz w:val="14"/>
                  <w:szCs w:val="14"/>
                  <w:b w:val="1"/>
                  <w:bCs w:val="1"/>
                  <w:color w:val="0000EE"/>
                </w:rPr>
                <w:t>TABLE OF CONTENTS</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240" w:type="dxa"/>
            <w:vAlign w:val="bottom"/>
            <w:tcBorders>
              <w:top w:val="single" w:sz="8" w:color="0000EE"/>
            </w:tcBorders>
          </w:tcPr>
          <w:p>
            <w:pPr>
              <w:spacing w:after="0"/>
              <w:rPr>
                <w:sz w:val="24"/>
                <w:szCs w:val="24"/>
                <w:color w:val="auto"/>
              </w:rPr>
            </w:pPr>
          </w:p>
        </w:tc>
        <w:tc>
          <w:tcPr>
            <w:tcW w:w="1300" w:type="dxa"/>
            <w:vAlign w:val="bottom"/>
            <w:tcBorders>
              <w:top w:val="single" w:sz="8" w:color="0000EE"/>
            </w:tcBorders>
          </w:tcPr>
          <w:p>
            <w:pPr>
              <w:spacing w:after="0"/>
              <w:rPr>
                <w:sz w:val="24"/>
                <w:szCs w:val="24"/>
                <w:color w:val="auto"/>
              </w:rPr>
            </w:pPr>
          </w:p>
        </w:tc>
        <w:tc>
          <w:tcPr>
            <w:tcW w:w="5860" w:type="dxa"/>
            <w:vAlign w:val="bottom"/>
            <w:gridSpan w:val="2"/>
          </w:tcPr>
          <w:p>
            <w:pPr>
              <w:jc w:val="center"/>
              <w:ind w:left="510"/>
              <w:spacing w:after="0"/>
              <w:rPr>
                <w:sz w:val="20"/>
                <w:szCs w:val="20"/>
                <w:color w:val="auto"/>
              </w:rPr>
            </w:pPr>
            <w:r>
              <w:rPr>
                <w:rFonts w:ascii="Arial" w:cs="Arial" w:eastAsia="Arial" w:hAnsi="Arial"/>
                <w:sz w:val="18"/>
                <w:szCs w:val="18"/>
                <w:b w:val="1"/>
                <w:bCs w:val="1"/>
                <w:i w:val="1"/>
                <w:iCs w:val="1"/>
                <w:color w:val="auto"/>
                <w:w w:val="98"/>
              </w:rPr>
              <w:t>SOUTH PLAINS FINANCIAL, INC. AND SUBSIDIARIES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860" w:type="dxa"/>
            <w:vAlign w:val="bottom"/>
            <w:gridSpan w:val="2"/>
          </w:tcPr>
          <w:p>
            <w:pPr>
              <w:jc w:val="center"/>
              <w:ind w:left="510"/>
              <w:spacing w:after="0"/>
              <w:rPr>
                <w:sz w:val="20"/>
                <w:szCs w:val="20"/>
                <w:color w:val="auto"/>
              </w:rPr>
            </w:pPr>
            <w:r>
              <w:rPr>
                <w:rFonts w:ascii="Arial" w:cs="Arial" w:eastAsia="Arial" w:hAnsi="Arial"/>
                <w:sz w:val="18"/>
                <w:szCs w:val="18"/>
                <w:b w:val="1"/>
                <w:bCs w:val="1"/>
                <w:i w:val="1"/>
                <w:iCs w:val="1"/>
                <w:color w:val="auto"/>
                <w:w w:val="96"/>
              </w:rPr>
              <w:t>NOTES TO CONSOLIDATED FINANCIAL STATEMENTS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860" w:type="dxa"/>
            <w:vAlign w:val="bottom"/>
            <w:gridSpan w:val="2"/>
          </w:tcPr>
          <w:p>
            <w:pPr>
              <w:jc w:val="center"/>
              <w:ind w:left="530"/>
              <w:spacing w:after="0"/>
              <w:rPr>
                <w:sz w:val="20"/>
                <w:szCs w:val="20"/>
                <w:color w:val="auto"/>
              </w:rPr>
            </w:pPr>
            <w:r>
              <w:rPr>
                <w:rFonts w:ascii="Arial" w:cs="Arial" w:eastAsia="Arial" w:hAnsi="Arial"/>
                <w:sz w:val="18"/>
                <w:szCs w:val="18"/>
                <w:b w:val="1"/>
                <w:bCs w:val="1"/>
                <w:i w:val="1"/>
                <w:iCs w:val="1"/>
                <w:color w:val="auto"/>
                <w:w w:val="87"/>
              </w:rPr>
              <w:t>(Dollar in thousands except per share data) (Continued)</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240" w:type="dxa"/>
            <w:vAlign w:val="bottom"/>
          </w:tcPr>
          <w:p>
            <w:pPr>
              <w:spacing w:after="0"/>
              <w:rPr>
                <w:sz w:val="20"/>
                <w:szCs w:val="20"/>
                <w:color w:val="auto"/>
              </w:rPr>
            </w:pPr>
            <w:r>
              <w:rPr>
                <w:rFonts w:ascii="Arial" w:cs="Arial" w:eastAsia="Arial" w:hAnsi="Arial"/>
                <w:sz w:val="18"/>
                <w:szCs w:val="18"/>
                <w:b w:val="1"/>
                <w:bCs w:val="1"/>
                <w:i w:val="1"/>
                <w:iCs w:val="1"/>
                <w:color w:val="auto"/>
              </w:rPr>
              <w:t>4.</w:t>
            </w:r>
          </w:p>
        </w:tc>
        <w:tc>
          <w:tcPr>
            <w:tcW w:w="7160" w:type="dxa"/>
            <w:vAlign w:val="bottom"/>
            <w:gridSpan w:val="3"/>
          </w:tcPr>
          <w:p>
            <w:pPr>
              <w:ind w:left="120"/>
              <w:spacing w:after="0"/>
              <w:rPr>
                <w:sz w:val="20"/>
                <w:szCs w:val="20"/>
                <w:color w:val="auto"/>
              </w:rPr>
            </w:pPr>
            <w:r>
              <w:rPr>
                <w:rFonts w:ascii="Arial" w:cs="Arial" w:eastAsia="Arial" w:hAnsi="Arial"/>
                <w:sz w:val="18"/>
                <w:szCs w:val="18"/>
                <w:b w:val="1"/>
                <w:bCs w:val="1"/>
                <w:i w:val="1"/>
                <w:iCs w:val="1"/>
                <w:color w:val="auto"/>
              </w:rPr>
              <w:t>FORECLOSED ASSETS (Continued)</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400" w:type="dxa"/>
            <w:vAlign w:val="bottom"/>
            <w:gridSpan w:val="4"/>
          </w:tcPr>
          <w:p>
            <w:pPr>
              <w:spacing w:after="0"/>
              <w:rPr>
                <w:sz w:val="20"/>
                <w:szCs w:val="20"/>
                <w:color w:val="auto"/>
              </w:rPr>
            </w:pPr>
            <w:r>
              <w:rPr>
                <w:rFonts w:ascii="Arial" w:cs="Arial" w:eastAsia="Arial" w:hAnsi="Arial"/>
                <w:sz w:val="18"/>
                <w:szCs w:val="18"/>
                <w:color w:val="auto"/>
              </w:rPr>
              <w:t>Net expenses related to foreclosed assets include:</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(gain) loss on sales</w:t>
            </w:r>
          </w:p>
        </w:tc>
        <w:tc>
          <w:tcPr>
            <w:tcW w:w="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37"/>
        </w:trPr>
        <w:tc>
          <w:tcPr>
            <w:tcW w:w="7400" w:type="dxa"/>
            <w:vAlign w:val="bottom"/>
            <w:gridSpan w:val="4"/>
          </w:tcPr>
          <w:p>
            <w:pPr>
              <w:spacing w:after="0"/>
              <w:rPr>
                <w:sz w:val="20"/>
                <w:szCs w:val="20"/>
                <w:color w:val="auto"/>
              </w:rPr>
            </w:pPr>
            <w:r>
              <w:rPr>
                <w:rFonts w:ascii="Arial" w:cs="Arial" w:eastAsia="Arial" w:hAnsi="Arial"/>
                <w:sz w:val="18"/>
                <w:szCs w:val="18"/>
                <w:color w:val="auto"/>
              </w:rPr>
              <w:t>Current year valuation write-down</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538</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4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Operating expenses, net of rental income</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400" w:type="dxa"/>
            <w:vAlign w:val="bottom"/>
            <w:gridSpan w:val="4"/>
          </w:tcPr>
          <w:p>
            <w:pPr>
              <w:spacing w:after="0"/>
              <w:rPr>
                <w:sz w:val="20"/>
                <w:szCs w:val="20"/>
                <w:color w:val="auto"/>
              </w:rPr>
            </w:pPr>
            <w:r>
              <w:rPr>
                <w:rFonts w:ascii="Arial" w:cs="Arial" w:eastAsia="Arial" w:hAnsi="Arial"/>
                <w:sz w:val="18"/>
                <w:szCs w:val="18"/>
                <w:color w:val="auto"/>
              </w:rPr>
              <w:t>Foreclosed assets expense, net</w:t>
            </w:r>
          </w:p>
        </w:tc>
        <w:tc>
          <w:tcPr>
            <w:tcW w:w="2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479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gridSpan w:val="3"/>
          </w:tcPr>
          <w:p>
            <w:pPr>
              <w:jc w:val="right"/>
              <w:ind w:right="16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5.</w:t>
            </w:r>
          </w:p>
        </w:tc>
        <w:tc>
          <w:tcPr>
            <w:tcW w:w="7160" w:type="dxa"/>
            <w:vAlign w:val="bottom"/>
            <w:gridSpan w:val="3"/>
            <w:vMerge w:val="restart"/>
          </w:tcPr>
          <w:p>
            <w:pPr>
              <w:ind w:left="100"/>
              <w:spacing w:after="0"/>
              <w:rPr>
                <w:sz w:val="20"/>
                <w:szCs w:val="20"/>
                <w:color w:val="auto"/>
              </w:rPr>
            </w:pPr>
            <w:r>
              <w:rPr>
                <w:rFonts w:ascii="Arial" w:cs="Arial" w:eastAsia="Arial" w:hAnsi="Arial"/>
                <w:sz w:val="18"/>
                <w:szCs w:val="18"/>
                <w:b w:val="1"/>
                <w:bCs w:val="1"/>
                <w:i w:val="1"/>
                <w:iCs w:val="1"/>
                <w:color w:val="auto"/>
              </w:rPr>
              <w:t>PREMISES AND EQUIPMENT</w:t>
            </w: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240" w:type="dxa"/>
            <w:vAlign w:val="bottom"/>
            <w:vMerge w:val="continue"/>
          </w:tcPr>
          <w:p>
            <w:pPr>
              <w:spacing w:after="0"/>
              <w:rPr>
                <w:sz w:val="24"/>
                <w:szCs w:val="24"/>
                <w:color w:val="auto"/>
              </w:rPr>
            </w:pPr>
          </w:p>
        </w:tc>
        <w:tc>
          <w:tcPr>
            <w:tcW w:w="716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0" w:type="dxa"/>
            <w:vAlign w:val="bottom"/>
            <w:gridSpan w:val="4"/>
          </w:tcPr>
          <w:p>
            <w:pPr>
              <w:spacing w:after="0"/>
              <w:rPr>
                <w:sz w:val="20"/>
                <w:szCs w:val="20"/>
                <w:color w:val="auto"/>
              </w:rPr>
            </w:pPr>
            <w:r>
              <w:rPr>
                <w:rFonts w:ascii="Arial" w:cs="Arial" w:eastAsia="Arial" w:hAnsi="Arial"/>
                <w:sz w:val="18"/>
                <w:szCs w:val="18"/>
                <w:color w:val="auto"/>
              </w:rPr>
              <w:t>Detail of premises and equipment at year-end follows: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Land</w:t>
            </w:r>
          </w:p>
        </w:tc>
        <w:tc>
          <w:tcPr>
            <w:tcW w:w="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10,121</w:t>
            </w:r>
          </w:p>
        </w:tc>
        <w:tc>
          <w:tcPr>
            <w:tcW w:w="14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10,121</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00" w:type="dxa"/>
            <w:vAlign w:val="bottom"/>
            <w:gridSpan w:val="4"/>
          </w:tcPr>
          <w:p>
            <w:pPr>
              <w:spacing w:after="0"/>
              <w:rPr>
                <w:sz w:val="20"/>
                <w:szCs w:val="20"/>
                <w:color w:val="auto"/>
              </w:rPr>
            </w:pPr>
            <w:r>
              <w:rPr>
                <w:rFonts w:ascii="Arial" w:cs="Arial" w:eastAsia="Arial" w:hAnsi="Arial"/>
                <w:sz w:val="18"/>
                <w:szCs w:val="18"/>
                <w:color w:val="auto"/>
              </w:rPr>
              <w:t>Buildings and improvements</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60,799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60,119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4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41,954</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40,120</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400" w:type="dxa"/>
            <w:vAlign w:val="bottom"/>
            <w:gridSpan w:val="4"/>
          </w:tcPr>
          <w:p>
            <w:pPr>
              <w:spacing w:after="0"/>
              <w:rPr>
                <w:sz w:val="20"/>
                <w:szCs w:val="20"/>
                <w:color w:val="auto"/>
              </w:rPr>
            </w:pPr>
            <w:r>
              <w:rPr>
                <w:rFonts w:ascii="Arial" w:cs="Arial" w:eastAsia="Arial" w:hAnsi="Arial"/>
                <w:sz w:val="18"/>
                <w:szCs w:val="18"/>
                <w:color w:val="auto"/>
              </w:rPr>
              <w:t>Construction in process</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672</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277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5840" w:type="dxa"/>
            <w:vAlign w:val="bottom"/>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113,546</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110,637</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380" w:type="dxa"/>
            <w:vAlign w:val="bottom"/>
            <w:gridSpan w:val="3"/>
          </w:tcPr>
          <w:p>
            <w:pPr>
              <w:spacing w:after="0"/>
              <w:rPr>
                <w:sz w:val="20"/>
                <w:szCs w:val="20"/>
                <w:color w:val="auto"/>
              </w:rPr>
            </w:pPr>
            <w:r>
              <w:rPr>
                <w:rFonts w:ascii="Arial" w:cs="Arial" w:eastAsia="Arial" w:hAnsi="Arial"/>
                <w:sz w:val="18"/>
                <w:szCs w:val="18"/>
                <w:color w:val="auto"/>
              </w:rPr>
              <w:t>Less accumulated depreciation</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(53,759)</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(48,750)</w:t>
            </w:r>
          </w:p>
        </w:tc>
        <w:tc>
          <w:tcPr>
            <w:tcW w:w="0" w:type="dxa"/>
            <w:vAlign w:val="bottom"/>
          </w:tcPr>
          <w:p>
            <w:pPr>
              <w:spacing w:after="0"/>
              <w:rPr>
                <w:sz w:val="1"/>
                <w:szCs w:val="1"/>
                <w:color w:val="auto"/>
              </w:rPr>
            </w:pPr>
          </w:p>
        </w:tc>
      </w:tr>
      <w:tr>
        <w:trPr>
          <w:trHeight w:val="271"/>
        </w:trPr>
        <w:tc>
          <w:tcPr>
            <w:tcW w:w="73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Premises and equipment, net</w:t>
            </w: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59,787</w:t>
            </w:r>
          </w:p>
        </w:tc>
        <w:tc>
          <w:tcPr>
            <w:tcW w:w="1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61,887</w:t>
            </w:r>
          </w:p>
        </w:tc>
        <w:tc>
          <w:tcPr>
            <w:tcW w:w="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7400" w:type="dxa"/>
            <w:vAlign w:val="bottom"/>
            <w:gridSpan w:val="4"/>
          </w:tcPr>
          <w:p>
            <w:pPr>
              <w:spacing w:after="0"/>
              <w:rPr>
                <w:sz w:val="20"/>
                <w:szCs w:val="20"/>
                <w:color w:val="auto"/>
              </w:rPr>
            </w:pPr>
            <w:r>
              <w:rPr>
                <w:rFonts w:ascii="Arial" w:cs="Arial" w:eastAsia="Arial" w:hAnsi="Arial"/>
                <w:sz w:val="18"/>
                <w:szCs w:val="18"/>
                <w:color w:val="auto"/>
              </w:rPr>
              <w:t>Depreciation expense was approximately $5.2 million in 2018 and $5.3 million in 2017.</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40" w:type="dxa"/>
            <w:vAlign w:val="bottom"/>
          </w:tcPr>
          <w:p>
            <w:pPr>
              <w:spacing w:after="0"/>
              <w:rPr>
                <w:sz w:val="20"/>
                <w:szCs w:val="20"/>
                <w:color w:val="auto"/>
              </w:rPr>
            </w:pPr>
            <w:r>
              <w:rPr>
                <w:rFonts w:ascii="Arial" w:cs="Arial" w:eastAsia="Arial" w:hAnsi="Arial"/>
                <w:sz w:val="18"/>
                <w:szCs w:val="18"/>
                <w:b w:val="1"/>
                <w:bCs w:val="1"/>
                <w:i w:val="1"/>
                <w:iCs w:val="1"/>
                <w:color w:val="auto"/>
              </w:rPr>
              <w:t>6.</w:t>
            </w:r>
          </w:p>
        </w:tc>
        <w:tc>
          <w:tcPr>
            <w:tcW w:w="7160" w:type="dxa"/>
            <w:vAlign w:val="bottom"/>
            <w:gridSpan w:val="3"/>
          </w:tcPr>
          <w:p>
            <w:pPr>
              <w:ind w:left="100"/>
              <w:spacing w:after="0"/>
              <w:rPr>
                <w:sz w:val="20"/>
                <w:szCs w:val="20"/>
                <w:color w:val="auto"/>
              </w:rPr>
            </w:pPr>
            <w:r>
              <w:rPr>
                <w:rFonts w:ascii="Arial" w:cs="Arial" w:eastAsia="Arial" w:hAnsi="Arial"/>
                <w:sz w:val="18"/>
                <w:szCs w:val="18"/>
                <w:b w:val="1"/>
                <w:bCs w:val="1"/>
                <w:i w:val="1"/>
                <w:iCs w:val="1"/>
                <w:color w:val="auto"/>
              </w:rPr>
              <w:t>DEPOSITS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Time deposits that met or exceeded the FDIC Insurance limit of $250,000 were $130.0 million and $147.1 million at December 31, 2018 and 2017, respectively.</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20" w:type="dxa"/>
            <w:vAlign w:val="bottom"/>
            <w:gridSpan w:val="4"/>
          </w:tcPr>
          <w:p>
            <w:pPr>
              <w:spacing w:after="0"/>
              <w:rPr>
                <w:sz w:val="20"/>
                <w:szCs w:val="20"/>
                <w:color w:val="auto"/>
              </w:rPr>
            </w:pPr>
            <w:r>
              <w:rPr>
                <w:rFonts w:ascii="Arial" w:cs="Arial" w:eastAsia="Arial" w:hAnsi="Arial"/>
                <w:sz w:val="18"/>
                <w:szCs w:val="18"/>
                <w:color w:val="auto"/>
              </w:rPr>
              <w:t>At December 31, 2018, the scheduled maturities of time deposits are as follows:</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1620" w:type="dxa"/>
            <w:vAlign w:val="bottom"/>
          </w:tcPr>
          <w:p>
            <w:pPr>
              <w:spacing w:after="0"/>
              <w:rPr>
                <w:sz w:val="4"/>
                <w:szCs w:val="4"/>
                <w:color w:val="auto"/>
              </w:rPr>
            </w:pPr>
          </w:p>
        </w:tc>
        <w:tc>
          <w:tcPr>
            <w:tcW w:w="576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57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163,101</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2020</w:t>
            </w:r>
          </w:p>
        </w:tc>
        <w:tc>
          <w:tcPr>
            <w:tcW w:w="5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40,099</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7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13,638</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2022</w:t>
            </w:r>
          </w:p>
        </w:tc>
        <w:tc>
          <w:tcPr>
            <w:tcW w:w="5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57,806</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57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36,870</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420" w:type="dxa"/>
            <w:vAlign w:val="bottom"/>
            <w:gridSpan w:val="4"/>
          </w:tcPr>
          <w:p>
            <w:pPr>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620" w:type="dxa"/>
            <w:vAlign w:val="bottom"/>
            <w:tcBorders>
              <w:bottom w:val="single" w:sz="8" w:color="CCEEFF"/>
            </w:tcBorders>
            <w:shd w:val="clear" w:color="auto" w:fill="CCEEFF"/>
          </w:tcPr>
          <w:p>
            <w:pPr>
              <w:spacing w:after="0"/>
              <w:rPr>
                <w:sz w:val="23"/>
                <w:szCs w:val="23"/>
                <w:color w:val="auto"/>
              </w:rPr>
            </w:pPr>
          </w:p>
        </w:tc>
        <w:tc>
          <w:tcPr>
            <w:tcW w:w="57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311,537</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742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7.   BORROWING ARRANGEMENTS</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Short-term borrowings</w:t>
            </w:r>
          </w:p>
        </w:tc>
        <w:tc>
          <w:tcPr>
            <w:tcW w:w="578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7420" w:type="dxa"/>
            <w:vAlign w:val="bottom"/>
            <w:gridSpan w:val="4"/>
          </w:tcPr>
          <w:p>
            <w:pPr>
              <w:spacing w:after="0"/>
              <w:rPr>
                <w:sz w:val="20"/>
                <w:szCs w:val="20"/>
                <w:color w:val="auto"/>
              </w:rPr>
            </w:pPr>
            <w:r>
              <w:rPr>
                <w:rFonts w:ascii="Arial" w:cs="Arial" w:eastAsia="Arial" w:hAnsi="Arial"/>
                <w:sz w:val="18"/>
                <w:szCs w:val="18"/>
                <w:color w:val="auto"/>
              </w:rPr>
              <w:t>The following table summarizes our short-term borrowings at year-end:</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Federal funds purchased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17,705</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15,550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00" w:type="dxa"/>
            <w:vAlign w:val="bottom"/>
            <w:gridSpan w:val="3"/>
          </w:tcPr>
          <w:p>
            <w:pPr>
              <w:spacing w:after="0"/>
              <w:rPr>
                <w:sz w:val="20"/>
                <w:szCs w:val="20"/>
                <w:color w:val="auto"/>
              </w:rPr>
            </w:pPr>
            <w:r>
              <w:rPr>
                <w:rFonts w:ascii="Arial" w:cs="Arial" w:eastAsia="Arial" w:hAnsi="Arial"/>
                <w:sz w:val="18"/>
                <w:szCs w:val="18"/>
                <w:color w:val="auto"/>
              </w:rPr>
              <w:t>FHLB advances - short-term</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7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17,705</w:t>
            </w:r>
          </w:p>
        </w:tc>
        <w:tc>
          <w:tcPr>
            <w:tcW w:w="1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15,550</w:t>
            </w:r>
          </w:p>
        </w:tc>
        <w:tc>
          <w:tcPr>
            <w:tcW w:w="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Federal funds purchased are short-term borrowings that generally have one-day maturities.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6" w:right="1159" w:bottom="1440" w:gutter="0" w:footer="0" w:header="0"/>
        </w:sectPr>
      </w:pPr>
    </w:p>
    <w:bookmarkStart w:id="173" w:name="page174"/>
    <w:bookmarkEnd w:id="173"/>
    <w:p>
      <w:pPr>
        <w:ind w:left="7"/>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27"/>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07"/>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ind w:right="-6"/>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74" w:lineRule="exact"/>
        <w:rPr>
          <w:sz w:val="20"/>
          <w:szCs w:val="20"/>
          <w:color w:val="auto"/>
        </w:rPr>
      </w:pPr>
    </w:p>
    <w:p>
      <w:pPr>
        <w:ind w:left="7" w:right="5620" w:hanging="7"/>
        <w:spacing w:after="0" w:line="340" w:lineRule="auto"/>
        <w:tabs>
          <w:tab w:leader="none" w:pos="367" w:val="left"/>
        </w:tabs>
        <w:numPr>
          <w:ilvl w:val="0"/>
          <w:numId w:val="9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BORROWING ARRANGEMENTS (Continued) </w:t>
      </w:r>
      <w:r>
        <w:rPr>
          <w:rFonts w:ascii="Arial" w:cs="Arial" w:eastAsia="Arial" w:hAnsi="Arial"/>
          <w:sz w:val="18"/>
          <w:szCs w:val="18"/>
          <w:u w:val="single" w:color="auto"/>
          <w:color w:val="auto"/>
        </w:rPr>
        <w:t>Lines of credit</w:t>
      </w:r>
    </w:p>
    <w:p>
      <w:pPr>
        <w:spacing w:after="0" w:line="8" w:lineRule="exact"/>
        <w:rPr>
          <w:sz w:val="20"/>
          <w:szCs w:val="20"/>
          <w:color w:val="auto"/>
        </w:rPr>
      </w:pPr>
    </w:p>
    <w:p>
      <w:pPr>
        <w:jc w:val="both"/>
        <w:ind w:left="7" w:right="240"/>
        <w:spacing w:after="0" w:line="264" w:lineRule="auto"/>
        <w:rPr>
          <w:sz w:val="20"/>
          <w:szCs w:val="20"/>
          <w:color w:val="auto"/>
        </w:rPr>
      </w:pPr>
      <w:r>
        <w:rPr>
          <w:rFonts w:ascii="Arial" w:cs="Arial" w:eastAsia="Arial" w:hAnsi="Arial"/>
          <w:sz w:val="18"/>
          <w:szCs w:val="18"/>
          <w:color w:val="auto"/>
        </w:rPr>
        <w:t>The bank subsidiary has a line of credit with FHLB. The amount of the line is determined by FHLB on a quarterly basis. The line can be used to purchase Federal funds or to secure letters of credit to pledge as collateral against certain public deposits. Use and availability of the line at year-end follows:</w:t>
      </w:r>
    </w:p>
    <w:p>
      <w:pPr>
        <w:spacing w:after="0" w:line="38"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7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7"/>
        </w:trPr>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funds purchased and short-term advances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7420" w:type="dxa"/>
            <w:vAlign w:val="bottom"/>
            <w:gridSpan w:val="2"/>
          </w:tcPr>
          <w:p>
            <w:pPr>
              <w:spacing w:after="0"/>
              <w:rPr>
                <w:sz w:val="20"/>
                <w:szCs w:val="20"/>
                <w:color w:val="auto"/>
              </w:rPr>
            </w:pPr>
            <w:r>
              <w:rPr>
                <w:rFonts w:ascii="Arial" w:cs="Arial" w:eastAsia="Arial" w:hAnsi="Arial"/>
                <w:sz w:val="18"/>
                <w:szCs w:val="18"/>
                <w:color w:val="auto"/>
              </w:rPr>
              <w:t>Long-term advances</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95,000</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95,000</w:t>
            </w:r>
          </w:p>
        </w:tc>
        <w:tc>
          <w:tcPr>
            <w:tcW w:w="60" w:type="dxa"/>
            <w:vAlign w:val="bottom"/>
          </w:tcPr>
          <w:p>
            <w:pPr>
              <w:spacing w:after="0"/>
              <w:rPr>
                <w:sz w:val="20"/>
                <w:szCs w:val="20"/>
                <w:color w:val="auto"/>
              </w:rPr>
            </w:pPr>
          </w:p>
        </w:tc>
      </w:tr>
      <w:tr>
        <w:trPr>
          <w:trHeight w:val="256"/>
        </w:trPr>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Letters of credit</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199,000</w:t>
            </w:r>
          </w:p>
        </w:tc>
        <w:tc>
          <w:tcPr>
            <w:tcW w:w="1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145,000</w:t>
            </w:r>
          </w:p>
        </w:tc>
        <w:tc>
          <w:tcPr>
            <w:tcW w:w="60" w:type="dxa"/>
            <w:vAlign w:val="bottom"/>
            <w:shd w:val="clear" w:color="auto" w:fill="CCEEFF"/>
          </w:tcPr>
          <w:p>
            <w:pPr>
              <w:spacing w:after="0"/>
              <w:rPr>
                <w:sz w:val="22"/>
                <w:szCs w:val="22"/>
                <w:color w:val="auto"/>
              </w:rPr>
            </w:pPr>
          </w:p>
        </w:tc>
      </w:tr>
      <w:tr>
        <w:trPr>
          <w:trHeight w:val="243"/>
        </w:trPr>
        <w:tc>
          <w:tcPr>
            <w:tcW w:w="7400" w:type="dxa"/>
            <w:vAlign w:val="bottom"/>
          </w:tcPr>
          <w:p>
            <w:pPr>
              <w:spacing w:after="0"/>
              <w:rPr>
                <w:sz w:val="20"/>
                <w:szCs w:val="20"/>
                <w:color w:val="auto"/>
              </w:rPr>
            </w:pPr>
            <w:r>
              <w:rPr>
                <w:rFonts w:ascii="Arial" w:cs="Arial" w:eastAsia="Arial" w:hAnsi="Arial"/>
                <w:sz w:val="18"/>
                <w:szCs w:val="18"/>
                <w:color w:val="auto"/>
              </w:rPr>
              <w:t>Available funds</w:t>
            </w: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425,366</w:t>
            </w: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456,616</w:t>
            </w:r>
          </w:p>
        </w:tc>
        <w:tc>
          <w:tcPr>
            <w:tcW w:w="60" w:type="dxa"/>
            <w:vAlign w:val="bottom"/>
          </w:tcPr>
          <w:p>
            <w:pPr>
              <w:spacing w:after="0"/>
              <w:rPr>
                <w:sz w:val="21"/>
                <w:szCs w:val="21"/>
                <w:color w:val="auto"/>
              </w:rPr>
            </w:pPr>
          </w:p>
        </w:tc>
      </w:tr>
      <w:tr>
        <w:trPr>
          <w:trHeight w:val="271"/>
        </w:trPr>
        <w:tc>
          <w:tcPr>
            <w:tcW w:w="7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719,366</w:t>
            </w:r>
          </w:p>
        </w:tc>
        <w:tc>
          <w:tcPr>
            <w:tcW w:w="1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696,616</w:t>
            </w:r>
          </w:p>
        </w:tc>
        <w:tc>
          <w:tcPr>
            <w:tcW w:w="60" w:type="dxa"/>
            <w:vAlign w:val="bottom"/>
            <w:tcBorders>
              <w:bottom w:val="single" w:sz="8" w:color="CCEEFF"/>
            </w:tcBorders>
            <w:shd w:val="clear" w:color="auto" w:fill="CCEEFF"/>
          </w:tcPr>
          <w:p>
            <w:pPr>
              <w:spacing w:after="0"/>
              <w:rPr>
                <w:sz w:val="23"/>
                <w:szCs w:val="23"/>
                <w:color w:val="auto"/>
              </w:rPr>
            </w:pPr>
          </w:p>
        </w:tc>
      </w:tr>
    </w:tbl>
    <w:p>
      <w:pPr>
        <w:spacing w:after="0" w:line="94" w:lineRule="exact"/>
        <w:rPr>
          <w:sz w:val="20"/>
          <w:szCs w:val="20"/>
          <w:color w:val="auto"/>
        </w:rPr>
      </w:pPr>
    </w:p>
    <w:p>
      <w:pPr>
        <w:ind w:left="7" w:right="140"/>
        <w:spacing w:after="0" w:line="277" w:lineRule="auto"/>
        <w:rPr>
          <w:sz w:val="20"/>
          <w:szCs w:val="20"/>
          <w:color w:val="auto"/>
        </w:rPr>
      </w:pPr>
      <w:r>
        <w:rPr>
          <w:rFonts w:ascii="Arial" w:cs="Arial" w:eastAsia="Arial" w:hAnsi="Arial"/>
          <w:sz w:val="18"/>
          <w:szCs w:val="18"/>
          <w:color w:val="auto"/>
        </w:rPr>
        <w:t>The line is collateralized by a blanket floating lien on all first mortgage loans and commercial real estate loans as well as all FHLB stock, which has a carrying amount of $3.5 million at December 31, 2018.</w:t>
      </w:r>
    </w:p>
    <w:p>
      <w:pPr>
        <w:spacing w:after="0" w:line="62" w:lineRule="exact"/>
        <w:rPr>
          <w:sz w:val="20"/>
          <w:szCs w:val="20"/>
          <w:color w:val="auto"/>
        </w:rPr>
      </w:pPr>
    </w:p>
    <w:p>
      <w:pPr>
        <w:jc w:val="both"/>
        <w:ind w:left="7" w:right="100"/>
        <w:spacing w:after="0" w:line="259" w:lineRule="auto"/>
        <w:rPr>
          <w:sz w:val="20"/>
          <w:szCs w:val="20"/>
          <w:color w:val="auto"/>
        </w:rPr>
      </w:pPr>
      <w:r>
        <w:rPr>
          <w:rFonts w:ascii="Arial" w:cs="Arial" w:eastAsia="Arial" w:hAnsi="Arial"/>
          <w:sz w:val="18"/>
          <w:szCs w:val="18"/>
          <w:color w:val="auto"/>
        </w:rPr>
        <w:t>The bank subsidiary also has a line of credit with the Federal Reserve Bank of Dallas (FRB). The amount of the line is determined on a monthly basis by FRB. The line is collateralized by a blanket floating lien on all agriculture, commercial, and consumer loans. The amount of the line was $532.0 million and $466.0 million at December 31, 2018 and 2017, respectively. This line was not used at December 31, 2018 or 2017.</w:t>
      </w:r>
    </w:p>
    <w:p>
      <w:pPr>
        <w:spacing w:after="0" w:line="79" w:lineRule="exact"/>
        <w:rPr>
          <w:sz w:val="20"/>
          <w:szCs w:val="20"/>
          <w:color w:val="auto"/>
        </w:rPr>
      </w:pPr>
    </w:p>
    <w:p>
      <w:pPr>
        <w:ind w:left="7" w:right="440"/>
        <w:spacing w:after="0" w:line="342" w:lineRule="auto"/>
        <w:rPr>
          <w:sz w:val="20"/>
          <w:szCs w:val="20"/>
          <w:color w:val="auto"/>
        </w:rPr>
      </w:pPr>
      <w:r>
        <w:rPr>
          <w:rFonts w:ascii="Arial" w:cs="Arial" w:eastAsia="Arial" w:hAnsi="Arial"/>
          <w:sz w:val="16"/>
          <w:szCs w:val="16"/>
          <w:color w:val="auto"/>
        </w:rPr>
        <w:t>The bank subsidiary also has uncollateralized lines of credit with multiple banks. The total amount of the lines was $135.0 and $135.0 million as of December 31, 2018 and 2017, respectively. These lines were not used at December 31, 2018 or 2017.</w:t>
      </w:r>
    </w:p>
    <w:p>
      <w:pPr>
        <w:spacing w:after="0" w:line="124" w:lineRule="exact"/>
        <w:rPr>
          <w:sz w:val="20"/>
          <w:szCs w:val="20"/>
          <w:color w:val="auto"/>
        </w:rPr>
      </w:pPr>
    </w:p>
    <w:p>
      <w:pPr>
        <w:ind w:left="7"/>
        <w:spacing w:after="0"/>
        <w:rPr>
          <w:sz w:val="20"/>
          <w:szCs w:val="20"/>
          <w:color w:val="auto"/>
        </w:rPr>
      </w:pPr>
      <w:r>
        <w:rPr>
          <w:rFonts w:ascii="Arial" w:cs="Arial" w:eastAsia="Arial" w:hAnsi="Arial"/>
          <w:sz w:val="18"/>
          <w:szCs w:val="18"/>
          <w:u w:val="single" w:color="auto"/>
          <w:color w:val="auto"/>
        </w:rPr>
        <w:t>Notes payable and other borrowings</w:t>
      </w:r>
    </w:p>
    <w:p>
      <w:pPr>
        <w:spacing w:after="0" w:line="117" w:lineRule="exact"/>
        <w:rPr>
          <w:sz w:val="20"/>
          <w:szCs w:val="20"/>
          <w:color w:val="auto"/>
        </w:rPr>
      </w:pPr>
    </w:p>
    <w:p>
      <w:pPr>
        <w:jc w:val="both"/>
        <w:ind w:left="7" w:right="60"/>
        <w:spacing w:after="0" w:line="312" w:lineRule="auto"/>
        <w:rPr>
          <w:sz w:val="20"/>
          <w:szCs w:val="20"/>
          <w:color w:val="auto"/>
        </w:rPr>
      </w:pPr>
      <w:r>
        <w:rPr>
          <w:rFonts w:ascii="Arial" w:cs="Arial" w:eastAsia="Arial" w:hAnsi="Arial"/>
          <w:sz w:val="16"/>
          <w:szCs w:val="16"/>
          <w:color w:val="auto"/>
        </w:rPr>
        <w:t xml:space="preserve">There was a note for the Company’s ESOP to a bank, dated May 2007, payable in ten equal annual principal payments of $677,000, beginning January 2008. The note bore interest at </w:t>
      </w:r>
      <w:r>
        <w:rPr>
          <w:rFonts w:ascii="Arial" w:cs="Arial" w:eastAsia="Arial" w:hAnsi="Arial"/>
          <w:sz w:val="16"/>
          <w:szCs w:val="16"/>
          <w:i w:val="1"/>
          <w:iCs w:val="1"/>
          <w:color w:val="auto"/>
        </w:rPr>
        <w:t>Wall Street Journal</w:t>
      </w:r>
      <w:r>
        <w:rPr>
          <w:rFonts w:ascii="Arial" w:cs="Arial" w:eastAsia="Arial" w:hAnsi="Arial"/>
          <w:sz w:val="16"/>
          <w:szCs w:val="16"/>
          <w:color w:val="auto"/>
        </w:rPr>
        <w:t xml:space="preserve"> (</w:t>
      </w:r>
      <w:r>
        <w:rPr>
          <w:rFonts w:ascii="Arial" w:cs="Arial" w:eastAsia="Arial" w:hAnsi="Arial"/>
          <w:sz w:val="16"/>
          <w:szCs w:val="16"/>
          <w:i w:val="1"/>
          <w:iCs w:val="1"/>
          <w:color w:val="auto"/>
        </w:rPr>
        <w:t>WSJ)</w:t>
      </w:r>
      <w:r>
        <w:rPr>
          <w:rFonts w:ascii="Arial" w:cs="Arial" w:eastAsia="Arial" w:hAnsi="Arial"/>
          <w:sz w:val="16"/>
          <w:szCs w:val="16"/>
          <w:color w:val="auto"/>
        </w:rPr>
        <w:t xml:space="preserve"> prime minus 0.5% payable quarterly, and was secured by unallocated shares of SPFI stock and guaranteed by the Company. The Company repaid the note in 2017.</w:t>
      </w:r>
    </w:p>
    <w:p>
      <w:pPr>
        <w:spacing w:after="0" w:line="39" w:lineRule="exact"/>
        <w:rPr>
          <w:sz w:val="20"/>
          <w:szCs w:val="20"/>
          <w:color w:val="auto"/>
        </w:rPr>
      </w:pPr>
    </w:p>
    <w:p>
      <w:pPr>
        <w:ind w:left="7" w:right="140"/>
        <w:spacing w:after="0" w:line="329" w:lineRule="auto"/>
        <w:rPr>
          <w:sz w:val="20"/>
          <w:szCs w:val="20"/>
          <w:color w:val="auto"/>
        </w:rPr>
      </w:pPr>
      <w:r>
        <w:rPr>
          <w:rFonts w:ascii="Arial" w:cs="Arial" w:eastAsia="Arial" w:hAnsi="Arial"/>
          <w:sz w:val="16"/>
          <w:szCs w:val="16"/>
          <w:color w:val="auto"/>
        </w:rPr>
        <w:t>The bank subsidiary has multiple advances from FHLB. The advances are collateralized through the line of credit with FHLB with interest payable monthly and principal due at maturity. The following table is a detail of the advances as of December 31:</w:t>
      </w:r>
    </w:p>
    <w:tbl>
      <w:tblPr>
        <w:tblLayout w:type="fixed"/>
        <w:tblInd w:w="7"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17"/>
              <w:spacing w:after="0"/>
              <w:rPr>
                <w:sz w:val="20"/>
                <w:szCs w:val="20"/>
                <w:color w:val="auto"/>
              </w:rPr>
            </w:pPr>
            <w:r>
              <w:rPr>
                <w:rFonts w:ascii="Arial" w:cs="Arial" w:eastAsia="Arial" w:hAnsi="Arial"/>
                <w:sz w:val="14"/>
                <w:szCs w:val="14"/>
                <w:b w:val="1"/>
                <w:bCs w:val="1"/>
                <w:color w:val="auto"/>
                <w:w w:val="98"/>
              </w:rPr>
              <w:t>Original</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Interest Rate at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37"/>
              <w:spacing w:after="0"/>
              <w:rPr>
                <w:sz w:val="20"/>
                <w:szCs w:val="20"/>
                <w:color w:val="auto"/>
              </w:rPr>
            </w:pPr>
            <w:r>
              <w:rPr>
                <w:rFonts w:ascii="Arial" w:cs="Arial" w:eastAsia="Arial" w:hAnsi="Arial"/>
                <w:sz w:val="14"/>
                <w:szCs w:val="14"/>
                <w:b w:val="1"/>
                <w:bCs w:val="1"/>
                <w:color w:val="auto"/>
                <w:w w:val="94"/>
              </w:rPr>
              <w:t>Amount of</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22"/>
              <w:spacing w:after="0"/>
              <w:rPr>
                <w:sz w:val="20"/>
                <w:szCs w:val="20"/>
                <w:color w:val="auto"/>
              </w:rPr>
            </w:pPr>
            <w:r>
              <w:rPr>
                <w:rFonts w:ascii="Arial" w:cs="Arial" w:eastAsia="Arial" w:hAnsi="Arial"/>
                <w:sz w:val="14"/>
                <w:szCs w:val="14"/>
                <w:b w:val="1"/>
                <w:bCs w:val="1"/>
                <w:color w:val="auto"/>
              </w:rPr>
              <w:t>Maturity</w:t>
            </w:r>
          </w:p>
        </w:tc>
        <w:tc>
          <w:tcPr>
            <w:tcW w:w="180" w:type="dxa"/>
            <w:vAlign w:val="bottom"/>
          </w:tcPr>
          <w:p>
            <w:pPr>
              <w:spacing w:after="0"/>
              <w:rPr>
                <w:sz w:val="14"/>
                <w:szCs w:val="14"/>
                <w:color w:val="auto"/>
              </w:rPr>
            </w:pPr>
          </w:p>
        </w:tc>
        <w:tc>
          <w:tcPr>
            <w:tcW w:w="15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Issue Date</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center"/>
              <w:ind w:right="37"/>
              <w:spacing w:after="0"/>
              <w:rPr>
                <w:sz w:val="20"/>
                <w:szCs w:val="20"/>
                <w:color w:val="auto"/>
              </w:rPr>
            </w:pPr>
            <w:r>
              <w:rPr>
                <w:rFonts w:ascii="Arial" w:cs="Arial" w:eastAsia="Arial" w:hAnsi="Arial"/>
                <w:sz w:val="14"/>
                <w:szCs w:val="14"/>
                <w:b w:val="1"/>
                <w:bCs w:val="1"/>
                <w:color w:val="auto"/>
                <w:w w:val="92"/>
              </w:rPr>
              <w:t>Advance</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ind w:right="53"/>
              <w:spacing w:after="0"/>
              <w:rPr>
                <w:sz w:val="20"/>
                <w:szCs w:val="20"/>
                <w:color w:val="auto"/>
              </w:rPr>
            </w:pPr>
            <w:r>
              <w:rPr>
                <w:rFonts w:ascii="Arial" w:cs="Arial" w:eastAsia="Arial" w:hAnsi="Arial"/>
                <w:sz w:val="14"/>
                <w:szCs w:val="14"/>
                <w:b w:val="1"/>
                <w:bCs w:val="1"/>
                <w:color w:val="auto"/>
                <w:w w:val="90"/>
              </w:rPr>
              <w:t>2018 Balance</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33"/>
              <w:spacing w:after="0"/>
              <w:rPr>
                <w:sz w:val="20"/>
                <w:szCs w:val="20"/>
                <w:color w:val="auto"/>
              </w:rPr>
            </w:pPr>
            <w:r>
              <w:rPr>
                <w:rFonts w:ascii="Arial" w:cs="Arial" w:eastAsia="Arial" w:hAnsi="Arial"/>
                <w:sz w:val="14"/>
                <w:szCs w:val="14"/>
                <w:b w:val="1"/>
                <w:bCs w:val="1"/>
                <w:color w:val="auto"/>
                <w:w w:val="90"/>
              </w:rPr>
              <w:t>2017 Balance</w:t>
            </w:r>
          </w:p>
        </w:tc>
        <w:tc>
          <w:tcPr>
            <w:tcW w:w="180" w:type="dxa"/>
            <w:vAlign w:val="bottom"/>
          </w:tcPr>
          <w:p>
            <w:pPr>
              <w:spacing w:after="0"/>
              <w:rPr>
                <w:sz w:val="16"/>
                <w:szCs w:val="16"/>
                <w:color w:val="auto"/>
              </w:rPr>
            </w:pPr>
          </w:p>
        </w:tc>
        <w:tc>
          <w:tcPr>
            <w:tcW w:w="760" w:type="dxa"/>
            <w:vAlign w:val="bottom"/>
          </w:tcPr>
          <w:p>
            <w:pPr>
              <w:jc w:val="right"/>
              <w:ind w:right="162"/>
              <w:spacing w:after="0"/>
              <w:rPr>
                <w:sz w:val="20"/>
                <w:szCs w:val="20"/>
                <w:color w:val="auto"/>
              </w:rPr>
            </w:pPr>
            <w:r>
              <w:rPr>
                <w:rFonts w:ascii="Arial" w:cs="Arial" w:eastAsia="Arial" w:hAnsi="Arial"/>
                <w:sz w:val="14"/>
                <w:szCs w:val="14"/>
                <w:b w:val="1"/>
                <w:bCs w:val="1"/>
                <w:color w:val="auto"/>
              </w:rPr>
              <w:t>Date</w:t>
            </w:r>
          </w:p>
        </w:tc>
        <w:tc>
          <w:tcPr>
            <w:tcW w:w="1620" w:type="dxa"/>
            <w:vAlign w:val="bottom"/>
            <w:gridSpan w:val="2"/>
          </w:tcPr>
          <w:p>
            <w:pPr>
              <w:jc w:val="center"/>
              <w:ind w:left="174"/>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Fixed; 1.50%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2015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25,000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2025</w:t>
            </w:r>
          </w:p>
        </w:tc>
        <w:tc>
          <w:tcPr>
            <w:tcW w:w="1720" w:type="dxa"/>
            <w:vAlign w:val="bottom"/>
            <w:gridSpan w:val="3"/>
          </w:tcPr>
          <w:p>
            <w:pPr>
              <w:ind w:left="160"/>
              <w:spacing w:after="0"/>
              <w:rPr>
                <w:sz w:val="20"/>
                <w:szCs w:val="20"/>
                <w:color w:val="auto"/>
              </w:rPr>
            </w:pPr>
            <w:r>
              <w:rPr>
                <w:rFonts w:ascii="Arial" w:cs="Arial" w:eastAsia="Arial" w:hAnsi="Arial"/>
                <w:sz w:val="18"/>
                <w:szCs w:val="18"/>
                <w:color w:val="auto"/>
              </w:rPr>
              <w:t>Variable; 2.46%</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1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Variable; 2.46%</w:t>
            </w: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rPr>
                <w:sz w:val="20"/>
                <w:szCs w:val="20"/>
                <w:color w:val="auto"/>
              </w:rPr>
            </w:pPr>
            <w:r>
              <w:rPr>
                <w:rFonts w:ascii="Arial" w:cs="Arial" w:eastAsia="Arial" w:hAnsi="Arial"/>
                <w:sz w:val="18"/>
                <w:szCs w:val="18"/>
                <w:color w:val="auto"/>
              </w:rPr>
              <w:t>2015</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2025</w:t>
            </w:r>
          </w:p>
        </w:tc>
        <w:tc>
          <w:tcPr>
            <w:tcW w:w="1720" w:type="dxa"/>
            <w:vAlign w:val="bottom"/>
            <w:gridSpan w:val="3"/>
          </w:tcPr>
          <w:p>
            <w:pPr>
              <w:ind w:left="160"/>
              <w:spacing w:after="0"/>
              <w:rPr>
                <w:sz w:val="20"/>
                <w:szCs w:val="20"/>
                <w:color w:val="auto"/>
              </w:rPr>
            </w:pPr>
            <w:r>
              <w:rPr>
                <w:rFonts w:ascii="Arial" w:cs="Arial" w:eastAsia="Arial" w:hAnsi="Arial"/>
                <w:sz w:val="18"/>
                <w:szCs w:val="18"/>
                <w:color w:val="auto"/>
              </w:rPr>
              <w:t>Variable; 2.53%</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3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7"/>
        <w:spacing w:after="0"/>
        <w:rPr>
          <w:sz w:val="20"/>
          <w:szCs w:val="20"/>
          <w:color w:val="auto"/>
        </w:rPr>
      </w:pPr>
      <w:r>
        <w:rPr>
          <w:rFonts w:ascii="Arial" w:cs="Arial" w:eastAsia="Arial" w:hAnsi="Arial"/>
          <w:sz w:val="18"/>
          <w:szCs w:val="18"/>
          <w:u w:val="single" w:color="auto"/>
          <w:color w:val="auto"/>
        </w:rPr>
        <w:t>Junior subordinated deferrable interest debentures and Trust preferred securities</w:t>
      </w:r>
    </w:p>
    <w:p>
      <w:pPr>
        <w:spacing w:after="0" w:line="117" w:lineRule="exact"/>
        <w:rPr>
          <w:sz w:val="20"/>
          <w:szCs w:val="20"/>
          <w:color w:val="auto"/>
        </w:rPr>
      </w:pPr>
    </w:p>
    <w:p>
      <w:pPr>
        <w:ind w:left="7" w:right="40"/>
        <w:spacing w:after="0" w:line="259" w:lineRule="auto"/>
        <w:rPr>
          <w:sz w:val="20"/>
          <w:szCs w:val="20"/>
          <w:color w:val="auto"/>
        </w:rPr>
      </w:pPr>
      <w:r>
        <w:rPr>
          <w:rFonts w:ascii="Arial" w:cs="Arial" w:eastAsia="Arial" w:hAnsi="Arial"/>
          <w:sz w:val="18"/>
          <w:szCs w:val="18"/>
          <w:color w:val="auto"/>
        </w:rPr>
        <w:t>The Company established grantor trusts (trusts) that issued obligated mandatorily redeemable preferred securities (TPS); the Company issued junior subordinated deferrable interest debentures (debentures) to the trusts. The trusts are not consolidated and the debentures issued by the Company to the trusts are reflected in the Company’s consolidated balance sheets. The Company records interest expense on the debentures in its CFS.</w:t>
      </w:r>
    </w:p>
    <w:p>
      <w:pPr>
        <w:spacing w:after="0" w:line="187"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74" w:name="page175"/>
    <w:bookmarkEnd w:id="174"/>
    <w:p>
      <w:pPr>
        <w:ind w:left="7"/>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27"/>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07"/>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ind w:right="-6"/>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74" w:lineRule="exact"/>
        <w:rPr>
          <w:sz w:val="20"/>
          <w:szCs w:val="20"/>
          <w:color w:val="auto"/>
        </w:rPr>
      </w:pPr>
    </w:p>
    <w:p>
      <w:pPr>
        <w:ind w:left="367" w:hanging="367"/>
        <w:spacing w:after="0"/>
        <w:tabs>
          <w:tab w:leader="none" w:pos="367" w:val="left"/>
        </w:tabs>
        <w:numPr>
          <w:ilvl w:val="0"/>
          <w:numId w:val="9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BORROWING ARRANGEMENTS (Continued)</w:t>
      </w:r>
    </w:p>
    <w:p>
      <w:pPr>
        <w:spacing w:after="0" w:line="63" w:lineRule="exact"/>
        <w:rPr>
          <w:sz w:val="20"/>
          <w:szCs w:val="20"/>
          <w:color w:val="auto"/>
        </w:rPr>
      </w:pPr>
    </w:p>
    <w:p>
      <w:pPr>
        <w:jc w:val="both"/>
        <w:ind w:left="7" w:right="40"/>
        <w:spacing w:after="0" w:line="264" w:lineRule="auto"/>
        <w:rPr>
          <w:sz w:val="20"/>
          <w:szCs w:val="20"/>
          <w:color w:val="auto"/>
        </w:rPr>
      </w:pPr>
      <w:r>
        <w:rPr>
          <w:rFonts w:ascii="Arial" w:cs="Arial" w:eastAsia="Arial" w:hAnsi="Arial"/>
          <w:sz w:val="18"/>
          <w:szCs w:val="18"/>
          <w:color w:val="auto"/>
        </w:rPr>
        <w:t>The common capital securities issued by the trusts ($1.4 million) are included in other assets in the Company’s consolidated balance sheets under the equity method of accounting. The amount of the capital securities represents the Company’s maximum exposure to loss.</w:t>
      </w:r>
    </w:p>
    <w:p>
      <w:pPr>
        <w:spacing w:after="0" w:line="73" w:lineRule="exact"/>
        <w:rPr>
          <w:sz w:val="20"/>
          <w:szCs w:val="20"/>
          <w:color w:val="auto"/>
        </w:rPr>
      </w:pPr>
    </w:p>
    <w:p>
      <w:pPr>
        <w:ind w:left="7" w:right="40"/>
        <w:spacing w:after="0" w:line="259" w:lineRule="auto"/>
        <w:rPr>
          <w:sz w:val="20"/>
          <w:szCs w:val="20"/>
          <w:color w:val="auto"/>
        </w:rPr>
      </w:pPr>
      <w:r>
        <w:rPr>
          <w:rFonts w:ascii="Arial" w:cs="Arial" w:eastAsia="Arial" w:hAnsi="Arial"/>
          <w:sz w:val="18"/>
          <w:szCs w:val="18"/>
          <w:color w:val="auto"/>
        </w:rPr>
        <w:t>The Company is required by the Board of Governors of the Federal Reserve System (the Federal Reserve Board) to maintain certain levels of capital for bank regulatory purposes. The debentures issued by the trusts to the Company, less the common capital securities of the trusts, continue to qualify as Tier 1 capital, subject to limitation to 25% of Tier 1 capital, under guidance issued by the Federal Reserve Board.</w:t>
      </w:r>
    </w:p>
    <w:p>
      <w:pPr>
        <w:spacing w:after="0" w:line="79" w:lineRule="exact"/>
        <w:rPr>
          <w:sz w:val="20"/>
          <w:szCs w:val="20"/>
          <w:color w:val="auto"/>
        </w:rPr>
      </w:pPr>
    </w:p>
    <w:p>
      <w:pPr>
        <w:ind w:left="7" w:right="420"/>
        <w:spacing w:after="0" w:line="264" w:lineRule="auto"/>
        <w:rPr>
          <w:sz w:val="20"/>
          <w:szCs w:val="20"/>
          <w:color w:val="auto"/>
        </w:rPr>
      </w:pPr>
      <w:r>
        <w:rPr>
          <w:rFonts w:ascii="Arial" w:cs="Arial" w:eastAsia="Arial" w:hAnsi="Arial"/>
          <w:sz w:val="18"/>
          <w:szCs w:val="18"/>
          <w:color w:val="auto"/>
        </w:rPr>
        <w:t>Although the trusts are not consolidated in these CFS, the TPS remain outstanding with terms substantially the same as the debentures. The Company’s interest payments on its debentures are the sole source of repayment for the TPS. Additionally, the Company guarantees payment of interest and principal on the TPS.</w:t>
      </w:r>
    </w:p>
    <w:p>
      <w:pPr>
        <w:spacing w:after="0" w:line="73" w:lineRule="exact"/>
        <w:rPr>
          <w:sz w:val="20"/>
          <w:szCs w:val="20"/>
          <w:color w:val="auto"/>
        </w:rPr>
      </w:pPr>
    </w:p>
    <w:p>
      <w:pPr>
        <w:ind w:left="7" w:right="820"/>
        <w:spacing w:after="0" w:line="277" w:lineRule="auto"/>
        <w:rPr>
          <w:sz w:val="20"/>
          <w:szCs w:val="20"/>
          <w:color w:val="auto"/>
        </w:rPr>
      </w:pPr>
      <w:r>
        <w:rPr>
          <w:rFonts w:ascii="Arial" w:cs="Arial" w:eastAsia="Arial" w:hAnsi="Arial"/>
          <w:sz w:val="18"/>
          <w:szCs w:val="18"/>
          <w:color w:val="auto"/>
        </w:rPr>
        <w:t>The terms of the debentures and TPS allow for interest to be deferred for up to five years consecutively. During this time, shareholder dividends are not allowed to be paid.</w:t>
      </w:r>
    </w:p>
    <w:p>
      <w:pPr>
        <w:spacing w:after="0" w:line="62" w:lineRule="exact"/>
        <w:rPr>
          <w:sz w:val="20"/>
          <w:szCs w:val="20"/>
          <w:color w:val="auto"/>
        </w:rPr>
      </w:pPr>
    </w:p>
    <w:p>
      <w:pPr>
        <w:ind w:left="7"/>
        <w:spacing w:after="0"/>
        <w:rPr>
          <w:sz w:val="20"/>
          <w:szCs w:val="20"/>
          <w:color w:val="auto"/>
        </w:rPr>
      </w:pPr>
      <w:r>
        <w:rPr>
          <w:rFonts w:ascii="Arial" w:cs="Arial" w:eastAsia="Arial" w:hAnsi="Arial"/>
          <w:sz w:val="18"/>
          <w:szCs w:val="18"/>
          <w:color w:val="auto"/>
        </w:rPr>
        <w:t>The following table is a detail of the debentures and TPS at December 31, 2018:</w:t>
      </w:r>
    </w:p>
    <w:p>
      <w:pPr>
        <w:spacing w:after="0" w:line="82"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6"/>
              </w:rPr>
              <w:t>Stated Maturity</w:t>
            </w:r>
          </w:p>
        </w:tc>
        <w:tc>
          <w:tcPr>
            <w:tcW w:w="180" w:type="dxa"/>
            <w:vAlign w:val="bottom"/>
          </w:tcPr>
          <w:p>
            <w:pPr>
              <w:spacing w:after="0"/>
              <w:rPr>
                <w:sz w:val="14"/>
                <w:szCs w:val="14"/>
                <w:color w:val="auto"/>
              </w:rPr>
            </w:pPr>
          </w:p>
        </w:tc>
        <w:tc>
          <w:tcPr>
            <w:tcW w:w="15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Interest Rate of</w:t>
            </w:r>
          </w:p>
        </w:tc>
      </w:tr>
      <w:tr>
        <w:trPr>
          <w:trHeight w:val="145"/>
        </w:trPr>
        <w:tc>
          <w:tcPr>
            <w:tcW w:w="14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500" w:type="dxa"/>
            <w:vAlign w:val="bottom"/>
          </w:tcPr>
          <w:p>
            <w:pPr>
              <w:ind w:left="100"/>
              <w:spacing w:after="0" w:line="145" w:lineRule="exact"/>
              <w:rPr>
                <w:sz w:val="20"/>
                <w:szCs w:val="20"/>
                <w:color w:val="auto"/>
              </w:rPr>
            </w:pPr>
            <w:r>
              <w:rPr>
                <w:rFonts w:ascii="Arial" w:cs="Arial" w:eastAsia="Arial" w:hAnsi="Arial"/>
                <w:sz w:val="14"/>
                <w:szCs w:val="14"/>
                <w:b w:val="1"/>
                <w:bCs w:val="1"/>
                <w:color w:val="auto"/>
              </w:rPr>
              <w:t>Issue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16"/>
              <w:spacing w:after="0" w:line="145" w:lineRule="exact"/>
              <w:rPr>
                <w:sz w:val="20"/>
                <w:szCs w:val="20"/>
                <w:color w:val="auto"/>
              </w:rPr>
            </w:pPr>
            <w:r>
              <w:rPr>
                <w:rFonts w:ascii="Arial" w:cs="Arial" w:eastAsia="Arial" w:hAnsi="Arial"/>
                <w:sz w:val="14"/>
                <w:szCs w:val="14"/>
                <w:b w:val="1"/>
                <w:bCs w:val="1"/>
                <w:color w:val="auto"/>
                <w:w w:val="91"/>
              </w:rPr>
              <w:t>Amount of</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14"/>
              <w:spacing w:after="0" w:line="145" w:lineRule="exact"/>
              <w:rPr>
                <w:sz w:val="20"/>
                <w:szCs w:val="20"/>
                <w:color w:val="auto"/>
              </w:rPr>
            </w:pPr>
            <w:r>
              <w:rPr>
                <w:rFonts w:ascii="Arial" w:cs="Arial" w:eastAsia="Arial" w:hAnsi="Arial"/>
                <w:sz w:val="14"/>
                <w:szCs w:val="14"/>
                <w:b w:val="1"/>
                <w:bCs w:val="1"/>
                <w:color w:val="auto"/>
                <w:w w:val="94"/>
              </w:rPr>
              <w:t>Amount of</w:t>
            </w:r>
          </w:p>
        </w:tc>
        <w:tc>
          <w:tcPr>
            <w:tcW w:w="180" w:type="dxa"/>
            <w:vAlign w:val="bottom"/>
          </w:tcPr>
          <w:p>
            <w:pPr>
              <w:spacing w:after="0"/>
              <w:rPr>
                <w:sz w:val="12"/>
                <w:szCs w:val="12"/>
                <w:color w:val="auto"/>
              </w:rPr>
            </w:pPr>
          </w:p>
        </w:tc>
        <w:tc>
          <w:tcPr>
            <w:tcW w:w="12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Date of TPS and</w:t>
            </w:r>
          </w:p>
        </w:tc>
        <w:tc>
          <w:tcPr>
            <w:tcW w:w="180" w:type="dxa"/>
            <w:vAlign w:val="bottom"/>
          </w:tcPr>
          <w:p>
            <w:pPr>
              <w:spacing w:after="0"/>
              <w:rPr>
                <w:sz w:val="12"/>
                <w:szCs w:val="12"/>
                <w:color w:val="auto"/>
              </w:rPr>
            </w:pPr>
          </w:p>
        </w:tc>
        <w:tc>
          <w:tcPr>
            <w:tcW w:w="1580" w:type="dxa"/>
            <w:vAlign w:val="bottom"/>
            <w:gridSpan w:val="2"/>
          </w:tcPr>
          <w:p>
            <w:pPr>
              <w:jc w:val="center"/>
              <w:ind w:right="40"/>
              <w:spacing w:after="0" w:line="145" w:lineRule="exact"/>
              <w:rPr>
                <w:sz w:val="20"/>
                <w:szCs w:val="20"/>
                <w:color w:val="auto"/>
              </w:rPr>
            </w:pPr>
            <w:r>
              <w:rPr>
                <w:rFonts w:ascii="Arial" w:cs="Arial" w:eastAsia="Arial" w:hAnsi="Arial"/>
                <w:sz w:val="14"/>
                <w:szCs w:val="14"/>
                <w:b w:val="1"/>
                <w:bCs w:val="1"/>
                <w:color w:val="auto"/>
                <w:w w:val="96"/>
              </w:rPr>
              <w:t>TPS and</w:t>
            </w:r>
          </w:p>
        </w:tc>
      </w:tr>
      <w:tr>
        <w:trPr>
          <w:trHeight w:val="202"/>
        </w:trPr>
        <w:tc>
          <w:tcPr>
            <w:tcW w:w="14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5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Date</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TPS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Debentures</w:t>
            </w:r>
          </w:p>
        </w:tc>
        <w:tc>
          <w:tcPr>
            <w:tcW w:w="180" w:type="dxa"/>
            <w:vAlign w:val="bottom"/>
          </w:tcPr>
          <w:p>
            <w:pPr>
              <w:spacing w:after="0"/>
              <w:rPr>
                <w:sz w:val="17"/>
                <w:szCs w:val="17"/>
                <w:color w:val="auto"/>
              </w:rPr>
            </w:pPr>
          </w:p>
        </w:tc>
        <w:tc>
          <w:tcPr>
            <w:tcW w:w="126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87"/>
              </w:rPr>
              <w:t>Debentures</w:t>
            </w:r>
            <w:r>
              <w:rPr>
                <w:rFonts w:ascii="Arial" w:cs="Arial" w:eastAsia="Arial" w:hAnsi="Arial"/>
                <w:sz w:val="23"/>
                <w:szCs w:val="23"/>
                <w:b w:val="1"/>
                <w:bCs w:val="1"/>
                <w:color w:val="auto"/>
                <w:w w:val="87"/>
                <w:vertAlign w:val="superscript"/>
              </w:rPr>
              <w:t>(1)</w:t>
            </w:r>
          </w:p>
        </w:tc>
        <w:tc>
          <w:tcPr>
            <w:tcW w:w="180" w:type="dxa"/>
            <w:vAlign w:val="bottom"/>
          </w:tcPr>
          <w:p>
            <w:pPr>
              <w:spacing w:after="0"/>
              <w:rPr>
                <w:sz w:val="17"/>
                <w:szCs w:val="17"/>
                <w:color w:val="auto"/>
              </w:rPr>
            </w:pPr>
          </w:p>
        </w:tc>
        <w:tc>
          <w:tcPr>
            <w:tcW w:w="148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85"/>
              </w:rPr>
              <w:t>Debentures</w:t>
            </w:r>
            <w:r>
              <w:rPr>
                <w:rFonts w:ascii="Arial" w:cs="Arial" w:eastAsia="Arial" w:hAnsi="Arial"/>
                <w:sz w:val="23"/>
                <w:szCs w:val="23"/>
                <w:b w:val="1"/>
                <w:bCs w:val="1"/>
                <w:color w:val="auto"/>
                <w:w w:val="85"/>
                <w:vertAlign w:val="superscript"/>
              </w:rPr>
              <w:t>(2)(3)</w:t>
            </w:r>
          </w:p>
        </w:tc>
        <w:tc>
          <w:tcPr>
            <w:tcW w:w="100" w:type="dxa"/>
            <w:vAlign w:val="bottom"/>
          </w:tcPr>
          <w:p>
            <w:pPr>
              <w:spacing w:after="0"/>
              <w:rPr>
                <w:sz w:val="17"/>
                <w:szCs w:val="17"/>
                <w:color w:val="auto"/>
              </w:rPr>
            </w:pPr>
          </w:p>
        </w:tc>
      </w:tr>
      <w:tr>
        <w:trPr>
          <w:trHeight w:val="209"/>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 Plains Financial Capital Trust III</w:t>
            </w:r>
          </w:p>
        </w:tc>
        <w:tc>
          <w:tcPr>
            <w:tcW w:w="5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9"/>
              </w:rPr>
              <w:t>2004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17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3-mo. LIBOR +</w:t>
            </w:r>
          </w:p>
        </w:tc>
      </w:tr>
      <w:tr>
        <w:trPr>
          <w:trHeight w:val="244"/>
        </w:trPr>
        <w:tc>
          <w:tcPr>
            <w:tcW w:w="1440" w:type="dxa"/>
            <w:vAlign w:val="bottom"/>
            <w:shd w:val="clear" w:color="auto" w:fill="CCEEFF"/>
          </w:tcPr>
          <w:p>
            <w:pPr>
              <w:spacing w:after="0"/>
              <w:rPr>
                <w:sz w:val="21"/>
                <w:szCs w:val="21"/>
                <w:color w:val="auto"/>
              </w:rPr>
            </w:pPr>
          </w:p>
        </w:tc>
        <w:tc>
          <w:tcPr>
            <w:tcW w:w="23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7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265bps; 5.13%</w:t>
            </w:r>
          </w:p>
        </w:tc>
      </w:tr>
      <w:tr>
        <w:trPr>
          <w:trHeight w:val="215"/>
        </w:trPr>
        <w:tc>
          <w:tcPr>
            <w:tcW w:w="3760" w:type="dxa"/>
            <w:vAlign w:val="bottom"/>
            <w:gridSpan w:val="2"/>
          </w:tcPr>
          <w:p>
            <w:pPr>
              <w:spacing w:after="0"/>
              <w:rPr>
                <w:sz w:val="20"/>
                <w:szCs w:val="20"/>
                <w:color w:val="auto"/>
              </w:rPr>
            </w:pPr>
            <w:r>
              <w:rPr>
                <w:rFonts w:ascii="Arial" w:cs="Arial" w:eastAsia="Arial" w:hAnsi="Arial"/>
                <w:sz w:val="18"/>
                <w:szCs w:val="18"/>
                <w:color w:val="auto"/>
              </w:rPr>
              <w:t>South Plains Financial Capital Trust IV</w:t>
            </w:r>
          </w:p>
        </w:tc>
        <w:tc>
          <w:tcPr>
            <w:tcW w:w="500" w:type="dxa"/>
            <w:vAlign w:val="bottom"/>
          </w:tcPr>
          <w:p>
            <w:pPr>
              <w:ind w:left="120"/>
              <w:spacing w:after="0"/>
              <w:rPr>
                <w:sz w:val="20"/>
                <w:szCs w:val="20"/>
                <w:color w:val="auto"/>
              </w:rPr>
            </w:pPr>
            <w:r>
              <w:rPr>
                <w:rFonts w:ascii="Arial" w:cs="Arial" w:eastAsia="Arial" w:hAnsi="Arial"/>
                <w:sz w:val="18"/>
                <w:szCs w:val="18"/>
                <w:color w:val="auto"/>
                <w:w w:val="89"/>
              </w:rPr>
              <w:t>2005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20,619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2035</w:t>
            </w:r>
          </w:p>
        </w:tc>
        <w:tc>
          <w:tcPr>
            <w:tcW w:w="1760" w:type="dxa"/>
            <w:vAlign w:val="bottom"/>
            <w:gridSpan w:val="3"/>
          </w:tcPr>
          <w:p>
            <w:pPr>
              <w:ind w:left="160"/>
              <w:spacing w:after="0"/>
              <w:rPr>
                <w:sz w:val="20"/>
                <w:szCs w:val="20"/>
                <w:color w:val="auto"/>
              </w:rPr>
            </w:pPr>
            <w:r>
              <w:rPr>
                <w:rFonts w:ascii="Arial" w:cs="Arial" w:eastAsia="Arial" w:hAnsi="Arial"/>
                <w:sz w:val="18"/>
                <w:szCs w:val="18"/>
                <w:color w:val="auto"/>
              </w:rPr>
              <w:t>3-mo. LIBOR +</w:t>
            </w:r>
          </w:p>
        </w:tc>
      </w:tr>
      <w:tr>
        <w:trPr>
          <w:trHeight w:val="230"/>
        </w:trPr>
        <w:tc>
          <w:tcPr>
            <w:tcW w:w="14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760" w:type="dxa"/>
            <w:vAlign w:val="bottom"/>
            <w:gridSpan w:val="3"/>
          </w:tcPr>
          <w:p>
            <w:pPr>
              <w:ind w:left="160"/>
              <w:spacing w:after="0"/>
              <w:rPr>
                <w:sz w:val="20"/>
                <w:szCs w:val="20"/>
                <w:color w:val="auto"/>
              </w:rPr>
            </w:pPr>
            <w:r>
              <w:rPr>
                <w:rFonts w:ascii="Arial" w:cs="Arial" w:eastAsia="Arial" w:hAnsi="Arial"/>
                <w:sz w:val="18"/>
                <w:szCs w:val="18"/>
                <w:color w:val="auto"/>
              </w:rPr>
              <w:t>139bps; 4.18%</w:t>
            </w:r>
          </w:p>
        </w:tc>
      </w:tr>
      <w:tr>
        <w:trPr>
          <w:trHeight w:val="262"/>
        </w:trPr>
        <w:tc>
          <w:tcPr>
            <w:tcW w:w="3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South Plains Financial Capital Trust V</w:t>
            </w:r>
          </w:p>
        </w:tc>
        <w:tc>
          <w:tcPr>
            <w:tcW w:w="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89"/>
              </w:rPr>
              <w:t>2007</w:t>
            </w: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15,464</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2037</w:t>
            </w:r>
          </w:p>
        </w:tc>
        <w:tc>
          <w:tcPr>
            <w:tcW w:w="17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3-mo. LIBOR +</w:t>
            </w:r>
          </w:p>
        </w:tc>
      </w:tr>
      <w:tr>
        <w:trPr>
          <w:trHeight w:val="196"/>
        </w:trPr>
        <w:tc>
          <w:tcPr>
            <w:tcW w:w="1440" w:type="dxa"/>
            <w:vAlign w:val="bottom"/>
            <w:tcBorders>
              <w:top w:val="single" w:sz="8" w:color="CCEEFF"/>
            </w:tcBorders>
            <w:shd w:val="clear" w:color="auto" w:fill="CCEEFF"/>
          </w:tcPr>
          <w:p>
            <w:pPr>
              <w:spacing w:after="0"/>
              <w:rPr>
                <w:sz w:val="17"/>
                <w:szCs w:val="17"/>
                <w:color w:val="auto"/>
              </w:rPr>
            </w:pPr>
          </w:p>
        </w:tc>
        <w:tc>
          <w:tcPr>
            <w:tcW w:w="23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CCEEFF"/>
            </w:tcBorders>
            <w:gridSpan w:val="3"/>
            <w:shd w:val="clear" w:color="auto" w:fill="CCEEFF"/>
          </w:tcPr>
          <w:p>
            <w:pPr>
              <w:ind w:left="160"/>
              <w:spacing w:after="0" w:line="182" w:lineRule="exact"/>
              <w:rPr>
                <w:sz w:val="20"/>
                <w:szCs w:val="20"/>
                <w:color w:val="auto"/>
              </w:rPr>
            </w:pPr>
            <w:r>
              <w:rPr>
                <w:rFonts w:ascii="Arial" w:cs="Arial" w:eastAsia="Arial" w:hAnsi="Arial"/>
                <w:sz w:val="18"/>
                <w:szCs w:val="18"/>
                <w:color w:val="auto"/>
              </w:rPr>
              <w:t>150bps; 4.29%</w:t>
            </w:r>
          </w:p>
        </w:tc>
      </w:tr>
      <w:tr>
        <w:trPr>
          <w:trHeight w:val="230"/>
        </w:trPr>
        <w:tc>
          <w:tcPr>
            <w:tcW w:w="3760" w:type="dxa"/>
            <w:vAlign w:val="bottom"/>
            <w:gridSpan w:val="2"/>
          </w:tcPr>
          <w:p>
            <w:pPr>
              <w:spacing w:after="0"/>
              <w:rPr>
                <w:sz w:val="20"/>
                <w:szCs w:val="20"/>
                <w:color w:val="auto"/>
              </w:rPr>
            </w:pPr>
            <w:r>
              <w:rPr>
                <w:rFonts w:ascii="Arial" w:cs="Arial" w:eastAsia="Arial" w:hAnsi="Arial"/>
                <w:sz w:val="18"/>
                <w:szCs w:val="18"/>
                <w:color w:val="auto"/>
              </w:rPr>
              <w:t>Total</w:t>
            </w:r>
          </w:p>
        </w:tc>
        <w:tc>
          <w:tcPr>
            <w:tcW w:w="50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45,000</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46,393</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
        </w:trPr>
        <w:tc>
          <w:tcPr>
            <w:tcW w:w="14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40" w:type="dxa"/>
            <w:vAlign w:val="bottom"/>
            <w:tcBorders>
              <w:bottom w:val="single" w:sz="8" w:color="auto"/>
            </w:tcBorders>
          </w:tcPr>
          <w:p>
            <w:pPr>
              <w:spacing w:after="0"/>
              <w:rPr>
                <w:sz w:val="17"/>
                <w:szCs w:val="17"/>
                <w:color w:val="auto"/>
              </w:rPr>
            </w:pPr>
          </w:p>
        </w:tc>
        <w:tc>
          <w:tcPr>
            <w:tcW w:w="2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103" w:lineRule="exact"/>
        <w:rPr>
          <w:sz w:val="20"/>
          <w:szCs w:val="20"/>
          <w:color w:val="auto"/>
        </w:rPr>
      </w:pPr>
    </w:p>
    <w:p>
      <w:pPr>
        <w:ind w:left="347" w:right="80" w:hanging="347"/>
        <w:spacing w:after="0" w:line="273" w:lineRule="auto"/>
        <w:tabs>
          <w:tab w:leader="none" w:pos="347" w:val="left"/>
        </w:tabs>
        <w:numPr>
          <w:ilvl w:val="0"/>
          <w:numId w:val="92"/>
        </w:numPr>
        <w:rPr>
          <w:rFonts w:ascii="Arial" w:cs="Arial" w:eastAsia="Arial" w:hAnsi="Arial"/>
          <w:sz w:val="14"/>
          <w:szCs w:val="14"/>
          <w:color w:val="auto"/>
        </w:rPr>
      </w:pPr>
      <w:r>
        <w:rPr>
          <w:rFonts w:ascii="Arial" w:cs="Arial" w:eastAsia="Arial" w:hAnsi="Arial"/>
          <w:sz w:val="14"/>
          <w:szCs w:val="14"/>
          <w:color w:val="auto"/>
        </w:rPr>
        <w:t>May be redeemed five years from the issue date, the Company has no current plans to redeem; (2) Interest payable quarterly with principal due at maturity; (3) Rate as of last reset date.</w:t>
      </w:r>
    </w:p>
    <w:p>
      <w:pPr>
        <w:spacing w:after="0" w:line="165" w:lineRule="exact"/>
        <w:rPr>
          <w:sz w:val="20"/>
          <w:szCs w:val="20"/>
          <w:color w:val="auto"/>
        </w:rPr>
      </w:pPr>
    </w:p>
    <w:p>
      <w:pPr>
        <w:ind w:left="7"/>
        <w:spacing w:after="0"/>
        <w:rPr>
          <w:sz w:val="20"/>
          <w:szCs w:val="20"/>
          <w:color w:val="auto"/>
        </w:rPr>
      </w:pPr>
      <w:r>
        <w:rPr>
          <w:rFonts w:ascii="Arial" w:cs="Arial" w:eastAsia="Arial" w:hAnsi="Arial"/>
          <w:sz w:val="18"/>
          <w:szCs w:val="18"/>
          <w:u w:val="single" w:color="auto"/>
          <w:color w:val="auto"/>
        </w:rPr>
        <w:t>Subordinated debt securities</w:t>
      </w:r>
    </w:p>
    <w:p>
      <w:pPr>
        <w:spacing w:after="0" w:line="117" w:lineRule="exact"/>
        <w:rPr>
          <w:sz w:val="20"/>
          <w:szCs w:val="20"/>
          <w:color w:val="auto"/>
        </w:rPr>
      </w:pPr>
    </w:p>
    <w:p>
      <w:pPr>
        <w:ind w:left="7" w:right="20"/>
        <w:spacing w:after="0" w:line="271" w:lineRule="auto"/>
        <w:rPr>
          <w:sz w:val="20"/>
          <w:szCs w:val="20"/>
          <w:color w:val="auto"/>
        </w:rPr>
      </w:pPr>
      <w:r>
        <w:rPr>
          <w:rFonts w:ascii="Arial" w:cs="Arial" w:eastAsia="Arial" w:hAnsi="Arial"/>
          <w:sz w:val="17"/>
          <w:szCs w:val="17"/>
          <w:color w:val="auto"/>
        </w:rPr>
        <w:t xml:space="preserve">In January 2014, the Company issued $20.9 million in subordinated debt securities. These securities pay interest quarterly and mature January 2024. There was $6.5 million issued at a current rate of 4% and $14.4 million at a current rate of 5%. These rates are fixed for five years and then float at </w:t>
      </w:r>
      <w:r>
        <w:rPr>
          <w:rFonts w:ascii="Arial" w:cs="Arial" w:eastAsia="Arial" w:hAnsi="Arial"/>
          <w:sz w:val="17"/>
          <w:szCs w:val="17"/>
          <w:i w:val="1"/>
          <w:iCs w:val="1"/>
          <w:color w:val="auto"/>
        </w:rPr>
        <w:t>WSJ</w:t>
      </w:r>
      <w:r>
        <w:rPr>
          <w:rFonts w:ascii="Arial" w:cs="Arial" w:eastAsia="Arial" w:hAnsi="Arial"/>
          <w:sz w:val="17"/>
          <w:szCs w:val="17"/>
          <w:color w:val="auto"/>
        </w:rPr>
        <w:t xml:space="preserve"> prime, with a floor of 4% and a ceiling of 7.5%. These securities are unsecured and could be called by the Company at any time after January 2019, and they qualified for Tier 2 capital treatment, subject to regulatory limitations. In December 2018, the Company notified all holders that it intended to call these securities in January of 2019 and were given the option to subscribe to a new offering (see following paragraph) or to be redeemed. Holders of $13.4 million elected to subscribe to the new offering while holders of $7.5 million elected to have their securities redeemed in January 2019. As a result, the outstanding balance of these securities at December 31, 2018 was $7.5 million.</w:t>
      </w:r>
    </w:p>
    <w:p>
      <w:pPr>
        <w:spacing w:after="0" w:line="71" w:lineRule="exact"/>
        <w:rPr>
          <w:sz w:val="20"/>
          <w:szCs w:val="20"/>
          <w:color w:val="auto"/>
        </w:rPr>
      </w:pPr>
    </w:p>
    <w:p>
      <w:pPr>
        <w:ind w:left="7" w:right="20"/>
        <w:spacing w:after="0" w:line="273" w:lineRule="auto"/>
        <w:rPr>
          <w:sz w:val="20"/>
          <w:szCs w:val="20"/>
          <w:color w:val="auto"/>
        </w:rPr>
      </w:pPr>
      <w:r>
        <w:rPr>
          <w:rFonts w:ascii="Arial" w:cs="Arial" w:eastAsia="Arial" w:hAnsi="Arial"/>
          <w:sz w:val="17"/>
          <w:szCs w:val="17"/>
          <w:color w:val="auto"/>
        </w:rPr>
        <w:t>In December 2018, the Company issued $26.5 million in subordinated debt securities. $12.4 million of the securities have a maturity date of December 2028 and an average fixed rate of 5.74% for the first five years. The remaining $14.1 million of securities have a maturity date of December 2030 and an average fixed rate of 6.41% for the first seven years. After the fixed rate periods, all securities will float at the Wall Street Journal prime rate, with a floor of 4.5% and a ceiling of 7.5%. These securities pay interest quarterly, are unsecured, and may be called by the Company at any time after the remaining maturity is five years or less. Additionally, these securities qualify for Tier 2 capital treatment, subject to regulatory limitations.</w:t>
      </w:r>
    </w:p>
    <w:p>
      <w:pPr>
        <w:spacing w:after="0" w:line="178"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75" w:name="page176"/>
    <w:bookmarkEnd w:id="175"/>
    <w:p>
      <w:pPr>
        <w:ind w:left="7"/>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27"/>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69" w:lineRule="exact"/>
        <w:rPr>
          <w:sz w:val="20"/>
          <w:szCs w:val="20"/>
          <w:color w:val="auto"/>
        </w:rPr>
      </w:pPr>
    </w:p>
    <w:p>
      <w:pPr>
        <w:ind w:left="2507"/>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ind w:right="-6"/>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88" w:lineRule="exact"/>
        <w:rPr>
          <w:sz w:val="20"/>
          <w:szCs w:val="20"/>
          <w:color w:val="auto"/>
        </w:rPr>
      </w:pPr>
    </w:p>
    <w:p>
      <w:pPr>
        <w:ind w:left="347" w:hanging="347"/>
        <w:spacing w:after="0"/>
        <w:tabs>
          <w:tab w:leader="none" w:pos="347" w:val="left"/>
        </w:tabs>
        <w:numPr>
          <w:ilvl w:val="0"/>
          <w:numId w:val="9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BENEFITS</w:t>
      </w:r>
    </w:p>
    <w:p>
      <w:pPr>
        <w:spacing w:after="0" w:line="117" w:lineRule="exact"/>
        <w:rPr>
          <w:sz w:val="20"/>
          <w:szCs w:val="20"/>
          <w:color w:val="auto"/>
        </w:rPr>
      </w:pPr>
    </w:p>
    <w:p>
      <w:pPr>
        <w:ind w:left="7" w:right="120"/>
        <w:spacing w:after="0" w:line="255" w:lineRule="auto"/>
        <w:rPr>
          <w:sz w:val="20"/>
          <w:szCs w:val="20"/>
          <w:color w:val="auto"/>
        </w:rPr>
      </w:pPr>
      <w:r>
        <w:rPr>
          <w:rFonts w:ascii="Arial" w:cs="Arial" w:eastAsia="Arial" w:hAnsi="Arial"/>
          <w:sz w:val="18"/>
          <w:szCs w:val="18"/>
          <w:color w:val="auto"/>
        </w:rPr>
        <w:t>The Company sponsors the ESOP, an employee stock ownership and 401(k) plan, that covers all employees who have completed one month of service. Under the 401(k) provisions of the ESOP, participants may elect to contribute pre-tax salary deferrals and direct investment of those salary deferrals among investments offered in the ESOP (excluding SPFI stock). Although the ESOP provides for Company contributions under the 401(k) provisions, the Company has not made any contributions of this type and has no plans to do so in the foreseeable future. All Company contributions to date have been allocated to service debt related to employee stock ownership.</w:t>
      </w:r>
    </w:p>
    <w:p>
      <w:pPr>
        <w:spacing w:after="0" w:line="85" w:lineRule="exact"/>
        <w:rPr>
          <w:sz w:val="20"/>
          <w:szCs w:val="20"/>
          <w:color w:val="auto"/>
        </w:rPr>
      </w:pPr>
    </w:p>
    <w:p>
      <w:pPr>
        <w:ind w:left="7" w:right="360"/>
        <w:spacing w:after="0" w:line="302" w:lineRule="auto"/>
        <w:rPr>
          <w:sz w:val="20"/>
          <w:szCs w:val="20"/>
          <w:color w:val="auto"/>
        </w:rPr>
      </w:pPr>
      <w:r>
        <w:rPr>
          <w:rFonts w:ascii="Arial" w:cs="Arial" w:eastAsia="Arial" w:hAnsi="Arial"/>
          <w:sz w:val="16"/>
          <w:szCs w:val="16"/>
          <w:color w:val="auto"/>
        </w:rPr>
        <w:t>The ESOP may be leveraged to purchase shares of SPFI stock. Shares are released from collateral and allocated to active employees, in proportion to annual debt service. The Company recognizes the debt of the ESOP as notes payable and the shares pledged as collateral are deducted from the stockholders’ equity as unearned ESOP shares in the accompanying consolidated balance sheets. All ESOP shares have been allocated. See Note 7: Notes payable and other borrowings.</w:t>
      </w:r>
    </w:p>
    <w:p>
      <w:pPr>
        <w:spacing w:after="0" w:line="46" w:lineRule="exact"/>
        <w:rPr>
          <w:sz w:val="20"/>
          <w:szCs w:val="20"/>
          <w:color w:val="auto"/>
        </w:rPr>
      </w:pPr>
    </w:p>
    <w:p>
      <w:pPr>
        <w:ind w:left="7" w:right="40"/>
        <w:spacing w:after="0" w:line="312" w:lineRule="auto"/>
        <w:rPr>
          <w:sz w:val="20"/>
          <w:szCs w:val="20"/>
          <w:color w:val="auto"/>
        </w:rPr>
      </w:pPr>
      <w:r>
        <w:rPr>
          <w:rFonts w:ascii="Arial" w:cs="Arial" w:eastAsia="Arial" w:hAnsi="Arial"/>
          <w:sz w:val="16"/>
          <w:szCs w:val="16"/>
          <w:color w:val="auto"/>
        </w:rPr>
        <w:t>The Company makes contributions to the ESOP as approved by the Board of Directors on an annual basis. These contributions, plus dividends received, are used to service any ESOP debt and repurchase allocated shares from participants and terminating vested participants. Contributions to the ESOP were $2.0 million and $1.7 million in 2018 and 2017, respectively.</w:t>
      </w:r>
    </w:p>
    <w:p>
      <w:pPr>
        <w:spacing w:after="0" w:line="39" w:lineRule="exact"/>
        <w:rPr>
          <w:sz w:val="20"/>
          <w:szCs w:val="20"/>
          <w:color w:val="auto"/>
        </w:rPr>
      </w:pPr>
    </w:p>
    <w:p>
      <w:pPr>
        <w:ind w:left="7" w:right="60"/>
        <w:spacing w:after="0" w:line="272" w:lineRule="auto"/>
        <w:rPr>
          <w:sz w:val="20"/>
          <w:szCs w:val="20"/>
          <w:color w:val="auto"/>
        </w:rPr>
      </w:pPr>
      <w:r>
        <w:rPr>
          <w:rFonts w:ascii="Arial" w:cs="Arial" w:eastAsia="Arial" w:hAnsi="Arial"/>
          <w:sz w:val="17"/>
          <w:szCs w:val="17"/>
          <w:color w:val="auto"/>
        </w:rPr>
        <w:t>The ESOP participants have a mandatory put option to the Company, which may be assumed by the ESOP (but ESOP assumption cannot be required), whereby the Company must settle any SPFI stock benefits under the ESOP by providing cash to the participant in exchange for SPFI stock that would otherwise be distributed. Therefore, the Company is obligated to repurchase allocated shares, at fair value as determined by independent appraisal, from participants that (a) elect to diversify their holdings as they approach retirement, (b) retire or (c) are vested in all or a portion of their SPFI stock in the ESOP and terminate employment. An amount of equity equal to the fair value of the shares is deducted from permanent stockholders’ equity and reflected in a line item below liabilities and above stockholders’ equity.</w:t>
      </w:r>
    </w:p>
    <w:p>
      <w:pPr>
        <w:spacing w:after="0" w:line="70" w:lineRule="exact"/>
        <w:rPr>
          <w:sz w:val="20"/>
          <w:szCs w:val="20"/>
          <w:color w:val="auto"/>
        </w:rPr>
      </w:pPr>
    </w:p>
    <w:p>
      <w:pPr>
        <w:ind w:left="7"/>
        <w:spacing w:after="0"/>
        <w:rPr>
          <w:sz w:val="20"/>
          <w:szCs w:val="20"/>
          <w:color w:val="auto"/>
        </w:rPr>
      </w:pPr>
      <w:r>
        <w:rPr>
          <w:rFonts w:ascii="Arial" w:cs="Arial" w:eastAsia="Arial" w:hAnsi="Arial"/>
          <w:sz w:val="18"/>
          <w:szCs w:val="18"/>
          <w:color w:val="auto"/>
        </w:rPr>
        <w:t>SPFI stock held by the ESOP at year-end follows:</w:t>
      </w:r>
    </w:p>
    <w:p>
      <w:pPr>
        <w:spacing w:after="0" w:line="82"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7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71"/>
        </w:trPr>
        <w:tc>
          <w:tcPr>
            <w:tcW w:w="7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ESOP shares</w:t>
            </w:r>
          </w:p>
        </w:tc>
        <w:tc>
          <w:tcPr>
            <w:tcW w:w="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2,988,470</w:t>
            </w:r>
          </w:p>
        </w:tc>
        <w:tc>
          <w:tcPr>
            <w:tcW w:w="1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2,988,470</w:t>
            </w:r>
          </w:p>
        </w:tc>
        <w:tc>
          <w:tcPr>
            <w:tcW w:w="60" w:type="dxa"/>
            <w:vAlign w:val="bottom"/>
            <w:tcBorders>
              <w:bottom w:val="single" w:sz="8" w:color="CCEEFF"/>
            </w:tcBorders>
            <w:shd w:val="clear" w:color="auto" w:fill="CCEEFF"/>
          </w:tcPr>
          <w:p>
            <w:pPr>
              <w:spacing w:after="0"/>
              <w:rPr>
                <w:sz w:val="23"/>
                <w:szCs w:val="23"/>
                <w:color w:val="auto"/>
              </w:rPr>
            </w:pPr>
          </w:p>
        </w:tc>
      </w:tr>
      <w:tr>
        <w:trPr>
          <w:trHeight w:val="230"/>
        </w:trPr>
        <w:tc>
          <w:tcPr>
            <w:tcW w:w="7420" w:type="dxa"/>
            <w:vAlign w:val="bottom"/>
            <w:gridSpan w:val="2"/>
          </w:tcPr>
          <w:p>
            <w:pPr>
              <w:spacing w:after="0"/>
              <w:rPr>
                <w:sz w:val="20"/>
                <w:szCs w:val="20"/>
                <w:color w:val="auto"/>
              </w:rPr>
            </w:pPr>
            <w:r>
              <w:rPr>
                <w:rFonts w:ascii="Arial" w:cs="Arial" w:eastAsia="Arial" w:hAnsi="Arial"/>
                <w:sz w:val="18"/>
                <w:szCs w:val="18"/>
                <w:color w:val="auto"/>
              </w:rPr>
              <w:t>Fair value of ESOP shares subject to repurchase obligations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58,195</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57,121</w:t>
            </w:r>
          </w:p>
        </w:tc>
        <w:tc>
          <w:tcPr>
            <w:tcW w:w="60" w:type="dxa"/>
            <w:vAlign w:val="bottom"/>
          </w:tcPr>
          <w:p>
            <w:pPr>
              <w:spacing w:after="0"/>
              <w:rPr>
                <w:sz w:val="19"/>
                <w:szCs w:val="19"/>
                <w:color w:val="auto"/>
              </w:rPr>
            </w:pPr>
          </w:p>
        </w:tc>
      </w:tr>
      <w:tr>
        <w:trPr>
          <w:trHeight w:val="21"/>
        </w:trPr>
        <w:tc>
          <w:tcPr>
            <w:tcW w:w="74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ind w:left="7" w:right="140"/>
        <w:spacing w:after="0" w:line="289" w:lineRule="auto"/>
        <w:rPr>
          <w:sz w:val="20"/>
          <w:szCs w:val="20"/>
          <w:color w:val="auto"/>
        </w:rPr>
      </w:pPr>
      <w:r>
        <w:rPr>
          <w:rFonts w:ascii="Arial" w:cs="Arial" w:eastAsia="Arial" w:hAnsi="Arial"/>
          <w:sz w:val="16"/>
          <w:szCs w:val="16"/>
          <w:i w:val="1"/>
          <w:iCs w:val="1"/>
          <w:u w:val="single" w:color="auto"/>
          <w:color w:val="auto"/>
        </w:rPr>
        <w:t>Employee Health Benefits</w:t>
      </w:r>
      <w:r>
        <w:rPr>
          <w:rFonts w:ascii="Arial" w:cs="Arial" w:eastAsia="Arial" w:hAnsi="Arial"/>
          <w:sz w:val="16"/>
          <w:szCs w:val="16"/>
          <w:i w:val="1"/>
          <w:iCs w:val="1"/>
          <w:color w:val="auto"/>
        </w:rPr>
        <w:t xml:space="preserve"> </w:t>
      </w:r>
      <w:r>
        <w:rPr>
          <w:rFonts w:ascii="Arial" w:cs="Arial" w:eastAsia="Arial" w:hAnsi="Arial"/>
          <w:sz w:val="16"/>
          <w:szCs w:val="16"/>
          <w:color w:val="auto"/>
        </w:rPr>
        <w:t>– The Company has a self-insured welfare benefit plan which provides health and dental benefits. For</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of the Company, there is no waiting period to be eligible, while there is a 60-day waiting period for all other employees. In addition, to be eligible, an employee must be scheduled to work on a full-time basis (at least 30 hours per week). The Company periodically evaluates the costs of the plan and determines the amount to be contributed by the Company and the amount, if any, to be contributed by the employee. Welfare benefit expense was approximately $4.9 million and $3.8 million for the years ending December 31, 2018 and 2017, respectively. In addition, benefit obligations have been accrued and include reported claims payable and claims incurred but not reported, for approximately $377,000 and $498,000 as of December 31, 2018 and 2017, respectively. The Company has limited its risk exposure for these benefits through a stop-loss policy with an independent third party insurer which reimburses benefits paid that exceed $100,000 per participant per year.</w:t>
      </w:r>
    </w:p>
    <w:p>
      <w:pPr>
        <w:spacing w:after="0" w:line="59" w:lineRule="exact"/>
        <w:rPr>
          <w:sz w:val="20"/>
          <w:szCs w:val="20"/>
          <w:color w:val="auto"/>
        </w:rPr>
      </w:pPr>
    </w:p>
    <w:p>
      <w:pPr>
        <w:ind w:left="7" w:right="80"/>
        <w:spacing w:after="0" w:line="257" w:lineRule="auto"/>
        <w:rPr>
          <w:sz w:val="20"/>
          <w:szCs w:val="20"/>
          <w:color w:val="auto"/>
        </w:rPr>
      </w:pPr>
      <w:r>
        <w:rPr>
          <w:rFonts w:ascii="Arial" w:cs="Arial" w:eastAsia="Arial" w:hAnsi="Arial"/>
          <w:sz w:val="18"/>
          <w:szCs w:val="18"/>
          <w:i w:val="1"/>
          <w:iCs w:val="1"/>
          <w:u w:val="single" w:color="auto"/>
          <w:color w:val="auto"/>
        </w:rPr>
        <w:t>Non-Qualified Plans</w:t>
      </w:r>
      <w:r>
        <w:rPr>
          <w:rFonts w:ascii="Arial" w:cs="Arial" w:eastAsia="Arial" w:hAnsi="Arial"/>
          <w:sz w:val="18"/>
          <w:szCs w:val="18"/>
          <w:i w:val="1"/>
          <w:iCs w:val="1"/>
          <w:color w:val="auto"/>
        </w:rPr>
        <w:t xml:space="preserve"> </w:t>
      </w:r>
      <w:r>
        <w:rPr>
          <w:rFonts w:ascii="Arial" w:cs="Arial" w:eastAsia="Arial" w:hAnsi="Arial"/>
          <w:sz w:val="18"/>
          <w:szCs w:val="18"/>
          <w:color w:val="auto"/>
        </w:rPr>
        <w:t>– Certain Company executives, as determined by the Company’s Board from time-to-time, are granted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appreciation rights based on grant date values. The rights have varying vesting provisions. Exercise and payment options for the rights vary and are governed by the program they were issued under as well as the specific award agreement. The Company accrues the liabilities for these rights under the intrinsic value method; approximately $10.6 million and $8.1 million was accrued at December 31, 2018 and 2017, respectively.</w:t>
      </w:r>
    </w:p>
    <w:p>
      <w:pPr>
        <w:spacing w:after="0" w:line="188"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76" w:name="page177"/>
    <w:bookmarkEnd w:id="176"/>
    <w:p>
      <w:pPr>
        <w:ind w:left="7"/>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27"/>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07"/>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ind w:right="-6"/>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74" w:lineRule="exact"/>
        <w:rPr>
          <w:sz w:val="20"/>
          <w:szCs w:val="20"/>
          <w:color w:val="auto"/>
        </w:rPr>
      </w:pPr>
    </w:p>
    <w:p>
      <w:pPr>
        <w:ind w:left="367" w:hanging="367"/>
        <w:spacing w:after="0"/>
        <w:tabs>
          <w:tab w:leader="none" w:pos="367" w:val="left"/>
        </w:tabs>
        <w:numPr>
          <w:ilvl w:val="0"/>
          <w:numId w:val="9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BENEFITS (Continued)</w:t>
      </w:r>
    </w:p>
    <w:p>
      <w:pPr>
        <w:spacing w:after="0" w:line="63" w:lineRule="exact"/>
        <w:rPr>
          <w:sz w:val="20"/>
          <w:szCs w:val="20"/>
          <w:color w:val="auto"/>
        </w:rPr>
      </w:pPr>
    </w:p>
    <w:p>
      <w:pPr>
        <w:ind w:left="7" w:right="220"/>
        <w:spacing w:after="0" w:line="279" w:lineRule="auto"/>
        <w:rPr>
          <w:sz w:val="20"/>
          <w:szCs w:val="20"/>
          <w:color w:val="auto"/>
        </w:rPr>
      </w:pPr>
      <w:r>
        <w:rPr>
          <w:rFonts w:ascii="Arial" w:cs="Arial" w:eastAsia="Arial" w:hAnsi="Arial"/>
          <w:sz w:val="17"/>
          <w:szCs w:val="17"/>
          <w:color w:val="auto"/>
        </w:rPr>
        <w:t>Certain Company executives, as determined by the Company’s Board from time-to-time, have post-retirement salary continuation agreements under an Executive Salary Continuation Plan. Retirement ages and retirement salary amounts are specified in each agreement. The Company accrues actuarial estimates of the costs of these benefits over the respective service periods; approximately $11.1 million and $10.3 million was accrued at December 31, 2018 and 2017, respectively.</w:t>
      </w:r>
    </w:p>
    <w:p>
      <w:pPr>
        <w:spacing w:after="0" w:line="63" w:lineRule="exact"/>
        <w:rPr>
          <w:sz w:val="20"/>
          <w:szCs w:val="20"/>
          <w:color w:val="auto"/>
        </w:rPr>
      </w:pPr>
    </w:p>
    <w:p>
      <w:pPr>
        <w:ind w:left="7" w:right="360"/>
        <w:spacing w:after="0" w:line="277" w:lineRule="auto"/>
        <w:rPr>
          <w:sz w:val="20"/>
          <w:szCs w:val="20"/>
          <w:color w:val="auto"/>
        </w:rPr>
      </w:pPr>
      <w:r>
        <w:rPr>
          <w:rFonts w:ascii="Arial" w:cs="Arial" w:eastAsia="Arial" w:hAnsi="Arial"/>
          <w:sz w:val="18"/>
          <w:szCs w:val="18"/>
          <w:color w:val="auto"/>
        </w:rPr>
        <w:t>Both of these plans are nonqualified, noncontributory, and unfunded. The charges to income for the plans during 2018 and 2017 were approximately $4.1 million and $5.2 million, respectively.</w:t>
      </w:r>
    </w:p>
    <w:p>
      <w:pPr>
        <w:spacing w:after="0" w:line="62" w:lineRule="exact"/>
        <w:rPr>
          <w:sz w:val="20"/>
          <w:szCs w:val="20"/>
          <w:color w:val="auto"/>
        </w:rPr>
      </w:pPr>
    </w:p>
    <w:p>
      <w:pPr>
        <w:ind w:left="7"/>
        <w:spacing w:after="0"/>
        <w:tabs>
          <w:tab w:leader="none" w:pos="326" w:val="left"/>
        </w:tabs>
        <w:rPr>
          <w:sz w:val="20"/>
          <w:szCs w:val="20"/>
          <w:color w:val="auto"/>
        </w:rPr>
      </w:pPr>
      <w:r>
        <w:rPr>
          <w:rFonts w:ascii="Arial" w:cs="Arial" w:eastAsia="Arial" w:hAnsi="Arial"/>
          <w:sz w:val="18"/>
          <w:szCs w:val="18"/>
          <w:b w:val="1"/>
          <w:bCs w:val="1"/>
          <w:i w:val="1"/>
          <w:iCs w:val="1"/>
          <w:color w:val="auto"/>
        </w:rPr>
        <w:t>9.</w:t>
        <w:tab/>
        <w:t>INCOME TAXES</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Income tax expense (benefit) was as follows:</w:t>
      </w:r>
    </w:p>
    <w:p>
      <w:pPr>
        <w:spacing w:after="0" w:line="82"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7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3"/>
              </w:rPr>
              <w:t>Years Ended December 31,</w:t>
            </w:r>
          </w:p>
        </w:tc>
      </w:tr>
      <w:tr>
        <w:trPr>
          <w:trHeight w:val="183"/>
        </w:trPr>
        <w:tc>
          <w:tcPr>
            <w:tcW w:w="746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r>
      <w:tr>
        <w:trPr>
          <w:trHeight w:val="237"/>
        </w:trPr>
        <w:tc>
          <w:tcPr>
            <w:tcW w:w="7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expense</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7460" w:type="dxa"/>
            <w:vAlign w:val="bottom"/>
          </w:tcPr>
          <w:p>
            <w:pPr>
              <w:ind w:left="180"/>
              <w:spacing w:after="0"/>
              <w:rPr>
                <w:sz w:val="20"/>
                <w:szCs w:val="20"/>
                <w:color w:val="auto"/>
              </w:rPr>
            </w:pPr>
            <w:r>
              <w:rPr>
                <w:rFonts w:ascii="Arial" w:cs="Arial" w:eastAsia="Arial" w:hAnsi="Arial"/>
                <w:sz w:val="18"/>
                <w:szCs w:val="18"/>
                <w:color w:val="auto"/>
              </w:rPr>
              <w:t>Federal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2,873</w:t>
            </w:r>
          </w:p>
        </w:tc>
        <w:tc>
          <w:tcPr>
            <w:tcW w:w="1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74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21"/>
                <w:szCs w:val="21"/>
                <w:color w:val="auto"/>
              </w:rPr>
            </w:pPr>
          </w:p>
        </w:tc>
      </w:tr>
      <w:tr>
        <w:trPr>
          <w:trHeight w:val="237"/>
        </w:trPr>
        <w:tc>
          <w:tcPr>
            <w:tcW w:w="7460" w:type="dxa"/>
            <w:vAlign w:val="bottom"/>
          </w:tcPr>
          <w:p>
            <w:pPr>
              <w:spacing w:after="0"/>
              <w:rPr>
                <w:sz w:val="20"/>
                <w:szCs w:val="20"/>
                <w:color w:val="auto"/>
              </w:rPr>
            </w:pPr>
            <w:r>
              <w:rPr>
                <w:rFonts w:ascii="Arial" w:cs="Arial" w:eastAsia="Arial" w:hAnsi="Arial"/>
                <w:sz w:val="18"/>
                <w:szCs w:val="18"/>
                <w:color w:val="auto"/>
              </w:rPr>
              <w:t>Deferred expense</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4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16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(6,895)</w:t>
            </w:r>
          </w:p>
        </w:tc>
        <w:tc>
          <w:tcPr>
            <w:tcW w:w="1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746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746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(3,901)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r>
      <w:tr>
        <w:trPr>
          <w:trHeight w:val="21"/>
        </w:trPr>
        <w:tc>
          <w:tcPr>
            <w:tcW w:w="7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7"/>
        <w:spacing w:after="0"/>
        <w:rPr>
          <w:sz w:val="20"/>
          <w:szCs w:val="20"/>
          <w:color w:val="auto"/>
        </w:rPr>
      </w:pPr>
      <w:r>
        <w:rPr>
          <w:rFonts w:ascii="Arial" w:cs="Arial" w:eastAsia="Arial" w:hAnsi="Arial"/>
          <w:sz w:val="16"/>
          <w:szCs w:val="16"/>
          <w:color w:val="auto"/>
        </w:rPr>
        <w:t>Effective tax rates differ from the federal statutory rate of 21% for 2018 applied to income before income taxes due to the following:</w:t>
      </w:r>
    </w:p>
    <w:p>
      <w:pPr>
        <w:spacing w:after="0" w:line="105"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42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gridSpan w:val="5"/>
          </w:tcPr>
          <w:p>
            <w:pPr>
              <w:ind w:left="40"/>
              <w:spacing w:after="0"/>
              <w:rPr>
                <w:sz w:val="20"/>
                <w:szCs w:val="20"/>
                <w:color w:val="auto"/>
              </w:rPr>
            </w:pPr>
            <w:r>
              <w:rPr>
                <w:rFonts w:ascii="Arial" w:cs="Arial" w:eastAsia="Arial" w:hAnsi="Arial"/>
                <w:sz w:val="14"/>
                <w:szCs w:val="14"/>
                <w:b w:val="1"/>
                <w:bCs w:val="1"/>
                <w:color w:val="auto"/>
              </w:rPr>
              <w:t>Years Ended December 31,</w:t>
            </w:r>
          </w:p>
        </w:tc>
      </w:tr>
      <w:tr>
        <w:trPr>
          <w:trHeight w:val="183"/>
        </w:trPr>
        <w:tc>
          <w:tcPr>
            <w:tcW w:w="428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r>
      <w:tr>
        <w:trPr>
          <w:trHeight w:val="237"/>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w w:val="97"/>
              </w:rPr>
              <w:t>Federal statutory rate times financial statement income</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5,332</w:t>
            </w: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37"/>
        </w:trPr>
        <w:tc>
          <w:tcPr>
            <w:tcW w:w="4280" w:type="dxa"/>
            <w:vAlign w:val="bottom"/>
          </w:tcPr>
          <w:p>
            <w:pPr>
              <w:spacing w:after="0"/>
              <w:rPr>
                <w:sz w:val="20"/>
                <w:szCs w:val="20"/>
                <w:color w:val="auto"/>
              </w:rPr>
            </w:pPr>
            <w:r>
              <w:rPr>
                <w:rFonts w:ascii="Arial" w:cs="Arial" w:eastAsia="Arial" w:hAnsi="Arial"/>
                <w:sz w:val="18"/>
                <w:szCs w:val="18"/>
                <w:color w:val="auto"/>
              </w:rPr>
              <w:t>Effect of:</w:t>
            </w:r>
          </w:p>
        </w:tc>
        <w:tc>
          <w:tcPr>
            <w:tcW w:w="3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Initial recognition of net deferred tax asset</w:t>
            </w:r>
          </w:p>
        </w:tc>
        <w:tc>
          <w:tcPr>
            <w:tcW w:w="3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(6,741)</w:t>
            </w:r>
          </w:p>
        </w:tc>
        <w:tc>
          <w:tcPr>
            <w:tcW w:w="1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37"/>
        </w:trPr>
        <w:tc>
          <w:tcPr>
            <w:tcW w:w="4280" w:type="dxa"/>
            <w:vAlign w:val="bottom"/>
          </w:tcPr>
          <w:p>
            <w:pPr>
              <w:ind w:left="180"/>
              <w:spacing w:after="0"/>
              <w:rPr>
                <w:sz w:val="20"/>
                <w:szCs w:val="20"/>
                <w:color w:val="auto"/>
              </w:rPr>
            </w:pPr>
            <w:r>
              <w:rPr>
                <w:rFonts w:ascii="Arial" w:cs="Arial" w:eastAsia="Arial" w:hAnsi="Arial"/>
                <w:sz w:val="18"/>
                <w:szCs w:val="18"/>
                <w:color w:val="auto"/>
              </w:rPr>
              <w:t>S Corp taxable income</w:t>
            </w:r>
          </w:p>
        </w:tc>
        <w:tc>
          <w:tcPr>
            <w:tcW w:w="3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(2,267)</w:t>
            </w:r>
          </w:p>
        </w:tc>
        <w:tc>
          <w:tcPr>
            <w:tcW w:w="180" w:type="dxa"/>
            <w:vAlign w:val="bottom"/>
          </w:tcPr>
          <w:p>
            <w:pPr>
              <w:spacing w:after="0"/>
              <w:rPr>
                <w:sz w:val="20"/>
                <w:szCs w:val="20"/>
                <w:color w:val="auto"/>
              </w:rPr>
            </w:pP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49"/>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Tax-exempt income</w:t>
            </w:r>
          </w:p>
        </w:tc>
        <w:tc>
          <w:tcPr>
            <w:tcW w:w="3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w:t>
            </w:r>
          </w:p>
        </w:tc>
        <w:tc>
          <w:tcPr>
            <w:tcW w:w="1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37"/>
        </w:trPr>
        <w:tc>
          <w:tcPr>
            <w:tcW w:w="4280" w:type="dxa"/>
            <w:vAlign w:val="bottom"/>
          </w:tcPr>
          <w:p>
            <w:pPr>
              <w:ind w:left="180"/>
              <w:spacing w:after="0"/>
              <w:rPr>
                <w:sz w:val="20"/>
                <w:szCs w:val="20"/>
                <w:color w:val="auto"/>
              </w:rPr>
            </w:pPr>
            <w:r>
              <w:rPr>
                <w:rFonts w:ascii="Arial" w:cs="Arial" w:eastAsia="Arial" w:hAnsi="Arial"/>
                <w:sz w:val="18"/>
                <w:szCs w:val="18"/>
                <w:color w:val="auto"/>
              </w:rPr>
              <w:t>State taxes, net of federal benefit</w:t>
            </w:r>
          </w:p>
        </w:tc>
        <w:tc>
          <w:tcPr>
            <w:tcW w:w="3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49"/>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Earnings from bank owned life insurance</w:t>
            </w:r>
          </w:p>
        </w:tc>
        <w:tc>
          <w:tcPr>
            <w:tcW w:w="3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w:t>
            </w:r>
          </w:p>
        </w:tc>
        <w:tc>
          <w:tcPr>
            <w:tcW w:w="1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37"/>
        </w:trPr>
        <w:tc>
          <w:tcPr>
            <w:tcW w:w="4280" w:type="dxa"/>
            <w:vAlign w:val="bottom"/>
          </w:tcPr>
          <w:p>
            <w:pPr>
              <w:ind w:left="180"/>
              <w:spacing w:after="0"/>
              <w:rPr>
                <w:sz w:val="20"/>
                <w:szCs w:val="20"/>
                <w:color w:val="auto"/>
              </w:rPr>
            </w:pPr>
            <w:r>
              <w:rPr>
                <w:rFonts w:ascii="Arial" w:cs="Arial" w:eastAsia="Arial" w:hAnsi="Arial"/>
                <w:sz w:val="18"/>
                <w:szCs w:val="18"/>
                <w:color w:val="auto"/>
              </w:rPr>
              <w:t>Non deductible expenses</w:t>
            </w:r>
          </w:p>
        </w:tc>
        <w:tc>
          <w:tcPr>
            <w:tcW w:w="3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49"/>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3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0"/>
        </w:trPr>
        <w:tc>
          <w:tcPr>
            <w:tcW w:w="4280" w:type="dxa"/>
            <w:vAlign w:val="bottom"/>
            <w:shd w:val="clear" w:color="auto" w:fill="CCEEFF"/>
          </w:tcPr>
          <w:p>
            <w:pPr>
              <w:spacing w:after="0" w:line="20" w:lineRule="exact"/>
              <w:rPr>
                <w:sz w:val="1"/>
                <w:szCs w:val="1"/>
                <w:color w:val="auto"/>
              </w:rPr>
            </w:pPr>
          </w:p>
        </w:tc>
        <w:tc>
          <w:tcPr>
            <w:tcW w:w="3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4280" w:type="dxa"/>
            <w:vAlign w:val="bottom"/>
          </w:tcPr>
          <w:p>
            <w:pPr>
              <w:ind w:left="180"/>
              <w:spacing w:after="0"/>
              <w:rPr>
                <w:sz w:val="20"/>
                <w:szCs w:val="20"/>
                <w:color w:val="auto"/>
              </w:rPr>
            </w:pPr>
            <w:r>
              <w:rPr>
                <w:rFonts w:ascii="Arial" w:cs="Arial" w:eastAsia="Arial" w:hAnsi="Arial"/>
                <w:sz w:val="18"/>
                <w:szCs w:val="18"/>
                <w:color w:val="auto"/>
              </w:rPr>
              <w:t>Total</w:t>
            </w:r>
          </w:p>
        </w:tc>
        <w:tc>
          <w:tcPr>
            <w:tcW w:w="3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(3,901)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
        </w:trPr>
        <w:tc>
          <w:tcPr>
            <w:tcW w:w="42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4280" w:type="dxa"/>
            <w:vAlign w:val="bottom"/>
          </w:tcPr>
          <w:p>
            <w:pPr>
              <w:spacing w:after="0"/>
              <w:rPr>
                <w:sz w:val="24"/>
                <w:szCs w:val="24"/>
                <w:color w:val="auto"/>
              </w:rPr>
            </w:pPr>
          </w:p>
        </w:tc>
        <w:tc>
          <w:tcPr>
            <w:tcW w:w="3340" w:type="dxa"/>
            <w:vAlign w:val="bottom"/>
            <w:gridSpan w:val="2"/>
          </w:tcPr>
          <w:p>
            <w:pPr>
              <w:jc w:val="right"/>
              <w:ind w:right="2590"/>
              <w:spacing w:after="0"/>
              <w:rPr>
                <w:sz w:val="20"/>
                <w:szCs w:val="20"/>
                <w:color w:val="auto"/>
              </w:rPr>
            </w:pPr>
            <w:r>
              <w:rPr>
                <w:rFonts w:ascii="Arial" w:cs="Arial" w:eastAsia="Arial" w:hAnsi="Arial"/>
                <w:sz w:val="18"/>
                <w:szCs w:val="18"/>
                <w:color w:val="auto"/>
              </w:rPr>
              <w:t>F-26</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42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
        </w:trPr>
        <w:tc>
          <w:tcPr>
            <w:tcW w:w="4280" w:type="dxa"/>
            <w:vAlign w:val="bottom"/>
            <w:shd w:val="clear" w:color="auto" w:fill="000000"/>
          </w:tcPr>
          <w:p>
            <w:pPr>
              <w:spacing w:after="0"/>
              <w:rPr>
                <w:sz w:val="5"/>
                <w:szCs w:val="5"/>
                <w:color w:val="auto"/>
              </w:rPr>
            </w:pPr>
          </w:p>
        </w:tc>
        <w:tc>
          <w:tcPr>
            <w:tcW w:w="3180" w:type="dxa"/>
            <w:vAlign w:val="bottom"/>
            <w:tcBorders>
              <w:right w:val="single" w:sz="8" w:color="auto"/>
            </w:tcBorders>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1900" w:h="16838" w:orient="portrait"/>
          <w:cols w:equalWidth="0" w:num="1">
            <w:col w:w="9567"/>
          </w:cols>
          <w:pgMar w:left="1173" w:top="279" w:right="1159" w:bottom="1440" w:gutter="0" w:footer="0" w:header="0"/>
        </w:sectPr>
      </w:pPr>
    </w:p>
    <w:bookmarkStart w:id="177" w:name="page178"/>
    <w:bookmarkEnd w:id="17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20"/>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0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7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9.</w:t>
        <w:tab/>
        <w:t>INCOME TAXES (Continued)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Year-end deferred tax assets and liabilities were due to the following:</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40" w:type="dxa"/>
            <w:vAlign w:val="bottom"/>
          </w:tcPr>
          <w:p>
            <w:pPr>
              <w:ind w:left="160"/>
              <w:spacing w:after="0"/>
              <w:rPr>
                <w:sz w:val="20"/>
                <w:szCs w:val="20"/>
                <w:color w:val="auto"/>
              </w:rPr>
            </w:pPr>
            <w:r>
              <w:rPr>
                <w:rFonts w:ascii="Arial" w:cs="Arial" w:eastAsia="Arial" w:hAnsi="Arial"/>
                <w:sz w:val="18"/>
                <w:szCs w:val="18"/>
                <w:color w:val="auto"/>
              </w:rPr>
              <w:t>Allowance for loan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4,857</w:t>
            </w:r>
          </w:p>
        </w:tc>
        <w:tc>
          <w:tcPr>
            <w:tcW w:w="1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4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compensation</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4,560</w:t>
            </w:r>
          </w:p>
        </w:tc>
        <w:tc>
          <w:tcPr>
            <w:tcW w:w="18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40" w:type="dxa"/>
            <w:vAlign w:val="bottom"/>
          </w:tcPr>
          <w:p>
            <w:pPr>
              <w:ind w:left="160"/>
              <w:spacing w:after="0"/>
              <w:rPr>
                <w:sz w:val="20"/>
                <w:szCs w:val="20"/>
                <w:color w:val="auto"/>
              </w:rPr>
            </w:pPr>
            <w:r>
              <w:rPr>
                <w:rFonts w:ascii="Arial" w:cs="Arial" w:eastAsia="Arial" w:hAnsi="Arial"/>
                <w:sz w:val="18"/>
                <w:szCs w:val="18"/>
                <w:color w:val="auto"/>
              </w:rPr>
              <w:t>Other real estate owned</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320</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4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Nonaccrual loans</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8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40" w:type="dxa"/>
            <w:vAlign w:val="bottom"/>
          </w:tcPr>
          <w:p>
            <w:pPr>
              <w:ind w:left="160"/>
              <w:spacing w:after="0"/>
              <w:rPr>
                <w:sz w:val="20"/>
                <w:szCs w:val="20"/>
                <w:color w:val="auto"/>
              </w:rPr>
            </w:pPr>
            <w:r>
              <w:rPr>
                <w:rFonts w:ascii="Arial" w:cs="Arial" w:eastAsia="Arial" w:hAnsi="Arial"/>
                <w:sz w:val="18"/>
                <w:szCs w:val="18"/>
                <w:color w:val="auto"/>
              </w:rPr>
              <w:t>Unrealized loss on available-for-sale securities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596</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4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8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460" w:type="dxa"/>
            <w:vAlign w:val="bottom"/>
            <w:gridSpan w:val="2"/>
          </w:tcPr>
          <w:p>
            <w:pPr>
              <w:spacing w:after="0"/>
              <w:rPr>
                <w:sz w:val="20"/>
                <w:szCs w:val="20"/>
                <w:color w:val="auto"/>
              </w:rPr>
            </w:pPr>
            <w:r>
              <w:rPr>
                <w:rFonts w:ascii="Arial" w:cs="Arial" w:eastAsia="Arial" w:hAnsi="Arial"/>
                <w:sz w:val="18"/>
                <w:szCs w:val="18"/>
                <w:color w:val="auto"/>
              </w:rPr>
              <w:t>Total deferred tax assets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10,676</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7440" w:type="dxa"/>
            <w:vAlign w:val="bottom"/>
            <w:tcBorders>
              <w:right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4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w:t>
            </w:r>
          </w:p>
        </w:tc>
        <w:tc>
          <w:tcPr>
            <w:tcW w:w="24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(2,331)</w:t>
            </w:r>
          </w:p>
        </w:tc>
        <w:tc>
          <w:tcPr>
            <w:tcW w:w="280" w:type="dxa"/>
            <w:vAlign w:val="bottom"/>
            <w:shd w:val="clear" w:color="auto" w:fill="CCEEFF"/>
          </w:tcPr>
          <w:p>
            <w:pPr>
              <w:spacing w:after="0"/>
              <w:rPr>
                <w:sz w:val="21"/>
                <w:szCs w:val="21"/>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40" w:type="dxa"/>
            <w:vAlign w:val="bottom"/>
          </w:tcPr>
          <w:p>
            <w:pPr>
              <w:ind w:left="160"/>
              <w:spacing w:after="0"/>
              <w:rPr>
                <w:sz w:val="20"/>
                <w:szCs w:val="20"/>
                <w:color w:val="auto"/>
              </w:rPr>
            </w:pPr>
            <w:r>
              <w:rPr>
                <w:rFonts w:ascii="Arial" w:cs="Arial" w:eastAsia="Arial" w:hAnsi="Arial"/>
                <w:sz w:val="18"/>
                <w:szCs w:val="18"/>
                <w:color w:val="auto"/>
              </w:rPr>
              <w:t>Prepaids</w:t>
            </w:r>
          </w:p>
        </w:tc>
        <w:tc>
          <w:tcPr>
            <w:tcW w:w="24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(390)</w:t>
            </w:r>
          </w:p>
        </w:tc>
        <w:tc>
          <w:tcPr>
            <w:tcW w:w="280" w:type="dxa"/>
            <w:vAlign w:val="bottom"/>
          </w:tcPr>
          <w:p>
            <w:pPr>
              <w:spacing w:after="0"/>
              <w:rPr>
                <w:sz w:val="20"/>
                <w:szCs w:val="20"/>
                <w:color w:val="auto"/>
              </w:rPr>
            </w:pPr>
          </w:p>
        </w:tc>
        <w:tc>
          <w:tcPr>
            <w:tcW w:w="5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4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Mortgage servicing rights</w:t>
            </w:r>
          </w:p>
        </w:tc>
        <w:tc>
          <w:tcPr>
            <w:tcW w:w="24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(267)</w:t>
            </w:r>
          </w:p>
        </w:tc>
        <w:tc>
          <w:tcPr>
            <w:tcW w:w="280" w:type="dxa"/>
            <w:vAlign w:val="bottom"/>
            <w:shd w:val="clear" w:color="auto" w:fill="CCEEFF"/>
          </w:tcPr>
          <w:p>
            <w:pPr>
              <w:spacing w:after="0"/>
              <w:rPr>
                <w:sz w:val="21"/>
                <w:szCs w:val="21"/>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40" w:type="dxa"/>
            <w:vAlign w:val="bottom"/>
          </w:tcPr>
          <w:p>
            <w:pPr>
              <w:ind w:left="16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(197)</w:t>
            </w:r>
          </w:p>
        </w:tc>
        <w:tc>
          <w:tcPr>
            <w:tcW w:w="280" w:type="dxa"/>
            <w:vAlign w:val="bottom"/>
          </w:tcPr>
          <w:p>
            <w:pPr>
              <w:spacing w:after="0"/>
              <w:rPr>
                <w:sz w:val="21"/>
                <w:szCs w:val="21"/>
                <w:color w:val="auto"/>
              </w:rPr>
            </w:pPr>
          </w:p>
        </w:tc>
        <w:tc>
          <w:tcPr>
            <w:tcW w:w="5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24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(3,185)</w:t>
            </w:r>
          </w:p>
        </w:tc>
        <w:tc>
          <w:tcPr>
            <w:tcW w:w="2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60" w:type="dxa"/>
            <w:vAlign w:val="bottom"/>
            <w:gridSpan w:val="2"/>
          </w:tcPr>
          <w:p>
            <w:pPr>
              <w:spacing w:after="0"/>
              <w:rPr>
                <w:sz w:val="20"/>
                <w:szCs w:val="20"/>
                <w:color w:val="auto"/>
              </w:rPr>
            </w:pPr>
            <w:r>
              <w:rPr>
                <w:rFonts w:ascii="Arial" w:cs="Arial" w:eastAsia="Arial" w:hAnsi="Arial"/>
                <w:sz w:val="18"/>
                <w:szCs w:val="18"/>
                <w:color w:val="auto"/>
              </w:rPr>
              <w:t>Net deferred tax asset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7,491</w:t>
            </w:r>
          </w:p>
        </w:tc>
        <w:tc>
          <w:tcPr>
            <w:tcW w:w="1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RELATED-PARTY TRANSACTIONS</w:t>
      </w:r>
    </w:p>
    <w:p>
      <w:pPr>
        <w:spacing w:after="0" w:line="117"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Direct and indirect loans to executive officers, directors, significant stockholders and their related affiliates as of December 31, 2018 and 2017 aggregated approximately $10.0 million and $9.4 million, respectively. There were no charge-offs related to these loans in 2018 or 2017 and advance and repayment activity was routine. Deposits from these related parties in the CFS were not significant.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OFF-BALANCE-SHEET ACTIVITIES, COMMITMENTS AND CONTINGENCIES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u w:val="single" w:color="auto"/>
          <w:color w:val="auto"/>
        </w:rPr>
        <w:t>Financial instruments with off-balance-sheet risk</w:t>
      </w:r>
      <w:r>
        <w:rPr>
          <w:rFonts w:ascii="Arial" w:cs="Arial" w:eastAsia="Arial" w:hAnsi="Arial"/>
          <w:sz w:val="18"/>
          <w:szCs w:val="18"/>
          <w:i w:val="1"/>
          <w:iCs w:val="1"/>
          <w:color w:val="auto"/>
        </w:rPr>
        <w:t xml:space="preserve"> </w:t>
      </w:r>
      <w:r>
        <w:rPr>
          <w:rFonts w:ascii="Arial" w:cs="Arial" w:eastAsia="Arial" w:hAnsi="Arial"/>
          <w:sz w:val="18"/>
          <w:szCs w:val="18"/>
          <w:color w:val="auto"/>
        </w:rPr>
        <w:t>– The Company is a party to financial instruments with off-balance-sheet risk in</w:t>
      </w:r>
      <w:r>
        <w:rPr>
          <w:rFonts w:ascii="Arial" w:cs="Arial" w:eastAsia="Arial" w:hAnsi="Arial"/>
          <w:sz w:val="18"/>
          <w:szCs w:val="18"/>
          <w:i w:val="1"/>
          <w:iCs w:val="1"/>
          <w:color w:val="auto"/>
        </w:rPr>
        <w:t xml:space="preserve"> </w:t>
      </w:r>
      <w:r>
        <w:rPr>
          <w:rFonts w:ascii="Arial" w:cs="Arial" w:eastAsia="Arial" w:hAnsi="Arial"/>
          <w:sz w:val="18"/>
          <w:szCs w:val="18"/>
          <w:color w:val="auto"/>
        </w:rPr>
        <w:t>the normal course of business to meet the financing needs of its customers. These financial instruments include commitments to extend credit and standby letters-of-credit. Such commitments involve, to varying degrees, elements of credit and interest rate risk in excess of the amount recognized in the CFS.</w:t>
      </w:r>
    </w:p>
    <w:p>
      <w:pPr>
        <w:spacing w:after="0" w:line="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Company’s exposure to credit loss is represented by the contractual amount of these commitments. The Company follows the same credit policies in making commitments as it does for recorded instruments.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Financial instruments whose contract amounts represent credit risk outstanding at year-end follow:</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20" w:type="dxa"/>
            <w:vAlign w:val="bottom"/>
          </w:tcPr>
          <w:p>
            <w:pPr>
              <w:spacing w:after="0"/>
              <w:rPr>
                <w:sz w:val="16"/>
                <w:szCs w:val="16"/>
                <w:color w:val="auto"/>
              </w:rPr>
            </w:pPr>
          </w:p>
        </w:tc>
        <w:tc>
          <w:tcPr>
            <w:tcW w:w="9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r>
      <w:tr>
        <w:trPr>
          <w:trHeight w:val="237"/>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grant loans and unfunded commitments under lines of credit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346,255</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290,441</w:t>
            </w:r>
          </w:p>
        </w:tc>
      </w:tr>
      <w:tr>
        <w:trPr>
          <w:trHeight w:val="230"/>
        </w:trPr>
        <w:tc>
          <w:tcPr>
            <w:tcW w:w="7420" w:type="dxa"/>
            <w:vAlign w:val="bottom"/>
          </w:tcPr>
          <w:p>
            <w:pPr>
              <w:spacing w:after="0"/>
              <w:rPr>
                <w:sz w:val="20"/>
                <w:szCs w:val="20"/>
                <w:color w:val="auto"/>
              </w:rPr>
            </w:pPr>
            <w:r>
              <w:rPr>
                <w:rFonts w:ascii="Arial" w:cs="Arial" w:eastAsia="Arial" w:hAnsi="Arial"/>
                <w:sz w:val="18"/>
                <w:szCs w:val="18"/>
                <w:color w:val="auto"/>
              </w:rPr>
              <w:t>Standby letters-of-credit</w:t>
            </w:r>
          </w:p>
        </w:tc>
        <w:tc>
          <w:tcPr>
            <w:tcW w:w="960" w:type="dxa"/>
            <w:vAlign w:val="bottom"/>
          </w:tcPr>
          <w:p>
            <w:pPr>
              <w:jc w:val="right"/>
              <w:spacing w:after="0"/>
              <w:rPr>
                <w:sz w:val="20"/>
                <w:szCs w:val="20"/>
                <w:color w:val="auto"/>
              </w:rPr>
            </w:pPr>
            <w:r>
              <w:rPr>
                <w:rFonts w:ascii="Arial" w:cs="Arial" w:eastAsia="Arial" w:hAnsi="Arial"/>
                <w:sz w:val="18"/>
                <w:szCs w:val="18"/>
                <w:color w:val="auto"/>
              </w:rPr>
              <w:t>5,062</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9,255</w:t>
            </w:r>
          </w:p>
        </w:tc>
      </w:tr>
    </w:tbl>
    <w:p>
      <w:pPr>
        <w:spacing w:after="0" w:line="10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The commitments for lines of credit may expire without being drawn upon. Therefore, the total commitment amounts do not necessarily represent future cash requirements. The amount of collateral obtained, if it is deemed necessary by the Company, is based on management’s credit evaluation of the customer.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78" w:name="page179"/>
    <w:bookmarkEnd w:id="17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20"/>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0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ind w:left="2700"/>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7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11.</w:t>
      </w:r>
      <w:r>
        <w:rPr>
          <w:sz w:val="20"/>
          <w:szCs w:val="20"/>
          <w:color w:val="auto"/>
        </w:rPr>
        <w:tab/>
      </w:r>
      <w:r>
        <w:rPr>
          <w:rFonts w:ascii="Arial" w:cs="Arial" w:eastAsia="Arial" w:hAnsi="Arial"/>
          <w:sz w:val="17"/>
          <w:szCs w:val="17"/>
          <w:b w:val="1"/>
          <w:bCs w:val="1"/>
          <w:i w:val="1"/>
          <w:iCs w:val="1"/>
          <w:color w:val="auto"/>
        </w:rPr>
        <w:t>OFF-BALANCE-SHEET ACTIVITIES, COMMITMENTS AND CONTINGENCIES (Continued)</w:t>
      </w:r>
    </w:p>
    <w:p>
      <w:pPr>
        <w:spacing w:after="0" w:line="6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Standby letters-of-credit are conditional commitments issued by the Company to guarantee the performance of a customer to a third party. Those letters-of-credit are primarily issued to support public and private borrowing arrangements. Essentially all letters-of-credit issued have expiration dates within one year. The credit risk involved in issuing letters-of-credit is essentially the same as that involved in extending loan facilities to customers. The Company requires collateral supporting those commitments if deemed necessary.</w:t>
      </w:r>
    </w:p>
    <w:p>
      <w:pPr>
        <w:spacing w:after="0" w:line="8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u w:val="single" w:color="auto"/>
          <w:color w:val="auto"/>
        </w:rPr>
        <w:t>Litigation</w:t>
      </w:r>
      <w:r>
        <w:rPr>
          <w:rFonts w:ascii="Arial" w:cs="Arial" w:eastAsia="Arial" w:hAnsi="Arial"/>
          <w:sz w:val="18"/>
          <w:szCs w:val="18"/>
          <w:i w:val="1"/>
          <w:iCs w:val="1"/>
          <w:color w:val="auto"/>
        </w:rPr>
        <w:t xml:space="preserve"> </w:t>
      </w:r>
      <w:r>
        <w:rPr>
          <w:rFonts w:ascii="Arial" w:cs="Arial" w:eastAsia="Arial" w:hAnsi="Arial"/>
          <w:sz w:val="18"/>
          <w:szCs w:val="18"/>
          <w:color w:val="auto"/>
        </w:rPr>
        <w:t>– The Company is a defendant in legal actions arising from time to time in the normal course of business.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believes that the ultimate liability, if any, arising from these matters will not materially affect the CFS, based on information known as of the date the CFS were available to be issued.</w:t>
      </w:r>
    </w:p>
    <w:p>
      <w:pPr>
        <w:spacing w:after="0" w:line="7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u w:val="single" w:color="auto"/>
          <w:color w:val="auto"/>
        </w:rPr>
        <w:t>FHLB Letters of Credit</w:t>
      </w:r>
      <w:r>
        <w:rPr>
          <w:rFonts w:ascii="Arial" w:cs="Arial" w:eastAsia="Arial" w:hAnsi="Arial"/>
          <w:sz w:val="18"/>
          <w:szCs w:val="18"/>
          <w:i w:val="1"/>
          <w:iCs w:val="1"/>
          <w:color w:val="auto"/>
        </w:rPr>
        <w:t xml:space="preserve"> </w:t>
      </w:r>
      <w:r>
        <w:rPr>
          <w:rFonts w:ascii="Arial" w:cs="Arial" w:eastAsia="Arial" w:hAnsi="Arial"/>
          <w:sz w:val="18"/>
          <w:szCs w:val="18"/>
          <w:color w:val="auto"/>
        </w:rPr>
        <w:t>– The Company uses letters of credit to pledge to certain public deposits. The balance of these letters of</w:t>
      </w:r>
      <w:r>
        <w:rPr>
          <w:rFonts w:ascii="Arial" w:cs="Arial" w:eastAsia="Arial" w:hAnsi="Arial"/>
          <w:sz w:val="18"/>
          <w:szCs w:val="18"/>
          <w:i w:val="1"/>
          <w:iCs w:val="1"/>
          <w:color w:val="auto"/>
        </w:rPr>
        <w:t xml:space="preserve"> </w:t>
      </w:r>
      <w:r>
        <w:rPr>
          <w:rFonts w:ascii="Arial" w:cs="Arial" w:eastAsia="Arial" w:hAnsi="Arial"/>
          <w:sz w:val="18"/>
          <w:szCs w:val="18"/>
          <w:color w:val="auto"/>
        </w:rPr>
        <w:t>credit was $199.0 million and $145.0 million at December 31, 2018 and 2017, respectively.</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u w:val="single" w:color="auto"/>
          <w:color w:val="auto"/>
        </w:rPr>
        <w:t>Lease Commitments</w:t>
      </w:r>
      <w:r>
        <w:rPr>
          <w:rFonts w:ascii="Arial" w:cs="Arial" w:eastAsia="Arial" w:hAnsi="Arial"/>
          <w:sz w:val="18"/>
          <w:szCs w:val="18"/>
          <w:i w:val="1"/>
          <w:iCs w:val="1"/>
          <w:color w:val="auto"/>
        </w:rPr>
        <w:t xml:space="preserve"> </w:t>
      </w:r>
      <w:r>
        <w:rPr>
          <w:rFonts w:ascii="Arial" w:cs="Arial" w:eastAsia="Arial" w:hAnsi="Arial"/>
          <w:sz w:val="18"/>
          <w:szCs w:val="18"/>
          <w:color w:val="auto"/>
        </w:rPr>
        <w:t>– The Company leases certain office facilities and office equipment under operating leases. Rent expense for all</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leases totaled approximately $2.0 million in 2018 and $2.2 million in 2017. Occupancy expense was reduced by approximately $911,000 and $904,000 for rental income during 2018 and 2017, respectively. Future minimum lease payments due under non-cancelable operating leases as of December 31, 2018 are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00" w:type="dxa"/>
            <w:vAlign w:val="bottom"/>
            <w:shd w:val="clear" w:color="auto" w:fill="CCEEFF"/>
          </w:tcPr>
          <w:p>
            <w:pPr>
              <w:spacing w:after="0"/>
              <w:rPr>
                <w:sz w:val="21"/>
                <w:szCs w:val="21"/>
                <w:color w:val="auto"/>
              </w:rPr>
            </w:pPr>
          </w:p>
        </w:tc>
      </w:tr>
      <w:tr>
        <w:trPr>
          <w:trHeight w:val="230"/>
        </w:trPr>
        <w:tc>
          <w:tcPr>
            <w:tcW w:w="8380" w:type="dxa"/>
            <w:vAlign w:val="bottom"/>
          </w:tcPr>
          <w:p>
            <w:pPr>
              <w:spacing w:after="0"/>
              <w:rPr>
                <w:sz w:val="20"/>
                <w:szCs w:val="20"/>
                <w:color w:val="auto"/>
              </w:rPr>
            </w:pPr>
            <w:r>
              <w:rPr>
                <w:rFonts w:ascii="Arial" w:cs="Arial" w:eastAsia="Arial" w:hAnsi="Arial"/>
                <w:sz w:val="18"/>
                <w:szCs w:val="18"/>
                <w:color w:val="auto"/>
              </w:rPr>
              <w:t>2020</w:t>
            </w: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20"/>
                <w:szCs w:val="20"/>
                <w:color w:val="auto"/>
              </w:rPr>
            </w:pPr>
          </w:p>
        </w:tc>
      </w:tr>
      <w:tr>
        <w:trPr>
          <w:trHeight w:val="25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100" w:type="dxa"/>
            <w:vAlign w:val="bottom"/>
            <w:shd w:val="clear" w:color="auto" w:fill="CCEEFF"/>
          </w:tcPr>
          <w:p>
            <w:pPr>
              <w:spacing w:after="0"/>
              <w:rPr>
                <w:sz w:val="22"/>
                <w:szCs w:val="22"/>
                <w:color w:val="auto"/>
              </w:rPr>
            </w:pPr>
          </w:p>
        </w:tc>
      </w:tr>
      <w:tr>
        <w:trPr>
          <w:trHeight w:val="230"/>
        </w:trPr>
        <w:tc>
          <w:tcPr>
            <w:tcW w:w="8380" w:type="dxa"/>
            <w:vAlign w:val="bottom"/>
          </w:tcPr>
          <w:p>
            <w:pPr>
              <w:spacing w:after="0"/>
              <w:rPr>
                <w:sz w:val="20"/>
                <w:szCs w:val="20"/>
                <w:color w:val="auto"/>
              </w:rPr>
            </w:pPr>
            <w:r>
              <w:rPr>
                <w:rFonts w:ascii="Arial" w:cs="Arial" w:eastAsia="Arial" w:hAnsi="Arial"/>
                <w:sz w:val="18"/>
                <w:szCs w:val="18"/>
                <w:color w:val="auto"/>
              </w:rPr>
              <w:t>2022</w:t>
            </w: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20"/>
                <w:szCs w:val="20"/>
                <w:color w:val="auto"/>
              </w:rPr>
            </w:pPr>
          </w:p>
        </w:tc>
      </w:tr>
      <w:tr>
        <w:trPr>
          <w:trHeight w:val="25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100" w:type="dxa"/>
            <w:vAlign w:val="bottom"/>
            <w:shd w:val="clear" w:color="auto" w:fill="CCEEFF"/>
          </w:tcPr>
          <w:p>
            <w:pPr>
              <w:spacing w:after="0"/>
              <w:rPr>
                <w:sz w:val="22"/>
                <w:szCs w:val="22"/>
                <w:color w:val="auto"/>
              </w:rPr>
            </w:pPr>
          </w:p>
        </w:tc>
      </w:tr>
      <w:tr>
        <w:trPr>
          <w:trHeight w:val="243"/>
        </w:trPr>
        <w:tc>
          <w:tcPr>
            <w:tcW w:w="8380" w:type="dxa"/>
            <w:vAlign w:val="bottom"/>
          </w:tcPr>
          <w:p>
            <w:pPr>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5,095</w:t>
            </w:r>
          </w:p>
        </w:tc>
        <w:tc>
          <w:tcPr>
            <w:tcW w:w="100" w:type="dxa"/>
            <w:vAlign w:val="bottom"/>
          </w:tcPr>
          <w:p>
            <w:pPr>
              <w:spacing w:after="0"/>
              <w:rPr>
                <w:sz w:val="21"/>
                <w:szCs w:val="21"/>
                <w:color w:val="auto"/>
              </w:rPr>
            </w:pPr>
          </w:p>
        </w:tc>
      </w:tr>
      <w:tr>
        <w:trPr>
          <w:trHeight w:val="271"/>
        </w:trPr>
        <w:tc>
          <w:tcPr>
            <w:tcW w:w="83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10,985</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CAPITAL AND REGULATORY MATTERS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and its bank subsidiary are subject to various regulatory capital requirements administered by its banking regulators. Failure to meet minimum capital requirements can initiate certain mandatory and possibly additional discretionary actions by regulators that, if undertaken, could have a direct material effect on the Company’s and its bank subsidiary’s financial statements. Under capital guidelines and the regulatory framework for prompt corrective action, the Company and its bank subsidiary must meet specific capital guidelines that involve quantitative measures of their assets, liabilities, and certain off-balance-sheet items as calculated under regulatory accounting practices. The capital amounts and classification are also subject to qualitative judgments by the regulators about components, risk weightings, and other factors. Prompt corrective action provisions are not applicable to bank holding companies.</w:t>
      </w:r>
    </w:p>
    <w:p>
      <w:pPr>
        <w:spacing w:after="0" w:line="8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July 2013, the Federal Reserve Board published final rules for the adoption of the Basel III regulatory capital framework (Basel III). Basel III, among other things, (i) introduces a new capital measure called Common Equity Tier 1 (CET1), (ii) specifies that Tier 1 capital consists of CET1 and Additional Tier 1 Capital instruments meeting specified requirements, (iii) defines Common Equity Tier 1 narrowly by requiring that most deductions/adjustments to regulatory capital measures be made to CET1 and not to the other components of capital and (iv) expands the scope of the deductions/adjustments as compared to existing regulations. Basel III became effective for the Company and its bank subsidiary on January 1, 2016 with certain transition provisions fully phased-in on January 1, 2019. The Company was in compliance with the fully phased in requirements at December 31, 2018 and expects to be in compliance beginning the first reporting period in 2019.</w:t>
      </w:r>
    </w:p>
    <w:p>
      <w:pPr>
        <w:spacing w:after="0" w:line="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Quantitative measures established by regulation to ensure capital adequacy require the Company and its bank subsidiary to maintain minimum amounts and ratios (set forth in the following table) of total and Tier 1 capital (as defined in the regulations) to risk-weighted assets (as defined) and of Tier 1 capital (as defined) to average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79" w:name="page180"/>
    <w:bookmarkEnd w:id="17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20"/>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0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ind w:left="2700"/>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CAPITAL AND REGULATORY MATTERS (Continued)</w:t>
      </w:r>
    </w:p>
    <w:p>
      <w:pPr>
        <w:spacing w:after="0" w:line="6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assets (as defined). Management believes, as of December 31, 2018 and 2017, that the Company and its bank subsidiary met all capital adequacy requirements to which they are subject.</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December 31, 2018, the bank subsidiary was well capitalized under the regulatory framework for prompt corrective action. To be categorized as well capitalized, an institution must maintain minimum total risk-based, Tier 1 risk-based, and Tier 1 leverage ratios as set forth in the following tables. There are no conditions or events since December 31, 2018 that management believes have changed the bank subsidiary’s category.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Company and its bank subsidiary’s actual capital amounts and ratios follow:</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tcPr>
          <w:p>
            <w:pPr>
              <w:jc w:val="center"/>
              <w:ind w:left="314"/>
              <w:spacing w:after="0"/>
              <w:rPr>
                <w:sz w:val="20"/>
                <w:szCs w:val="20"/>
                <w:color w:val="auto"/>
              </w:rPr>
            </w:pPr>
            <w:r>
              <w:rPr>
                <w:rFonts w:ascii="Arial" w:cs="Arial" w:eastAsia="Arial" w:hAnsi="Arial"/>
                <w:sz w:val="14"/>
                <w:szCs w:val="14"/>
                <w:b w:val="1"/>
                <w:bCs w:val="1"/>
                <w:color w:val="auto"/>
                <w:w w:val="92"/>
              </w:rPr>
              <w:t>To Be Well</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tcPr>
          <w:p>
            <w:pPr>
              <w:jc w:val="center"/>
              <w:ind w:left="254"/>
              <w:spacing w:after="0"/>
              <w:rPr>
                <w:sz w:val="20"/>
                <w:szCs w:val="20"/>
                <w:color w:val="auto"/>
              </w:rPr>
            </w:pPr>
            <w:r>
              <w:rPr>
                <w:rFonts w:ascii="Arial" w:cs="Arial" w:eastAsia="Arial" w:hAnsi="Arial"/>
                <w:sz w:val="14"/>
                <w:szCs w:val="14"/>
                <w:b w:val="1"/>
                <w:bCs w:val="1"/>
                <w:color w:val="auto"/>
                <w:w w:val="98"/>
              </w:rPr>
              <w:t>For Capital</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6"/>
              </w:rPr>
              <w:t>Capitalized Under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tcPr>
          <w:p>
            <w:pPr>
              <w:jc w:val="center"/>
              <w:ind w:left="274"/>
              <w:spacing w:after="0"/>
              <w:rPr>
                <w:sz w:val="20"/>
                <w:szCs w:val="20"/>
                <w:color w:val="auto"/>
              </w:rPr>
            </w:pPr>
            <w:r>
              <w:rPr>
                <w:rFonts w:ascii="Arial" w:cs="Arial" w:eastAsia="Arial" w:hAnsi="Arial"/>
                <w:sz w:val="14"/>
                <w:szCs w:val="14"/>
                <w:b w:val="1"/>
                <w:bCs w:val="1"/>
                <w:color w:val="auto"/>
                <w:w w:val="92"/>
              </w:rPr>
              <w:t>Adequacy</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4"/>
              </w:rPr>
              <w:t>Prompt Corrective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w w:val="98"/>
              </w:rPr>
              <w:t>Actual</w:t>
            </w:r>
          </w:p>
        </w:tc>
        <w:tc>
          <w:tcPr>
            <w:tcW w:w="6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center"/>
              <w:ind w:left="254"/>
              <w:spacing w:after="0"/>
              <w:rPr>
                <w:sz w:val="20"/>
                <w:szCs w:val="20"/>
                <w:color w:val="auto"/>
              </w:rPr>
            </w:pPr>
            <w:r>
              <w:rPr>
                <w:rFonts w:ascii="Arial" w:cs="Arial" w:eastAsia="Arial" w:hAnsi="Arial"/>
                <w:sz w:val="14"/>
                <w:szCs w:val="14"/>
                <w:b w:val="1"/>
                <w:bCs w:val="1"/>
                <w:color w:val="auto"/>
                <w:w w:val="87"/>
              </w:rPr>
              <w:t>Purposes</w:t>
            </w:r>
          </w:p>
        </w:tc>
        <w:tc>
          <w:tcPr>
            <w:tcW w:w="5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Action Provisions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Ratio</w:t>
            </w:r>
          </w:p>
        </w:tc>
        <w:tc>
          <w:tcPr>
            <w:tcW w:w="160" w:type="dxa"/>
            <w:vAlign w:val="bottom"/>
          </w:tcPr>
          <w:p>
            <w:pPr>
              <w:spacing w:after="0"/>
              <w:rPr>
                <w:sz w:val="15"/>
                <w:szCs w:val="15"/>
                <w:color w:val="auto"/>
              </w:rPr>
            </w:pPr>
          </w:p>
        </w:tc>
        <w:tc>
          <w:tcPr>
            <w:tcW w:w="110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6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7"/>
              </w:rPr>
              <w:t>Ratio</w:t>
            </w:r>
          </w:p>
        </w:tc>
        <w:tc>
          <w:tcPr>
            <w:tcW w:w="160" w:type="dxa"/>
            <w:vAlign w:val="bottom"/>
          </w:tcPr>
          <w:p>
            <w:pPr>
              <w:spacing w:after="0"/>
              <w:rPr>
                <w:sz w:val="15"/>
                <w:szCs w:val="15"/>
                <w:color w:val="auto"/>
              </w:rPr>
            </w:pPr>
          </w:p>
        </w:tc>
        <w:tc>
          <w:tcPr>
            <w:tcW w:w="114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Ratio</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2018:</w:t>
            </w:r>
          </w:p>
        </w:tc>
        <w:tc>
          <w:tcPr>
            <w:tcW w:w="16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Total Capital to Risk Weighted Assets:</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309,798</w:t>
            </w:r>
          </w:p>
        </w:tc>
        <w:tc>
          <w:tcPr>
            <w:tcW w:w="1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214,301</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160" w:type="dxa"/>
            <w:vAlign w:val="bottom"/>
            <w:shd w:val="clear" w:color="auto" w:fill="CCEEFF"/>
          </w:tcPr>
          <w:p>
            <w:pPr>
              <w:spacing w:after="0"/>
              <w:rPr>
                <w:sz w:val="22"/>
                <w:szCs w:val="22"/>
                <w:color w:val="auto"/>
              </w:rPr>
            </w:pP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City Bank</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294,572</w:t>
            </w: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214,246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216,958</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Tier I Capital to Risk Weighted Assets:</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Consolidated</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260,020</w:t>
            </w: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170,898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20"/>
                <w:szCs w:val="20"/>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8"/>
                <w:szCs w:val="18"/>
                <w:color w:val="auto"/>
              </w:rPr>
              <w:t>N/A</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City Bank</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271,266</w:t>
            </w:r>
          </w:p>
        </w:tc>
        <w:tc>
          <w:tcPr>
            <w:tcW w:w="1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170,855</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173,567</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Common Tier 1 (CET1):</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215,020</w:t>
            </w:r>
          </w:p>
        </w:tc>
        <w:tc>
          <w:tcPr>
            <w:tcW w:w="1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138,346</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22"/>
                <w:szCs w:val="22"/>
                <w:color w:val="auto"/>
              </w:rPr>
            </w:pP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City Bank</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271,266</w:t>
            </w: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138,311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141,023</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Tier I Capital to Average Assets:</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Consolidated</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260,020</w:t>
            </w: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108,033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20"/>
                <w:szCs w:val="20"/>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8"/>
                <w:szCs w:val="18"/>
                <w:color w:val="auto"/>
              </w:rPr>
              <w:t>N/A</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City Bank</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271,266</w:t>
            </w:r>
          </w:p>
        </w:tc>
        <w:tc>
          <w:tcPr>
            <w:tcW w:w="1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107,940</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134,925</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2017:</w:t>
            </w: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Total Capital to Risk Weighted Assets:</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303,301</w:t>
            </w:r>
          </w:p>
        </w:tc>
        <w:tc>
          <w:tcPr>
            <w:tcW w:w="1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185,220</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160" w:type="dxa"/>
            <w:vAlign w:val="bottom"/>
            <w:shd w:val="clear" w:color="auto" w:fill="CCEEFF"/>
          </w:tcPr>
          <w:p>
            <w:pPr>
              <w:spacing w:after="0"/>
              <w:rPr>
                <w:sz w:val="22"/>
                <w:szCs w:val="22"/>
                <w:color w:val="auto"/>
              </w:rPr>
            </w:pP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City Bank</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276,153</w:t>
            </w: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184,982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199,980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Tier I Capital to Risk Weighted Assets:</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Consolidated</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260,773</w:t>
            </w: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145,173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20"/>
                <w:szCs w:val="20"/>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8"/>
                <w:szCs w:val="18"/>
                <w:color w:val="auto"/>
              </w:rPr>
              <w:t>N/A</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City Bank</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254,512</w:t>
            </w:r>
          </w:p>
        </w:tc>
        <w:tc>
          <w:tcPr>
            <w:tcW w:w="1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144,986</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159,984</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Common Tier 1 (CET1):</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215,773</w:t>
            </w:r>
          </w:p>
        </w:tc>
        <w:tc>
          <w:tcPr>
            <w:tcW w:w="1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115,137</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22"/>
                <w:szCs w:val="22"/>
                <w:color w:val="auto"/>
              </w:rPr>
            </w:pP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City Bank</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254,512</w:t>
            </w: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114,989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129,987</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Tier I Capital to Average Assets:</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Consolidated</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260,773</w:t>
            </w: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103,643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20"/>
                <w:szCs w:val="20"/>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8"/>
                <w:szCs w:val="18"/>
                <w:color w:val="auto"/>
              </w:rPr>
              <w:t>N/A</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City Bank</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254,512</w:t>
            </w:r>
          </w:p>
        </w:tc>
        <w:tc>
          <w:tcPr>
            <w:tcW w:w="1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103,484</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129,355</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State banking regulations place certain restrictions on dividends paid by banks to their shareholders. Dividends paid by the Company’s bank subsidiary would be prohibited if the effect thereof would cause the bank subsidiary’s capital to be reduced below applicable minimum capital requirements.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80" w:name="page181"/>
    <w:bookmarkEnd w:id="18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20"/>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69" w:lineRule="exact"/>
        <w:rPr>
          <w:sz w:val="20"/>
          <w:szCs w:val="20"/>
          <w:color w:val="auto"/>
        </w:rPr>
      </w:pPr>
    </w:p>
    <w:p>
      <w:pPr>
        <w:ind w:left="250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DERIVATIVES</w:t>
      </w:r>
    </w:p>
    <w:p>
      <w:pPr>
        <w:spacing w:after="0" w:line="11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Company utilizes interest rate swap agreements as part of its asset-liability management strategy to help manage its interest-rate risk position. The notional amount of the interest rate swaps does not represent amounts exchanged by the parties. The amount exchanged is determined by reference to the notional amount and the other terms of the individual interest rate swap agreements.</w:t>
      </w:r>
    </w:p>
    <w:p>
      <w:pPr>
        <w:spacing w:after="0" w:line="3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reflects the changes in fair value hedges included in the Consolidated Statements of Comprehensive Income as of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60" w:type="dxa"/>
            <w:vAlign w:val="bottom"/>
            <w:gridSpan w:val="2"/>
          </w:tcPr>
          <w:p>
            <w:pPr>
              <w:spacing w:after="0"/>
              <w:rPr>
                <w:sz w:val="20"/>
                <w:szCs w:val="20"/>
                <w:color w:val="auto"/>
              </w:rPr>
            </w:pPr>
            <w:r>
              <w:rPr>
                <w:rFonts w:ascii="Arial" w:cs="Arial" w:eastAsia="Arial" w:hAnsi="Arial"/>
                <w:sz w:val="14"/>
                <w:szCs w:val="14"/>
                <w:b w:val="1"/>
                <w:bCs w:val="1"/>
                <w:color w:val="auto"/>
              </w:rPr>
              <w:t>Interest Rate Contracts</w:t>
            </w:r>
          </w:p>
        </w:tc>
        <w:tc>
          <w:tcPr>
            <w:tcW w:w="180" w:type="dxa"/>
            <w:vAlign w:val="bottom"/>
          </w:tcPr>
          <w:p>
            <w:pPr>
              <w:spacing w:after="0"/>
              <w:rPr>
                <w:sz w:val="16"/>
                <w:szCs w:val="16"/>
                <w:color w:val="auto"/>
              </w:rPr>
            </w:pPr>
          </w:p>
        </w:tc>
        <w:tc>
          <w:tcPr>
            <w:tcW w:w="1440" w:type="dxa"/>
            <w:vAlign w:val="bottom"/>
          </w:tcPr>
          <w:p>
            <w:pPr>
              <w:ind w:left="460"/>
              <w:spacing w:after="0"/>
              <w:rPr>
                <w:sz w:val="20"/>
                <w:szCs w:val="20"/>
                <w:color w:val="auto"/>
              </w:rPr>
            </w:pPr>
            <w:r>
              <w:rPr>
                <w:rFonts w:ascii="Arial" w:cs="Arial" w:eastAsia="Arial" w:hAnsi="Arial"/>
                <w:sz w:val="14"/>
                <w:szCs w:val="14"/>
                <w:b w:val="1"/>
                <w:bCs w:val="1"/>
                <w:color w:val="auto"/>
              </w:rPr>
              <w:t>Location</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ind w:right="116"/>
              <w:spacing w:after="0"/>
              <w:rPr>
                <w:sz w:val="20"/>
                <w:szCs w:val="20"/>
                <w:color w:val="auto"/>
              </w:rPr>
            </w:pPr>
            <w:r>
              <w:rPr>
                <w:rFonts w:ascii="Arial" w:cs="Arial" w:eastAsia="Arial" w:hAnsi="Arial"/>
                <w:sz w:val="14"/>
                <w:szCs w:val="14"/>
                <w:b w:val="1"/>
                <w:bCs w:val="1"/>
                <w:color w:val="auto"/>
                <w:w w:val="96"/>
              </w:rPr>
              <w:t>2018</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on interest rate swaps hedging fixed rate loans</w:t>
            </w:r>
          </w:p>
        </w:tc>
        <w:tc>
          <w:tcPr>
            <w:tcW w:w="1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Change in fair value on fixed rate loans - hedged item</w:t>
            </w:r>
          </w:p>
        </w:tc>
        <w:tc>
          <w:tcPr>
            <w:tcW w:w="1620" w:type="dxa"/>
            <w:vAlign w:val="bottom"/>
            <w:gridSpan w:val="2"/>
          </w:tcPr>
          <w:p>
            <w:pPr>
              <w:ind w:left="180"/>
              <w:spacing w:after="0"/>
              <w:rPr>
                <w:sz w:val="20"/>
                <w:szCs w:val="20"/>
                <w:color w:val="auto"/>
              </w:rPr>
            </w:pPr>
            <w:r>
              <w:rPr>
                <w:rFonts w:ascii="Arial" w:cs="Arial" w:eastAsia="Arial" w:hAnsi="Arial"/>
                <w:sz w:val="18"/>
                <w:szCs w:val="18"/>
                <w:color w:val="auto"/>
              </w:rPr>
              <w:t>Interest income</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(133)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bl>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fair value hedges included in the Consolidated Balance Sheets as of December 31:</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6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ind w:left="40"/>
              <w:spacing w:after="0" w:line="160" w:lineRule="exact"/>
              <w:rPr>
                <w:sz w:val="20"/>
                <w:szCs w:val="20"/>
                <w:color w:val="auto"/>
              </w:rPr>
            </w:pPr>
            <w:r>
              <w:rPr>
                <w:rFonts w:ascii="Arial" w:cs="Arial" w:eastAsia="Arial" w:hAnsi="Arial"/>
                <w:sz w:val="14"/>
                <w:szCs w:val="14"/>
                <w:b w:val="1"/>
                <w:bCs w:val="1"/>
                <w:color w:val="auto"/>
              </w:rPr>
              <w:t>Notional</w:t>
            </w:r>
          </w:p>
        </w:tc>
        <w:tc>
          <w:tcPr>
            <w:tcW w:w="100" w:type="dxa"/>
            <w:vAlign w:val="bottom"/>
          </w:tcPr>
          <w:p>
            <w:pPr>
              <w:spacing w:after="0"/>
              <w:rPr>
                <w:sz w:val="13"/>
                <w:szCs w:val="13"/>
                <w:color w:val="auto"/>
              </w:rPr>
            </w:pPr>
          </w:p>
        </w:tc>
        <w:tc>
          <w:tcPr>
            <w:tcW w:w="480" w:type="dxa"/>
            <w:vAlign w:val="bottom"/>
          </w:tcPr>
          <w:p>
            <w:pPr>
              <w:jc w:val="right"/>
              <w:ind w:right="79"/>
              <w:spacing w:after="0" w:line="160"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ind w:left="40"/>
              <w:spacing w:after="0" w:line="160" w:lineRule="exact"/>
              <w:rPr>
                <w:sz w:val="20"/>
                <w:szCs w:val="20"/>
                <w:color w:val="auto"/>
              </w:rPr>
            </w:pPr>
            <w:r>
              <w:rPr>
                <w:rFonts w:ascii="Arial" w:cs="Arial" w:eastAsia="Arial" w:hAnsi="Arial"/>
                <w:sz w:val="14"/>
                <w:szCs w:val="14"/>
                <w:b w:val="1"/>
                <w:bCs w:val="1"/>
                <w:color w:val="auto"/>
              </w:rPr>
              <w:t>Notional</w:t>
            </w:r>
          </w:p>
        </w:tc>
        <w:tc>
          <w:tcPr>
            <w:tcW w:w="140" w:type="dxa"/>
            <w:vAlign w:val="bottom"/>
          </w:tcPr>
          <w:p>
            <w:pPr>
              <w:spacing w:after="0"/>
              <w:rPr>
                <w:sz w:val="13"/>
                <w:szCs w:val="13"/>
                <w:color w:val="auto"/>
              </w:rPr>
            </w:pPr>
          </w:p>
        </w:tc>
        <w:tc>
          <w:tcPr>
            <w:tcW w:w="540" w:type="dxa"/>
            <w:vAlign w:val="bottom"/>
            <w:gridSpan w:val="2"/>
          </w:tcPr>
          <w:p>
            <w:pPr>
              <w:jc w:val="center"/>
              <w:ind w:right="140"/>
              <w:spacing w:after="0" w:line="160" w:lineRule="exact"/>
              <w:rPr>
                <w:sz w:val="20"/>
                <w:szCs w:val="20"/>
                <w:color w:val="auto"/>
              </w:rPr>
            </w:pPr>
            <w:r>
              <w:rPr>
                <w:rFonts w:ascii="Arial" w:cs="Arial" w:eastAsia="Arial" w:hAnsi="Arial"/>
                <w:sz w:val="14"/>
                <w:szCs w:val="14"/>
                <w:b w:val="1"/>
                <w:bCs w:val="1"/>
                <w:color w:val="auto"/>
              </w:rPr>
              <w:t>Fair</w:t>
            </w:r>
          </w:p>
        </w:tc>
      </w:tr>
      <w:tr>
        <w:trPr>
          <w:trHeight w:val="185"/>
        </w:trPr>
        <w:tc>
          <w:tcPr>
            <w:tcW w:w="6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480" w:type="dxa"/>
            <w:vAlign w:val="bottom"/>
          </w:tcPr>
          <w:p>
            <w:pPr>
              <w:jc w:val="right"/>
              <w:ind w:right="39"/>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5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Value</w:t>
            </w:r>
          </w:p>
        </w:tc>
      </w:tr>
      <w:tr>
        <w:trPr>
          <w:trHeight w:val="237"/>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Included in other liabilities:</w:t>
            </w:r>
          </w:p>
        </w:tc>
        <w:tc>
          <w:tcPr>
            <w:tcW w:w="16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0"/>
        </w:trPr>
        <w:tc>
          <w:tcPr>
            <w:tcW w:w="6000" w:type="dxa"/>
            <w:vAlign w:val="bottom"/>
          </w:tcPr>
          <w:p>
            <w:pPr>
              <w:ind w:left="180"/>
              <w:spacing w:after="0"/>
              <w:rPr>
                <w:sz w:val="20"/>
                <w:szCs w:val="20"/>
                <w:color w:val="auto"/>
              </w:rPr>
            </w:pPr>
            <w:r>
              <w:rPr>
                <w:rFonts w:ascii="Arial" w:cs="Arial" w:eastAsia="Arial" w:hAnsi="Arial"/>
                <w:sz w:val="18"/>
                <w:szCs w:val="18"/>
                <w:color w:val="auto"/>
              </w:rPr>
              <w:t>Interest rate swaps related to fixed rate loans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5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Included in other assets:</w:t>
            </w: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30"/>
        </w:trPr>
        <w:tc>
          <w:tcPr>
            <w:tcW w:w="6000" w:type="dxa"/>
            <w:vAlign w:val="bottom"/>
          </w:tcPr>
          <w:p>
            <w:pPr>
              <w:ind w:left="180"/>
              <w:spacing w:after="0"/>
              <w:rPr>
                <w:sz w:val="20"/>
                <w:szCs w:val="20"/>
                <w:color w:val="auto"/>
              </w:rPr>
            </w:pPr>
            <w:r>
              <w:rPr>
                <w:rFonts w:ascii="Arial" w:cs="Arial" w:eastAsia="Arial" w:hAnsi="Arial"/>
                <w:sz w:val="18"/>
                <w:szCs w:val="18"/>
                <w:color w:val="auto"/>
              </w:rPr>
              <w:t>Interest rate swaps related to fixed rate loans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10,917</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169</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10,189</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ind w:left="260"/>
              <w:spacing w:after="0"/>
              <w:rPr>
                <w:sz w:val="20"/>
                <w:szCs w:val="20"/>
                <w:color w:val="auto"/>
              </w:rPr>
            </w:pPr>
            <w:r>
              <w:rPr>
                <w:rFonts w:ascii="Arial" w:cs="Arial" w:eastAsia="Arial" w:hAnsi="Arial"/>
                <w:sz w:val="18"/>
                <w:szCs w:val="18"/>
                <w:color w:val="auto"/>
                <w:w w:val="79"/>
              </w:rPr>
              <w:t>59</w:t>
            </w:r>
          </w:p>
        </w:tc>
        <w:tc>
          <w:tcPr>
            <w:tcW w:w="100" w:type="dxa"/>
            <w:vAlign w:val="bottom"/>
          </w:tcPr>
          <w:p>
            <w:pPr>
              <w:spacing w:after="0"/>
              <w:rPr>
                <w:sz w:val="20"/>
                <w:szCs w:val="20"/>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Mortgage banking derivatives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net gains (losses) relating to free standing derivative instruments used for risk management are summarized below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320" w:type="dxa"/>
            <w:vAlign w:val="bottom"/>
            <w:tcBorders>
              <w:bottom w:val="single" w:sz="8" w:color="auto"/>
            </w:tcBorders>
          </w:tcPr>
          <w:p>
            <w:pPr>
              <w:ind w:left="900"/>
              <w:spacing w:after="0"/>
              <w:rPr>
                <w:sz w:val="20"/>
                <w:szCs w:val="20"/>
                <w:color w:val="auto"/>
              </w:rPr>
            </w:pPr>
            <w:r>
              <w:rPr>
                <w:rFonts w:ascii="Arial" w:cs="Arial" w:eastAsia="Arial" w:hAnsi="Arial"/>
                <w:sz w:val="14"/>
                <w:szCs w:val="14"/>
                <w:b w:val="1"/>
                <w:bCs w:val="1"/>
                <w:color w:val="auto"/>
              </w:rPr>
              <w:t>Location</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r>
      <w:tr>
        <w:trPr>
          <w:trHeight w:val="237"/>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Forward contracts related to mortgage loans held for sale</w:t>
            </w:r>
          </w:p>
        </w:tc>
        <w:tc>
          <w:tcPr>
            <w:tcW w:w="3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Net gain on sales of loans</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(335)</w:t>
            </w: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Interest rate lock commitments</w:t>
            </w:r>
          </w:p>
        </w:tc>
        <w:tc>
          <w:tcPr>
            <w:tcW w:w="3000" w:type="dxa"/>
            <w:vAlign w:val="bottom"/>
            <w:gridSpan w:val="2"/>
          </w:tcPr>
          <w:p>
            <w:pPr>
              <w:ind w:left="660"/>
              <w:spacing w:after="0"/>
              <w:rPr>
                <w:sz w:val="20"/>
                <w:szCs w:val="20"/>
                <w:color w:val="auto"/>
              </w:rPr>
            </w:pPr>
            <w:r>
              <w:rPr>
                <w:rFonts w:ascii="Arial" w:cs="Arial" w:eastAsia="Arial" w:hAnsi="Arial"/>
                <w:sz w:val="18"/>
                <w:szCs w:val="18"/>
                <w:color w:val="auto"/>
              </w:rPr>
              <w:t>Net gain on sales of loans</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582</w:t>
            </w:r>
          </w:p>
        </w:tc>
        <w:tc>
          <w:tcPr>
            <w:tcW w:w="1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0"/>
                <w:szCs w:val="20"/>
                <w:color w:val="auto"/>
              </w:rPr>
            </w:pPr>
          </w:p>
        </w:tc>
      </w:tr>
    </w:tbl>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the amount and fair value of mortgage banking derivatives in the Consolidated Balance Sheets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r>
      <w:tr>
        <w:trPr>
          <w:trHeight w:val="160"/>
        </w:trPr>
        <w:tc>
          <w:tcPr>
            <w:tcW w:w="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right"/>
              <w:ind w:right="360"/>
              <w:spacing w:after="0" w:line="160" w:lineRule="exact"/>
              <w:rPr>
                <w:sz w:val="20"/>
                <w:szCs w:val="20"/>
                <w:color w:val="auto"/>
              </w:rPr>
            </w:pPr>
            <w:r>
              <w:rPr>
                <w:rFonts w:ascii="Arial" w:cs="Arial" w:eastAsia="Arial" w:hAnsi="Arial"/>
                <w:sz w:val="14"/>
                <w:szCs w:val="14"/>
                <w:b w:val="1"/>
                <w:bCs w:val="1"/>
                <w:color w:val="auto"/>
                <w:w w:val="96"/>
              </w:rPr>
              <w:t>Notional</w:t>
            </w:r>
          </w:p>
        </w:tc>
        <w:tc>
          <w:tcPr>
            <w:tcW w:w="140" w:type="dxa"/>
            <w:vAlign w:val="bottom"/>
          </w:tcPr>
          <w:p>
            <w:pPr>
              <w:spacing w:after="0"/>
              <w:rPr>
                <w:sz w:val="13"/>
                <w:szCs w:val="13"/>
                <w:color w:val="auto"/>
              </w:rPr>
            </w:pPr>
          </w:p>
        </w:tc>
        <w:tc>
          <w:tcPr>
            <w:tcW w:w="620" w:type="dxa"/>
            <w:vAlign w:val="bottom"/>
          </w:tcPr>
          <w:p>
            <w:pPr>
              <w:jc w:val="right"/>
              <w:ind w:right="174"/>
              <w:spacing w:after="0" w:line="160"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ind w:left="40"/>
              <w:spacing w:after="0" w:line="160" w:lineRule="exact"/>
              <w:rPr>
                <w:sz w:val="20"/>
                <w:szCs w:val="20"/>
                <w:color w:val="auto"/>
              </w:rPr>
            </w:pPr>
            <w:r>
              <w:rPr>
                <w:rFonts w:ascii="Arial" w:cs="Arial" w:eastAsia="Arial" w:hAnsi="Arial"/>
                <w:sz w:val="14"/>
                <w:szCs w:val="14"/>
                <w:b w:val="1"/>
                <w:bCs w:val="1"/>
                <w:color w:val="auto"/>
              </w:rPr>
              <w:t>Notional</w:t>
            </w:r>
          </w:p>
        </w:tc>
        <w:tc>
          <w:tcPr>
            <w:tcW w:w="120" w:type="dxa"/>
            <w:vAlign w:val="bottom"/>
          </w:tcPr>
          <w:p>
            <w:pPr>
              <w:spacing w:after="0"/>
              <w:rPr>
                <w:sz w:val="13"/>
                <w:szCs w:val="13"/>
                <w:color w:val="auto"/>
              </w:rPr>
            </w:pPr>
          </w:p>
        </w:tc>
        <w:tc>
          <w:tcPr>
            <w:tcW w:w="440" w:type="dxa"/>
            <w:vAlign w:val="bottom"/>
          </w:tcPr>
          <w:p>
            <w:pPr>
              <w:jc w:val="right"/>
              <w:ind w:right="73"/>
              <w:spacing w:after="0" w:line="160" w:lineRule="exact"/>
              <w:rPr>
                <w:sz w:val="20"/>
                <w:szCs w:val="20"/>
                <w:color w:val="auto"/>
              </w:rPr>
            </w:pPr>
            <w:r>
              <w:rPr>
                <w:rFonts w:ascii="Arial" w:cs="Arial" w:eastAsia="Arial" w:hAnsi="Arial"/>
                <w:sz w:val="14"/>
                <w:szCs w:val="14"/>
                <w:b w:val="1"/>
                <w:bCs w:val="1"/>
                <w:color w:val="auto"/>
              </w:rPr>
              <w:t>Fair</w:t>
            </w:r>
          </w:p>
        </w:tc>
      </w:tr>
      <w:tr>
        <w:trPr>
          <w:trHeight w:val="185"/>
        </w:trPr>
        <w:tc>
          <w:tcPr>
            <w:tcW w:w="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6"/>
                <w:szCs w:val="16"/>
                <w:color w:val="auto"/>
              </w:rPr>
            </w:pPr>
          </w:p>
        </w:tc>
        <w:tc>
          <w:tcPr>
            <w:tcW w:w="620" w:type="dxa"/>
            <w:vAlign w:val="bottom"/>
          </w:tcPr>
          <w:p>
            <w:pPr>
              <w:jc w:val="right"/>
              <w:ind w:right="134"/>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560" w:type="dxa"/>
            <w:vAlign w:val="bottom"/>
            <w:gridSpan w:val="2"/>
          </w:tcPr>
          <w:p>
            <w:pPr>
              <w:jc w:val="right"/>
              <w:ind w:right="33"/>
              <w:spacing w:after="0"/>
              <w:rPr>
                <w:sz w:val="20"/>
                <w:szCs w:val="20"/>
                <w:color w:val="auto"/>
              </w:rPr>
            </w:pPr>
            <w:r>
              <w:rPr>
                <w:rFonts w:ascii="Arial" w:cs="Arial" w:eastAsia="Arial" w:hAnsi="Arial"/>
                <w:sz w:val="14"/>
                <w:szCs w:val="14"/>
                <w:b w:val="1"/>
                <w:bCs w:val="1"/>
                <w:color w:val="auto"/>
              </w:rPr>
              <w:t>Value</w:t>
            </w:r>
          </w:p>
        </w:tc>
      </w:tr>
      <w:tr>
        <w:trPr>
          <w:trHeight w:val="237"/>
        </w:trPr>
        <w:tc>
          <w:tcPr>
            <w:tcW w:w="20" w:type="dxa"/>
            <w:vAlign w:val="bottom"/>
          </w:tcPr>
          <w:p>
            <w:pPr>
              <w:spacing w:after="0"/>
              <w:rPr>
                <w:sz w:val="20"/>
                <w:szCs w:val="20"/>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Included in other assets:</w:t>
            </w:r>
          </w:p>
        </w:tc>
        <w:tc>
          <w:tcPr>
            <w:tcW w:w="162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440" w:type="dxa"/>
            <w:vAlign w:val="bottom"/>
            <w:tcBorders>
              <w:top w:val="single" w:sz="8" w:color="auto"/>
              <w:right w:val="single" w:sz="8" w:color="CCEEFF"/>
            </w:tcBorders>
            <w:shd w:val="clear" w:color="auto" w:fill="CCEEFF"/>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w w:val="94"/>
              </w:rPr>
              <w:t>Forward contracts related to mortgage loans held for sale</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5,227</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49"/>
        </w:trPr>
        <w:tc>
          <w:tcPr>
            <w:tcW w:w="20" w:type="dxa"/>
            <w:vAlign w:val="bottom"/>
          </w:tcPr>
          <w:p>
            <w:pPr>
              <w:spacing w:after="0"/>
              <w:rPr>
                <w:sz w:val="21"/>
                <w:szCs w:val="21"/>
                <w:color w:val="auto"/>
              </w:rPr>
            </w:pPr>
          </w:p>
        </w:tc>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rate lock commitments</w:t>
            </w:r>
          </w:p>
        </w:tc>
        <w:tc>
          <w:tcPr>
            <w:tcW w:w="162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46,891</w:t>
            </w:r>
          </w:p>
        </w:tc>
        <w:tc>
          <w:tcPr>
            <w:tcW w:w="20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23,170</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w:t>
            </w:r>
          </w:p>
        </w:tc>
      </w:tr>
      <w:tr>
        <w:trPr>
          <w:trHeight w:val="223"/>
        </w:trPr>
        <w:tc>
          <w:tcPr>
            <w:tcW w:w="4360" w:type="dxa"/>
            <w:vAlign w:val="bottom"/>
            <w:gridSpan w:val="2"/>
          </w:tcPr>
          <w:p>
            <w:pPr>
              <w:spacing w:after="0"/>
              <w:rPr>
                <w:sz w:val="20"/>
                <w:szCs w:val="20"/>
                <w:color w:val="auto"/>
              </w:rPr>
            </w:pPr>
            <w:r>
              <w:rPr>
                <w:rFonts w:ascii="Arial" w:cs="Arial" w:eastAsia="Arial" w:hAnsi="Arial"/>
                <w:sz w:val="18"/>
                <w:szCs w:val="18"/>
                <w:color w:val="auto"/>
              </w:rPr>
              <w:t>Total included in other assets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46,891</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1,063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28,397</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575</w:t>
            </w:r>
          </w:p>
        </w:tc>
      </w:tr>
      <w:tr>
        <w:trPr>
          <w:trHeight w:val="28"/>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Included in other liabilities:</w:t>
            </w:r>
          </w:p>
        </w:tc>
        <w:tc>
          <w:tcPr>
            <w:tcW w:w="16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tcBorders>
              <w:right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w w:val="94"/>
              </w:rPr>
              <w:t>Forward contracts related to mortgage loans held for sale</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54,998</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672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28,000</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49"/>
        </w:trPr>
        <w:tc>
          <w:tcPr>
            <w:tcW w:w="20" w:type="dxa"/>
            <w:vAlign w:val="bottom"/>
          </w:tcPr>
          <w:p>
            <w:pPr>
              <w:spacing w:after="0"/>
              <w:rPr>
                <w:sz w:val="21"/>
                <w:szCs w:val="21"/>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lock commitments</w:t>
            </w:r>
          </w:p>
        </w:tc>
        <w:tc>
          <w:tcPr>
            <w:tcW w:w="16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5,227</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20" w:type="dxa"/>
            <w:vAlign w:val="bottom"/>
          </w:tcPr>
          <w:p>
            <w:pPr>
              <w:spacing w:after="0" w:line="20" w:lineRule="exact"/>
              <w:rPr>
                <w:sz w:val="1"/>
                <w:szCs w:val="1"/>
                <w:color w:val="auto"/>
              </w:rPr>
            </w:pPr>
          </w:p>
        </w:tc>
        <w:tc>
          <w:tcPr>
            <w:tcW w:w="4340" w:type="dxa"/>
            <w:vAlign w:val="bottom"/>
            <w:shd w:val="clear" w:color="auto" w:fill="CCEEFF"/>
          </w:tcPr>
          <w:p>
            <w:pPr>
              <w:spacing w:after="0" w:line="20" w:lineRule="exact"/>
              <w:rPr>
                <w:sz w:val="1"/>
                <w:szCs w:val="1"/>
                <w:color w:val="auto"/>
              </w:rPr>
            </w:pPr>
          </w:p>
        </w:tc>
        <w:tc>
          <w:tcPr>
            <w:tcW w:w="162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r>
      <w:tr>
        <w:trPr>
          <w:trHeight w:val="223"/>
        </w:trPr>
        <w:tc>
          <w:tcPr>
            <w:tcW w:w="4360" w:type="dxa"/>
            <w:vAlign w:val="bottom"/>
            <w:gridSpan w:val="2"/>
          </w:tcPr>
          <w:p>
            <w:pPr>
              <w:spacing w:after="0"/>
              <w:rPr>
                <w:sz w:val="20"/>
                <w:szCs w:val="20"/>
                <w:color w:val="auto"/>
              </w:rPr>
            </w:pPr>
            <w:r>
              <w:rPr>
                <w:rFonts w:ascii="Arial" w:cs="Arial" w:eastAsia="Arial" w:hAnsi="Arial"/>
                <w:sz w:val="18"/>
                <w:szCs w:val="18"/>
                <w:color w:val="auto"/>
              </w:rPr>
              <w:t>Total included in other liabilities</w:t>
            </w:r>
          </w:p>
        </w:tc>
        <w:tc>
          <w:tcPr>
            <w:tcW w:w="16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54,998</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33,227</w:t>
            </w: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r>
      <w:tr>
        <w:trPr>
          <w:trHeight w:val="21"/>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760" w:type="dxa"/>
            <w:vAlign w:val="bottom"/>
            <w:gridSpan w:val="2"/>
          </w:tcPr>
          <w:p>
            <w:pPr>
              <w:jc w:val="right"/>
              <w:ind w:right="1090"/>
              <w:spacing w:after="0"/>
              <w:rPr>
                <w:sz w:val="20"/>
                <w:szCs w:val="20"/>
                <w:color w:val="auto"/>
              </w:rPr>
            </w:pPr>
            <w:r>
              <w:rPr>
                <w:rFonts w:ascii="Arial" w:cs="Arial" w:eastAsia="Arial" w:hAnsi="Arial"/>
                <w:sz w:val="18"/>
                <w:szCs w:val="18"/>
                <w:color w:val="auto"/>
              </w:rPr>
              <w:t>F-30</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68"/>
        </w:trPr>
        <w:tc>
          <w:tcPr>
            <w:tcW w:w="20" w:type="dxa"/>
            <w:vAlign w:val="bottom"/>
          </w:tcPr>
          <w:p>
            <w:pPr>
              <w:spacing w:after="0"/>
              <w:rPr>
                <w:sz w:val="5"/>
                <w:szCs w:val="5"/>
                <w:color w:val="auto"/>
              </w:rPr>
            </w:pPr>
          </w:p>
        </w:tc>
        <w:tc>
          <w:tcPr>
            <w:tcW w:w="4340" w:type="dxa"/>
            <w:vAlign w:val="bottom"/>
            <w:shd w:val="clear" w:color="auto" w:fill="000000"/>
          </w:tcPr>
          <w:p>
            <w:pPr>
              <w:spacing w:after="0"/>
              <w:rPr>
                <w:sz w:val="5"/>
                <w:szCs w:val="5"/>
                <w:color w:val="auto"/>
              </w:rPr>
            </w:pPr>
          </w:p>
        </w:tc>
        <w:tc>
          <w:tcPr>
            <w:tcW w:w="1620" w:type="dxa"/>
            <w:vAlign w:val="bottom"/>
            <w:tcBorders>
              <w:right w:val="single" w:sz="8" w:color="auto"/>
            </w:tcBorders>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720" w:type="dxa"/>
            <w:vAlign w:val="bottom"/>
            <w:shd w:val="clear" w:color="auto" w:fill="000000"/>
          </w:tcPr>
          <w:p>
            <w:pPr>
              <w:spacing w:after="0"/>
              <w:rPr>
                <w:sz w:val="5"/>
                <w:szCs w:val="5"/>
                <w:color w:val="auto"/>
              </w:rPr>
            </w:pPr>
          </w:p>
        </w:tc>
        <w:tc>
          <w:tcPr>
            <w:tcW w:w="200" w:type="dxa"/>
            <w:vAlign w:val="bottom"/>
            <w:tcBorders>
              <w:right w:val="single" w:sz="8" w:color="auto"/>
            </w:tcBorders>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7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440" w:type="dxa"/>
            <w:vAlign w:val="bottom"/>
            <w:tcBorders>
              <w:right w:val="single" w:sz="8" w:color="auto"/>
            </w:tcBorders>
            <w:shd w:val="clear" w:color="auto" w:fill="000000"/>
          </w:tcPr>
          <w:p>
            <w:pPr>
              <w:spacing w:after="0"/>
              <w:rPr>
                <w:sz w:val="5"/>
                <w:szCs w:val="5"/>
                <w:color w:val="auto"/>
              </w:rPr>
            </w:pPr>
          </w:p>
        </w:tc>
      </w:tr>
    </w:tbl>
    <w:p>
      <w:pPr>
        <w:sectPr>
          <w:pgSz w:w="11900" w:h="16838" w:orient="portrait"/>
          <w:cols w:equalWidth="0" w:num="1">
            <w:col w:w="9560"/>
          </w:cols>
          <w:pgMar w:left="1180" w:top="279" w:right="1159" w:bottom="1440" w:gutter="0" w:footer="0" w:header="0"/>
        </w:sectPr>
      </w:pPr>
    </w:p>
    <w:bookmarkStart w:id="181" w:name="page182"/>
    <w:bookmarkEnd w:id="18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20"/>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69" w:lineRule="exact"/>
        <w:rPr>
          <w:sz w:val="20"/>
          <w:szCs w:val="20"/>
          <w:color w:val="auto"/>
        </w:rPr>
      </w:pPr>
    </w:p>
    <w:p>
      <w:pPr>
        <w:ind w:left="250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ind w:left="2700"/>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88" w:lineRule="exact"/>
        <w:rPr>
          <w:sz w:val="20"/>
          <w:szCs w:val="20"/>
          <w:color w:val="auto"/>
        </w:rPr>
      </w:pPr>
    </w:p>
    <w:p>
      <w:pPr>
        <w:ind w:right="3580"/>
        <w:spacing w:after="0" w:line="440" w:lineRule="auto"/>
        <w:rPr>
          <w:sz w:val="20"/>
          <w:szCs w:val="20"/>
          <w:color w:val="auto"/>
        </w:rPr>
      </w:pPr>
      <w:r>
        <w:rPr>
          <w:rFonts w:ascii="Arial" w:cs="Arial" w:eastAsia="Arial" w:hAnsi="Arial"/>
          <w:sz w:val="17"/>
          <w:szCs w:val="17"/>
          <w:b w:val="1"/>
          <w:bCs w:val="1"/>
          <w:i w:val="1"/>
          <w:iCs w:val="1"/>
          <w:color w:val="auto"/>
        </w:rPr>
        <w:t xml:space="preserve">14. PARENT COMPANY ONLY CONDENSED FINANCIAL INFORMATION </w:t>
      </w:r>
      <w:r>
        <w:rPr>
          <w:rFonts w:ascii="Arial" w:cs="Arial" w:eastAsia="Arial" w:hAnsi="Arial"/>
          <w:sz w:val="17"/>
          <w:szCs w:val="17"/>
          <w:color w:val="auto"/>
        </w:rPr>
        <w:t>Condensed financial information of South Plains Financial, Inc. follows: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CONDENSED BALANCE SHEETS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3"/>
              </w:rPr>
              <w:t>(In thousands except per share data)</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6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auto"/>
            </w:tcBorders>
            <w:vMerge w:val="restart"/>
          </w:tcPr>
          <w:p>
            <w:pPr>
              <w:spacing w:after="0"/>
              <w:rPr>
                <w:sz w:val="2"/>
                <w:szCs w:val="2"/>
                <w:color w:val="auto"/>
              </w:rPr>
            </w:pPr>
          </w:p>
        </w:tc>
        <w:tc>
          <w:tcPr>
            <w:tcW w:w="620" w:type="dxa"/>
            <w:vAlign w:val="bottom"/>
            <w:tcBorders>
              <w:top w:val="single" w:sz="8" w:color="auto"/>
            </w:tcBorders>
            <w:shd w:val="clear" w:color="auto" w:fill="CCEEFF"/>
          </w:tcPr>
          <w:p>
            <w:pPr>
              <w:spacing w:after="0"/>
              <w:rPr>
                <w:sz w:val="2"/>
                <w:szCs w:val="2"/>
                <w:color w:val="auto"/>
              </w:rPr>
            </w:pPr>
          </w:p>
        </w:tc>
        <w:tc>
          <w:tcPr>
            <w:tcW w:w="3060" w:type="dxa"/>
            <w:vAlign w:val="bottom"/>
            <w:tcBorders>
              <w:top w:val="single" w:sz="8" w:color="CCEEFF"/>
            </w:tcBorders>
            <w:shd w:val="clear" w:color="auto" w:fill="CCEEFF"/>
          </w:tcPr>
          <w:p>
            <w:pPr>
              <w:spacing w:after="0"/>
              <w:rPr>
                <w:sz w:val="2"/>
                <w:szCs w:val="2"/>
                <w:color w:val="auto"/>
              </w:rPr>
            </w:pPr>
          </w:p>
        </w:tc>
        <w:tc>
          <w:tcPr>
            <w:tcW w:w="30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6760" w:type="dxa"/>
            <w:vAlign w:val="bottom"/>
            <w:gridSpan w:val="4"/>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22,627</w:t>
            </w:r>
          </w:p>
        </w:tc>
        <w:tc>
          <w:tcPr>
            <w:tcW w:w="18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24,556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Investment in banking subsidiary</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269,022</w:t>
            </w:r>
          </w:p>
        </w:tc>
        <w:tc>
          <w:tcPr>
            <w:tcW w:w="1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254,066</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60" w:type="dxa"/>
            <w:vAlign w:val="bottom"/>
            <w:gridSpan w:val="4"/>
          </w:tcPr>
          <w:p>
            <w:pPr>
              <w:spacing w:after="0"/>
              <w:rPr>
                <w:sz w:val="20"/>
                <w:szCs w:val="20"/>
                <w:color w:val="auto"/>
              </w:rPr>
            </w:pPr>
            <w:r>
              <w:rPr>
                <w:rFonts w:ascii="Arial" w:cs="Arial" w:eastAsia="Arial" w:hAnsi="Arial"/>
                <w:sz w:val="18"/>
                <w:szCs w:val="18"/>
                <w:color w:val="auto"/>
              </w:rPr>
              <w:t>Investment in other subsidiary</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7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2,304</w:t>
            </w:r>
          </w:p>
        </w:tc>
        <w:tc>
          <w:tcPr>
            <w:tcW w:w="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gridSpan w:val="4"/>
          </w:tcPr>
          <w:p>
            <w:pPr>
              <w:ind w:left="160"/>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294,011</w:t>
            </w:r>
          </w:p>
        </w:tc>
        <w:tc>
          <w:tcPr>
            <w:tcW w:w="18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282,981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w w:val="98"/>
              </w:rPr>
              <w:t>LIABILITIES AND STOCKHOLDERS’ EQUITY</w:t>
            </w:r>
          </w:p>
        </w:tc>
        <w:tc>
          <w:tcPr>
            <w:tcW w:w="308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gridSpan w:val="4"/>
          </w:tcPr>
          <w:p>
            <w:pPr>
              <w:spacing w:after="0"/>
              <w:rPr>
                <w:sz w:val="20"/>
                <w:szCs w:val="20"/>
                <w:color w:val="auto"/>
              </w:rPr>
            </w:pPr>
            <w:r>
              <w:rPr>
                <w:rFonts w:ascii="Arial" w:cs="Arial" w:eastAsia="Arial" w:hAnsi="Arial"/>
                <w:sz w:val="18"/>
                <w:szCs w:val="18"/>
                <w:color w:val="auto"/>
              </w:rPr>
              <w:t>Debt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80,395</w:t>
            </w:r>
          </w:p>
        </w:tc>
        <w:tc>
          <w:tcPr>
            <w:tcW w:w="18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67,280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Accrued expenses and other liabilities</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60" w:type="dxa"/>
            <w:vAlign w:val="bottom"/>
            <w:gridSpan w:val="4"/>
          </w:tcPr>
          <w:p>
            <w:pPr>
              <w:spacing w:after="0"/>
              <w:rPr>
                <w:sz w:val="20"/>
                <w:szCs w:val="20"/>
                <w:color w:val="auto"/>
              </w:rPr>
            </w:pPr>
            <w:r>
              <w:rPr>
                <w:rFonts w:ascii="Arial" w:cs="Arial" w:eastAsia="Arial" w:hAnsi="Arial"/>
                <w:sz w:val="18"/>
                <w:szCs w:val="18"/>
                <w:color w:val="auto"/>
              </w:rPr>
              <w:t>ESOP-owned shares</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58,195</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57,121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7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154,580</w:t>
            </w:r>
          </w:p>
        </w:tc>
        <w:tc>
          <w:tcPr>
            <w:tcW w:w="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158,206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gridSpan w:val="3"/>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294,011</w:t>
            </w:r>
          </w:p>
        </w:tc>
        <w:tc>
          <w:tcPr>
            <w:tcW w:w="18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282,981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140" w:type="dxa"/>
            <w:vAlign w:val="bottom"/>
            <w:gridSpan w:val="3"/>
          </w:tcPr>
          <w:p>
            <w:pPr>
              <w:jc w:val="center"/>
              <w:ind w:left="2030"/>
              <w:spacing w:after="0"/>
              <w:rPr>
                <w:sz w:val="20"/>
                <w:szCs w:val="20"/>
                <w:color w:val="auto"/>
              </w:rPr>
            </w:pPr>
            <w:r>
              <w:rPr>
                <w:rFonts w:ascii="Arial" w:cs="Arial" w:eastAsia="Arial" w:hAnsi="Arial"/>
                <w:sz w:val="18"/>
                <w:szCs w:val="18"/>
                <w:b w:val="1"/>
                <w:bCs w:val="1"/>
                <w:i w:val="1"/>
                <w:iCs w:val="1"/>
                <w:color w:val="auto"/>
                <w:w w:val="96"/>
              </w:rPr>
              <w:t>CONDENSED STATEMENTS OF INCOME</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Dividends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1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gridSpan w:val="4"/>
          </w:tcPr>
          <w:p>
            <w:pPr>
              <w:spacing w:after="0"/>
              <w:rPr>
                <w:sz w:val="20"/>
                <w:szCs w:val="20"/>
                <w:color w:val="auto"/>
              </w:rPr>
            </w:pPr>
            <w:r>
              <w:rPr>
                <w:rFonts w:ascii="Arial" w:cs="Arial" w:eastAsia="Arial" w:hAnsi="Arial"/>
                <w:sz w:val="18"/>
                <w:szCs w:val="18"/>
                <w:color w:val="auto"/>
              </w:rPr>
              <w:t>Other income</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ESOP Contribution</w:t>
            </w:r>
          </w:p>
        </w:tc>
        <w:tc>
          <w:tcPr>
            <w:tcW w:w="1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w:t>
            </w:r>
          </w:p>
        </w:tc>
        <w:tc>
          <w:tcPr>
            <w:tcW w:w="4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60" w:type="dxa"/>
            <w:vAlign w:val="bottom"/>
            <w:gridSpan w:val="4"/>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(2,870)</w:t>
            </w:r>
          </w:p>
        </w:tc>
        <w:tc>
          <w:tcPr>
            <w:tcW w:w="42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(2,342)</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expense</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(1,001)</w:t>
            </w:r>
          </w:p>
        </w:tc>
        <w:tc>
          <w:tcPr>
            <w:tcW w:w="4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74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rPr>
              <w:t>Income before income tax and undistributed subsidiary income</w:t>
            </w: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11,689</w:t>
            </w:r>
          </w:p>
        </w:tc>
        <w:tc>
          <w:tcPr>
            <w:tcW w:w="180" w:type="dxa"/>
            <w:vAlign w:val="bottom"/>
            <w:tcBorders>
              <w:top w:val="single" w:sz="8" w:color="CCEEFF"/>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13,755</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w:t>
            </w:r>
          </w:p>
        </w:tc>
        <w:tc>
          <w:tcPr>
            <w:tcW w:w="4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60" w:type="dxa"/>
            <w:vAlign w:val="bottom"/>
            <w:gridSpan w:val="4"/>
          </w:tcPr>
          <w:p>
            <w:pPr>
              <w:spacing w:after="0"/>
              <w:rPr>
                <w:sz w:val="20"/>
                <w:szCs w:val="20"/>
                <w:color w:val="auto"/>
              </w:rPr>
            </w:pPr>
            <w:r>
              <w:rPr>
                <w:rFonts w:ascii="Arial" w:cs="Arial" w:eastAsia="Arial" w:hAnsi="Arial"/>
                <w:sz w:val="18"/>
                <w:szCs w:val="18"/>
                <w:color w:val="auto"/>
              </w:rPr>
              <w:t>Equity in undistributed subsidiary income</w:t>
            </w: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16,801</w:t>
            </w:r>
          </w:p>
        </w:tc>
        <w:tc>
          <w:tcPr>
            <w:tcW w:w="1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67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29,290</w:t>
            </w:r>
          </w:p>
        </w:tc>
        <w:tc>
          <w:tcPr>
            <w:tcW w:w="1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23,635</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080" w:type="dxa"/>
            <w:vAlign w:val="bottom"/>
            <w:gridSpan w:val="2"/>
          </w:tcPr>
          <w:p>
            <w:pPr>
              <w:jc w:val="center"/>
              <w:ind w:right="940"/>
              <w:spacing w:after="0"/>
              <w:rPr>
                <w:sz w:val="20"/>
                <w:szCs w:val="20"/>
                <w:color w:val="auto"/>
              </w:rPr>
            </w:pPr>
            <w:r>
              <w:rPr>
                <w:rFonts w:ascii="Arial" w:cs="Arial" w:eastAsia="Arial" w:hAnsi="Arial"/>
                <w:sz w:val="18"/>
                <w:szCs w:val="18"/>
                <w:color w:val="auto"/>
                <w:w w:val="91"/>
              </w:rPr>
              <w:t>F-31</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3060" w:type="dxa"/>
            <w:vAlign w:val="bottom"/>
            <w:shd w:val="clear" w:color="auto" w:fill="000000"/>
          </w:tcPr>
          <w:p>
            <w:pPr>
              <w:spacing w:after="0"/>
              <w:rPr>
                <w:sz w:val="5"/>
                <w:szCs w:val="5"/>
                <w:color w:val="auto"/>
              </w:rPr>
            </w:pPr>
          </w:p>
        </w:tc>
        <w:tc>
          <w:tcPr>
            <w:tcW w:w="30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08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420" w:type="dxa"/>
            <w:vAlign w:val="bottom"/>
            <w:shd w:val="clear" w:color="auto" w:fill="000000"/>
          </w:tcPr>
          <w:p>
            <w:pPr>
              <w:spacing w:after="0"/>
              <w:rPr>
                <w:sz w:val="5"/>
                <w:szCs w:val="5"/>
                <w:color w:val="auto"/>
              </w:rPr>
            </w:pPr>
          </w:p>
        </w:tc>
        <w:tc>
          <w:tcPr>
            <w:tcW w:w="8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9" w:right="1159" w:bottom="1440" w:gutter="0" w:footer="0" w:header="0"/>
        </w:sectPr>
      </w:pPr>
    </w:p>
    <w:bookmarkStart w:id="182" w:name="page183"/>
    <w:bookmarkEnd w:id="182"/>
    <w:p>
      <w:pPr>
        <w:ind w:left="7"/>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27"/>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07"/>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ind w:right="-6"/>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74" w:lineRule="exact"/>
        <w:rPr>
          <w:sz w:val="20"/>
          <w:szCs w:val="20"/>
          <w:color w:val="auto"/>
        </w:rPr>
      </w:pPr>
    </w:p>
    <w:p>
      <w:pPr>
        <w:ind w:left="367" w:hanging="367"/>
        <w:spacing w:after="0"/>
        <w:tabs>
          <w:tab w:leader="none" w:pos="367" w:val="left"/>
        </w:tabs>
        <w:numPr>
          <w:ilvl w:val="0"/>
          <w:numId w:val="9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PARENT COMPANY ONLY CONDENSED FINANCIAL INFORMATION (Continued)</w:t>
      </w:r>
    </w:p>
    <w:p>
      <w:pPr>
        <w:spacing w:after="0" w:line="63" w:lineRule="exact"/>
        <w:rPr>
          <w:rFonts w:ascii="Arial" w:cs="Arial" w:eastAsia="Arial" w:hAnsi="Arial"/>
          <w:sz w:val="18"/>
          <w:szCs w:val="18"/>
          <w:b w:val="1"/>
          <w:bCs w:val="1"/>
          <w:i w:val="1"/>
          <w:iCs w:val="1"/>
          <w:color w:val="auto"/>
        </w:rPr>
      </w:pPr>
    </w:p>
    <w:p>
      <w:pPr>
        <w:ind w:left="2887"/>
        <w:spacing w:after="0"/>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CONDENSED STATEMENTS OF CASH FLOWS</w:t>
      </w:r>
    </w:p>
    <w:p>
      <w:pPr>
        <w:spacing w:after="0" w:line="82"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45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6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Years Ended December 31,</w:t>
            </w:r>
          </w:p>
        </w:tc>
      </w:tr>
      <w:tr>
        <w:trPr>
          <w:trHeight w:val="183"/>
        </w:trPr>
        <w:tc>
          <w:tcPr>
            <w:tcW w:w="45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r>
      <w:tr>
        <w:trPr>
          <w:trHeight w:val="237"/>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30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340" w:type="dxa"/>
            <w:vAlign w:val="bottom"/>
            <w:tcBorders>
              <w:left w:val="single" w:sz="8" w:color="CCEEFF"/>
            </w:tcBorders>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45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29,290</w:t>
            </w:r>
          </w:p>
        </w:tc>
        <w:tc>
          <w:tcPr>
            <w:tcW w:w="160" w:type="dxa"/>
            <w:vAlign w:val="bottom"/>
          </w:tcPr>
          <w:p>
            <w:pPr>
              <w:spacing w:after="0"/>
              <w:rPr>
                <w:sz w:val="20"/>
                <w:szCs w:val="20"/>
                <w:color w:val="auto"/>
              </w:rPr>
            </w:pPr>
          </w:p>
        </w:tc>
        <w:tc>
          <w:tcPr>
            <w:tcW w:w="340" w:type="dxa"/>
            <w:vAlign w:val="bottom"/>
          </w:tcPr>
          <w:p>
            <w:pPr>
              <w:jc w:val="right"/>
              <w:ind w:right="169"/>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23,635</w:t>
            </w:r>
          </w:p>
        </w:tc>
        <w:tc>
          <w:tcPr>
            <w:tcW w:w="100" w:type="dxa"/>
            <w:vAlign w:val="bottom"/>
          </w:tcPr>
          <w:p>
            <w:pPr>
              <w:spacing w:after="0"/>
              <w:rPr>
                <w:sz w:val="20"/>
                <w:szCs w:val="20"/>
                <w:color w:val="auto"/>
              </w:rPr>
            </w:pPr>
          </w:p>
        </w:tc>
      </w:tr>
      <w:tr>
        <w:trPr>
          <w:trHeight w:val="249"/>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w:t>
            </w:r>
          </w:p>
        </w:tc>
        <w:tc>
          <w:tcPr>
            <w:tcW w:w="230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340" w:type="dxa"/>
            <w:vAlign w:val="bottom"/>
            <w:tcBorders>
              <w:left w:val="single" w:sz="8" w:color="CCEEFF"/>
            </w:tcBorders>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4560" w:type="dxa"/>
            <w:vAlign w:val="bottom"/>
          </w:tcPr>
          <w:p>
            <w:pPr>
              <w:ind w:left="360"/>
              <w:spacing w:after="0"/>
              <w:rPr>
                <w:sz w:val="20"/>
                <w:szCs w:val="20"/>
                <w:color w:val="auto"/>
              </w:rPr>
            </w:pPr>
            <w:r>
              <w:rPr>
                <w:rFonts w:ascii="Arial" w:cs="Arial" w:eastAsia="Arial" w:hAnsi="Arial"/>
                <w:sz w:val="18"/>
                <w:szCs w:val="18"/>
                <w:color w:val="auto"/>
              </w:rPr>
              <w:t>Equity in undistributed subsidiary income</w:t>
            </w:r>
          </w:p>
        </w:tc>
        <w:tc>
          <w:tcPr>
            <w:tcW w:w="2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(16,801)</w:t>
            </w:r>
          </w:p>
        </w:tc>
        <w:tc>
          <w:tcPr>
            <w:tcW w:w="34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(9,880)</w:t>
            </w:r>
          </w:p>
        </w:tc>
      </w:tr>
      <w:tr>
        <w:trPr>
          <w:trHeight w:val="249"/>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other assets</w:t>
            </w:r>
          </w:p>
        </w:tc>
        <w:tc>
          <w:tcPr>
            <w:tcW w:w="230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(456)</w:t>
            </w:r>
          </w:p>
        </w:tc>
        <w:tc>
          <w:tcPr>
            <w:tcW w:w="340" w:type="dxa"/>
            <w:vAlign w:val="bottom"/>
            <w:tcBorders>
              <w:left w:val="single" w:sz="8" w:color="CCEEFF"/>
            </w:tcBorders>
            <w:shd w:val="clear" w:color="auto" w:fill="CCEEFF"/>
          </w:tcPr>
          <w:p>
            <w:pPr>
              <w:spacing w:after="0"/>
              <w:rPr>
                <w:sz w:val="21"/>
                <w:szCs w:val="21"/>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37"/>
        </w:trPr>
        <w:tc>
          <w:tcPr>
            <w:tcW w:w="4560" w:type="dxa"/>
            <w:vAlign w:val="bottom"/>
          </w:tcPr>
          <w:p>
            <w:pPr>
              <w:ind w:left="360"/>
              <w:spacing w:after="0"/>
              <w:rPr>
                <w:sz w:val="20"/>
                <w:szCs w:val="20"/>
                <w:color w:val="auto"/>
              </w:rPr>
            </w:pPr>
            <w:r>
              <w:rPr>
                <w:rFonts w:ascii="Arial" w:cs="Arial" w:eastAsia="Arial" w:hAnsi="Arial"/>
                <w:sz w:val="18"/>
                <w:szCs w:val="18"/>
                <w:color w:val="auto"/>
              </w:rPr>
              <w:t>Change in other liabilities</w:t>
            </w:r>
          </w:p>
        </w:tc>
        <w:tc>
          <w:tcPr>
            <w:tcW w:w="2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468</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(455)</w:t>
            </w:r>
          </w:p>
        </w:tc>
      </w:tr>
      <w:tr>
        <w:trPr>
          <w:trHeight w:val="249"/>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Release of unearned ESOP shares</w:t>
            </w:r>
          </w:p>
        </w:tc>
        <w:tc>
          <w:tcPr>
            <w:tcW w:w="230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left w:val="single" w:sz="8" w:color="CCEEFF"/>
            </w:tcBorders>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00" w:type="dxa"/>
            <w:vAlign w:val="bottom"/>
            <w:shd w:val="clear" w:color="auto" w:fill="CCEEFF"/>
          </w:tcPr>
          <w:p>
            <w:pPr>
              <w:spacing w:after="0"/>
              <w:rPr>
                <w:sz w:val="21"/>
                <w:szCs w:val="21"/>
                <w:color w:val="auto"/>
              </w:rPr>
            </w:pPr>
          </w:p>
        </w:tc>
      </w:tr>
      <w:tr>
        <w:trPr>
          <w:trHeight w:val="224"/>
        </w:trPr>
        <w:tc>
          <w:tcPr>
            <w:tcW w:w="4560" w:type="dxa"/>
            <w:vAlign w:val="bottom"/>
            <w:tcBorders>
              <w:top w:val="single" w:sz="8" w:color="CCEEFF"/>
            </w:tcBorders>
          </w:tcPr>
          <w:p>
            <w:pPr>
              <w:ind w:left="540"/>
              <w:spacing w:after="0"/>
              <w:rPr>
                <w:sz w:val="20"/>
                <w:szCs w:val="20"/>
                <w:color w:val="auto"/>
              </w:rPr>
            </w:pPr>
            <w:r>
              <w:rPr>
                <w:rFonts w:ascii="Arial" w:cs="Arial" w:eastAsia="Arial" w:hAnsi="Arial"/>
                <w:sz w:val="18"/>
                <w:szCs w:val="18"/>
                <w:color w:val="auto"/>
              </w:rPr>
              <w:t>Net cash from operating activities</w:t>
            </w:r>
          </w:p>
        </w:tc>
        <w:tc>
          <w:tcPr>
            <w:tcW w:w="230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12,501</w:t>
            </w:r>
          </w:p>
        </w:tc>
        <w:tc>
          <w:tcPr>
            <w:tcW w:w="160" w:type="dxa"/>
            <w:vAlign w:val="bottom"/>
            <w:tcBorders>
              <w:top w:val="single" w:sz="8" w:color="CCEEFF"/>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13,975</w:t>
            </w:r>
          </w:p>
        </w:tc>
        <w:tc>
          <w:tcPr>
            <w:tcW w:w="100" w:type="dxa"/>
            <w:vAlign w:val="bottom"/>
            <w:tcBorders>
              <w:top w:val="single" w:sz="8" w:color="CCEEFF"/>
            </w:tcBorders>
          </w:tcPr>
          <w:p>
            <w:pPr>
              <w:spacing w:after="0"/>
              <w:rPr>
                <w:sz w:val="19"/>
                <w:szCs w:val="19"/>
                <w:color w:val="auto"/>
              </w:rPr>
            </w:pPr>
          </w:p>
        </w:tc>
      </w:tr>
      <w:tr>
        <w:trPr>
          <w:trHeight w:val="25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300" w:type="dxa"/>
            <w:vAlign w:val="bottom"/>
            <w:tcBorders>
              <w:right w:val="single" w:sz="8" w:color="CCEEFF"/>
            </w:tcBorders>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tcBorders>
              <w:right w:val="single" w:sz="8" w:color="CCEEFF"/>
            </w:tcBorders>
            <w:shd w:val="clear" w:color="auto" w:fill="CCEEFF"/>
          </w:tcPr>
          <w:p>
            <w:pPr>
              <w:spacing w:after="0"/>
              <w:rPr>
                <w:sz w:val="22"/>
                <w:szCs w:val="22"/>
                <w:color w:val="auto"/>
              </w:rPr>
            </w:pPr>
          </w:p>
        </w:tc>
        <w:tc>
          <w:tcPr>
            <w:tcW w:w="340" w:type="dxa"/>
            <w:vAlign w:val="bottom"/>
            <w:tcBorders>
              <w:left w:val="single" w:sz="8" w:color="CCEEFF"/>
            </w:tcBorders>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43"/>
        </w:trPr>
        <w:tc>
          <w:tcPr>
            <w:tcW w:w="4560" w:type="dxa"/>
            <w:vAlign w:val="bottom"/>
          </w:tcPr>
          <w:p>
            <w:pPr>
              <w:ind w:left="180"/>
              <w:spacing w:after="0"/>
              <w:rPr>
                <w:sz w:val="20"/>
                <w:szCs w:val="20"/>
                <w:color w:val="auto"/>
              </w:rPr>
            </w:pPr>
            <w:r>
              <w:rPr>
                <w:rFonts w:ascii="Arial" w:cs="Arial" w:eastAsia="Arial" w:hAnsi="Arial"/>
                <w:sz w:val="18"/>
                <w:szCs w:val="18"/>
                <w:color w:val="auto"/>
              </w:rPr>
              <w:t>Return of capital from subsidiary</w:t>
            </w:r>
          </w:p>
        </w:tc>
        <w:tc>
          <w:tcPr>
            <w:tcW w:w="2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2,500</w:t>
            </w:r>
          </w:p>
        </w:tc>
        <w:tc>
          <w:tcPr>
            <w:tcW w:w="1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37"/>
        </w:trPr>
        <w:tc>
          <w:tcPr>
            <w:tcW w:w="45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cash from investing activities</w:t>
            </w:r>
          </w:p>
        </w:tc>
        <w:tc>
          <w:tcPr>
            <w:tcW w:w="230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w:t>
            </w:r>
          </w:p>
        </w:tc>
        <w:tc>
          <w:tcPr>
            <w:tcW w:w="160" w:type="dxa"/>
            <w:vAlign w:val="bottom"/>
            <w:tcBorders>
              <w:right w:val="single" w:sz="8" w:color="CCEEFF"/>
            </w:tcBorders>
            <w:shd w:val="clear" w:color="auto" w:fill="CCEEFF"/>
          </w:tcPr>
          <w:p>
            <w:pPr>
              <w:spacing w:after="0"/>
              <w:rPr>
                <w:sz w:val="20"/>
                <w:szCs w:val="20"/>
                <w:color w:val="auto"/>
              </w:rPr>
            </w:pPr>
          </w:p>
        </w:tc>
        <w:tc>
          <w:tcPr>
            <w:tcW w:w="340" w:type="dxa"/>
            <w:vAlign w:val="bottom"/>
            <w:tcBorders>
              <w:left w:val="single" w:sz="8" w:color="CCEEFF"/>
            </w:tcBorders>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37"/>
        </w:trPr>
        <w:tc>
          <w:tcPr>
            <w:tcW w:w="45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long-term borrowings</w:t>
            </w:r>
          </w:p>
        </w:tc>
        <w:tc>
          <w:tcPr>
            <w:tcW w:w="230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13,115</w:t>
            </w:r>
          </w:p>
        </w:tc>
        <w:tc>
          <w:tcPr>
            <w:tcW w:w="160" w:type="dxa"/>
            <w:vAlign w:val="bottom"/>
            <w:tcBorders>
              <w:right w:val="single" w:sz="8" w:color="CCEEFF"/>
            </w:tcBorders>
            <w:shd w:val="clear" w:color="auto" w:fill="CCEEFF"/>
          </w:tcPr>
          <w:p>
            <w:pPr>
              <w:spacing w:after="0"/>
              <w:rPr>
                <w:sz w:val="21"/>
                <w:szCs w:val="21"/>
                <w:color w:val="auto"/>
              </w:rPr>
            </w:pPr>
          </w:p>
        </w:tc>
        <w:tc>
          <w:tcPr>
            <w:tcW w:w="340" w:type="dxa"/>
            <w:vAlign w:val="bottom"/>
            <w:tcBorders>
              <w:left w:val="single" w:sz="8" w:color="CCEEFF"/>
            </w:tcBorders>
            <w:shd w:val="clear" w:color="auto" w:fill="CCEEFF"/>
          </w:tcPr>
          <w:p>
            <w:pPr>
              <w:spacing w:after="0"/>
              <w:rPr>
                <w:sz w:val="21"/>
                <w:szCs w:val="21"/>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37"/>
        </w:trPr>
        <w:tc>
          <w:tcPr>
            <w:tcW w:w="4560" w:type="dxa"/>
            <w:vAlign w:val="bottom"/>
          </w:tcPr>
          <w:p>
            <w:pPr>
              <w:ind w:left="180"/>
              <w:spacing w:after="0"/>
              <w:rPr>
                <w:sz w:val="20"/>
                <w:szCs w:val="20"/>
                <w:color w:val="auto"/>
              </w:rPr>
            </w:pPr>
            <w:r>
              <w:rPr>
                <w:rFonts w:ascii="Arial" w:cs="Arial" w:eastAsia="Arial" w:hAnsi="Arial"/>
                <w:sz w:val="18"/>
                <w:szCs w:val="18"/>
                <w:color w:val="auto"/>
              </w:rPr>
              <w:t>Repayments of long-term borrowings</w:t>
            </w:r>
          </w:p>
        </w:tc>
        <w:tc>
          <w:tcPr>
            <w:tcW w:w="2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(676)</w:t>
            </w:r>
          </w:p>
        </w:tc>
      </w:tr>
      <w:tr>
        <w:trPr>
          <w:trHeight w:val="249"/>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dividends on common stock</w:t>
            </w:r>
          </w:p>
        </w:tc>
        <w:tc>
          <w:tcPr>
            <w:tcW w:w="230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(30,045)</w:t>
            </w:r>
          </w:p>
        </w:tc>
        <w:tc>
          <w:tcPr>
            <w:tcW w:w="340" w:type="dxa"/>
            <w:vAlign w:val="bottom"/>
            <w:tcBorders>
              <w:left w:val="single" w:sz="8" w:color="CCEEFF"/>
            </w:tcBorders>
            <w:shd w:val="clear" w:color="auto" w:fill="CCEEFF"/>
          </w:tcPr>
          <w:p>
            <w:pPr>
              <w:spacing w:after="0"/>
              <w:rPr>
                <w:sz w:val="21"/>
                <w:szCs w:val="21"/>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(7,874)</w:t>
            </w:r>
          </w:p>
        </w:tc>
      </w:tr>
      <w:tr>
        <w:trPr>
          <w:trHeight w:val="20"/>
        </w:trPr>
        <w:tc>
          <w:tcPr>
            <w:tcW w:w="4560" w:type="dxa"/>
            <w:vAlign w:val="bottom"/>
            <w:shd w:val="clear" w:color="auto" w:fill="CCEEFF"/>
          </w:tcPr>
          <w:p>
            <w:pPr>
              <w:spacing w:after="0" w:line="20" w:lineRule="exact"/>
              <w:rPr>
                <w:sz w:val="1"/>
                <w:szCs w:val="1"/>
                <w:color w:val="auto"/>
              </w:rPr>
            </w:pPr>
          </w:p>
        </w:tc>
        <w:tc>
          <w:tcPr>
            <w:tcW w:w="230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7"/>
        </w:trPr>
        <w:tc>
          <w:tcPr>
            <w:tcW w:w="4560" w:type="dxa"/>
            <w:vAlign w:val="bottom"/>
          </w:tcPr>
          <w:p>
            <w:pPr>
              <w:ind w:left="540"/>
              <w:spacing w:after="0"/>
              <w:rPr>
                <w:sz w:val="20"/>
                <w:szCs w:val="20"/>
                <w:color w:val="auto"/>
              </w:rPr>
            </w:pPr>
            <w:r>
              <w:rPr>
                <w:rFonts w:ascii="Arial" w:cs="Arial" w:eastAsia="Arial" w:hAnsi="Arial"/>
                <w:sz w:val="18"/>
                <w:szCs w:val="18"/>
                <w:color w:val="auto"/>
              </w:rPr>
              <w:t>Net cash from financing activities</w:t>
            </w:r>
          </w:p>
        </w:tc>
        <w:tc>
          <w:tcPr>
            <w:tcW w:w="2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(16,930)</w:t>
            </w:r>
          </w:p>
        </w:tc>
        <w:tc>
          <w:tcPr>
            <w:tcW w:w="34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(8,550)</w:t>
            </w:r>
          </w:p>
        </w:tc>
      </w:tr>
      <w:tr>
        <w:trPr>
          <w:trHeight w:val="20"/>
        </w:trPr>
        <w:tc>
          <w:tcPr>
            <w:tcW w:w="4560" w:type="dxa"/>
            <w:vAlign w:val="bottom"/>
          </w:tcPr>
          <w:p>
            <w:pPr>
              <w:spacing w:after="0" w:line="20" w:lineRule="exact"/>
              <w:rPr>
                <w:sz w:val="1"/>
                <w:szCs w:val="1"/>
                <w:color w:val="auto"/>
              </w:rPr>
            </w:pPr>
          </w:p>
        </w:tc>
        <w:tc>
          <w:tcPr>
            <w:tcW w:w="230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230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(1,929)</w:t>
            </w:r>
          </w:p>
        </w:tc>
        <w:tc>
          <w:tcPr>
            <w:tcW w:w="340" w:type="dxa"/>
            <w:vAlign w:val="bottom"/>
            <w:tcBorders>
              <w:left w:val="single" w:sz="8" w:color="CCEEFF"/>
            </w:tcBorders>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5,425</w:t>
            </w:r>
          </w:p>
        </w:tc>
        <w:tc>
          <w:tcPr>
            <w:tcW w:w="100" w:type="dxa"/>
            <w:vAlign w:val="bottom"/>
            <w:shd w:val="clear" w:color="auto" w:fill="CCEEFF"/>
          </w:tcPr>
          <w:p>
            <w:pPr>
              <w:spacing w:after="0"/>
              <w:rPr>
                <w:sz w:val="20"/>
                <w:szCs w:val="20"/>
                <w:color w:val="auto"/>
              </w:rPr>
            </w:pPr>
          </w:p>
        </w:tc>
      </w:tr>
      <w:tr>
        <w:trPr>
          <w:trHeight w:val="243"/>
        </w:trPr>
        <w:tc>
          <w:tcPr>
            <w:tcW w:w="4560" w:type="dxa"/>
            <w:vAlign w:val="bottom"/>
          </w:tcPr>
          <w:p>
            <w:pPr>
              <w:spacing w:after="0"/>
              <w:rPr>
                <w:sz w:val="20"/>
                <w:szCs w:val="20"/>
                <w:color w:val="auto"/>
              </w:rPr>
            </w:pPr>
            <w:r>
              <w:rPr>
                <w:rFonts w:ascii="Arial" w:cs="Arial" w:eastAsia="Arial" w:hAnsi="Arial"/>
                <w:sz w:val="18"/>
                <w:szCs w:val="18"/>
                <w:color w:val="auto"/>
              </w:rPr>
              <w:t>Beginning cash and cash equivalents</w:t>
            </w:r>
          </w:p>
        </w:tc>
        <w:tc>
          <w:tcPr>
            <w:tcW w:w="2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24,556</w:t>
            </w:r>
          </w:p>
        </w:tc>
        <w:tc>
          <w:tcPr>
            <w:tcW w:w="1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19,131</w:t>
            </w:r>
          </w:p>
        </w:tc>
        <w:tc>
          <w:tcPr>
            <w:tcW w:w="100" w:type="dxa"/>
            <w:vAlign w:val="bottom"/>
          </w:tcPr>
          <w:p>
            <w:pPr>
              <w:spacing w:after="0"/>
              <w:rPr>
                <w:sz w:val="21"/>
                <w:szCs w:val="21"/>
                <w:color w:val="auto"/>
              </w:rPr>
            </w:pPr>
          </w:p>
        </w:tc>
      </w:tr>
      <w:tr>
        <w:trPr>
          <w:trHeight w:val="271"/>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Ending cash and cash equivalents</w:t>
            </w:r>
          </w:p>
        </w:tc>
        <w:tc>
          <w:tcPr>
            <w:tcW w:w="2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22,627</w:t>
            </w:r>
          </w:p>
        </w:tc>
        <w:tc>
          <w:tcPr>
            <w:tcW w:w="160" w:type="dxa"/>
            <w:vAlign w:val="bottom"/>
            <w:tcBorders>
              <w:right w:val="single" w:sz="8" w:color="CCEEFF"/>
            </w:tcBorders>
            <w:shd w:val="clear" w:color="auto" w:fill="CCEEFF"/>
          </w:tcPr>
          <w:p>
            <w:pPr>
              <w:spacing w:after="0"/>
              <w:rPr>
                <w:sz w:val="23"/>
                <w:szCs w:val="23"/>
                <w:color w:val="auto"/>
              </w:rPr>
            </w:pPr>
          </w:p>
        </w:tc>
        <w:tc>
          <w:tcPr>
            <w:tcW w:w="340" w:type="dxa"/>
            <w:vAlign w:val="bottom"/>
            <w:tcBorders>
              <w:left w:val="single" w:sz="8" w:color="CCEEFF"/>
            </w:tcBorders>
            <w:shd w:val="clear" w:color="auto" w:fill="CCEEFF"/>
          </w:tcPr>
          <w:p>
            <w:pPr>
              <w:jc w:val="right"/>
              <w:ind w:right="169"/>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24,556</w:t>
            </w:r>
          </w:p>
        </w:tc>
        <w:tc>
          <w:tcPr>
            <w:tcW w:w="100" w:type="dxa"/>
            <w:vAlign w:val="bottom"/>
            <w:shd w:val="clear" w:color="auto" w:fill="CCEEFF"/>
          </w:tcPr>
          <w:p>
            <w:pPr>
              <w:spacing w:after="0"/>
              <w:rPr>
                <w:sz w:val="23"/>
                <w:szCs w:val="23"/>
                <w:color w:val="auto"/>
              </w:rPr>
            </w:pPr>
          </w:p>
        </w:tc>
      </w:tr>
      <w:tr>
        <w:trPr>
          <w:trHeight w:val="324"/>
        </w:trPr>
        <w:tc>
          <w:tcPr>
            <w:tcW w:w="456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i w:val="1"/>
                <w:iCs w:val="1"/>
                <w:color w:val="auto"/>
              </w:rPr>
              <w:t>15.  EARNINGS PER SHARE</w:t>
            </w:r>
          </w:p>
        </w:tc>
        <w:tc>
          <w:tcPr>
            <w:tcW w:w="23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324"/>
        </w:trPr>
        <w:tc>
          <w:tcPr>
            <w:tcW w:w="4560" w:type="dxa"/>
            <w:vAlign w:val="bottom"/>
          </w:tcPr>
          <w:p>
            <w:pPr>
              <w:spacing w:after="0"/>
              <w:rPr>
                <w:sz w:val="20"/>
                <w:szCs w:val="20"/>
                <w:color w:val="auto"/>
              </w:rPr>
            </w:pPr>
            <w:r>
              <w:rPr>
                <w:rFonts w:ascii="Arial" w:cs="Arial" w:eastAsia="Arial" w:hAnsi="Arial"/>
                <w:sz w:val="18"/>
                <w:szCs w:val="18"/>
                <w:color w:val="auto"/>
                <w:w w:val="91"/>
              </w:rPr>
              <w:t>The factors used in the earnings per share computation follow:</w:t>
            </w:r>
          </w:p>
        </w:tc>
        <w:tc>
          <w:tcPr>
            <w:tcW w:w="2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456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83"/>
        </w:trPr>
        <w:tc>
          <w:tcPr>
            <w:tcW w:w="45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r>
      <w:tr>
        <w:trPr>
          <w:trHeight w:val="237"/>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29,290</w:t>
            </w:r>
          </w:p>
        </w:tc>
        <w:tc>
          <w:tcPr>
            <w:tcW w:w="8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340" w:type="dxa"/>
            <w:vAlign w:val="bottom"/>
            <w:tcBorders>
              <w:left w:val="single" w:sz="8" w:color="CCEEFF"/>
            </w:tcBorders>
            <w:shd w:val="clear" w:color="auto" w:fill="CCEEFF"/>
          </w:tcPr>
          <w:p>
            <w:pPr>
              <w:jc w:val="right"/>
              <w:ind w:right="249"/>
              <w:spacing w:after="0"/>
              <w:rPr>
                <w:sz w:val="20"/>
                <w:szCs w:val="20"/>
                <w:color w:val="auto"/>
              </w:rPr>
            </w:pPr>
            <w:r>
              <w:rPr>
                <w:rFonts w:ascii="Arial" w:cs="Arial" w:eastAsia="Arial" w:hAnsi="Arial"/>
                <w:sz w:val="5"/>
                <w:szCs w:val="5"/>
                <w:color w:val="auto"/>
                <w:w w:val="70"/>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23,635</w:t>
            </w:r>
          </w:p>
        </w:tc>
        <w:tc>
          <w:tcPr>
            <w:tcW w:w="100" w:type="dxa"/>
            <w:vAlign w:val="bottom"/>
            <w:shd w:val="clear" w:color="auto" w:fill="CCEEFF"/>
          </w:tcPr>
          <w:p>
            <w:pPr>
              <w:spacing w:after="0"/>
              <w:rPr>
                <w:sz w:val="20"/>
                <w:szCs w:val="20"/>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2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14,771,520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14,769,090</w:t>
            </w:r>
          </w:p>
        </w:tc>
        <w:tc>
          <w:tcPr>
            <w:tcW w:w="100" w:type="dxa"/>
            <w:vAlign w:val="bottom"/>
          </w:tcPr>
          <w:p>
            <w:pPr>
              <w:spacing w:after="0"/>
              <w:rPr>
                <w:sz w:val="20"/>
                <w:szCs w:val="20"/>
                <w:color w:val="auto"/>
              </w:rPr>
            </w:pPr>
          </w:p>
        </w:tc>
      </w:tr>
      <w:tr>
        <w:trPr>
          <w:trHeight w:val="25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diluted</w:t>
            </w:r>
          </w:p>
        </w:tc>
        <w:tc>
          <w:tcPr>
            <w:tcW w:w="2300" w:type="dxa"/>
            <w:vAlign w:val="bottom"/>
            <w:tcBorders>
              <w:right w:val="single" w:sz="8" w:color="CCEEFF"/>
            </w:tcBorders>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14,771.520</w:t>
            </w:r>
          </w:p>
        </w:tc>
        <w:tc>
          <w:tcPr>
            <w:tcW w:w="80" w:type="dxa"/>
            <w:vAlign w:val="bottom"/>
            <w:shd w:val="clear" w:color="auto" w:fill="CCEEFF"/>
          </w:tcPr>
          <w:p>
            <w:pPr>
              <w:spacing w:after="0"/>
              <w:rPr>
                <w:sz w:val="22"/>
                <w:szCs w:val="22"/>
                <w:color w:val="auto"/>
              </w:rPr>
            </w:pPr>
          </w:p>
        </w:tc>
        <w:tc>
          <w:tcPr>
            <w:tcW w:w="160" w:type="dxa"/>
            <w:vAlign w:val="bottom"/>
            <w:tcBorders>
              <w:right w:val="single" w:sz="8" w:color="CCEEFF"/>
            </w:tcBorders>
            <w:shd w:val="clear" w:color="auto" w:fill="CCEEFF"/>
          </w:tcPr>
          <w:p>
            <w:pPr>
              <w:spacing w:after="0"/>
              <w:rPr>
                <w:sz w:val="22"/>
                <w:szCs w:val="22"/>
                <w:color w:val="auto"/>
              </w:rPr>
            </w:pPr>
          </w:p>
        </w:tc>
        <w:tc>
          <w:tcPr>
            <w:tcW w:w="340" w:type="dxa"/>
            <w:vAlign w:val="bottom"/>
            <w:tcBorders>
              <w:left w:val="single" w:sz="8" w:color="CCEEFF"/>
            </w:tcBorders>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14,771,520</w:t>
            </w:r>
          </w:p>
        </w:tc>
        <w:tc>
          <w:tcPr>
            <w:tcW w:w="100" w:type="dxa"/>
            <w:vAlign w:val="bottom"/>
            <w:shd w:val="clear" w:color="auto" w:fill="CCEEFF"/>
          </w:tcPr>
          <w:p>
            <w:pPr>
              <w:spacing w:after="0"/>
              <w:rPr>
                <w:sz w:val="22"/>
                <w:szCs w:val="22"/>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2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jc w:val="right"/>
              <w:ind w:right="249"/>
              <w:spacing w:after="0"/>
              <w:rPr>
                <w:sz w:val="20"/>
                <w:szCs w:val="20"/>
                <w:color w:val="auto"/>
              </w:rPr>
            </w:pPr>
            <w:r>
              <w:rPr>
                <w:rFonts w:ascii="Arial" w:cs="Arial" w:eastAsia="Arial" w:hAnsi="Arial"/>
                <w:sz w:val="5"/>
                <w:szCs w:val="5"/>
                <w:color w:val="auto"/>
                <w:w w:val="70"/>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0"/>
                <w:szCs w:val="20"/>
                <w:color w:val="auto"/>
              </w:rPr>
            </w:pPr>
          </w:p>
        </w:tc>
      </w:tr>
      <w:tr>
        <w:trPr>
          <w:trHeight w:val="25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80" w:type="dxa"/>
            <w:vAlign w:val="bottom"/>
            <w:shd w:val="clear" w:color="auto" w:fill="CCEEFF"/>
          </w:tcPr>
          <w:p>
            <w:pPr>
              <w:spacing w:after="0"/>
              <w:rPr>
                <w:sz w:val="22"/>
                <w:szCs w:val="22"/>
                <w:color w:val="auto"/>
              </w:rPr>
            </w:pPr>
          </w:p>
        </w:tc>
        <w:tc>
          <w:tcPr>
            <w:tcW w:w="160" w:type="dxa"/>
            <w:vAlign w:val="bottom"/>
            <w:tcBorders>
              <w:right w:val="single" w:sz="8" w:color="CCEEFF"/>
            </w:tcBorders>
            <w:shd w:val="clear" w:color="auto" w:fill="CCEEFF"/>
          </w:tcPr>
          <w:p>
            <w:pPr>
              <w:spacing w:after="0"/>
              <w:rPr>
                <w:sz w:val="22"/>
                <w:szCs w:val="22"/>
                <w:color w:val="auto"/>
              </w:rPr>
            </w:pPr>
          </w:p>
        </w:tc>
        <w:tc>
          <w:tcPr>
            <w:tcW w:w="340" w:type="dxa"/>
            <w:vAlign w:val="bottom"/>
            <w:tcBorders>
              <w:left w:val="single" w:sz="8" w:color="CCEEFF"/>
            </w:tcBorders>
            <w:shd w:val="clear" w:color="auto" w:fill="CCEEFF"/>
          </w:tcPr>
          <w:p>
            <w:pPr>
              <w:jc w:val="right"/>
              <w:ind w:right="249"/>
              <w:spacing w:after="0"/>
              <w:rPr>
                <w:sz w:val="20"/>
                <w:szCs w:val="20"/>
                <w:color w:val="auto"/>
              </w:rPr>
            </w:pPr>
            <w:r>
              <w:rPr>
                <w:rFonts w:ascii="Arial" w:cs="Arial" w:eastAsia="Arial" w:hAnsi="Arial"/>
                <w:sz w:val="5"/>
                <w:szCs w:val="5"/>
                <w:color w:val="auto"/>
                <w:w w:val="70"/>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22"/>
                <w:szCs w:val="22"/>
                <w:color w:val="auto"/>
              </w:rPr>
            </w:pPr>
          </w:p>
        </w:tc>
      </w:tr>
      <w:tr>
        <w:trPr>
          <w:trHeight w:val="432"/>
        </w:trPr>
        <w:tc>
          <w:tcPr>
            <w:tcW w:w="4560" w:type="dxa"/>
            <w:vAlign w:val="bottom"/>
          </w:tcPr>
          <w:p>
            <w:pPr>
              <w:spacing w:after="0"/>
              <w:rPr>
                <w:sz w:val="24"/>
                <w:szCs w:val="24"/>
                <w:color w:val="auto"/>
              </w:rPr>
            </w:pPr>
          </w:p>
        </w:tc>
        <w:tc>
          <w:tcPr>
            <w:tcW w:w="2540" w:type="dxa"/>
            <w:vAlign w:val="bottom"/>
            <w:gridSpan w:val="2"/>
          </w:tcPr>
          <w:p>
            <w:pPr>
              <w:jc w:val="right"/>
              <w:ind w:right="2160"/>
              <w:spacing w:after="0"/>
              <w:rPr>
                <w:sz w:val="20"/>
                <w:szCs w:val="20"/>
                <w:color w:val="auto"/>
              </w:rPr>
            </w:pPr>
            <w:r>
              <w:rPr>
                <w:rFonts w:ascii="Arial" w:cs="Arial" w:eastAsia="Arial" w:hAnsi="Arial"/>
                <w:sz w:val="18"/>
                <w:szCs w:val="18"/>
                <w:color w:val="auto"/>
                <w:w w:val="97"/>
              </w:rPr>
              <w:t>F-32</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45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
        </w:trPr>
        <w:tc>
          <w:tcPr>
            <w:tcW w:w="4560" w:type="dxa"/>
            <w:vAlign w:val="bottom"/>
            <w:shd w:val="clear" w:color="auto" w:fill="000000"/>
          </w:tcPr>
          <w:p>
            <w:pPr>
              <w:spacing w:after="0"/>
              <w:rPr>
                <w:sz w:val="5"/>
                <w:szCs w:val="5"/>
                <w:color w:val="auto"/>
              </w:rPr>
            </w:pPr>
          </w:p>
        </w:tc>
        <w:tc>
          <w:tcPr>
            <w:tcW w:w="2300" w:type="dxa"/>
            <w:vAlign w:val="bottom"/>
            <w:tcBorders>
              <w:right w:val="single" w:sz="8" w:color="auto"/>
            </w:tcBorders>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94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60" w:type="dxa"/>
            <w:vAlign w:val="bottom"/>
            <w:tcBorders>
              <w:right w:val="single" w:sz="8" w:color="auto"/>
            </w:tcBorders>
            <w:shd w:val="clear" w:color="auto" w:fill="000000"/>
          </w:tcPr>
          <w:p>
            <w:pPr>
              <w:spacing w:after="0"/>
              <w:rPr>
                <w:sz w:val="5"/>
                <w:szCs w:val="5"/>
                <w:color w:val="auto"/>
              </w:rPr>
            </w:pPr>
          </w:p>
        </w:tc>
        <w:tc>
          <w:tcPr>
            <w:tcW w:w="340" w:type="dxa"/>
            <w:vAlign w:val="bottom"/>
            <w:tcBorders>
              <w:left w:val="single" w:sz="8" w:color="auto"/>
            </w:tcBorders>
            <w:shd w:val="clear" w:color="auto" w:fill="000000"/>
          </w:tcPr>
          <w:p>
            <w:pPr>
              <w:spacing w:after="0"/>
              <w:rPr>
                <w:sz w:val="5"/>
                <w:szCs w:val="5"/>
                <w:color w:val="auto"/>
              </w:rPr>
            </w:pPr>
          </w:p>
        </w:tc>
        <w:tc>
          <w:tcPr>
            <w:tcW w:w="8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1900" w:h="16838" w:orient="portrait"/>
          <w:cols w:equalWidth="0" w:num="1">
            <w:col w:w="9567"/>
          </w:cols>
          <w:pgMar w:left="1173" w:top="279" w:right="1159" w:bottom="1440" w:gutter="0" w:footer="0" w:header="0"/>
        </w:sectPr>
      </w:pPr>
    </w:p>
    <w:bookmarkStart w:id="183" w:name="page184"/>
    <w:bookmarkEnd w:id="18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20"/>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69" w:lineRule="exact"/>
        <w:rPr>
          <w:sz w:val="20"/>
          <w:szCs w:val="20"/>
          <w:color w:val="auto"/>
        </w:rPr>
      </w:pPr>
    </w:p>
    <w:p>
      <w:pPr>
        <w:ind w:left="250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  SEGMENT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Financial results by reportable segment are detailed below:</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Banking</w:t>
            </w:r>
          </w:p>
        </w:tc>
        <w:tc>
          <w:tcPr>
            <w:tcW w:w="120" w:type="dxa"/>
            <w:vAlign w:val="bottom"/>
          </w:tcPr>
          <w:p>
            <w:pPr>
              <w:spacing w:after="0"/>
              <w:rPr>
                <w:sz w:val="16"/>
                <w:szCs w:val="16"/>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Insurance</w:t>
            </w:r>
          </w:p>
        </w:tc>
        <w:tc>
          <w:tcPr>
            <w:tcW w:w="160" w:type="dxa"/>
            <w:vAlign w:val="bottom"/>
          </w:tcPr>
          <w:p>
            <w:pPr>
              <w:spacing w:after="0"/>
              <w:rPr>
                <w:sz w:val="16"/>
                <w:szCs w:val="16"/>
                <w:color w:val="auto"/>
              </w:rPr>
            </w:pPr>
          </w:p>
        </w:tc>
        <w:tc>
          <w:tcPr>
            <w:tcW w:w="1060" w:type="dxa"/>
            <w:vAlign w:val="bottom"/>
          </w:tcPr>
          <w:p>
            <w:pPr>
              <w:jc w:val="right"/>
              <w:ind w:right="112"/>
              <w:spacing w:after="0"/>
              <w:rPr>
                <w:sz w:val="20"/>
                <w:szCs w:val="20"/>
                <w:color w:val="auto"/>
              </w:rPr>
            </w:pPr>
            <w:r>
              <w:rPr>
                <w:rFonts w:ascii="Arial" w:cs="Arial" w:eastAsia="Arial" w:hAnsi="Arial"/>
                <w:sz w:val="14"/>
                <w:szCs w:val="14"/>
                <w:b w:val="1"/>
                <w:bCs w:val="1"/>
                <w:color w:val="auto"/>
                <w:w w:val="94"/>
              </w:rPr>
              <w:t>Consolidated</w:t>
            </w:r>
          </w:p>
        </w:tc>
      </w:tr>
      <w:tr>
        <w:trPr>
          <w:trHeight w:val="217"/>
        </w:trPr>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79"/>
              </w:rPr>
              <w:t>2018</w:t>
            </w:r>
          </w:p>
        </w:tc>
        <w:tc>
          <w:tcPr>
            <w:tcW w:w="5620" w:type="dxa"/>
            <w:vAlign w:val="bottom"/>
            <w:tcBorders>
              <w:bottom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CCEEFF"/>
              <w:right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Net interest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95,612</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95,612</w:t>
            </w:r>
          </w:p>
        </w:tc>
      </w:tr>
      <w:tr>
        <w:trPr>
          <w:trHeight w:val="256"/>
        </w:trPr>
        <w:tc>
          <w:tcPr>
            <w:tcW w:w="20" w:type="dxa"/>
            <w:vAlign w:val="bottom"/>
          </w:tcPr>
          <w:p>
            <w:pPr>
              <w:spacing w:after="0"/>
              <w:rPr>
                <w:sz w:val="22"/>
                <w:szCs w:val="22"/>
                <w:color w:val="auto"/>
              </w:rPr>
            </w:pPr>
          </w:p>
        </w:tc>
        <w:tc>
          <w:tcPr>
            <w:tcW w:w="59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Provision for loan loss</w:t>
            </w:r>
          </w:p>
        </w:tc>
        <w:tc>
          <w:tcPr>
            <w:tcW w:w="2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(6,901)</w:t>
            </w:r>
          </w:p>
        </w:tc>
        <w:tc>
          <w:tcPr>
            <w:tcW w:w="1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(6,901)</w:t>
            </w:r>
          </w:p>
        </w:tc>
      </w:tr>
      <w:tr>
        <w:trPr>
          <w:trHeight w:val="237"/>
        </w:trPr>
        <w:tc>
          <w:tcPr>
            <w:tcW w:w="20" w:type="dxa"/>
            <w:vAlign w:val="bottom"/>
          </w:tcPr>
          <w:p>
            <w:pPr>
              <w:spacing w:after="0"/>
              <w:rPr>
                <w:sz w:val="20"/>
                <w:szCs w:val="20"/>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Noninterest income</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45,247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6,874</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52,121</w:t>
            </w:r>
          </w:p>
        </w:tc>
      </w:tr>
      <w:tr>
        <w:trPr>
          <w:trHeight w:val="249"/>
        </w:trPr>
        <w:tc>
          <w:tcPr>
            <w:tcW w:w="20" w:type="dxa"/>
            <w:vAlign w:val="bottom"/>
          </w:tcPr>
          <w:p>
            <w:pPr>
              <w:spacing w:after="0"/>
              <w:rPr>
                <w:sz w:val="21"/>
                <w:szCs w:val="21"/>
                <w:color w:val="auto"/>
              </w:rPr>
            </w:pPr>
          </w:p>
        </w:tc>
        <w:tc>
          <w:tcPr>
            <w:tcW w:w="59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Noninterest expense</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(111,104)</w:t>
            </w: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(4,339)</w:t>
            </w:r>
          </w:p>
        </w:tc>
        <w:tc>
          <w:tcPr>
            <w:tcW w:w="160" w:type="dxa"/>
            <w:vAlign w:val="bottom"/>
            <w:shd w:val="clear" w:color="auto" w:fill="CCEEFF"/>
          </w:tcPr>
          <w:p>
            <w:pPr>
              <w:spacing w:after="0"/>
              <w:rPr>
                <w:sz w:val="21"/>
                <w:szCs w:val="21"/>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(115,443)</w:t>
            </w: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62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r>
      <w:tr>
        <w:trPr>
          <w:trHeight w:val="237"/>
        </w:trPr>
        <w:tc>
          <w:tcPr>
            <w:tcW w:w="5980" w:type="dxa"/>
            <w:vAlign w:val="bottom"/>
            <w:gridSpan w:val="3"/>
          </w:tcPr>
          <w:p>
            <w:pPr>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22,854</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2,535</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25,389</w:t>
            </w:r>
          </w:p>
        </w:tc>
      </w:tr>
      <w:tr>
        <w:trPr>
          <w:trHeight w:val="237"/>
        </w:trPr>
        <w:tc>
          <w:tcPr>
            <w:tcW w:w="20" w:type="dxa"/>
            <w:vAlign w:val="bottom"/>
          </w:tcPr>
          <w:p>
            <w:pPr>
              <w:spacing w:after="0"/>
              <w:rPr>
                <w:sz w:val="20"/>
                <w:szCs w:val="20"/>
                <w:color w:val="auto"/>
              </w:rPr>
            </w:pPr>
          </w:p>
        </w:tc>
        <w:tc>
          <w:tcPr>
            <w:tcW w:w="59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4,129</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w:t>
            </w:r>
          </w:p>
        </w:tc>
        <w:tc>
          <w:tcPr>
            <w:tcW w:w="160" w:type="dxa"/>
            <w:vAlign w:val="bottom"/>
            <w:shd w:val="clear" w:color="auto" w:fill="CCEEFF"/>
          </w:tcPr>
          <w:p>
            <w:pPr>
              <w:spacing w:after="0"/>
              <w:rPr>
                <w:sz w:val="20"/>
                <w:szCs w:val="20"/>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3,901</w:t>
            </w: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62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r>
      <w:tr>
        <w:trPr>
          <w:trHeight w:val="223"/>
        </w:trPr>
        <w:tc>
          <w:tcPr>
            <w:tcW w:w="598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26,983</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2,307</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29,290</w:t>
            </w:r>
          </w:p>
        </w:tc>
      </w:tr>
      <w:tr>
        <w:trPr>
          <w:trHeight w:val="28"/>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r>
      <w:tr>
        <w:trPr>
          <w:trHeight w:val="277"/>
        </w:trPr>
        <w:tc>
          <w:tcPr>
            <w:tcW w:w="20" w:type="dxa"/>
            <w:vAlign w:val="bottom"/>
          </w:tcPr>
          <w:p>
            <w:pPr>
              <w:spacing w:after="0"/>
              <w:rPr>
                <w:sz w:val="24"/>
                <w:szCs w:val="24"/>
                <w:color w:val="auto"/>
              </w:rPr>
            </w:pPr>
          </w:p>
        </w:tc>
        <w:tc>
          <w:tcPr>
            <w:tcW w:w="596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Average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2,614,351</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9,545</w:t>
            </w: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2,623,896</w:t>
            </w:r>
          </w:p>
        </w:tc>
      </w:tr>
      <w:tr>
        <w:trPr>
          <w:trHeight w:val="243"/>
        </w:trPr>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Banking</w:t>
            </w:r>
          </w:p>
        </w:tc>
        <w:tc>
          <w:tcPr>
            <w:tcW w:w="120" w:type="dxa"/>
            <w:vAlign w:val="bottom"/>
          </w:tcPr>
          <w:p>
            <w:pPr>
              <w:spacing w:after="0"/>
              <w:rPr>
                <w:sz w:val="21"/>
                <w:szCs w:val="21"/>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Insurance</w:t>
            </w:r>
          </w:p>
        </w:tc>
        <w:tc>
          <w:tcPr>
            <w:tcW w:w="16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4"/>
                <w:szCs w:val="14"/>
                <w:b w:val="1"/>
                <w:bCs w:val="1"/>
                <w:color w:val="auto"/>
                <w:w w:val="94"/>
              </w:rPr>
              <w:t>Consolidated</w:t>
            </w:r>
          </w:p>
        </w:tc>
      </w:tr>
      <w:tr>
        <w:trPr>
          <w:trHeight w:val="217"/>
        </w:trPr>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79"/>
              </w:rPr>
              <w:t>2017</w:t>
            </w:r>
          </w:p>
        </w:tc>
        <w:tc>
          <w:tcPr>
            <w:tcW w:w="5620" w:type="dxa"/>
            <w:vAlign w:val="bottom"/>
            <w:tcBorders>
              <w:bottom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CCEEFF"/>
              <w:right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Net interest income (expense)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88,463</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88,463</w:t>
            </w:r>
          </w:p>
        </w:tc>
      </w:tr>
      <w:tr>
        <w:trPr>
          <w:trHeight w:val="256"/>
        </w:trPr>
        <w:tc>
          <w:tcPr>
            <w:tcW w:w="20" w:type="dxa"/>
            <w:vAlign w:val="bottom"/>
          </w:tcPr>
          <w:p>
            <w:pPr>
              <w:spacing w:after="0"/>
              <w:rPr>
                <w:sz w:val="22"/>
                <w:szCs w:val="22"/>
                <w:color w:val="auto"/>
              </w:rPr>
            </w:pPr>
          </w:p>
        </w:tc>
        <w:tc>
          <w:tcPr>
            <w:tcW w:w="59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Provision for loan loss</w:t>
            </w:r>
          </w:p>
        </w:tc>
        <w:tc>
          <w:tcPr>
            <w:tcW w:w="2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(3,966)</w:t>
            </w:r>
          </w:p>
        </w:tc>
        <w:tc>
          <w:tcPr>
            <w:tcW w:w="1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(3,966)</w:t>
            </w:r>
          </w:p>
        </w:tc>
      </w:tr>
      <w:tr>
        <w:trPr>
          <w:trHeight w:val="237"/>
        </w:trPr>
        <w:tc>
          <w:tcPr>
            <w:tcW w:w="20" w:type="dxa"/>
            <w:vAlign w:val="bottom"/>
          </w:tcPr>
          <w:p>
            <w:pPr>
              <w:spacing w:after="0"/>
              <w:rPr>
                <w:sz w:val="20"/>
                <w:szCs w:val="20"/>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Noninterest income</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41,197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6,192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47,389</w:t>
            </w:r>
          </w:p>
        </w:tc>
      </w:tr>
      <w:tr>
        <w:trPr>
          <w:trHeight w:val="249"/>
        </w:trPr>
        <w:tc>
          <w:tcPr>
            <w:tcW w:w="20" w:type="dxa"/>
            <w:vAlign w:val="bottom"/>
          </w:tcPr>
          <w:p>
            <w:pPr>
              <w:spacing w:after="0"/>
              <w:rPr>
                <w:sz w:val="21"/>
                <w:szCs w:val="21"/>
                <w:color w:val="auto"/>
              </w:rPr>
            </w:pPr>
          </w:p>
        </w:tc>
        <w:tc>
          <w:tcPr>
            <w:tcW w:w="59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Noninterest expense</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(104,330)</w:t>
            </w: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(3,814)</w:t>
            </w:r>
          </w:p>
        </w:tc>
        <w:tc>
          <w:tcPr>
            <w:tcW w:w="160" w:type="dxa"/>
            <w:vAlign w:val="bottom"/>
            <w:shd w:val="clear" w:color="auto" w:fill="CCEEFF"/>
          </w:tcPr>
          <w:p>
            <w:pPr>
              <w:spacing w:after="0"/>
              <w:rPr>
                <w:sz w:val="21"/>
                <w:szCs w:val="21"/>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(108,144)</w:t>
            </w: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62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r>
      <w:tr>
        <w:trPr>
          <w:trHeight w:val="237"/>
        </w:trPr>
        <w:tc>
          <w:tcPr>
            <w:tcW w:w="5980" w:type="dxa"/>
            <w:vAlign w:val="bottom"/>
            <w:gridSpan w:val="3"/>
          </w:tcPr>
          <w:p>
            <w:pPr>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21,364</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2,378</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23,742</w:t>
            </w:r>
          </w:p>
        </w:tc>
      </w:tr>
      <w:tr>
        <w:trPr>
          <w:trHeight w:val="237"/>
        </w:trPr>
        <w:tc>
          <w:tcPr>
            <w:tcW w:w="20" w:type="dxa"/>
            <w:vAlign w:val="bottom"/>
          </w:tcPr>
          <w:p>
            <w:pPr>
              <w:spacing w:after="0"/>
              <w:rPr>
                <w:sz w:val="20"/>
                <w:szCs w:val="20"/>
                <w:color w:val="auto"/>
              </w:rPr>
            </w:pPr>
          </w:p>
        </w:tc>
        <w:tc>
          <w:tcPr>
            <w:tcW w:w="59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62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r>
      <w:tr>
        <w:trPr>
          <w:trHeight w:val="223"/>
        </w:trPr>
        <w:tc>
          <w:tcPr>
            <w:tcW w:w="598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21,257</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2,378</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23,635</w:t>
            </w:r>
          </w:p>
        </w:tc>
      </w:tr>
      <w:tr>
        <w:trPr>
          <w:trHeight w:val="28"/>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r>
      <w:tr>
        <w:trPr>
          <w:trHeight w:val="277"/>
        </w:trPr>
        <w:tc>
          <w:tcPr>
            <w:tcW w:w="20" w:type="dxa"/>
            <w:vAlign w:val="bottom"/>
          </w:tcPr>
          <w:p>
            <w:pPr>
              <w:spacing w:after="0"/>
              <w:rPr>
                <w:sz w:val="24"/>
                <w:szCs w:val="24"/>
                <w:color w:val="auto"/>
              </w:rPr>
            </w:pPr>
          </w:p>
        </w:tc>
        <w:tc>
          <w:tcPr>
            <w:tcW w:w="596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Average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2,541,005</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7,111</w:t>
            </w: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2,548,116</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17.  FAIR VALUE DISCLOSURES</w:t>
      </w:r>
    </w:p>
    <w:p>
      <w:pPr>
        <w:spacing w:after="0" w:line="117"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Fair value is the price that would be received to sell an asset or paid to transfer a liability in an orderly transaction between market participants. A fair value measurement assumes that the transaction to sell the asset or transfer the liability occurs in the principal market for the asset or liability or, in the absence of a principal market, the most advantageous market for the asset or liability. The price in the principal (or most advantageous) market used to measure the fair value of the asset or liability is not adjusted for transaction costs. An orderly transaction is a transaction that assumes exposure to the market for a period prior to the measurement date to allow for marketing activities that are usual and customary for transactions involving such assets and liabilities; it is not a forced transaction. Market participants are buyers and sellers in the principal market that are (i) independent, (ii) knowledgeable, (iii) able to transact and (iv) willing to transact.</w:t>
      </w:r>
    </w:p>
    <w:p>
      <w:pPr>
        <w:spacing w:after="0" w:line="7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Valuation techniques that are consistent with the market approach, the income approach and/or the cost approach are required by GAAP. The market approach uses prices and other relevant information generated by market transactions involving identical or comparable assets and liabilities. The income approach uses valuation techniques to convert future amounts, such as cash flows or earnings, to a single present amount on a discounted basis. The cost approach is based on the amount that currently would be required to replace the service capacity of an asset. Valuation techniques should be consistently applied. Inputs to valuation techniques refer to the assumptions that market participants would use in pricing the asset or liability. Inputs may be observable, meaning those that reflect the assumptions market participants would use in pricing the asset or liability developed based on market data obtained from independent sources, or unobservable, meaning those that reflect the reporting entity’s own assumptions about the assumptions market participants would use in pricing the asset or liability developed based on the best information available in the circumstances. The fair value hierarchy for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84" w:name="page185"/>
    <w:bookmarkEnd w:id="18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20"/>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0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ind w:left="2700"/>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17.  FAIR VALUE DISCLOSURES (Continued)</w:t>
      </w:r>
    </w:p>
    <w:p>
      <w:pPr>
        <w:spacing w:after="0" w:line="6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valuation inputs gives the highest priority to quoted prices in active markets for identical assets or liabilities and the lowest priority to unobservable inputs. The fair value hierarchy is as follows:</w:t>
      </w:r>
    </w:p>
    <w:p>
      <w:pPr>
        <w:spacing w:after="0" w:line="62" w:lineRule="exact"/>
        <w:rPr>
          <w:sz w:val="20"/>
          <w:szCs w:val="20"/>
          <w:color w:val="auto"/>
        </w:rPr>
      </w:pPr>
    </w:p>
    <w:p>
      <w:pPr>
        <w:ind w:left="700" w:right="240" w:hanging="356"/>
        <w:spacing w:after="0" w:line="277" w:lineRule="auto"/>
        <w:tabs>
          <w:tab w:leader="none" w:pos="70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 xml:space="preserve">Level 1 Inputs </w:t>
      </w:r>
      <w:r>
        <w:rPr>
          <w:rFonts w:ascii="Arial" w:cs="Arial" w:eastAsia="Arial" w:hAnsi="Arial"/>
          <w:sz w:val="18"/>
          <w:szCs w:val="18"/>
          <w:color w:val="auto"/>
        </w:rPr>
        <w:t>– Unadjusted quoted prices in active markets for identical assets or liabilities that the reporting entity has</w:t>
      </w:r>
      <w:r>
        <w:rPr>
          <w:rFonts w:ascii="Arial" w:cs="Arial" w:eastAsia="Arial" w:hAnsi="Arial"/>
          <w:sz w:val="18"/>
          <w:szCs w:val="18"/>
          <w:i w:val="1"/>
          <w:iCs w:val="1"/>
          <w:color w:val="auto"/>
        </w:rPr>
        <w:t xml:space="preserve"> </w:t>
      </w:r>
      <w:r>
        <w:rPr>
          <w:rFonts w:ascii="Arial" w:cs="Arial" w:eastAsia="Arial" w:hAnsi="Arial"/>
          <w:sz w:val="18"/>
          <w:szCs w:val="18"/>
          <w:color w:val="auto"/>
        </w:rPr>
        <w:t>the ability to access at the measurement date.</w:t>
      </w:r>
    </w:p>
    <w:p>
      <w:pPr>
        <w:spacing w:after="0" w:line="62" w:lineRule="exact"/>
        <w:rPr>
          <w:rFonts w:ascii="Arial" w:cs="Arial" w:eastAsia="Arial" w:hAnsi="Arial"/>
          <w:sz w:val="18"/>
          <w:szCs w:val="18"/>
          <w:color w:val="auto"/>
        </w:rPr>
      </w:pPr>
    </w:p>
    <w:p>
      <w:pPr>
        <w:ind w:left="700" w:right="40" w:hanging="356"/>
        <w:spacing w:after="0" w:line="276" w:lineRule="auto"/>
        <w:tabs>
          <w:tab w:leader="none" w:pos="700" w:val="left"/>
        </w:tabs>
        <w:numPr>
          <w:ilvl w:val="0"/>
          <w:numId w:val="96"/>
        </w:numPr>
        <w:rPr>
          <w:rFonts w:ascii="Arial" w:cs="Arial" w:eastAsia="Arial" w:hAnsi="Arial"/>
          <w:sz w:val="17"/>
          <w:szCs w:val="17"/>
          <w:color w:val="auto"/>
        </w:rPr>
      </w:pPr>
      <w:r>
        <w:rPr>
          <w:rFonts w:ascii="Arial" w:cs="Arial" w:eastAsia="Arial" w:hAnsi="Arial"/>
          <w:sz w:val="17"/>
          <w:szCs w:val="17"/>
          <w:i w:val="1"/>
          <w:iCs w:val="1"/>
          <w:color w:val="auto"/>
        </w:rPr>
        <w:t xml:space="preserve">Level 2 Inputs </w:t>
      </w:r>
      <w:r>
        <w:rPr>
          <w:rFonts w:ascii="Arial" w:cs="Arial" w:eastAsia="Arial" w:hAnsi="Arial"/>
          <w:sz w:val="17"/>
          <w:szCs w:val="17"/>
          <w:color w:val="auto"/>
        </w:rPr>
        <w:t>– Inputs other than quoted prices included in Level 1 that are observable for the asset or liability, either</w:t>
      </w:r>
      <w:r>
        <w:rPr>
          <w:rFonts w:ascii="Arial" w:cs="Arial" w:eastAsia="Arial" w:hAnsi="Arial"/>
          <w:sz w:val="17"/>
          <w:szCs w:val="17"/>
          <w:i w:val="1"/>
          <w:iCs w:val="1"/>
          <w:color w:val="auto"/>
        </w:rPr>
        <w:t xml:space="preserve"> </w:t>
      </w:r>
      <w:r>
        <w:rPr>
          <w:rFonts w:ascii="Arial" w:cs="Arial" w:eastAsia="Arial" w:hAnsi="Arial"/>
          <w:sz w:val="17"/>
          <w:szCs w:val="17"/>
          <w:color w:val="auto"/>
        </w:rPr>
        <w:t>directly or indirectly. These might include quoted prices for similar assets or liabilities in active markets, quoted prices for identical or similar assets or liabilities in markets that are not active, inputs other than quoted prices that are observable for the asset or liability (such as interest rates, volatilities, prepayment speeds, credit risks, etc.) or inputs that are derived principally from or corroborated by market data by correlation or other means.</w:t>
      </w:r>
    </w:p>
    <w:p>
      <w:pPr>
        <w:spacing w:after="0" w:line="64" w:lineRule="exact"/>
        <w:rPr>
          <w:rFonts w:ascii="Arial" w:cs="Arial" w:eastAsia="Arial" w:hAnsi="Arial"/>
          <w:sz w:val="17"/>
          <w:szCs w:val="17"/>
          <w:color w:val="auto"/>
        </w:rPr>
      </w:pPr>
    </w:p>
    <w:p>
      <w:pPr>
        <w:ind w:left="700" w:right="420" w:hanging="356"/>
        <w:spacing w:after="0" w:line="308" w:lineRule="auto"/>
        <w:tabs>
          <w:tab w:leader="none" w:pos="700" w:val="left"/>
        </w:tabs>
        <w:numPr>
          <w:ilvl w:val="0"/>
          <w:numId w:val="96"/>
        </w:numPr>
        <w:rPr>
          <w:rFonts w:ascii="Arial" w:cs="Arial" w:eastAsia="Arial" w:hAnsi="Arial"/>
          <w:sz w:val="17"/>
          <w:szCs w:val="17"/>
          <w:color w:val="auto"/>
        </w:rPr>
      </w:pPr>
      <w:r>
        <w:rPr>
          <w:rFonts w:ascii="Arial" w:cs="Arial" w:eastAsia="Arial" w:hAnsi="Arial"/>
          <w:sz w:val="17"/>
          <w:szCs w:val="17"/>
          <w:i w:val="1"/>
          <w:iCs w:val="1"/>
          <w:color w:val="auto"/>
        </w:rPr>
        <w:t xml:space="preserve">Level 3 Inputs </w:t>
      </w:r>
      <w:r>
        <w:rPr>
          <w:rFonts w:ascii="Arial" w:cs="Arial" w:eastAsia="Arial" w:hAnsi="Arial"/>
          <w:sz w:val="17"/>
          <w:szCs w:val="17"/>
          <w:color w:val="auto"/>
        </w:rPr>
        <w:t>– Unobservable inputs for determining the fair values of assets or liabilities that reflect an entity’s own</w:t>
      </w:r>
      <w:r>
        <w:rPr>
          <w:rFonts w:ascii="Arial" w:cs="Arial" w:eastAsia="Arial" w:hAnsi="Arial"/>
          <w:sz w:val="17"/>
          <w:szCs w:val="17"/>
          <w:i w:val="1"/>
          <w:iCs w:val="1"/>
          <w:color w:val="auto"/>
        </w:rPr>
        <w:t xml:space="preserve"> </w:t>
      </w:r>
      <w:r>
        <w:rPr>
          <w:rFonts w:ascii="Arial" w:cs="Arial" w:eastAsia="Arial" w:hAnsi="Arial"/>
          <w:sz w:val="17"/>
          <w:szCs w:val="17"/>
          <w:color w:val="auto"/>
        </w:rPr>
        <w:t>assumptions about the assumptions that market participants would use in pricing the assets or liabilities.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fair value measurements as of December 31:</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6"/>
              </w:rPr>
              <w:t>Level 1</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6"/>
              </w:rPr>
              <w:t>Level 2</w:t>
            </w:r>
          </w:p>
        </w:tc>
        <w:tc>
          <w:tcPr>
            <w:tcW w:w="120" w:type="dxa"/>
            <w:vAlign w:val="bottom"/>
          </w:tcPr>
          <w:p>
            <w:pPr>
              <w:spacing w:after="0"/>
              <w:rPr>
                <w:sz w:val="16"/>
                <w:szCs w:val="16"/>
                <w:color w:val="auto"/>
              </w:rPr>
            </w:pPr>
          </w:p>
        </w:tc>
        <w:tc>
          <w:tcPr>
            <w:tcW w:w="780" w:type="dxa"/>
            <w:vAlign w:val="bottom"/>
            <w:gridSpan w:val="4"/>
          </w:tcPr>
          <w:p>
            <w:pPr>
              <w:ind w:left="80"/>
              <w:spacing w:after="0"/>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79"/>
              </w:rPr>
              <w:t>2018</w:t>
            </w:r>
          </w:p>
        </w:tc>
        <w:tc>
          <w:tcPr>
            <w:tcW w:w="416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w w:val="91"/>
              </w:rPr>
              <w:t>Assets (liabilities) measured at fair value on a recurring basis:</w:t>
            </w: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available for sale:</w:t>
            </w:r>
          </w:p>
        </w:tc>
        <w:tc>
          <w:tcPr>
            <w:tcW w:w="14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00" w:type="dxa"/>
            <w:vAlign w:val="bottom"/>
            <w:gridSpan w:val="2"/>
          </w:tcPr>
          <w:p>
            <w:pPr>
              <w:ind w:left="160"/>
              <w:spacing w:after="0"/>
              <w:rPr>
                <w:sz w:val="20"/>
                <w:szCs w:val="20"/>
                <w:color w:val="auto"/>
              </w:rPr>
            </w:pPr>
            <w:r>
              <w:rPr>
                <w:rFonts w:ascii="Arial" w:cs="Arial" w:eastAsia="Arial" w:hAnsi="Arial"/>
                <w:sz w:val="18"/>
                <w:szCs w:val="18"/>
                <w:color w:val="auto"/>
              </w:rPr>
              <w:t>U.S. government and agencies</w:t>
            </w:r>
          </w:p>
        </w:tc>
        <w:tc>
          <w:tcPr>
            <w:tcW w:w="2240" w:type="dxa"/>
            <w:vAlign w:val="bottom"/>
            <w:gridSpan w:val="5"/>
          </w:tcPr>
          <w:p>
            <w:pPr>
              <w:jc w:val="right"/>
              <w:ind w:right="20"/>
              <w:spacing w:after="0"/>
              <w:rPr>
                <w:sz w:val="20"/>
                <w:szCs w:val="20"/>
                <w:color w:val="auto"/>
              </w:rPr>
            </w:pPr>
            <w:r>
              <w:rPr>
                <w:rFonts w:ascii="Arial" w:cs="Arial" w:eastAsia="Arial" w:hAnsi="Arial"/>
                <w:sz w:val="18"/>
                <w:szCs w:val="18"/>
                <w:color w:val="auto"/>
              </w:rPr>
              <w:t>$ 74,419</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10,288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6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84,707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State and municipal</w:t>
            </w: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32,310</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32,310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gridSpan w:val="2"/>
          </w:tcPr>
          <w:p>
            <w:pPr>
              <w:ind w:left="160"/>
              <w:spacing w:after="0"/>
              <w:rPr>
                <w:sz w:val="20"/>
                <w:szCs w:val="20"/>
                <w:color w:val="auto"/>
              </w:rPr>
            </w:pPr>
            <w:r>
              <w:rPr>
                <w:rFonts w:ascii="Arial" w:cs="Arial" w:eastAsia="Arial" w:hAnsi="Arial"/>
                <w:sz w:val="18"/>
                <w:szCs w:val="18"/>
                <w:color w:val="auto"/>
              </w:rPr>
              <w:t>Mortgage-backed securities</w:t>
            </w: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182,256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182,256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Asset-backed and other amortizing securities</w:t>
            </w:r>
          </w:p>
        </w:tc>
        <w:tc>
          <w:tcPr>
            <w:tcW w:w="14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38,923</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38,923</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Loans held for sale (mandatory)</w:t>
            </w: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31,874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31,874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servicing rights</w:t>
            </w:r>
          </w:p>
        </w:tc>
        <w:tc>
          <w:tcPr>
            <w:tcW w:w="14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1,270</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Asset derivatives</w:t>
            </w: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1,232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Liability derivatives</w:t>
            </w:r>
          </w:p>
        </w:tc>
        <w:tc>
          <w:tcPr>
            <w:tcW w:w="14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4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 measured at fair value on a non-recurring basis:</w:t>
            </w: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Impaired loans</w:t>
            </w: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9,120</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real estate owned</w:t>
            </w:r>
          </w:p>
        </w:tc>
        <w:tc>
          <w:tcPr>
            <w:tcW w:w="14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w:t>
            </w: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Loans held for sale (best efforts)</w:t>
            </w: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6,508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2"/>
              </w:rPr>
              <w:t>Level 1</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22"/>
                <w:szCs w:val="22"/>
                <w:color w:val="auto"/>
              </w:rPr>
            </w:pPr>
          </w:p>
        </w:tc>
        <w:tc>
          <w:tcPr>
            <w:tcW w:w="780" w:type="dxa"/>
            <w:vAlign w:val="bottom"/>
            <w:gridSpan w:val="4"/>
          </w:tcPr>
          <w:p>
            <w:pPr>
              <w:ind w:left="40"/>
              <w:spacing w:after="0"/>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79"/>
              </w:rPr>
              <w:t>2017</w:t>
            </w:r>
          </w:p>
        </w:tc>
        <w:tc>
          <w:tcPr>
            <w:tcW w:w="416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w w:val="91"/>
              </w:rPr>
              <w:t>Assets (liabilities) measured at fair value on a recurring basis:</w:t>
            </w: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available for sale:</w:t>
            </w:r>
          </w:p>
        </w:tc>
        <w:tc>
          <w:tcPr>
            <w:tcW w:w="14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00" w:type="dxa"/>
            <w:vAlign w:val="bottom"/>
            <w:gridSpan w:val="2"/>
          </w:tcPr>
          <w:p>
            <w:pPr>
              <w:ind w:left="160"/>
              <w:spacing w:after="0"/>
              <w:rPr>
                <w:sz w:val="20"/>
                <w:szCs w:val="20"/>
                <w:color w:val="auto"/>
              </w:rPr>
            </w:pPr>
            <w:r>
              <w:rPr>
                <w:rFonts w:ascii="Arial" w:cs="Arial" w:eastAsia="Arial" w:hAnsi="Arial"/>
                <w:sz w:val="18"/>
                <w:szCs w:val="18"/>
                <w:color w:val="auto"/>
              </w:rPr>
              <w:t>U.S. government and agencies</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10,392</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0"/>
                <w:szCs w:val="20"/>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10,392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State and municipal</w:t>
            </w: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74,984</w:t>
            </w: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74,984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gridSpan w:val="2"/>
          </w:tcPr>
          <w:p>
            <w:pPr>
              <w:ind w:left="160"/>
              <w:spacing w:after="0"/>
              <w:rPr>
                <w:sz w:val="20"/>
                <w:szCs w:val="20"/>
                <w:color w:val="auto"/>
              </w:rPr>
            </w:pPr>
            <w:r>
              <w:rPr>
                <w:rFonts w:ascii="Arial" w:cs="Arial" w:eastAsia="Arial" w:hAnsi="Arial"/>
                <w:sz w:val="18"/>
                <w:szCs w:val="18"/>
                <w:color w:val="auto"/>
              </w:rPr>
              <w:t>Mortgage-backed securities</w:t>
            </w: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65,783</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65,783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Asset-backed and other amortizing securities</w:t>
            </w:r>
          </w:p>
        </w:tc>
        <w:tc>
          <w:tcPr>
            <w:tcW w:w="14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43,020</w:t>
            </w:r>
          </w:p>
        </w:tc>
        <w:tc>
          <w:tcPr>
            <w:tcW w:w="1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43,020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Loans held for sale (mandatory)</w:t>
            </w: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25,470</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25,470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derivatives</w:t>
            </w:r>
          </w:p>
        </w:tc>
        <w:tc>
          <w:tcPr>
            <w:tcW w:w="14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Liability derivatives</w:t>
            </w: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49"/>
        </w:trPr>
        <w:tc>
          <w:tcPr>
            <w:tcW w:w="20" w:type="dxa"/>
            <w:vAlign w:val="bottom"/>
            <w:vMerge w:val="restart"/>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41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Assets measured at fair value on a non-recurring basis:</w:t>
            </w: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Impaired loans</w:t>
            </w:r>
          </w:p>
        </w:tc>
        <w:tc>
          <w:tcPr>
            <w:tcW w:w="14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20,846</w:t>
            </w:r>
          </w:p>
        </w:tc>
        <w:tc>
          <w:tcPr>
            <w:tcW w:w="1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20,846</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Other real estate owned</w:t>
            </w: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2,830</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held for sale (best efforts)</w:t>
            </w:r>
          </w:p>
        </w:tc>
        <w:tc>
          <w:tcPr>
            <w:tcW w:w="14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3,844</w:t>
            </w:r>
          </w:p>
        </w:tc>
        <w:tc>
          <w:tcPr>
            <w:tcW w:w="1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3,844</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640" w:type="dxa"/>
            <w:vAlign w:val="bottom"/>
            <w:gridSpan w:val="3"/>
          </w:tcPr>
          <w:p>
            <w:pPr>
              <w:jc w:val="right"/>
              <w:ind w:right="1148"/>
              <w:spacing w:after="0"/>
              <w:rPr>
                <w:sz w:val="20"/>
                <w:szCs w:val="20"/>
                <w:color w:val="auto"/>
              </w:rPr>
            </w:pPr>
            <w:r>
              <w:rPr>
                <w:rFonts w:ascii="Arial" w:cs="Arial" w:eastAsia="Arial" w:hAnsi="Arial"/>
                <w:sz w:val="18"/>
                <w:szCs w:val="18"/>
                <w:color w:val="auto"/>
              </w:rPr>
              <w:t>F-34</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4160" w:type="dxa"/>
            <w:vAlign w:val="bottom"/>
            <w:shd w:val="clear" w:color="auto" w:fill="000000"/>
          </w:tcPr>
          <w:p>
            <w:pPr>
              <w:spacing w:after="0"/>
              <w:rPr>
                <w:sz w:val="5"/>
                <w:szCs w:val="5"/>
                <w:color w:val="auto"/>
              </w:rPr>
            </w:pPr>
          </w:p>
        </w:tc>
        <w:tc>
          <w:tcPr>
            <w:tcW w:w="14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5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9" w:right="1159" w:bottom="1440" w:gutter="0" w:footer="0" w:header="0"/>
        </w:sectPr>
      </w:pPr>
    </w:p>
    <w:bookmarkStart w:id="185" w:name="page186"/>
    <w:bookmarkEnd w:id="185"/>
    <w:p>
      <w:pPr>
        <w:ind w:left="7"/>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27"/>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07"/>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ind w:left="2707"/>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74"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auto"/>
        </w:rPr>
        <w:t>17.  FAIR VALUE DISCLOSURES (Continued)</w:t>
      </w:r>
    </w:p>
    <w:p>
      <w:pPr>
        <w:spacing w:after="0" w:line="63" w:lineRule="exact"/>
        <w:rPr>
          <w:sz w:val="20"/>
          <w:szCs w:val="20"/>
          <w:color w:val="auto"/>
        </w:rPr>
      </w:pPr>
    </w:p>
    <w:p>
      <w:pPr>
        <w:ind w:left="7" w:right="920"/>
        <w:spacing w:after="0" w:line="277" w:lineRule="auto"/>
        <w:rPr>
          <w:sz w:val="20"/>
          <w:szCs w:val="20"/>
          <w:color w:val="auto"/>
        </w:rPr>
      </w:pPr>
      <w:r>
        <w:rPr>
          <w:rFonts w:ascii="Arial" w:cs="Arial" w:eastAsia="Arial" w:hAnsi="Arial"/>
          <w:sz w:val="18"/>
          <w:szCs w:val="18"/>
          <w:u w:val="single" w:color="auto"/>
          <w:color w:val="auto"/>
        </w:rPr>
        <w:t>Securities</w:t>
      </w:r>
      <w:r>
        <w:rPr>
          <w:rFonts w:ascii="Arial" w:cs="Arial" w:eastAsia="Arial" w:hAnsi="Arial"/>
          <w:sz w:val="18"/>
          <w:szCs w:val="18"/>
          <w:color w:val="auto"/>
        </w:rPr>
        <w:t xml:space="preserve"> – Fair value is calculated based on market prices of similar securities using matrix pricing. Matrix pricing is a mathematical technique commonly used to price debt securities that are not actively traded.</w:t>
      </w:r>
    </w:p>
    <w:p>
      <w:pPr>
        <w:spacing w:after="0" w:line="62" w:lineRule="exact"/>
        <w:rPr>
          <w:sz w:val="20"/>
          <w:szCs w:val="20"/>
          <w:color w:val="auto"/>
        </w:rPr>
      </w:pPr>
    </w:p>
    <w:p>
      <w:pPr>
        <w:ind w:left="7" w:right="440"/>
        <w:spacing w:after="0" w:line="277" w:lineRule="auto"/>
        <w:rPr>
          <w:sz w:val="20"/>
          <w:szCs w:val="20"/>
          <w:color w:val="auto"/>
        </w:rPr>
      </w:pPr>
      <w:r>
        <w:rPr>
          <w:rFonts w:ascii="Arial" w:cs="Arial" w:eastAsia="Arial" w:hAnsi="Arial"/>
          <w:sz w:val="18"/>
          <w:szCs w:val="18"/>
          <w:u w:val="single" w:color="auto"/>
          <w:color w:val="auto"/>
        </w:rPr>
        <w:t>Loans held for sale (mandatory)</w:t>
      </w:r>
      <w:r>
        <w:rPr>
          <w:rFonts w:ascii="Arial" w:cs="Arial" w:eastAsia="Arial" w:hAnsi="Arial"/>
          <w:sz w:val="18"/>
          <w:szCs w:val="18"/>
          <w:color w:val="auto"/>
        </w:rPr>
        <w:t xml:space="preserve"> – Loans held for sale originated for mandatory delivery are reported at fair value. Fair value is determined using quoted prices for similar assets, adjusted for specific attributes of that loan.</w:t>
      </w:r>
    </w:p>
    <w:p>
      <w:pPr>
        <w:spacing w:after="0" w:line="62" w:lineRule="exact"/>
        <w:rPr>
          <w:sz w:val="20"/>
          <w:szCs w:val="20"/>
          <w:color w:val="auto"/>
        </w:rPr>
      </w:pPr>
    </w:p>
    <w:p>
      <w:pPr>
        <w:ind w:left="7" w:right="40"/>
        <w:spacing w:after="0" w:line="277" w:lineRule="auto"/>
        <w:rPr>
          <w:sz w:val="20"/>
          <w:szCs w:val="20"/>
          <w:color w:val="auto"/>
        </w:rPr>
      </w:pPr>
      <w:r>
        <w:rPr>
          <w:rFonts w:ascii="Arial" w:cs="Arial" w:eastAsia="Arial" w:hAnsi="Arial"/>
          <w:sz w:val="18"/>
          <w:szCs w:val="18"/>
          <w:u w:val="single" w:color="auto"/>
          <w:color w:val="auto"/>
        </w:rPr>
        <w:t>Mortgage servicing rights</w:t>
      </w:r>
      <w:r>
        <w:rPr>
          <w:rFonts w:ascii="Arial" w:cs="Arial" w:eastAsia="Arial" w:hAnsi="Arial"/>
          <w:sz w:val="18"/>
          <w:szCs w:val="18"/>
          <w:color w:val="auto"/>
        </w:rPr>
        <w:t xml:space="preserve"> – Mortgage servicing rights are reported at fair value. Fair value is based on market prices for comparable mortgage servicing contracts.</w:t>
      </w:r>
    </w:p>
    <w:p>
      <w:pPr>
        <w:spacing w:after="0" w:line="62" w:lineRule="exact"/>
        <w:rPr>
          <w:sz w:val="20"/>
          <w:szCs w:val="20"/>
          <w:color w:val="auto"/>
        </w:rPr>
      </w:pPr>
    </w:p>
    <w:p>
      <w:pPr>
        <w:ind w:left="7"/>
        <w:spacing w:after="0"/>
        <w:rPr>
          <w:sz w:val="20"/>
          <w:szCs w:val="20"/>
          <w:color w:val="auto"/>
        </w:rPr>
      </w:pPr>
      <w:r>
        <w:rPr>
          <w:rFonts w:ascii="Arial" w:cs="Arial" w:eastAsia="Arial" w:hAnsi="Arial"/>
          <w:sz w:val="17"/>
          <w:szCs w:val="17"/>
          <w:u w:val="single" w:color="auto"/>
          <w:color w:val="auto"/>
        </w:rPr>
        <w:t>Derivatives</w:t>
      </w:r>
      <w:r>
        <w:rPr>
          <w:rFonts w:ascii="Arial" w:cs="Arial" w:eastAsia="Arial" w:hAnsi="Arial"/>
          <w:sz w:val="17"/>
          <w:szCs w:val="17"/>
          <w:color w:val="auto"/>
        </w:rPr>
        <w:t xml:space="preserve"> – Fair value of derivatives is based on valuation models using observable market data as of the measurement date.</w:t>
      </w:r>
    </w:p>
    <w:p>
      <w:pPr>
        <w:spacing w:after="0" w:line="129" w:lineRule="exact"/>
        <w:rPr>
          <w:sz w:val="20"/>
          <w:szCs w:val="20"/>
          <w:color w:val="auto"/>
        </w:rPr>
      </w:pPr>
    </w:p>
    <w:p>
      <w:pPr>
        <w:ind w:left="7" w:right="20"/>
        <w:spacing w:after="0" w:line="264" w:lineRule="auto"/>
        <w:rPr>
          <w:sz w:val="20"/>
          <w:szCs w:val="20"/>
          <w:color w:val="auto"/>
        </w:rPr>
      </w:pPr>
      <w:r>
        <w:rPr>
          <w:rFonts w:ascii="Arial" w:cs="Arial" w:eastAsia="Arial" w:hAnsi="Arial"/>
          <w:sz w:val="18"/>
          <w:szCs w:val="18"/>
          <w:u w:val="single" w:color="auto"/>
          <w:color w:val="auto"/>
        </w:rPr>
        <w:t>Impaired loans</w:t>
      </w:r>
      <w:r>
        <w:rPr>
          <w:rFonts w:ascii="Arial" w:cs="Arial" w:eastAsia="Arial" w:hAnsi="Arial"/>
          <w:sz w:val="18"/>
          <w:szCs w:val="18"/>
          <w:color w:val="auto"/>
        </w:rPr>
        <w:t xml:space="preserve"> – Impaired loans are reported at the fair value of the underlying collateral, less estimated disposal costs, if repayment is expected solely from the sale of the collateral. Collateral values are estimated using Level 2 inputs based on observable market data or Level 3 inputs based on customized discounting criteria.</w:t>
      </w:r>
    </w:p>
    <w:p>
      <w:pPr>
        <w:spacing w:after="0" w:line="73" w:lineRule="exact"/>
        <w:rPr>
          <w:sz w:val="20"/>
          <w:szCs w:val="20"/>
          <w:color w:val="auto"/>
        </w:rPr>
      </w:pPr>
    </w:p>
    <w:p>
      <w:pPr>
        <w:jc w:val="both"/>
        <w:ind w:left="7" w:right="600"/>
        <w:spacing w:after="0" w:line="264" w:lineRule="auto"/>
        <w:rPr>
          <w:sz w:val="20"/>
          <w:szCs w:val="20"/>
          <w:color w:val="auto"/>
        </w:rPr>
      </w:pPr>
      <w:r>
        <w:rPr>
          <w:rFonts w:ascii="Arial" w:cs="Arial" w:eastAsia="Arial" w:hAnsi="Arial"/>
          <w:sz w:val="18"/>
          <w:szCs w:val="18"/>
          <w:u w:val="single" w:color="auto"/>
          <w:color w:val="auto"/>
        </w:rPr>
        <w:t>Foreclosed assets</w:t>
      </w:r>
      <w:r>
        <w:rPr>
          <w:rFonts w:ascii="Arial" w:cs="Arial" w:eastAsia="Arial" w:hAnsi="Arial"/>
          <w:sz w:val="18"/>
          <w:szCs w:val="18"/>
          <w:color w:val="auto"/>
        </w:rPr>
        <w:t xml:space="preserve"> – Foreclosed assets are transferred from loans at the lower of cost or fair value, less estimated costs to sell. Collateral values are estimated using Level 2 inputs based on observable market data or Level 3 inputs based on customized discounting criteria.</w:t>
      </w:r>
    </w:p>
    <w:p>
      <w:pPr>
        <w:spacing w:after="0" w:line="73" w:lineRule="exact"/>
        <w:rPr>
          <w:sz w:val="20"/>
          <w:szCs w:val="20"/>
          <w:color w:val="auto"/>
        </w:rPr>
      </w:pPr>
    </w:p>
    <w:p>
      <w:pPr>
        <w:ind w:left="7" w:right="60"/>
        <w:spacing w:after="0" w:line="302" w:lineRule="auto"/>
        <w:rPr>
          <w:sz w:val="20"/>
          <w:szCs w:val="20"/>
          <w:color w:val="auto"/>
        </w:rPr>
      </w:pPr>
      <w:r>
        <w:rPr>
          <w:rFonts w:ascii="Arial" w:cs="Arial" w:eastAsia="Arial" w:hAnsi="Arial"/>
          <w:sz w:val="16"/>
          <w:szCs w:val="16"/>
          <w:u w:val="single" w:color="auto"/>
          <w:color w:val="auto"/>
        </w:rPr>
        <w:t>Loans held for sale (best efforts)</w:t>
      </w:r>
      <w:r>
        <w:rPr>
          <w:rFonts w:ascii="Arial" w:cs="Arial" w:eastAsia="Arial" w:hAnsi="Arial"/>
          <w:sz w:val="16"/>
          <w:szCs w:val="16"/>
          <w:color w:val="auto"/>
        </w:rPr>
        <w:t xml:space="preserve"> – Loans held for sale originated for best efforts delivery are reported at fair value if, on an aggregate basis, the fair value for the loans is less than cost. In determining whether the fair value of loans held for sale is less than cost when quoted market prices are not available, the Company may consider outstanding investor commitments or discounted cash flow analyses with market assumptions. Such fair values are classified within either Level 2 or Level 3 of the fair value hierarchy.</w:t>
      </w:r>
    </w:p>
    <w:p>
      <w:pPr>
        <w:spacing w:after="0" w:line="46" w:lineRule="exact"/>
        <w:rPr>
          <w:sz w:val="20"/>
          <w:szCs w:val="20"/>
          <w:color w:val="auto"/>
        </w:rPr>
      </w:pPr>
    </w:p>
    <w:p>
      <w:pPr>
        <w:ind w:left="7"/>
        <w:spacing w:after="0"/>
        <w:rPr>
          <w:sz w:val="20"/>
          <w:szCs w:val="20"/>
          <w:color w:val="auto"/>
        </w:rPr>
      </w:pPr>
      <w:r>
        <w:rPr>
          <w:rFonts w:ascii="Arial" w:cs="Arial" w:eastAsia="Arial" w:hAnsi="Arial"/>
          <w:sz w:val="17"/>
          <w:szCs w:val="17"/>
          <w:color w:val="auto"/>
        </w:rPr>
        <w:t>The following table presents quantitative information about non-recurring Level 3 fair value measurements at December 31:</w:t>
      </w:r>
    </w:p>
    <w:p>
      <w:pPr>
        <w:spacing w:after="0" w:line="93"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3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80" w:type="dxa"/>
            <w:vAlign w:val="bottom"/>
          </w:tcPr>
          <w:p>
            <w:pPr>
              <w:jc w:val="right"/>
              <w:ind w:right="82"/>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Range of</w:t>
            </w:r>
          </w:p>
        </w:tc>
      </w:tr>
      <w:tr>
        <w:trPr>
          <w:trHeight w:val="185"/>
        </w:trPr>
        <w:tc>
          <w:tcPr>
            <w:tcW w:w="3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580" w:type="dxa"/>
            <w:vAlign w:val="bottom"/>
          </w:tcPr>
          <w:p>
            <w:pPr>
              <w:jc w:val="right"/>
              <w:ind w:right="42"/>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6"/>
                <w:szCs w:val="16"/>
                <w:color w:val="auto"/>
              </w:rPr>
            </w:pPr>
          </w:p>
        </w:tc>
        <w:tc>
          <w:tcPr>
            <w:tcW w:w="2780" w:type="dxa"/>
            <w:vAlign w:val="bottom"/>
          </w:tcPr>
          <w:p>
            <w:pPr>
              <w:ind w:left="740"/>
              <w:spacing w:after="0"/>
              <w:rPr>
                <w:sz w:val="20"/>
                <w:szCs w:val="20"/>
                <w:color w:val="auto"/>
              </w:rPr>
            </w:pPr>
            <w:r>
              <w:rPr>
                <w:rFonts w:ascii="Arial" w:cs="Arial" w:eastAsia="Arial" w:hAnsi="Arial"/>
                <w:sz w:val="14"/>
                <w:szCs w:val="14"/>
                <w:b w:val="1"/>
                <w:bCs w:val="1"/>
                <w:color w:val="auto"/>
              </w:rPr>
              <w:t>Valuation Techniques</w:t>
            </w:r>
          </w:p>
        </w:tc>
        <w:tc>
          <w:tcPr>
            <w:tcW w:w="180" w:type="dxa"/>
            <w:vAlign w:val="bottom"/>
          </w:tcPr>
          <w:p>
            <w:pPr>
              <w:spacing w:after="0"/>
              <w:rPr>
                <w:sz w:val="16"/>
                <w:szCs w:val="16"/>
                <w:color w:val="auto"/>
              </w:rPr>
            </w:pPr>
          </w:p>
        </w:tc>
        <w:tc>
          <w:tcPr>
            <w:tcW w:w="2780" w:type="dxa"/>
            <w:vAlign w:val="bottom"/>
          </w:tcPr>
          <w:p>
            <w:pPr>
              <w:ind w:left="740"/>
              <w:spacing w:after="0"/>
              <w:rPr>
                <w:sz w:val="20"/>
                <w:szCs w:val="20"/>
                <w:color w:val="auto"/>
              </w:rPr>
            </w:pPr>
            <w:r>
              <w:rPr>
                <w:rFonts w:ascii="Arial" w:cs="Arial" w:eastAsia="Arial" w:hAnsi="Arial"/>
                <w:sz w:val="14"/>
                <w:szCs w:val="14"/>
                <w:b w:val="1"/>
                <w:bCs w:val="1"/>
                <w:color w:val="auto"/>
              </w:rPr>
              <w:t>Unobservable Inputs</w:t>
            </w:r>
          </w:p>
        </w:tc>
        <w:tc>
          <w:tcPr>
            <w:tcW w:w="180" w:type="dxa"/>
            <w:vAlign w:val="bottom"/>
          </w:tcPr>
          <w:p>
            <w:pPr>
              <w:spacing w:after="0"/>
              <w:rPr>
                <w:sz w:val="16"/>
                <w:szCs w:val="16"/>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Discounts</w:t>
            </w:r>
          </w:p>
        </w:tc>
      </w:tr>
      <w:tr>
        <w:trPr>
          <w:trHeight w:val="208"/>
        </w:trPr>
        <w:tc>
          <w:tcPr>
            <w:tcW w:w="320" w:type="dxa"/>
            <w:vAlign w:val="bottom"/>
            <w:tcBorders>
              <w:bottom w:val="single" w:sz="8" w:color="auto"/>
            </w:tcBorders>
            <w:shd w:val="clear" w:color="auto" w:fill="CCEEFF"/>
          </w:tcPr>
          <w:p>
            <w:pPr>
              <w:spacing w:after="0" w:line="169" w:lineRule="exact"/>
              <w:rPr>
                <w:sz w:val="20"/>
                <w:szCs w:val="20"/>
                <w:color w:val="auto"/>
              </w:rPr>
            </w:pPr>
            <w:r>
              <w:rPr>
                <w:rFonts w:ascii="Arial" w:cs="Arial" w:eastAsia="Arial" w:hAnsi="Arial"/>
                <w:sz w:val="16"/>
                <w:szCs w:val="16"/>
                <w:color w:val="auto"/>
                <w:w w:val="84"/>
              </w:rPr>
              <w:t>2018</w:t>
            </w:r>
          </w:p>
        </w:tc>
        <w:tc>
          <w:tcPr>
            <w:tcW w:w="17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780" w:type="dxa"/>
            <w:vAlign w:val="bottom"/>
            <w:tcBorders>
              <w:top w:val="single" w:sz="8" w:color="auto"/>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780" w:type="dxa"/>
            <w:vAlign w:val="bottom"/>
            <w:tcBorders>
              <w:top w:val="single" w:sz="8" w:color="auto"/>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20"/>
        </w:trPr>
        <w:tc>
          <w:tcPr>
            <w:tcW w:w="2060" w:type="dxa"/>
            <w:vAlign w:val="bottom"/>
            <w:tcBorders>
              <w:top w:val="single" w:sz="8" w:color="CCEEFF"/>
            </w:tcBorders>
            <w:gridSpan w:val="2"/>
          </w:tcPr>
          <w:p>
            <w:pPr>
              <w:spacing w:after="0"/>
              <w:rPr>
                <w:sz w:val="20"/>
                <w:szCs w:val="20"/>
                <w:color w:val="auto"/>
              </w:rPr>
            </w:pPr>
            <w:r>
              <w:rPr>
                <w:rFonts w:ascii="Arial" w:cs="Arial" w:eastAsia="Arial" w:hAnsi="Arial"/>
                <w:sz w:val="16"/>
                <w:szCs w:val="16"/>
                <w:color w:val="auto"/>
              </w:rPr>
              <w:t>Impaired loans</w:t>
            </w:r>
          </w:p>
        </w:tc>
        <w:tc>
          <w:tcPr>
            <w:tcW w:w="5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93"/>
              </w:rPr>
              <w:t>$  9,119</w:t>
            </w:r>
          </w:p>
        </w:tc>
        <w:tc>
          <w:tcPr>
            <w:tcW w:w="2940" w:type="dxa"/>
            <w:vAlign w:val="bottom"/>
            <w:tcBorders>
              <w:top w:val="single" w:sz="8" w:color="CCEEFF"/>
            </w:tcBorders>
            <w:gridSpan w:val="2"/>
          </w:tcPr>
          <w:p>
            <w:pPr>
              <w:ind w:left="100"/>
              <w:spacing w:after="0"/>
              <w:rPr>
                <w:sz w:val="20"/>
                <w:szCs w:val="20"/>
                <w:color w:val="auto"/>
              </w:rPr>
            </w:pPr>
            <w:r>
              <w:rPr>
                <w:rFonts w:ascii="Arial" w:cs="Arial" w:eastAsia="Arial" w:hAnsi="Arial"/>
                <w:sz w:val="16"/>
                <w:szCs w:val="16"/>
                <w:color w:val="auto"/>
              </w:rPr>
              <w:t>Third party appraisals or inspections</w:t>
            </w:r>
          </w:p>
        </w:tc>
        <w:tc>
          <w:tcPr>
            <w:tcW w:w="2960" w:type="dxa"/>
            <w:vAlign w:val="bottom"/>
            <w:tcBorders>
              <w:top w:val="single" w:sz="8" w:color="CCEEFF"/>
            </w:tcBorders>
            <w:gridSpan w:val="2"/>
          </w:tcPr>
          <w:p>
            <w:pPr>
              <w:ind w:left="120"/>
              <w:spacing w:after="0"/>
              <w:rPr>
                <w:sz w:val="20"/>
                <w:szCs w:val="20"/>
                <w:color w:val="auto"/>
              </w:rPr>
            </w:pPr>
            <w:r>
              <w:rPr>
                <w:rFonts w:ascii="Arial" w:cs="Arial" w:eastAsia="Arial" w:hAnsi="Arial"/>
                <w:sz w:val="16"/>
                <w:szCs w:val="16"/>
                <w:color w:val="auto"/>
              </w:rPr>
              <w:t>Collateral discounts and selling costs</w:t>
            </w:r>
          </w:p>
        </w:tc>
        <w:tc>
          <w:tcPr>
            <w:tcW w:w="920" w:type="dxa"/>
            <w:vAlign w:val="bottom"/>
            <w:tcBorders>
              <w:top w:val="single" w:sz="8" w:color="CCEEFF"/>
            </w:tcBorders>
            <w:gridSpan w:val="2"/>
          </w:tcPr>
          <w:p>
            <w:pPr>
              <w:jc w:val="center"/>
              <w:ind w:left="119"/>
              <w:spacing w:after="0"/>
              <w:rPr>
                <w:sz w:val="20"/>
                <w:szCs w:val="20"/>
                <w:color w:val="auto"/>
              </w:rPr>
            </w:pPr>
            <w:r>
              <w:rPr>
                <w:rFonts w:ascii="Arial" w:cs="Arial" w:eastAsia="Arial" w:hAnsi="Arial"/>
                <w:sz w:val="16"/>
                <w:szCs w:val="16"/>
                <w:color w:val="auto"/>
                <w:w w:val="92"/>
              </w:rPr>
              <w:t>0%-100%</w:t>
            </w:r>
          </w:p>
        </w:tc>
        <w:tc>
          <w:tcPr>
            <w:tcW w:w="100" w:type="dxa"/>
            <w:vAlign w:val="bottom"/>
            <w:tcBorders>
              <w:top w:val="single" w:sz="8" w:color="CCEEFF"/>
            </w:tcBorders>
          </w:tcPr>
          <w:p>
            <w:pPr>
              <w:spacing w:after="0"/>
              <w:rPr>
                <w:sz w:val="19"/>
                <w:szCs w:val="19"/>
                <w:color w:val="auto"/>
              </w:rPr>
            </w:pPr>
          </w:p>
        </w:tc>
      </w:tr>
      <w:tr>
        <w:trPr>
          <w:trHeight w:val="239"/>
        </w:trPr>
        <w:tc>
          <w:tcPr>
            <w:tcW w:w="2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real estate owned</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2,285</w:t>
            </w:r>
          </w:p>
        </w:tc>
        <w:tc>
          <w:tcPr>
            <w:tcW w:w="29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Third party appraisals or inspections</w:t>
            </w:r>
          </w:p>
        </w:tc>
        <w:tc>
          <w:tcPr>
            <w:tcW w:w="29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Collateral discounts and selling costs</w:t>
            </w:r>
          </w:p>
        </w:tc>
        <w:tc>
          <w:tcPr>
            <w:tcW w:w="920" w:type="dxa"/>
            <w:vAlign w:val="bottom"/>
            <w:gridSpan w:val="2"/>
            <w:shd w:val="clear" w:color="auto" w:fill="CCEEFF"/>
          </w:tcPr>
          <w:p>
            <w:pPr>
              <w:jc w:val="center"/>
              <w:ind w:left="119"/>
              <w:spacing w:after="0"/>
              <w:rPr>
                <w:sz w:val="20"/>
                <w:szCs w:val="20"/>
                <w:color w:val="auto"/>
              </w:rPr>
            </w:pPr>
            <w:r>
              <w:rPr>
                <w:rFonts w:ascii="Arial" w:cs="Arial" w:eastAsia="Arial" w:hAnsi="Arial"/>
                <w:sz w:val="16"/>
                <w:szCs w:val="16"/>
                <w:color w:val="auto"/>
                <w:w w:val="92"/>
              </w:rPr>
              <w:t>15%-66%</w:t>
            </w:r>
          </w:p>
        </w:tc>
        <w:tc>
          <w:tcPr>
            <w:tcW w:w="100" w:type="dxa"/>
            <w:vAlign w:val="bottom"/>
            <w:shd w:val="clear" w:color="auto" w:fill="CCEEFF"/>
          </w:tcPr>
          <w:p>
            <w:pPr>
              <w:spacing w:after="0"/>
              <w:rPr>
                <w:sz w:val="20"/>
                <w:szCs w:val="20"/>
                <w:color w:val="auto"/>
              </w:rPr>
            </w:pPr>
          </w:p>
        </w:tc>
      </w:tr>
      <w:tr>
        <w:trPr>
          <w:trHeight w:val="230"/>
        </w:trPr>
        <w:tc>
          <w:tcPr>
            <w:tcW w:w="3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32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6"/>
                <w:szCs w:val="16"/>
                <w:color w:val="auto"/>
                <w:w w:val="84"/>
              </w:rPr>
              <w:t>2017</w:t>
            </w:r>
          </w:p>
        </w:tc>
        <w:tc>
          <w:tcPr>
            <w:tcW w:w="17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7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7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20"/>
        </w:trPr>
        <w:tc>
          <w:tcPr>
            <w:tcW w:w="2060" w:type="dxa"/>
            <w:vAlign w:val="bottom"/>
            <w:tcBorders>
              <w:top w:val="single" w:sz="8" w:color="CCEEFF"/>
            </w:tcBorders>
            <w:gridSpan w:val="2"/>
          </w:tcPr>
          <w:p>
            <w:pPr>
              <w:spacing w:after="0"/>
              <w:rPr>
                <w:sz w:val="20"/>
                <w:szCs w:val="20"/>
                <w:color w:val="auto"/>
              </w:rPr>
            </w:pPr>
            <w:r>
              <w:rPr>
                <w:rFonts w:ascii="Arial" w:cs="Arial" w:eastAsia="Arial" w:hAnsi="Arial"/>
                <w:sz w:val="16"/>
                <w:szCs w:val="16"/>
                <w:color w:val="auto"/>
              </w:rPr>
              <w:t>Impaired loans</w:t>
            </w:r>
          </w:p>
        </w:tc>
        <w:tc>
          <w:tcPr>
            <w:tcW w:w="5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20,846</w:t>
            </w:r>
          </w:p>
        </w:tc>
        <w:tc>
          <w:tcPr>
            <w:tcW w:w="2940" w:type="dxa"/>
            <w:vAlign w:val="bottom"/>
            <w:tcBorders>
              <w:top w:val="single" w:sz="8" w:color="CCEEFF"/>
            </w:tcBorders>
            <w:gridSpan w:val="2"/>
          </w:tcPr>
          <w:p>
            <w:pPr>
              <w:ind w:left="100"/>
              <w:spacing w:after="0"/>
              <w:rPr>
                <w:sz w:val="20"/>
                <w:szCs w:val="20"/>
                <w:color w:val="auto"/>
              </w:rPr>
            </w:pPr>
            <w:r>
              <w:rPr>
                <w:rFonts w:ascii="Arial" w:cs="Arial" w:eastAsia="Arial" w:hAnsi="Arial"/>
                <w:sz w:val="16"/>
                <w:szCs w:val="16"/>
                <w:color w:val="auto"/>
              </w:rPr>
              <w:t>Third party appraisals or inspections</w:t>
            </w:r>
          </w:p>
        </w:tc>
        <w:tc>
          <w:tcPr>
            <w:tcW w:w="2960" w:type="dxa"/>
            <w:vAlign w:val="bottom"/>
            <w:tcBorders>
              <w:top w:val="single" w:sz="8" w:color="CCEEFF"/>
            </w:tcBorders>
            <w:gridSpan w:val="2"/>
          </w:tcPr>
          <w:p>
            <w:pPr>
              <w:ind w:left="120"/>
              <w:spacing w:after="0"/>
              <w:rPr>
                <w:sz w:val="20"/>
                <w:szCs w:val="20"/>
                <w:color w:val="auto"/>
              </w:rPr>
            </w:pPr>
            <w:r>
              <w:rPr>
                <w:rFonts w:ascii="Arial" w:cs="Arial" w:eastAsia="Arial" w:hAnsi="Arial"/>
                <w:sz w:val="16"/>
                <w:szCs w:val="16"/>
                <w:color w:val="auto"/>
              </w:rPr>
              <w:t>Collateral discounts and selling costs</w:t>
            </w:r>
          </w:p>
        </w:tc>
        <w:tc>
          <w:tcPr>
            <w:tcW w:w="920" w:type="dxa"/>
            <w:vAlign w:val="bottom"/>
            <w:tcBorders>
              <w:top w:val="single" w:sz="8" w:color="CCEEFF"/>
            </w:tcBorders>
            <w:gridSpan w:val="2"/>
          </w:tcPr>
          <w:p>
            <w:pPr>
              <w:jc w:val="center"/>
              <w:ind w:left="119"/>
              <w:spacing w:after="0"/>
              <w:rPr>
                <w:sz w:val="20"/>
                <w:szCs w:val="20"/>
                <w:color w:val="auto"/>
              </w:rPr>
            </w:pPr>
            <w:r>
              <w:rPr>
                <w:rFonts w:ascii="Arial" w:cs="Arial" w:eastAsia="Arial" w:hAnsi="Arial"/>
                <w:sz w:val="16"/>
                <w:szCs w:val="16"/>
                <w:color w:val="auto"/>
                <w:w w:val="92"/>
              </w:rPr>
              <w:t>0%-100%</w:t>
            </w:r>
          </w:p>
        </w:tc>
        <w:tc>
          <w:tcPr>
            <w:tcW w:w="100" w:type="dxa"/>
            <w:vAlign w:val="bottom"/>
            <w:tcBorders>
              <w:top w:val="single" w:sz="8" w:color="CCEEFF"/>
            </w:tcBorders>
          </w:tcPr>
          <w:p>
            <w:pPr>
              <w:spacing w:after="0"/>
              <w:rPr>
                <w:sz w:val="19"/>
                <w:szCs w:val="19"/>
                <w:color w:val="auto"/>
              </w:rPr>
            </w:pPr>
          </w:p>
        </w:tc>
      </w:tr>
      <w:tr>
        <w:trPr>
          <w:trHeight w:val="239"/>
        </w:trPr>
        <w:tc>
          <w:tcPr>
            <w:tcW w:w="2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real estate owned</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2,830</w:t>
            </w:r>
          </w:p>
        </w:tc>
        <w:tc>
          <w:tcPr>
            <w:tcW w:w="29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Third party appraisals or inspections</w:t>
            </w:r>
          </w:p>
        </w:tc>
        <w:tc>
          <w:tcPr>
            <w:tcW w:w="29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Collateral discounts and selling costs</w:t>
            </w:r>
          </w:p>
        </w:tc>
        <w:tc>
          <w:tcPr>
            <w:tcW w:w="920" w:type="dxa"/>
            <w:vAlign w:val="bottom"/>
            <w:gridSpan w:val="2"/>
            <w:shd w:val="clear" w:color="auto" w:fill="CCEEFF"/>
          </w:tcPr>
          <w:p>
            <w:pPr>
              <w:jc w:val="center"/>
              <w:ind w:left="119"/>
              <w:spacing w:after="0"/>
              <w:rPr>
                <w:sz w:val="20"/>
                <w:szCs w:val="20"/>
                <w:color w:val="auto"/>
              </w:rPr>
            </w:pPr>
            <w:r>
              <w:rPr>
                <w:rFonts w:ascii="Arial" w:cs="Arial" w:eastAsia="Arial" w:hAnsi="Arial"/>
                <w:sz w:val="16"/>
                <w:szCs w:val="16"/>
                <w:color w:val="auto"/>
                <w:w w:val="92"/>
              </w:rPr>
              <w:t>15%-66%</w:t>
            </w:r>
          </w:p>
        </w:tc>
        <w:tc>
          <w:tcPr>
            <w:tcW w:w="100" w:type="dxa"/>
            <w:vAlign w:val="bottom"/>
            <w:shd w:val="clear" w:color="auto" w:fill="CCEEFF"/>
          </w:tcPr>
          <w:p>
            <w:pPr>
              <w:spacing w:after="0"/>
              <w:rPr>
                <w:sz w:val="20"/>
                <w:szCs w:val="20"/>
                <w:color w:val="auto"/>
              </w:rPr>
            </w:pPr>
          </w:p>
        </w:tc>
      </w:tr>
    </w:tbl>
    <w:p>
      <w:pPr>
        <w:spacing w:after="0" w:line="94" w:lineRule="exact"/>
        <w:rPr>
          <w:sz w:val="20"/>
          <w:szCs w:val="20"/>
          <w:color w:val="auto"/>
        </w:rPr>
      </w:pPr>
    </w:p>
    <w:p>
      <w:pPr>
        <w:ind w:left="367" w:right="7100" w:hanging="367"/>
        <w:spacing w:after="0" w:line="451" w:lineRule="auto"/>
        <w:tabs>
          <w:tab w:leader="none" w:pos="358" w:val="left"/>
        </w:tabs>
        <w:numPr>
          <w:ilvl w:val="0"/>
          <w:numId w:val="97"/>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SUBSEQUENT EVENTS Change in Capital Structure</w:t>
      </w:r>
    </w:p>
    <w:p>
      <w:pPr>
        <w:ind w:left="7"/>
        <w:spacing w:after="0" w:line="342" w:lineRule="auto"/>
        <w:rPr>
          <w:sz w:val="20"/>
          <w:szCs w:val="20"/>
          <w:color w:val="auto"/>
        </w:rPr>
      </w:pPr>
      <w:r>
        <w:rPr>
          <w:rFonts w:ascii="Arial" w:cs="Arial" w:eastAsia="Arial" w:hAnsi="Arial"/>
          <w:sz w:val="16"/>
          <w:szCs w:val="16"/>
          <w:color w:val="auto"/>
        </w:rPr>
        <w:t>On March 11, 2019, the Company amended and restated its Certificate of Incorporation. The original Certificate of Incorporation was amended to change the capital structure to authorize the issuance of 30,000,000 shares of common stock, par value $1 per share.</w:t>
      </w:r>
    </w:p>
    <w:p>
      <w:pPr>
        <w:spacing w:after="0" w:line="16" w:lineRule="exact"/>
        <w:rPr>
          <w:sz w:val="20"/>
          <w:szCs w:val="20"/>
          <w:color w:val="auto"/>
        </w:rPr>
      </w:pPr>
    </w:p>
    <w:p>
      <w:pPr>
        <w:ind w:left="7" w:right="160"/>
        <w:spacing w:after="0" w:line="259" w:lineRule="auto"/>
        <w:rPr>
          <w:sz w:val="20"/>
          <w:szCs w:val="20"/>
          <w:color w:val="auto"/>
        </w:rPr>
      </w:pPr>
      <w:r>
        <w:rPr>
          <w:rFonts w:ascii="Arial" w:cs="Arial" w:eastAsia="Arial" w:hAnsi="Arial"/>
          <w:sz w:val="18"/>
          <w:szCs w:val="18"/>
          <w:color w:val="auto"/>
        </w:rPr>
        <w:t>The Company completed a 29 to 1 stock split of the Company‘s outstanding shares of common stock for shareholders on record as of March 11, 2019. The stock split was payable in the form of a dividend on or about March 11, 2019. Shareholders received 29 additional shares for each share held. All share and per share amounts in the consolidated financial statements have been retroactively adjusted to reflect this stock split for all periods presented.</w:t>
      </w:r>
    </w:p>
    <w:p>
      <w:pPr>
        <w:spacing w:after="0" w:line="187" w:lineRule="exact"/>
        <w:rPr>
          <w:sz w:val="20"/>
          <w:szCs w:val="20"/>
          <w:color w:val="auto"/>
        </w:rPr>
      </w:pPr>
    </w:p>
    <w:p>
      <w:pPr>
        <w:ind w:left="367"/>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117" w:lineRule="exact"/>
        <w:rPr>
          <w:sz w:val="20"/>
          <w:szCs w:val="20"/>
          <w:color w:val="auto"/>
        </w:rPr>
      </w:pPr>
    </w:p>
    <w:p>
      <w:pPr>
        <w:ind w:left="7" w:right="220"/>
        <w:spacing w:after="0" w:line="277" w:lineRule="auto"/>
        <w:rPr>
          <w:sz w:val="20"/>
          <w:szCs w:val="20"/>
          <w:color w:val="auto"/>
        </w:rPr>
      </w:pPr>
      <w:r>
        <w:rPr>
          <w:rFonts w:ascii="Arial" w:cs="Arial" w:eastAsia="Arial" w:hAnsi="Arial"/>
          <w:sz w:val="18"/>
          <w:szCs w:val="18"/>
          <w:color w:val="auto"/>
        </w:rPr>
        <w:t>On March 6, 2019, the Company approved the 2019 Equity Incentive Plan. The purpose of this plan is to: (i) attract and retain the best available personnel for positions of substantial responsibility, (ii) provide additional</w:t>
      </w:r>
    </w:p>
    <w:p>
      <w:pPr>
        <w:spacing w:after="0" w:line="170"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86" w:name="page187"/>
    <w:bookmarkEnd w:id="18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20"/>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0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ind w:left="2700"/>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18.  SUBSEQUENT EVENTS (Continued)</w:t>
      </w:r>
    </w:p>
    <w:p>
      <w:pPr>
        <w:spacing w:after="0" w:line="6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incentive to employees, directors and consultants, and (iii) promote the success of the Company's business. This plan permits the grant of incentive stock options, nonstatutory stock options, stock appreciation rights, restricted stock, restricted stock units, performance units, performance shares, and other stock-based awards. The maximum aggregate number of shares of common stock that may be issued pursuant to all awards under the plan is 2,300,000. The maximum aggregate number of shares that may be issued under the plan may be increased annually by up to 3% of the total issued and outstanding common shares of the Company at the beginning of each fiscal year</w:t>
      </w:r>
    </w:p>
    <w:p>
      <w:pPr>
        <w:spacing w:after="0" w:line="8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Further, on January 16, 2019, the Company approved the conversion of its previously issued stock appreciation rights to stock options. The details of the conversion have not been finalized as of the date of issuance of these financial statements. Additionally, the Company approved the grant of 1,172 restricted stock units valued at $25,000 to each of its five non-employee directors.</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Employment Agreement</w:t>
      </w:r>
    </w:p>
    <w:p>
      <w:pPr>
        <w:spacing w:after="0" w:line="117"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Effective March 6, 2019, the Company entered into an employment agreement with its President. The employment agreement has an initial term of three years and will automatically renew for additional three-year terms, unless the Company or the President provides 90-days’ advance notice of non-renewal. In the event that the President’s employment is terminated by the Company without cause or by the President for good reason, each as defined in the employment agreement, the employment agreement provides that he will receive severance equal to two times the sum of his annual base salary and annual target cash incentive bonus and a lump sum payment equal to 24 months’ of the monthly premiums to continue existing healthcare coverage under COBRA. If such involuntary termination occurs within the 24-month period following a change in control, as defined in the employment agreement, in lieu of the foregoing, the severance due would be three times the sum of annual base salary and annual target cash incentive bonus and a lump sum payment equal to 36 months’ of the monthly premiums to continue existing healthcare coverage under COBRA. Additionally, any equity and phantom equity awards would fully vest upon any termination of employment by the Company without cause or by the President for good reason.</w:t>
      </w:r>
    </w:p>
    <w:p>
      <w:pPr>
        <w:spacing w:after="0" w:line="6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March 20, 2019, the Company granted the President a stock-settled restricted stock unit award having a fair market value of $1 million on the date of grant. The award is subject to a 4-year time-based vesting schedule, with 25% of the award vesting on each anniversary of the grant until fully vested. Additionally on March 20, 2109, the President received a grant of incentive stock options to purchase Company common stock. The grant date fair value was $221,000 and covered 10,342 common shares. The options vest over 4-year period.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187" w:name="page188"/>
    <w:bookmarkEnd w:id="18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6071870"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71870"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152400</wp:posOffset>
            </wp:positionV>
            <wp:extent cx="607187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99"/>
        <w:spacing w:after="0"/>
        <w:rPr>
          <w:sz w:val="20"/>
          <w:szCs w:val="20"/>
          <w:color w:val="auto"/>
        </w:rPr>
      </w:pPr>
      <w:r>
        <w:rPr>
          <w:rFonts w:ascii="Arial" w:cs="Arial" w:eastAsia="Arial" w:hAnsi="Arial"/>
          <w:sz w:val="29"/>
          <w:szCs w:val="29"/>
          <w:b w:val="1"/>
          <w:bCs w:val="1"/>
          <w:color w:val="auto"/>
        </w:rPr>
        <w:t>3,380,000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1303655</wp:posOffset>
            </wp:positionH>
            <wp:positionV relativeFrom="paragraph">
              <wp:posOffset>846455</wp:posOffset>
            </wp:positionV>
            <wp:extent cx="3439160" cy="5060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3916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99"/>
        <w:spacing w:after="0"/>
        <w:rPr>
          <w:sz w:val="20"/>
          <w:szCs w:val="20"/>
          <w:color w:val="auto"/>
        </w:rPr>
      </w:pPr>
      <w:r>
        <w:rPr>
          <w:rFonts w:ascii="Arial" w:cs="Arial" w:eastAsia="Arial" w:hAnsi="Arial"/>
          <w:sz w:val="29"/>
          <w:szCs w:val="2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2452370</wp:posOffset>
            </wp:positionH>
            <wp:positionV relativeFrom="paragraph">
              <wp:posOffset>160020</wp:posOffset>
            </wp:positionV>
            <wp:extent cx="115760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99"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2452370</wp:posOffset>
            </wp:positionH>
            <wp:positionV relativeFrom="paragraph">
              <wp:posOffset>148590</wp:posOffset>
            </wp:positionV>
            <wp:extent cx="115760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spacing w:after="0"/>
        <w:tabs>
          <w:tab w:leader="none" w:pos="4320" w:val="left"/>
        </w:tabs>
        <w:rPr>
          <w:sz w:val="20"/>
          <w:szCs w:val="20"/>
          <w:color w:val="auto"/>
        </w:rPr>
      </w:pPr>
      <w:r>
        <w:rPr>
          <w:rFonts w:ascii="Arial" w:cs="Arial" w:eastAsia="Arial" w:hAnsi="Arial"/>
          <w:sz w:val="27"/>
          <w:szCs w:val="27"/>
          <w:b w:val="1"/>
          <w:bCs w:val="1"/>
          <w:color w:val="auto"/>
        </w:rPr>
        <w:t>Keefe, Bruyette &amp; Woods</w:t>
      </w:r>
      <w:r>
        <w:rPr>
          <w:sz w:val="20"/>
          <w:szCs w:val="20"/>
          <w:color w:val="auto"/>
        </w:rPr>
        <w:tab/>
      </w:r>
      <w:r>
        <w:rPr>
          <w:rFonts w:ascii="Arial" w:cs="Arial" w:eastAsia="Arial" w:hAnsi="Arial"/>
          <w:sz w:val="25"/>
          <w:szCs w:val="25"/>
          <w:b w:val="1"/>
          <w:bCs w:val="1"/>
          <w:color w:val="auto"/>
        </w:rPr>
        <w:t>Sandler O’Neill + Partners, L.P.</w:t>
      </w:r>
    </w:p>
    <w:p>
      <w:pPr>
        <w:spacing w:after="0" w:line="40" w:lineRule="exact"/>
        <w:rPr>
          <w:sz w:val="20"/>
          <w:szCs w:val="20"/>
          <w:color w:val="auto"/>
        </w:rPr>
      </w:pPr>
    </w:p>
    <w:p>
      <w:pPr>
        <w:ind w:left="1240"/>
        <w:spacing w:after="0"/>
        <w:rPr>
          <w:sz w:val="20"/>
          <w:szCs w:val="20"/>
          <w:color w:val="auto"/>
        </w:rPr>
      </w:pPr>
      <w:r>
        <w:rPr>
          <w:rFonts w:ascii="Arial" w:cs="Arial" w:eastAsia="Arial" w:hAnsi="Arial"/>
          <w:sz w:val="27"/>
          <w:szCs w:val="27"/>
          <w:i w:val="1"/>
          <w:iCs w:val="1"/>
          <w:color w:val="auto"/>
        </w:rPr>
        <w:t>A Stifel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 2019</w:t>
      </w:r>
    </w:p>
    <w:p>
      <w:pPr>
        <w:spacing w:after="0" w:line="117" w:lineRule="exact"/>
        <w:rPr>
          <w:sz w:val="20"/>
          <w:szCs w:val="20"/>
          <w:color w:val="auto"/>
        </w:rPr>
      </w:pPr>
    </w:p>
    <w:p>
      <w:pPr>
        <w:spacing w:after="0"/>
        <w:tabs>
          <w:tab w:leader="none" w:pos="2080" w:val="left"/>
        </w:tabs>
        <w:rPr>
          <w:sz w:val="20"/>
          <w:szCs w:val="20"/>
          <w:color w:val="auto"/>
        </w:rPr>
      </w:pPr>
      <w:r>
        <w:rPr>
          <w:rFonts w:ascii="Arial" w:cs="Arial" w:eastAsia="Arial" w:hAnsi="Arial"/>
          <w:sz w:val="18"/>
          <w:szCs w:val="18"/>
          <w:color w:val="auto"/>
        </w:rPr>
        <w:t>Through and including</w:t>
      </w:r>
      <w:r>
        <w:rPr>
          <w:sz w:val="20"/>
          <w:szCs w:val="20"/>
          <w:color w:val="auto"/>
        </w:rPr>
        <w:tab/>
      </w:r>
      <w:r>
        <w:rPr>
          <w:rFonts w:ascii="Arial" w:cs="Arial" w:eastAsia="Arial" w:hAnsi="Arial"/>
          <w:sz w:val="16"/>
          <w:szCs w:val="16"/>
          <w:color w:val="auto"/>
        </w:rPr>
        <w:t>, 2019 (25 days after the date of this prospectus), all dealers that effect transactions in our common</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stock, whether or not participating in this offering, may be required to deliver a prospectus. This delivery requirement is in addition to the obligation of dealers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07187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172720</wp:posOffset>
            </wp:positionV>
            <wp:extent cx="6071870"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71870"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481330</wp:posOffset>
            </wp:positionV>
            <wp:extent cx="6071870" cy="431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188" w:name="page189"/>
    <w:bookmarkEnd w:id="188"/>
    <w:p>
      <w:pPr>
        <w:ind w:left="7"/>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2247"/>
        <w:spacing w:after="0"/>
        <w:rPr>
          <w:sz w:val="20"/>
          <w:szCs w:val="20"/>
          <w:color w:val="auto"/>
        </w:rPr>
      </w:pPr>
      <w:r>
        <w:rPr>
          <w:rFonts w:ascii="Arial" w:cs="Arial" w:eastAsia="Arial" w:hAnsi="Arial"/>
          <w:sz w:val="18"/>
          <w:szCs w:val="18"/>
          <w:b w:val="1"/>
          <w:bCs w:val="1"/>
          <w:color w:val="auto"/>
        </w:rPr>
        <w:t>PART II - INFORMATION NOT REQUIRED IN PROSPECTUS</w:t>
      </w:r>
    </w:p>
    <w:p>
      <w:pPr>
        <w:spacing w:after="0" w:line="225"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 xml:space="preserve">ITEM 13 – </w:t>
      </w:r>
      <w:r>
        <w:rPr>
          <w:rFonts w:ascii="Arial" w:cs="Arial" w:eastAsia="Arial" w:hAnsi="Arial"/>
          <w:sz w:val="18"/>
          <w:szCs w:val="18"/>
          <w:b w:val="1"/>
          <w:bCs w:val="1"/>
          <w:i w:val="1"/>
          <w:iCs w:val="1"/>
          <w:color w:val="auto"/>
        </w:rPr>
        <w:t>Other Expenses of Issuance and Distribution.</w:t>
      </w:r>
    </w:p>
    <w:p>
      <w:pPr>
        <w:spacing w:after="0" w:line="121" w:lineRule="exact"/>
        <w:rPr>
          <w:sz w:val="20"/>
          <w:szCs w:val="20"/>
          <w:color w:val="auto"/>
        </w:rPr>
      </w:pPr>
    </w:p>
    <w:p>
      <w:pPr>
        <w:jc w:val="both"/>
        <w:ind w:left="7" w:right="220" w:firstLine="360"/>
        <w:spacing w:after="0" w:line="286" w:lineRule="auto"/>
        <w:rPr>
          <w:sz w:val="20"/>
          <w:szCs w:val="20"/>
          <w:color w:val="auto"/>
        </w:rPr>
      </w:pPr>
      <w:r>
        <w:rPr>
          <w:rFonts w:ascii="Arial" w:cs="Arial" w:eastAsia="Arial" w:hAnsi="Arial"/>
          <w:sz w:val="17"/>
          <w:szCs w:val="17"/>
          <w:color w:val="auto"/>
        </w:rPr>
        <w:t>The following table sets forth all costs and expenses, other than underwriting discounts and commissions, in connection with the sale of shares of our common stock being registered, all of which will be paid by us. All amounts shown are estimates, except for the SEC registration fee, the FINRA filing fee and the NASDAQ Global Select Market listing fee.</w:t>
      </w:r>
    </w:p>
    <w:p>
      <w:pPr>
        <w:spacing w:after="0" w:line="22" w:lineRule="exact"/>
        <w:rPr>
          <w:sz w:val="20"/>
          <w:szCs w:val="20"/>
          <w:color w:val="auto"/>
        </w:rPr>
      </w:pPr>
    </w:p>
    <w:tbl>
      <w:tblPr>
        <w:tblLayout w:type="fixed"/>
        <w:tblInd w:w="7"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8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r>
      <w:tr>
        <w:trPr>
          <w:trHeight w:val="243"/>
        </w:trPr>
        <w:tc>
          <w:tcPr>
            <w:tcW w:w="20" w:type="dxa"/>
            <w:vAlign w:val="bottom"/>
          </w:tcPr>
          <w:p>
            <w:pPr>
              <w:spacing w:after="0"/>
              <w:rPr>
                <w:sz w:val="21"/>
                <w:szCs w:val="21"/>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9,187</w:t>
            </w:r>
          </w:p>
        </w:tc>
        <w:tc>
          <w:tcPr>
            <w:tcW w:w="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8380" w:type="dxa"/>
            <w:vAlign w:val="bottom"/>
            <w:gridSpan w:val="2"/>
          </w:tcPr>
          <w:p>
            <w:pPr>
              <w:spacing w:after="0"/>
              <w:rPr>
                <w:sz w:val="20"/>
                <w:szCs w:val="20"/>
                <w:color w:val="auto"/>
              </w:rPr>
            </w:pPr>
            <w:r>
              <w:rPr>
                <w:rFonts w:ascii="Arial" w:cs="Arial" w:eastAsia="Arial" w:hAnsi="Arial"/>
                <w:sz w:val="18"/>
                <w:szCs w:val="18"/>
                <w:color w:val="auto"/>
              </w:rPr>
              <w:t>FINRA filing fee</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8,000</w:t>
            </w: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NASDAQ Global Select Market listing fee</w:t>
            </w: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8380" w:type="dxa"/>
            <w:vAlign w:val="bottom"/>
            <w:gridSpan w:val="2"/>
          </w:tcPr>
          <w:p>
            <w:pPr>
              <w:spacing w:after="0"/>
              <w:rPr>
                <w:sz w:val="20"/>
                <w:szCs w:val="20"/>
                <w:color w:val="auto"/>
              </w:rPr>
            </w:pPr>
            <w:r>
              <w:rPr>
                <w:rFonts w:ascii="Arial" w:cs="Arial" w:eastAsia="Arial" w:hAnsi="Arial"/>
                <w:sz w:val="18"/>
                <w:szCs w:val="18"/>
                <w:color w:val="auto"/>
              </w:rPr>
              <w:t>Legal fees and expenses</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00" w:type="dxa"/>
            <w:vAlign w:val="bottom"/>
            <w:shd w:val="clear" w:color="auto" w:fill="CCEEFF"/>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8380" w:type="dxa"/>
            <w:vAlign w:val="bottom"/>
            <w:gridSpan w:val="2"/>
          </w:tcPr>
          <w:p>
            <w:pPr>
              <w:spacing w:after="0"/>
              <w:rPr>
                <w:sz w:val="20"/>
                <w:szCs w:val="20"/>
                <w:color w:val="auto"/>
              </w:rPr>
            </w:pPr>
            <w:r>
              <w:rPr>
                <w:rFonts w:ascii="Arial" w:cs="Arial" w:eastAsia="Arial" w:hAnsi="Arial"/>
                <w:sz w:val="18"/>
                <w:szCs w:val="18"/>
                <w:color w:val="auto"/>
              </w:rPr>
              <w:t>Printing fees and expenses</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 agent and registrar fees and expenses</w:t>
            </w: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22"/>
                <w:szCs w:val="22"/>
                <w:color w:val="auto"/>
              </w:rPr>
            </w:pPr>
          </w:p>
        </w:tc>
      </w:tr>
      <w:tr>
        <w:trPr>
          <w:trHeight w:val="237"/>
        </w:trPr>
        <w:tc>
          <w:tcPr>
            <w:tcW w:w="8380" w:type="dxa"/>
            <w:vAlign w:val="bottom"/>
            <w:gridSpan w:val="2"/>
          </w:tcPr>
          <w:p>
            <w:pPr>
              <w:spacing w:after="0"/>
              <w:rPr>
                <w:sz w:val="20"/>
                <w:szCs w:val="20"/>
                <w:color w:val="auto"/>
              </w:rPr>
            </w:pPr>
            <w:r>
              <w:rPr>
                <w:rFonts w:ascii="Arial" w:cs="Arial" w:eastAsia="Arial" w:hAnsi="Arial"/>
                <w:sz w:val="18"/>
                <w:szCs w:val="18"/>
                <w:color w:val="auto"/>
              </w:rPr>
              <w:t>Miscellaneous</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8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1,092,187</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198"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 xml:space="preserve">ITEM 14 – </w:t>
      </w:r>
      <w:r>
        <w:rPr>
          <w:rFonts w:ascii="Arial" w:cs="Arial" w:eastAsia="Arial" w:hAnsi="Arial"/>
          <w:sz w:val="18"/>
          <w:szCs w:val="18"/>
          <w:b w:val="1"/>
          <w:bCs w:val="1"/>
          <w:i w:val="1"/>
          <w:iCs w:val="1"/>
          <w:color w:val="auto"/>
        </w:rPr>
        <w:t>Indemnification of Directors and Officers.</w:t>
      </w:r>
    </w:p>
    <w:p>
      <w:pPr>
        <w:spacing w:after="0" w:line="121" w:lineRule="exact"/>
        <w:rPr>
          <w:sz w:val="20"/>
          <w:szCs w:val="20"/>
          <w:color w:val="auto"/>
        </w:rPr>
      </w:pPr>
    </w:p>
    <w:p>
      <w:pPr>
        <w:jc w:val="both"/>
        <w:ind w:left="7" w:right="40" w:firstLine="360"/>
        <w:spacing w:after="0" w:line="288" w:lineRule="auto"/>
        <w:rPr>
          <w:sz w:val="20"/>
          <w:szCs w:val="20"/>
          <w:color w:val="auto"/>
        </w:rPr>
      </w:pPr>
      <w:r>
        <w:rPr>
          <w:rFonts w:ascii="Arial" w:cs="Arial" w:eastAsia="Arial" w:hAnsi="Arial"/>
          <w:sz w:val="16"/>
          <w:szCs w:val="16"/>
          <w:color w:val="auto"/>
        </w:rPr>
        <w:t>The TBOC permits a Texas corporation to limit in its charter the liability of the corporation’s directors to the corporation or its shareholders for conduct in the performance of such director’s duties. However, Texas law does not permit any limitation of liability of a director who is found liable to the corporation or is found liable because the director improperly received a personal benefit for:</w:t>
      </w:r>
    </w:p>
    <w:p>
      <w:pPr>
        <w:ind w:left="7" w:right="60" w:hanging="7"/>
        <w:spacing w:after="0" w:line="254" w:lineRule="auto"/>
        <w:tabs>
          <w:tab w:leader="none" w:pos="262" w:val="left"/>
        </w:tabs>
        <w:numPr>
          <w:ilvl w:val="0"/>
          <w:numId w:val="98"/>
        </w:numPr>
        <w:rPr>
          <w:rFonts w:ascii="Arial" w:cs="Arial" w:eastAsia="Arial" w:hAnsi="Arial"/>
          <w:sz w:val="18"/>
          <w:szCs w:val="18"/>
          <w:color w:val="auto"/>
        </w:rPr>
      </w:pPr>
      <w:r>
        <w:rPr>
          <w:rFonts w:ascii="Arial" w:cs="Arial" w:eastAsia="Arial" w:hAnsi="Arial"/>
          <w:sz w:val="18"/>
          <w:szCs w:val="18"/>
          <w:color w:val="auto"/>
        </w:rPr>
        <w:t>breaching a duty of loyalty owed to the corporation; (2) failing to act in good faith that constitutes a breach of a duty owed by the person to the corporation; or (3) engaging in willful or intentional misconduct in the performance of a director’s duty to the corporation. The registrant’s amended and restated certificate of formation provides that a director of the registrant will not be liable to the registrant or its shareholders to the fullest extent permitted by Texas law.</w:t>
      </w:r>
    </w:p>
    <w:p>
      <w:pPr>
        <w:spacing w:after="0" w:line="82" w:lineRule="exact"/>
        <w:rPr>
          <w:sz w:val="20"/>
          <w:szCs w:val="20"/>
          <w:color w:val="auto"/>
        </w:rPr>
      </w:pPr>
    </w:p>
    <w:p>
      <w:pPr>
        <w:ind w:left="7" w:right="20" w:firstLine="360"/>
        <w:spacing w:after="0" w:line="285" w:lineRule="auto"/>
        <w:rPr>
          <w:sz w:val="20"/>
          <w:szCs w:val="20"/>
          <w:color w:val="auto"/>
        </w:rPr>
      </w:pPr>
      <w:r>
        <w:rPr>
          <w:rFonts w:ascii="Arial" w:cs="Arial" w:eastAsia="Arial" w:hAnsi="Arial"/>
          <w:sz w:val="16"/>
          <w:szCs w:val="16"/>
          <w:color w:val="auto"/>
        </w:rPr>
        <w:t>Sections 8.101 and 8.103 of the TBOC provide that a Texas corporation may indemnify a person who was, is, or is threatened to be a named defendant or respondent in a proceeding because the person is or was a director only if a determination is made that such indemnification is permissible under the TBOC: (1) by a majority vote of the directors who at the time of the vote are disinterested and independent, regardless of whether such directors constitute a quorum; (2) by a majority vote of a board committee designated by a majority of disinterested and independent directors and consisting solely of disinterested and independent directors;</w:t>
      </w:r>
    </w:p>
    <w:p>
      <w:pPr>
        <w:spacing w:after="0" w:line="2" w:lineRule="exact"/>
        <w:rPr>
          <w:sz w:val="20"/>
          <w:szCs w:val="20"/>
          <w:color w:val="auto"/>
        </w:rPr>
      </w:pPr>
    </w:p>
    <w:p>
      <w:pPr>
        <w:ind w:left="7" w:hanging="7"/>
        <w:spacing w:after="0" w:line="270" w:lineRule="auto"/>
        <w:tabs>
          <w:tab w:leader="none" w:pos="262" w:val="left"/>
        </w:tabs>
        <w:numPr>
          <w:ilvl w:val="0"/>
          <w:numId w:val="99"/>
        </w:numPr>
        <w:rPr>
          <w:rFonts w:ascii="Arial" w:cs="Arial" w:eastAsia="Arial" w:hAnsi="Arial"/>
          <w:sz w:val="17"/>
          <w:szCs w:val="17"/>
          <w:color w:val="auto"/>
        </w:rPr>
      </w:pPr>
      <w:r>
        <w:rPr>
          <w:rFonts w:ascii="Arial" w:cs="Arial" w:eastAsia="Arial" w:hAnsi="Arial"/>
          <w:sz w:val="17"/>
          <w:szCs w:val="17"/>
          <w:color w:val="auto"/>
        </w:rPr>
        <w:t>by special legal counsel selected by the board of directors or a committee of the board of directors as set forth in (1) or (2); (4) by the shareholders in a vote that excludes the shares held by directors who are not disinterested and independent; or, (5) by unanimous vote of the shareholders. The power to indemnify applies only if such person acted in good faith and, in the case of conduct in the person’s official capacity as a director, in a manner he reasonably believed to be in the best interest of the corporation, and, in all other cases, that the person’s conduct was not opposed to the best interest of the corporation, and with respect to any criminal action or proceeding, that such person had no reasonable cause to believe his conduct was unlawful.</w:t>
      </w:r>
    </w:p>
    <w:p>
      <w:pPr>
        <w:spacing w:after="0" w:line="71" w:lineRule="exact"/>
        <w:rPr>
          <w:sz w:val="20"/>
          <w:szCs w:val="20"/>
          <w:color w:val="auto"/>
        </w:rPr>
      </w:pPr>
    </w:p>
    <w:p>
      <w:pPr>
        <w:ind w:left="7" w:right="40" w:firstLine="360"/>
        <w:spacing w:after="0" w:line="289" w:lineRule="auto"/>
        <w:rPr>
          <w:sz w:val="20"/>
          <w:szCs w:val="20"/>
          <w:color w:val="auto"/>
        </w:rPr>
      </w:pPr>
      <w:r>
        <w:rPr>
          <w:rFonts w:ascii="Arial" w:cs="Arial" w:eastAsia="Arial" w:hAnsi="Arial"/>
          <w:sz w:val="16"/>
          <w:szCs w:val="16"/>
          <w:color w:val="auto"/>
        </w:rPr>
        <w:t>Section 8.104 of the TBOC provides that a Texas corporation may pay or reimburse, in advance of the final disposition of the proceeding, reasonable expenses incurred by a present director who was, is, or is threatened to be made a named defendant or respondent in a proceeding after the corporation receives a written affirmation by the director of his good faith belief that he has met the standard of conduct necessary for indemnification under Section 8.101 of the TBOC and a written undertaking by or on behalf of the director to repay the amount paid or reimbursed if it is ultimately determined that he has not met that standard or if it is ultimately determined that indemnification of the director is not otherwise permitted under the TBOC. Section 8.105 of the TBOC also provides that reasonable expenses incurred by a former director or officer, or a present or former employee or agent of the corporation, who was, is, or is threatened to be made a named defendant or respondent in a proceeding may be paid or reimbursed by the corporation, in advance of the final disposition of the action, as the corporation considers appropriate.</w:t>
      </w:r>
    </w:p>
    <w:p>
      <w:pPr>
        <w:spacing w:after="0" w:line="167"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89" w:name="page190"/>
    <w:bookmarkEnd w:id="18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80" w:firstLine="360"/>
        <w:spacing w:after="0" w:line="276" w:lineRule="auto"/>
        <w:rPr>
          <w:sz w:val="20"/>
          <w:szCs w:val="20"/>
          <w:color w:val="auto"/>
        </w:rPr>
      </w:pPr>
      <w:r>
        <w:rPr>
          <w:rFonts w:ascii="Arial" w:cs="Arial" w:eastAsia="Arial" w:hAnsi="Arial"/>
          <w:sz w:val="17"/>
          <w:szCs w:val="17"/>
          <w:color w:val="auto"/>
        </w:rPr>
        <w:t>Section 8.105 of the TBOC provides that a corporation may indemnify and advance expenses to a person who is not a director, including an officer, employee, or agent of the corporation as provided by: (1) the corporation’s governing documents; (2) an action by the corporation’s governing authority; (3) resolution by the shareholders; (4) contract; or (5) common law. As consistent with Section 8.105 of the TBOC, a corporation may indemnify and advance expenses to persons who are not directors to the same extent that a corporation may indemnify and advance expenses to directors.</w:t>
      </w:r>
    </w:p>
    <w:p>
      <w:pPr>
        <w:spacing w:after="0" w:line="64" w:lineRule="exact"/>
        <w:rPr>
          <w:sz w:val="20"/>
          <w:szCs w:val="20"/>
          <w:color w:val="auto"/>
        </w:rPr>
      </w:pPr>
    </w:p>
    <w:p>
      <w:pPr>
        <w:jc w:val="both"/>
        <w:ind w:right="180" w:firstLine="360"/>
        <w:spacing w:after="0" w:line="286" w:lineRule="auto"/>
        <w:rPr>
          <w:sz w:val="20"/>
          <w:szCs w:val="20"/>
          <w:color w:val="auto"/>
        </w:rPr>
      </w:pPr>
      <w:r>
        <w:rPr>
          <w:rFonts w:ascii="Arial" w:cs="Arial" w:eastAsia="Arial" w:hAnsi="Arial"/>
          <w:sz w:val="17"/>
          <w:szCs w:val="17"/>
          <w:color w:val="auto"/>
        </w:rPr>
        <w:t>The registrant’s amended and restated certificate of formation provides that, to the fullest extent and under the circumstances permitted by Chapter 8 of the TBOC, (1) the registrant must indemnify and advance expenses to directors and officers, and (2) the registrant may purchase and maintain insurance on behalf of our directors and officers.</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registrant also maintains directors’ and officers’ liability insurance.</w:t>
      </w:r>
    </w:p>
    <w:p>
      <w:pPr>
        <w:spacing w:after="0" w:line="117" w:lineRule="exact"/>
        <w:rPr>
          <w:sz w:val="20"/>
          <w:szCs w:val="20"/>
          <w:color w:val="auto"/>
        </w:rPr>
      </w:pPr>
    </w:p>
    <w:p>
      <w:pPr>
        <w:ind w:right="280" w:firstLine="360"/>
        <w:spacing w:after="0" w:line="308" w:lineRule="auto"/>
        <w:rPr>
          <w:sz w:val="20"/>
          <w:szCs w:val="20"/>
          <w:color w:val="auto"/>
        </w:rPr>
      </w:pPr>
      <w:r>
        <w:rPr>
          <w:rFonts w:ascii="Arial" w:cs="Arial" w:eastAsia="Arial" w:hAnsi="Arial"/>
          <w:sz w:val="17"/>
          <w:szCs w:val="17"/>
          <w:color w:val="auto"/>
        </w:rPr>
        <w:t>The form of Underwriting Agreement to be filed as Exhibit 1.1 hereto obligates the underwriters to indemnify our directors, officers and controlling persons under limited circumstances against certain liabilities under the Securities Act.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 </w:t>
      </w:r>
      <w:r>
        <w:rPr>
          <w:rFonts w:ascii="Arial" w:cs="Arial" w:eastAsia="Arial" w:hAnsi="Arial"/>
          <w:sz w:val="18"/>
          <w:szCs w:val="18"/>
          <w:b w:val="1"/>
          <w:bCs w:val="1"/>
          <w:i w:val="1"/>
          <w:iCs w:val="1"/>
          <w:color w:val="auto"/>
        </w:rPr>
        <w:t>Recent Sales of Unregistered Securities.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Within the past three years, we have engaged in the following transactions that were not registered under the Securities Act.</w:t>
      </w:r>
    </w:p>
    <w:p>
      <w:pPr>
        <w:spacing w:after="0" w:line="140" w:lineRule="exact"/>
        <w:rPr>
          <w:sz w:val="20"/>
          <w:szCs w:val="20"/>
          <w:color w:val="auto"/>
        </w:rPr>
      </w:pPr>
    </w:p>
    <w:p>
      <w:pPr>
        <w:ind w:left="700" w:right="100" w:hanging="356"/>
        <w:spacing w:after="0" w:line="291" w:lineRule="auto"/>
        <w:tabs>
          <w:tab w:leader="none" w:pos="7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In December 2018, we completed a private offering of $12,372,000 in aggregate principal amount of ten-year subordinated debt securities due in 2028 and $14,100,000 in aggregate principal amount of twelve-year subordinated debt securities due in 2030 to certain “accredited investors,” as defined in SEC Rule 501(a) of Regulation D. These subordinated debt securities were issued to holders of subordinated debt securities due in 2024 in exchange for their 2024 debt securities and to new investors in exchange for cash consideration. No commission was paid in respect of the offer and sale of these securities. The offer and sale of these securities were made in reliance upon exemptions from federal securities registration under Section 4(a)(2) of the Securities Act and SEC Rule 506(b).</w:t>
      </w:r>
    </w:p>
    <w:p>
      <w:pPr>
        <w:spacing w:after="0" w:line="59" w:lineRule="exact"/>
        <w:rPr>
          <w:rFonts w:ascii="Arial" w:cs="Arial" w:eastAsia="Arial" w:hAnsi="Arial"/>
          <w:sz w:val="16"/>
          <w:szCs w:val="16"/>
          <w:color w:val="auto"/>
        </w:rPr>
      </w:pPr>
    </w:p>
    <w:p>
      <w:pPr>
        <w:ind w:left="700" w:right="60" w:hanging="356"/>
        <w:spacing w:after="0" w:line="259" w:lineRule="auto"/>
        <w:tabs>
          <w:tab w:leader="none" w:pos="7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We have historically made periodic grants of cash-settled stock appreciation rights to our executive officers, directors, and other key employees pursuant to our historical stock appreciation rights plans. We have made the following equity grants under the South Plains Financial, Inc. 2019 Equity Incentive Plan, since its adoption, after giving effect to the 29-for-1 stock dividend:</w:t>
      </w:r>
    </w:p>
    <w:p>
      <w:pPr>
        <w:spacing w:after="0" w:line="78" w:lineRule="exact"/>
        <w:rPr>
          <w:rFonts w:ascii="Arial" w:cs="Arial" w:eastAsia="Arial" w:hAnsi="Arial"/>
          <w:sz w:val="18"/>
          <w:szCs w:val="18"/>
          <w:color w:val="auto"/>
        </w:rPr>
      </w:pPr>
    </w:p>
    <w:p>
      <w:pPr>
        <w:ind w:left="1060" w:hanging="351"/>
        <w:spacing w:after="0"/>
        <w:tabs>
          <w:tab w:leader="none" w:pos="106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We have granted 10,342 incentive stock options to Cory T. Newsom with an exercise price equal to $21.32 per share.</w:t>
      </w:r>
    </w:p>
    <w:p>
      <w:pPr>
        <w:spacing w:after="0" w:line="140" w:lineRule="exact"/>
        <w:rPr>
          <w:rFonts w:ascii="Arial" w:cs="Arial" w:eastAsia="Arial" w:hAnsi="Arial"/>
          <w:sz w:val="16"/>
          <w:szCs w:val="16"/>
          <w:color w:val="auto"/>
        </w:rPr>
      </w:pPr>
    </w:p>
    <w:p>
      <w:pPr>
        <w:ind w:left="1060" w:right="240" w:hanging="351"/>
        <w:spacing w:after="0" w:line="277" w:lineRule="auto"/>
        <w:tabs>
          <w:tab w:leader="none" w:pos="106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We have granted 1,401,000 non-qualified stock options in connection with the conversion of our cash-settled stock appreciation rights with a weighted average exercise price of $12.44.</w:t>
      </w:r>
    </w:p>
    <w:p>
      <w:pPr>
        <w:spacing w:after="0" w:line="62" w:lineRule="exact"/>
        <w:rPr>
          <w:rFonts w:ascii="Arial" w:cs="Arial" w:eastAsia="Arial" w:hAnsi="Arial"/>
          <w:sz w:val="18"/>
          <w:szCs w:val="18"/>
          <w:color w:val="auto"/>
        </w:rPr>
      </w:pPr>
    </w:p>
    <w:p>
      <w:pPr>
        <w:ind w:left="1060" w:right="380" w:hanging="351"/>
        <w:spacing w:after="0" w:line="308" w:lineRule="auto"/>
        <w:tabs>
          <w:tab w:leader="none" w:pos="106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We have granted an aggregate of 5,860 restricted stock units to our non-employee directors and 46,904 restricted stock units to Mr. Newsom that will be settled in shares of common stock upon vesting.</w:t>
      </w:r>
    </w:p>
    <w:p>
      <w:pPr>
        <w:spacing w:after="0" w:line="38" w:lineRule="exact"/>
        <w:rPr>
          <w:sz w:val="20"/>
          <w:szCs w:val="20"/>
          <w:color w:val="auto"/>
        </w:rPr>
      </w:pPr>
    </w:p>
    <w:p>
      <w:pPr>
        <w:ind w:right="100" w:firstLine="360"/>
        <w:spacing w:after="0" w:line="255" w:lineRule="auto"/>
        <w:rPr>
          <w:sz w:val="20"/>
          <w:szCs w:val="20"/>
          <w:color w:val="auto"/>
        </w:rPr>
      </w:pPr>
      <w:r>
        <w:rPr>
          <w:rFonts w:ascii="Arial" w:cs="Arial" w:eastAsia="Arial" w:hAnsi="Arial"/>
          <w:sz w:val="18"/>
          <w:szCs w:val="18"/>
          <w:color w:val="auto"/>
        </w:rPr>
        <w:t>We have not issued any securities under the South Plains Financial, Inc. 2019 Equity Incentive Plan. None of the foregoing transactions involved any underwriters, underwriting discounts or commissions, or any public offering. We believe these transactions were exempt from registration under the Securities Act in reliance on Rule 701 promulgated under Section 3(b) of the Securities Act as transactions under benefit plans and contracts relating to compensation as provided under Rule 701. All recipients had adequate access, through their relationships with us, to information about us. The offers of these securities were made without any general solicitation or advertising.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 </w:t>
      </w:r>
      <w:r>
        <w:rPr>
          <w:rFonts w:ascii="Arial" w:cs="Arial" w:eastAsia="Arial" w:hAnsi="Arial"/>
          <w:sz w:val="18"/>
          <w:szCs w:val="18"/>
          <w:b w:val="1"/>
          <w:bCs w:val="1"/>
          <w:i w:val="1"/>
          <w:iCs w:val="1"/>
          <w:color w:val="auto"/>
        </w:rPr>
        <w:t>Exhibits and Financial Statement Schedules.</w:t>
      </w:r>
    </w:p>
    <w:p>
      <w:pPr>
        <w:spacing w:after="0" w:line="12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7"/>
          <w:szCs w:val="17"/>
          <w:color w:val="auto"/>
        </w:rPr>
        <w:t>Exhibits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0" w:type="dxa"/>
            <w:vAlign w:val="bottom"/>
            <w:gridSpan w:val="4"/>
          </w:tcPr>
          <w:p>
            <w:pPr>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80" w:type="dxa"/>
            <w:vAlign w:val="bottom"/>
            <w:gridSpan w:val="4"/>
          </w:tcPr>
          <w:p>
            <w:pPr>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6"/>
                <w:szCs w:val="16"/>
                <w:color w:val="auto"/>
              </w:rPr>
            </w:pPr>
          </w:p>
        </w:tc>
        <w:tc>
          <w:tcPr>
            <w:tcW w:w="8700" w:type="dxa"/>
            <w:vAlign w:val="bottom"/>
            <w:gridSpan w:val="2"/>
          </w:tcPr>
          <w:p>
            <w:pPr>
              <w:ind w:left="39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660" w:type="dxa"/>
            <w:vAlign w:val="bottom"/>
            <w:gridSpan w:val="3"/>
            <w:shd w:val="clear" w:color="auto" w:fill="CCEEFF"/>
          </w:tcPr>
          <w:p>
            <w:pPr>
              <w:jc w:val="right"/>
              <w:ind w:right="220"/>
              <w:spacing w:after="0" w:line="182" w:lineRule="exact"/>
              <w:rPr>
                <w:sz w:val="20"/>
                <w:szCs w:val="20"/>
                <w:color w:val="auto"/>
              </w:rPr>
            </w:pPr>
            <w:r>
              <w:rPr>
                <w:rFonts w:ascii="Arial" w:cs="Arial" w:eastAsia="Arial" w:hAnsi="Arial"/>
                <w:sz w:val="18"/>
                <w:szCs w:val="18"/>
                <w:color w:val="0000EE"/>
              </w:rPr>
              <w:t>1.</w:t>
            </w:r>
            <w:r>
              <w:rPr>
                <w:rFonts w:ascii="Arial" w:cs="Arial" w:eastAsia="Arial" w:hAnsi="Arial"/>
                <w:sz w:val="18"/>
                <w:szCs w:val="18"/>
                <w:u w:val="single" w:color="auto"/>
                <w:color w:val="0000EE"/>
              </w:rPr>
              <w:t>1</w:t>
            </w:r>
          </w:p>
        </w:tc>
        <w:tc>
          <w:tcPr>
            <w:tcW w:w="8880" w:type="dxa"/>
            <w:vAlign w:val="bottom"/>
            <w:gridSpan w:val="3"/>
            <w:shd w:val="clear" w:color="auto" w:fill="CCEEFF"/>
          </w:tcPr>
          <w:p>
            <w:pPr>
              <w:ind w:left="140"/>
              <w:spacing w:after="0" w:line="182" w:lineRule="exact"/>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6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660" w:type="dxa"/>
            <w:vAlign w:val="bottom"/>
            <w:gridSpan w:val="3"/>
          </w:tcPr>
          <w:p>
            <w:pPr>
              <w:jc w:val="right"/>
              <w:ind w:right="220"/>
              <w:spacing w:after="0" w:line="189" w:lineRule="exact"/>
              <w:rPr>
                <w:rFonts w:ascii="Arial" w:cs="Arial" w:eastAsia="Arial" w:hAnsi="Arial"/>
                <w:sz w:val="18"/>
                <w:szCs w:val="18"/>
                <w:color w:val="0000EE"/>
              </w:rPr>
            </w:pPr>
            <w:hyperlink r:id="rId217">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8880" w:type="dxa"/>
            <w:vAlign w:val="bottom"/>
            <w:gridSpan w:val="3"/>
          </w:tcPr>
          <w:p>
            <w:pPr>
              <w:ind w:left="140"/>
              <w:spacing w:after="0" w:line="189" w:lineRule="exact"/>
              <w:rPr>
                <w:sz w:val="20"/>
                <w:szCs w:val="20"/>
                <w:color w:val="auto"/>
              </w:rPr>
            </w:pPr>
            <w:r>
              <w:rPr>
                <w:rFonts w:ascii="Arial" w:cs="Arial" w:eastAsia="Arial" w:hAnsi="Arial"/>
                <w:sz w:val="18"/>
                <w:szCs w:val="18"/>
                <w:color w:val="auto"/>
              </w:rPr>
              <w:t>Amended and Restated Certificate of Formation of South Plains Financial, Inc.^</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00" w:type="dxa"/>
            <w:vAlign w:val="bottom"/>
            <w:gridSpan w:val="2"/>
          </w:tcPr>
          <w:p>
            <w:pPr>
              <w:ind w:left="3780"/>
              <w:spacing w:after="0"/>
              <w:rPr>
                <w:sz w:val="20"/>
                <w:szCs w:val="20"/>
                <w:color w:val="auto"/>
              </w:rPr>
            </w:pPr>
            <w:r>
              <w:rPr>
                <w:rFonts w:ascii="Arial" w:cs="Arial" w:eastAsia="Arial" w:hAnsi="Arial"/>
                <w:sz w:val="18"/>
                <w:szCs w:val="18"/>
                <w:color w:val="auto"/>
              </w:rPr>
              <w:t>II-2</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86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9" w:right="1159" w:bottom="1440" w:gutter="0" w:footer="0" w:header="0"/>
        </w:sectPr>
      </w:pPr>
    </w:p>
    <w:bookmarkStart w:id="190" w:name="page191"/>
    <w:bookmarkEnd w:id="190"/>
    <w:p>
      <w:pPr>
        <w:ind w:left="7"/>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ectPr>
          <w:pgSz w:w="11900" w:h="16838" w:orient="portrait"/>
          <w:cols w:equalWidth="0" w:num="1">
            <w:col w:w="9567"/>
          </w:cols>
          <w:pgMar w:left="1173" w:top="279" w:right="1159" w:bottom="1440" w:gutter="0" w:footer="0" w:header="0"/>
        </w:sectPr>
      </w:pPr>
    </w:p>
    <w:p>
      <w:pPr>
        <w:spacing w:after="0" w:line="150" w:lineRule="exact"/>
        <w:rPr>
          <w:sz w:val="20"/>
          <w:szCs w:val="20"/>
          <w:color w:val="auto"/>
        </w:rPr>
      </w:pPr>
    </w:p>
    <w:p>
      <w:pPr>
        <w:ind w:left="7"/>
        <w:spacing w:after="0"/>
        <w:rPr>
          <w:sz w:val="20"/>
          <w:szCs w:val="20"/>
          <w:color w:val="auto"/>
        </w:rPr>
      </w:pPr>
      <w:r>
        <w:rPr>
          <w:rFonts w:ascii="Arial" w:cs="Arial" w:eastAsia="Arial" w:hAnsi="Arial"/>
          <w:sz w:val="14"/>
          <w:szCs w:val="14"/>
          <w:b w:val="1"/>
          <w:bCs w:val="1"/>
          <w:color w:val="auto"/>
        </w:rPr>
        <w:t>Exhibit</w:t>
      </w:r>
    </w:p>
    <w:p>
      <w:pPr>
        <w:spacing w:after="0" w:line="17" w:lineRule="exact"/>
        <w:rPr>
          <w:sz w:val="20"/>
          <w:szCs w:val="20"/>
          <w:color w:val="auto"/>
        </w:rPr>
      </w:pPr>
    </w:p>
    <w:p>
      <w:pPr>
        <w:ind w:left="7"/>
        <w:spacing w:after="0"/>
        <w:rPr>
          <w:sz w:val="20"/>
          <w:szCs w:val="20"/>
          <w:color w:val="auto"/>
        </w:rPr>
      </w:pPr>
      <w:r>
        <w:rPr>
          <w:rFonts w:ascii="Arial" w:cs="Arial" w:eastAsia="Arial" w:hAnsi="Arial"/>
          <w:sz w:val="13"/>
          <w:szCs w:val="13"/>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42862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jc w:val="center"/>
        <w:ind w:right="4020"/>
        <w:spacing w:after="0"/>
        <w:rPr>
          <w:sz w:val="20"/>
          <w:szCs w:val="20"/>
          <w:color w:val="auto"/>
        </w:rPr>
      </w:pP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-2532380</wp:posOffset>
            </wp:positionH>
            <wp:positionV relativeFrom="paragraph">
              <wp:posOffset>29845</wp:posOffset>
            </wp:positionV>
            <wp:extent cx="547116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5471160" cy="8890"/>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2">
            <w:col w:w="4127" w:space="720"/>
            <w:col w:w="4720"/>
          </w:cols>
          <w:pgMar w:left="1173" w:top="279" w:right="1159" w:bottom="1440" w:gutter="0" w:footer="0" w:header="0"/>
          <w:type w:val="continuous"/>
        </w:sectPr>
      </w:pPr>
    </w:p>
    <w:p>
      <w:pPr>
        <w:ind w:left="247"/>
        <w:spacing w:after="0"/>
        <w:tabs>
          <w:tab w:leader="none" w:pos="806" w:val="left"/>
        </w:tabs>
        <w:rPr>
          <w:rFonts w:ascii="Arial" w:cs="Arial" w:eastAsia="Arial" w:hAnsi="Arial"/>
          <w:sz w:val="18"/>
          <w:szCs w:val="18"/>
          <w:color w:val="0000EE"/>
        </w:rPr>
      </w:pPr>
      <w:hyperlink r:id="rId217">
        <w:r>
          <w:rPr>
            <w:rFonts w:ascii="Arial" w:cs="Arial" w:eastAsia="Arial" w:hAnsi="Arial"/>
            <w:sz w:val="18"/>
            <w:szCs w:val="18"/>
            <w:u w:val="single" w:color="auto"/>
            <w:color w:val="0000EE"/>
          </w:rPr>
          <w:t>3.2</w:t>
        </w:r>
      </w:hyperlink>
      <w:r>
        <w:rPr>
          <w:rFonts w:ascii="Arial" w:cs="Arial" w:eastAsia="Arial" w:hAnsi="Arial"/>
          <w:sz w:val="18"/>
          <w:szCs w:val="18"/>
          <w:color w:val="0000EE"/>
        </w:rPr>
        <w:tab/>
      </w:r>
      <w:r>
        <w:rPr>
          <w:rFonts w:ascii="Arial" w:cs="Arial" w:eastAsia="Arial" w:hAnsi="Arial"/>
          <w:sz w:val="16"/>
          <w:szCs w:val="16"/>
          <w:color w:val="0000EE"/>
        </w:rPr>
        <w:t>Amended and Restated Bylaws of South Plains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6071870" cy="1543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6071870" cy="154305"/>
                    </a:xfrm>
                    <a:prstGeom prst="rect">
                      <a:avLst/>
                    </a:prstGeom>
                    <a:noFill/>
                  </pic:spPr>
                </pic:pic>
              </a:graphicData>
            </a:graphic>
          </wp:anchor>
        </w:drawing>
      </w:r>
    </w:p>
    <w:p>
      <w:pPr>
        <w:spacing w:after="0" w:line="16" w:lineRule="exact"/>
        <w:rPr>
          <w:sz w:val="20"/>
          <w:szCs w:val="20"/>
          <w:color w:val="auto"/>
        </w:rPr>
      </w:pPr>
    </w:p>
    <w:p>
      <w:pPr>
        <w:ind w:left="247"/>
        <w:spacing w:after="0"/>
        <w:tabs>
          <w:tab w:leader="none" w:pos="806" w:val="left"/>
        </w:tabs>
        <w:rPr>
          <w:sz w:val="20"/>
          <w:szCs w:val="20"/>
          <w:color w:val="auto"/>
        </w:rPr>
      </w:pPr>
      <w:r>
        <w:rPr>
          <w:rFonts w:ascii="Arial" w:cs="Arial" w:eastAsia="Arial" w:hAnsi="Arial"/>
          <w:sz w:val="18"/>
          <w:szCs w:val="18"/>
          <w:u w:val="single" w:color="auto"/>
          <w:color w:val="0000EE"/>
        </w:rPr>
        <w:t>4.1</w:t>
      </w:r>
      <w:r>
        <w:rPr>
          <w:sz w:val="20"/>
          <w:szCs w:val="20"/>
          <w:color w:val="auto"/>
        </w:rPr>
        <w:tab/>
      </w:r>
      <w:r>
        <w:rPr>
          <w:rFonts w:ascii="Arial" w:cs="Arial" w:eastAsia="Arial" w:hAnsi="Arial"/>
          <w:sz w:val="16"/>
          <w:szCs w:val="16"/>
          <w:color w:val="auto"/>
        </w:rPr>
        <w:t>Specimen common stock certificate of South Plains Financial, Inc.</w:t>
      </w:r>
    </w:p>
    <w:p>
      <w:pPr>
        <w:spacing w:after="0" w:line="36" w:lineRule="exact"/>
        <w:rPr>
          <w:sz w:val="20"/>
          <w:szCs w:val="20"/>
          <w:color w:val="auto"/>
        </w:rPr>
      </w:pPr>
    </w:p>
    <w:p>
      <w:pPr>
        <w:jc w:val="both"/>
        <w:ind w:left="827"/>
        <w:spacing w:after="0" w:line="260" w:lineRule="auto"/>
        <w:rPr>
          <w:sz w:val="20"/>
          <w:szCs w:val="20"/>
          <w:color w:val="auto"/>
        </w:rPr>
      </w:pPr>
      <w:r>
        <w:rPr>
          <w:rFonts w:ascii="Arial" w:cs="Arial" w:eastAsia="Arial" w:hAnsi="Arial"/>
          <w:sz w:val="18"/>
          <w:szCs w:val="18"/>
          <w:color w:val="auto"/>
        </w:rPr>
        <w:t>The other instruments defining the rights of long-term debt securities of the Registrant and its subsidiaries are omitted pursuant to section (b)(4)(iii)(A) of Item 601 of Regulation S-K. The Registrant hereby agrees to furnish copies of these instruments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-426085</wp:posOffset>
            </wp:positionV>
            <wp:extent cx="6071870" cy="42862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6071870" cy="428625"/>
                    </a:xfrm>
                    <a:prstGeom prst="rect">
                      <a:avLst/>
                    </a:prstGeom>
                    <a:noFill/>
                  </pic:spPr>
                </pic:pic>
              </a:graphicData>
            </a:graphic>
          </wp:anchor>
        </w:drawing>
      </w:r>
    </w:p>
    <w:p>
      <w:pPr>
        <w:ind w:left="247"/>
        <w:spacing w:after="0"/>
        <w:tabs>
          <w:tab w:leader="none" w:pos="806" w:val="left"/>
        </w:tabs>
        <w:rPr>
          <w:sz w:val="20"/>
          <w:szCs w:val="20"/>
          <w:color w:val="auto"/>
        </w:rPr>
      </w:pPr>
      <w:r>
        <w:rPr>
          <w:rFonts w:ascii="Arial" w:cs="Arial" w:eastAsia="Arial" w:hAnsi="Arial"/>
          <w:sz w:val="18"/>
          <w:szCs w:val="18"/>
          <w:u w:val="single" w:color="auto"/>
          <w:color w:val="0000EE"/>
        </w:rPr>
        <w:t>5.1</w:t>
      </w:r>
      <w:r>
        <w:rPr>
          <w:sz w:val="20"/>
          <w:szCs w:val="20"/>
          <w:color w:val="auto"/>
        </w:rPr>
        <w:tab/>
      </w:r>
      <w:r>
        <w:rPr>
          <w:rFonts w:ascii="Arial" w:cs="Arial" w:eastAsia="Arial" w:hAnsi="Arial"/>
          <w:sz w:val="17"/>
          <w:szCs w:val="17"/>
          <w:color w:val="auto"/>
        </w:rPr>
        <w:t>Opinion of Hunton Andrews Kurth LLP</w:t>
      </w:r>
    </w:p>
    <w:p>
      <w:pPr>
        <w:spacing w:after="0" w:line="36" w:lineRule="exact"/>
        <w:rPr>
          <w:sz w:val="20"/>
          <w:szCs w:val="20"/>
          <w:color w:val="auto"/>
        </w:rPr>
      </w:pPr>
    </w:p>
    <w:p>
      <w:pPr>
        <w:ind w:left="187"/>
        <w:spacing w:after="0"/>
        <w:tabs>
          <w:tab w:leader="none" w:pos="806" w:val="left"/>
        </w:tabs>
        <w:rPr>
          <w:sz w:val="20"/>
          <w:szCs w:val="20"/>
          <w:color w:val="auto"/>
        </w:rPr>
      </w:pPr>
      <w:r>
        <w:rPr>
          <w:rFonts w:ascii="Arial" w:cs="Arial" w:eastAsia="Arial" w:hAnsi="Arial"/>
          <w:sz w:val="18"/>
          <w:szCs w:val="18"/>
          <w:color w:val="0000EE"/>
        </w:rPr>
        <w:t>10.1†</w:t>
      </w:r>
      <w:r>
        <w:rPr>
          <w:sz w:val="20"/>
          <w:szCs w:val="20"/>
          <w:color w:val="auto"/>
        </w:rPr>
        <w:tab/>
      </w:r>
      <w:r>
        <w:rPr>
          <w:rFonts w:ascii="Arial" w:cs="Arial" w:eastAsia="Arial" w:hAnsi="Arial"/>
          <w:sz w:val="16"/>
          <w:szCs w:val="16"/>
          <w:color w:val="auto"/>
        </w:rPr>
        <w:t>South Plains Financial, Inc. 2019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6071870" cy="1543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6071870" cy="154305"/>
                    </a:xfrm>
                    <a:prstGeom prst="rect">
                      <a:avLst/>
                    </a:prstGeom>
                    <a:noFill/>
                  </pic:spPr>
                </pic:pic>
              </a:graphicData>
            </a:graphic>
          </wp:anchor>
        </w:drawing>
      </w:r>
    </w:p>
    <w:p>
      <w:pPr>
        <w:spacing w:after="0" w:line="16" w:lineRule="exact"/>
        <w:rPr>
          <w:sz w:val="20"/>
          <w:szCs w:val="20"/>
          <w:color w:val="auto"/>
        </w:rPr>
      </w:pPr>
    </w:p>
    <w:p>
      <w:pPr>
        <w:ind w:left="187"/>
        <w:spacing w:after="0"/>
        <w:tabs>
          <w:tab w:leader="none" w:pos="806" w:val="left"/>
        </w:tabs>
        <w:rPr>
          <w:sz w:val="20"/>
          <w:szCs w:val="20"/>
          <w:color w:val="auto"/>
        </w:rPr>
      </w:pPr>
      <w:r>
        <w:rPr>
          <w:rFonts w:ascii="Arial" w:cs="Arial" w:eastAsia="Arial" w:hAnsi="Arial"/>
          <w:sz w:val="18"/>
          <w:szCs w:val="18"/>
          <w:color w:val="0000EE"/>
        </w:rPr>
        <w:t>10.2†</w:t>
      </w:r>
      <w:r>
        <w:rPr>
          <w:sz w:val="20"/>
          <w:szCs w:val="20"/>
          <w:color w:val="auto"/>
        </w:rPr>
        <w:tab/>
      </w:r>
      <w:r>
        <w:rPr>
          <w:rFonts w:ascii="Arial" w:cs="Arial" w:eastAsia="Arial" w:hAnsi="Arial"/>
          <w:sz w:val="16"/>
          <w:szCs w:val="16"/>
          <w:color w:val="auto"/>
        </w:rPr>
        <w:t>Form of Stock Option Award Agreement under the South Plains Financial, Inc. 2019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-10160</wp:posOffset>
            </wp:positionV>
            <wp:extent cx="28575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285750" cy="8890"/>
                    </a:xfrm>
                    <a:prstGeom prst="rect">
                      <a:avLst/>
                    </a:prstGeom>
                    <a:noFill/>
                  </pic:spPr>
                </pic:pic>
              </a:graphicData>
            </a:graphic>
          </wp:anchor>
        </w:drawing>
      </w:r>
    </w:p>
    <w:p>
      <w:pPr>
        <w:spacing w:after="0" w:line="16" w:lineRule="exact"/>
        <w:rPr>
          <w:sz w:val="20"/>
          <w:szCs w:val="20"/>
          <w:color w:val="auto"/>
        </w:rPr>
      </w:pPr>
    </w:p>
    <w:p>
      <w:pPr>
        <w:ind w:left="187"/>
        <w:spacing w:after="0"/>
        <w:tabs>
          <w:tab w:leader="none" w:pos="806" w:val="left"/>
        </w:tabs>
        <w:rPr>
          <w:sz w:val="20"/>
          <w:szCs w:val="20"/>
          <w:color w:val="auto"/>
        </w:rPr>
      </w:pPr>
      <w:r>
        <w:rPr>
          <w:rFonts w:ascii="Arial" w:cs="Arial" w:eastAsia="Arial" w:hAnsi="Arial"/>
          <w:sz w:val="18"/>
          <w:szCs w:val="18"/>
          <w:color w:val="0000EE"/>
        </w:rPr>
        <w:t>10.3†</w:t>
      </w:r>
      <w:r>
        <w:rPr>
          <w:sz w:val="20"/>
          <w:szCs w:val="20"/>
          <w:color w:val="auto"/>
        </w:rPr>
        <w:tab/>
      </w:r>
      <w:r>
        <w:rPr>
          <w:rFonts w:ascii="Arial" w:cs="Arial" w:eastAsia="Arial" w:hAnsi="Arial"/>
          <w:sz w:val="16"/>
          <w:szCs w:val="16"/>
          <w:color w:val="auto"/>
        </w:rPr>
        <w:t>Form of Restricted Stock Unit Award Agreement under the South Plains Financial, Inc. 2019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6071870" cy="1543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6071870" cy="154305"/>
                    </a:xfrm>
                    <a:prstGeom prst="rect">
                      <a:avLst/>
                    </a:prstGeom>
                    <a:noFill/>
                  </pic:spPr>
                </pic:pic>
              </a:graphicData>
            </a:graphic>
          </wp:anchor>
        </w:drawing>
      </w:r>
    </w:p>
    <w:p>
      <w:pPr>
        <w:spacing w:after="0" w:line="16" w:lineRule="exact"/>
        <w:rPr>
          <w:sz w:val="20"/>
          <w:szCs w:val="20"/>
          <w:color w:val="auto"/>
        </w:rPr>
      </w:pPr>
    </w:p>
    <w:p>
      <w:pPr>
        <w:ind w:left="187"/>
        <w:spacing w:after="0"/>
        <w:tabs>
          <w:tab w:leader="none" w:pos="806" w:val="left"/>
        </w:tabs>
        <w:rPr>
          <w:sz w:val="20"/>
          <w:szCs w:val="20"/>
          <w:color w:val="auto"/>
        </w:rPr>
      </w:pPr>
      <w:r>
        <w:rPr>
          <w:rFonts w:ascii="Arial" w:cs="Arial" w:eastAsia="Arial" w:hAnsi="Arial"/>
          <w:sz w:val="18"/>
          <w:szCs w:val="18"/>
          <w:color w:val="0000EE"/>
        </w:rPr>
        <w:t>10.4†</w:t>
      </w:r>
      <w:r>
        <w:rPr>
          <w:sz w:val="20"/>
          <w:szCs w:val="20"/>
          <w:color w:val="auto"/>
        </w:rPr>
        <w:tab/>
      </w:r>
      <w:r>
        <w:rPr>
          <w:rFonts w:ascii="Arial" w:cs="Arial" w:eastAsia="Arial" w:hAnsi="Arial"/>
          <w:sz w:val="16"/>
          <w:szCs w:val="16"/>
          <w:color w:val="auto"/>
        </w:rPr>
        <w:t>Employment Agreement of Cory T. Newsom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-10160</wp:posOffset>
            </wp:positionV>
            <wp:extent cx="28575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285750" cy="8890"/>
                    </a:xfrm>
                    <a:prstGeom prst="rect">
                      <a:avLst/>
                    </a:prstGeom>
                    <a:noFill/>
                  </pic:spPr>
                </pic:pic>
              </a:graphicData>
            </a:graphic>
          </wp:anchor>
        </w:drawing>
      </w:r>
    </w:p>
    <w:p>
      <w:pPr>
        <w:spacing w:after="0" w:line="16" w:lineRule="exact"/>
        <w:rPr>
          <w:sz w:val="20"/>
          <w:szCs w:val="20"/>
          <w:color w:val="auto"/>
        </w:rPr>
      </w:pPr>
    </w:p>
    <w:p>
      <w:pPr>
        <w:ind w:left="187"/>
        <w:spacing w:after="0"/>
        <w:tabs>
          <w:tab w:leader="none" w:pos="806" w:val="left"/>
        </w:tabs>
        <w:rPr>
          <w:sz w:val="20"/>
          <w:szCs w:val="20"/>
          <w:color w:val="auto"/>
        </w:rPr>
      </w:pPr>
      <w:r>
        <w:rPr>
          <w:rFonts w:ascii="Arial" w:cs="Arial" w:eastAsia="Arial" w:hAnsi="Arial"/>
          <w:sz w:val="18"/>
          <w:szCs w:val="18"/>
          <w:color w:val="0000EE"/>
        </w:rPr>
        <w:t>10.5†</w:t>
      </w:r>
      <w:r>
        <w:rPr>
          <w:sz w:val="20"/>
          <w:szCs w:val="20"/>
          <w:color w:val="auto"/>
        </w:rPr>
        <w:tab/>
      </w:r>
      <w:r>
        <w:rPr>
          <w:rFonts w:ascii="Arial" w:cs="Arial" w:eastAsia="Arial" w:hAnsi="Arial"/>
          <w:sz w:val="16"/>
          <w:szCs w:val="16"/>
          <w:color w:val="auto"/>
        </w:rPr>
        <w:t>Deferred Compensation Plan Adoption Agreement of Cory T. Newsom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6071870" cy="1543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6071870" cy="154305"/>
                    </a:xfrm>
                    <a:prstGeom prst="rect">
                      <a:avLst/>
                    </a:prstGeom>
                    <a:noFill/>
                  </pic:spPr>
                </pic:pic>
              </a:graphicData>
            </a:graphic>
          </wp:anchor>
        </w:drawing>
      </w:r>
    </w:p>
    <w:p>
      <w:pPr>
        <w:spacing w:after="0" w:line="16" w:lineRule="exact"/>
        <w:rPr>
          <w:sz w:val="20"/>
          <w:szCs w:val="20"/>
          <w:color w:val="auto"/>
        </w:rPr>
      </w:pPr>
    </w:p>
    <w:p>
      <w:pPr>
        <w:ind w:left="187"/>
        <w:spacing w:after="0"/>
        <w:tabs>
          <w:tab w:leader="none" w:pos="806" w:val="left"/>
        </w:tabs>
        <w:rPr>
          <w:sz w:val="20"/>
          <w:szCs w:val="20"/>
          <w:color w:val="auto"/>
        </w:rPr>
      </w:pPr>
      <w:r>
        <w:rPr>
          <w:rFonts w:ascii="Arial" w:cs="Arial" w:eastAsia="Arial" w:hAnsi="Arial"/>
          <w:sz w:val="18"/>
          <w:szCs w:val="18"/>
          <w:color w:val="0000EE"/>
        </w:rPr>
        <w:t>10.6†</w:t>
      </w:r>
      <w:r>
        <w:rPr>
          <w:sz w:val="20"/>
          <w:szCs w:val="20"/>
          <w:color w:val="auto"/>
        </w:rPr>
        <w:tab/>
      </w:r>
      <w:r>
        <w:rPr>
          <w:rFonts w:ascii="Arial" w:cs="Arial" w:eastAsia="Arial" w:hAnsi="Arial"/>
          <w:sz w:val="16"/>
          <w:szCs w:val="16"/>
          <w:color w:val="auto"/>
        </w:rPr>
        <w:t>Joint Beneficiary Designation Agreement of Cory Newsom, effective January 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-10160</wp:posOffset>
            </wp:positionV>
            <wp:extent cx="28575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285750" cy="8890"/>
                    </a:xfrm>
                    <a:prstGeom prst="rect">
                      <a:avLst/>
                    </a:prstGeom>
                    <a:noFill/>
                  </pic:spPr>
                </pic:pic>
              </a:graphicData>
            </a:graphic>
          </wp:anchor>
        </w:drawing>
      </w:r>
    </w:p>
    <w:p>
      <w:pPr>
        <w:spacing w:after="0" w:line="16" w:lineRule="exact"/>
        <w:rPr>
          <w:sz w:val="20"/>
          <w:szCs w:val="20"/>
          <w:color w:val="auto"/>
        </w:rPr>
      </w:pPr>
    </w:p>
    <w:p>
      <w:pPr>
        <w:ind w:left="187"/>
        <w:spacing w:after="0"/>
        <w:tabs>
          <w:tab w:leader="none" w:pos="806" w:val="left"/>
        </w:tabs>
        <w:rPr>
          <w:sz w:val="20"/>
          <w:szCs w:val="20"/>
          <w:color w:val="auto"/>
        </w:rPr>
      </w:pPr>
      <w:r>
        <w:rPr>
          <w:rFonts w:ascii="Arial" w:cs="Arial" w:eastAsia="Arial" w:hAnsi="Arial"/>
          <w:sz w:val="18"/>
          <w:szCs w:val="18"/>
          <w:color w:val="0000EE"/>
        </w:rPr>
        <w:t>10.7†</w:t>
      </w:r>
      <w:r>
        <w:rPr>
          <w:sz w:val="20"/>
          <w:szCs w:val="20"/>
          <w:color w:val="auto"/>
        </w:rPr>
        <w:tab/>
      </w:r>
      <w:r>
        <w:rPr>
          <w:rFonts w:ascii="Arial" w:cs="Arial" w:eastAsia="Arial" w:hAnsi="Arial"/>
          <w:sz w:val="16"/>
          <w:szCs w:val="16"/>
          <w:color w:val="auto"/>
        </w:rPr>
        <w:t>Joint Beneficiary Designation Agreement of Cory Newsom, effective April 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6071870" cy="1543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6071870" cy="154305"/>
                    </a:xfrm>
                    <a:prstGeom prst="rect">
                      <a:avLst/>
                    </a:prstGeom>
                    <a:noFill/>
                  </pic:spPr>
                </pic:pic>
              </a:graphicData>
            </a:graphic>
          </wp:anchor>
        </w:drawing>
      </w:r>
    </w:p>
    <w:p>
      <w:pPr>
        <w:spacing w:after="0" w:line="16" w:lineRule="exact"/>
        <w:rPr>
          <w:sz w:val="20"/>
          <w:szCs w:val="20"/>
          <w:color w:val="auto"/>
        </w:rPr>
      </w:pPr>
    </w:p>
    <w:p>
      <w:pPr>
        <w:ind w:left="187"/>
        <w:spacing w:after="0"/>
        <w:tabs>
          <w:tab w:leader="none" w:pos="806"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Board Representation Agreement between South Plains Financial, Inc. and James C. Henry</w:t>
      </w:r>
    </w:p>
    <w:p>
      <w:pPr>
        <w:spacing w:after="0" w:line="36" w:lineRule="exact"/>
        <w:rPr>
          <w:sz w:val="20"/>
          <w:szCs w:val="20"/>
          <w:color w:val="auto"/>
        </w:rPr>
      </w:pPr>
    </w:p>
    <w:p>
      <w:pPr>
        <w:ind w:left="187"/>
        <w:spacing w:after="0"/>
        <w:tabs>
          <w:tab w:leader="none" w:pos="806" w:val="left"/>
        </w:tabs>
        <w:rPr>
          <w:sz w:val="20"/>
          <w:szCs w:val="20"/>
          <w:color w:val="auto"/>
        </w:rPr>
      </w:pPr>
      <w:r>
        <w:rPr>
          <w:rFonts w:ascii="Arial" w:cs="Arial" w:eastAsia="Arial" w:hAnsi="Arial"/>
          <w:sz w:val="18"/>
          <w:szCs w:val="18"/>
          <w:color w:val="0000EE"/>
        </w:rPr>
        <w:t>10.9</w:t>
      </w:r>
      <w:r>
        <w:rPr>
          <w:rFonts w:ascii="Arial" w:cs="Arial" w:eastAsia="Arial" w:hAnsi="Arial"/>
          <w:sz w:val="18"/>
          <w:szCs w:val="18"/>
          <w:color w:val="000000"/>
        </w:rPr>
        <w:t>†</w:t>
      </w:r>
      <w:r>
        <w:rPr>
          <w:sz w:val="20"/>
          <w:szCs w:val="20"/>
          <w:color w:val="auto"/>
        </w:rPr>
        <w:tab/>
      </w:r>
      <w:r>
        <w:rPr>
          <w:rFonts w:ascii="Arial" w:cs="Arial" w:eastAsia="Arial" w:hAnsi="Arial"/>
          <w:sz w:val="16"/>
          <w:szCs w:val="16"/>
          <w:color w:val="auto"/>
        </w:rPr>
        <w:t>Form of Indemnification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6071870" cy="1543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6071870" cy="154305"/>
                    </a:xfrm>
                    <a:prstGeom prst="rect">
                      <a:avLst/>
                    </a:prstGeom>
                    <a:noFill/>
                  </pic:spPr>
                </pic:pic>
              </a:graphicData>
            </a:graphic>
          </wp:anchor>
        </w:drawing>
      </w:r>
    </w:p>
    <w:p>
      <w:pPr>
        <w:spacing w:after="0" w:line="16" w:lineRule="exact"/>
        <w:rPr>
          <w:sz w:val="20"/>
          <w:szCs w:val="20"/>
          <w:color w:val="auto"/>
        </w:rPr>
      </w:pPr>
    </w:p>
    <w:p>
      <w:pPr>
        <w:ind w:left="207"/>
        <w:spacing w:after="0"/>
        <w:tabs>
          <w:tab w:leader="none" w:pos="806" w:val="left"/>
        </w:tabs>
        <w:rPr>
          <w:sz w:val="20"/>
          <w:szCs w:val="20"/>
          <w:color w:val="auto"/>
        </w:rPr>
      </w:pPr>
      <w:r>
        <w:rPr>
          <w:rFonts w:ascii="Arial" w:cs="Arial" w:eastAsia="Arial" w:hAnsi="Arial"/>
          <w:sz w:val="18"/>
          <w:szCs w:val="18"/>
          <w:u w:val="single" w:color="auto"/>
          <w:color w:val="0000EE"/>
        </w:rPr>
        <w:t>21.1</w:t>
      </w:r>
      <w:r>
        <w:rPr>
          <w:sz w:val="20"/>
          <w:szCs w:val="20"/>
          <w:color w:val="auto"/>
        </w:rPr>
        <w:tab/>
      </w:r>
      <w:r>
        <w:rPr>
          <w:rFonts w:ascii="Arial" w:cs="Arial" w:eastAsia="Arial" w:hAnsi="Arial"/>
          <w:sz w:val="16"/>
          <w:szCs w:val="16"/>
          <w:color w:val="auto"/>
        </w:rPr>
        <w:t>Subsidiaries of South Plains Financial, Inc.</w:t>
      </w:r>
    </w:p>
    <w:p>
      <w:pPr>
        <w:spacing w:after="0" w:line="36" w:lineRule="exact"/>
        <w:rPr>
          <w:sz w:val="20"/>
          <w:szCs w:val="20"/>
          <w:color w:val="auto"/>
        </w:rPr>
      </w:pPr>
    </w:p>
    <w:p>
      <w:pPr>
        <w:ind w:left="207"/>
        <w:spacing w:after="0"/>
        <w:tabs>
          <w:tab w:leader="none" w:pos="806" w:val="left"/>
        </w:tabs>
        <w:rPr>
          <w:sz w:val="20"/>
          <w:szCs w:val="20"/>
          <w:color w:val="auto"/>
        </w:rPr>
      </w:pPr>
      <w:r>
        <w:rPr>
          <w:rFonts w:ascii="Arial" w:cs="Arial" w:eastAsia="Arial" w:hAnsi="Arial"/>
          <w:sz w:val="18"/>
          <w:szCs w:val="18"/>
          <w:u w:val="single" w:color="auto"/>
          <w:color w:val="0000EE"/>
        </w:rPr>
        <w:t>23.1</w:t>
      </w:r>
      <w:r>
        <w:rPr>
          <w:sz w:val="20"/>
          <w:szCs w:val="20"/>
          <w:color w:val="auto"/>
        </w:rPr>
        <w:tab/>
      </w:r>
      <w:r>
        <w:rPr>
          <w:rFonts w:ascii="Arial" w:cs="Arial" w:eastAsia="Arial" w:hAnsi="Arial"/>
          <w:sz w:val="16"/>
          <w:szCs w:val="16"/>
          <w:color w:val="auto"/>
        </w:rPr>
        <w:t>Consent of Weaver and Tidwell,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6071870" cy="1543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6071870" cy="154305"/>
                    </a:xfrm>
                    <a:prstGeom prst="rect">
                      <a:avLst/>
                    </a:prstGeom>
                    <a:noFill/>
                  </pic:spPr>
                </pic:pic>
              </a:graphicData>
            </a:graphic>
          </wp:anchor>
        </w:drawing>
      </w:r>
    </w:p>
    <w:p>
      <w:pPr>
        <w:spacing w:after="0" w:line="16" w:lineRule="exact"/>
        <w:rPr>
          <w:sz w:val="20"/>
          <w:szCs w:val="20"/>
          <w:color w:val="auto"/>
        </w:rPr>
      </w:pPr>
    </w:p>
    <w:p>
      <w:pPr>
        <w:ind w:left="207"/>
        <w:spacing w:after="0"/>
        <w:tabs>
          <w:tab w:leader="none" w:pos="806" w:val="left"/>
        </w:tabs>
        <w:rPr>
          <w:sz w:val="20"/>
          <w:szCs w:val="20"/>
          <w:color w:val="auto"/>
        </w:rPr>
      </w:pPr>
      <w:r>
        <w:rPr>
          <w:rFonts w:ascii="Arial" w:cs="Arial" w:eastAsia="Arial" w:hAnsi="Arial"/>
          <w:sz w:val="18"/>
          <w:szCs w:val="18"/>
          <w:u w:val="single" w:color="auto"/>
          <w:color w:val="0000EE"/>
        </w:rPr>
        <w:t>23.2</w:t>
      </w:r>
      <w:r>
        <w:rPr>
          <w:sz w:val="20"/>
          <w:szCs w:val="20"/>
          <w:color w:val="auto"/>
        </w:rPr>
        <w:tab/>
      </w:r>
      <w:r>
        <w:rPr>
          <w:rFonts w:ascii="Arial" w:cs="Arial" w:eastAsia="Arial" w:hAnsi="Arial"/>
          <w:sz w:val="16"/>
          <w:szCs w:val="16"/>
          <w:color w:val="auto"/>
        </w:rPr>
        <w:t>Consent of Hunton Andrews Kurth LLP (contained in Exhibit 5.1)</w:t>
      </w:r>
    </w:p>
    <w:p>
      <w:pPr>
        <w:spacing w:after="0" w:line="36" w:lineRule="exact"/>
        <w:rPr>
          <w:sz w:val="20"/>
          <w:szCs w:val="20"/>
          <w:color w:val="auto"/>
        </w:rPr>
      </w:pPr>
    </w:p>
    <w:p>
      <w:pPr>
        <w:ind w:left="207"/>
        <w:spacing w:after="0"/>
        <w:tabs>
          <w:tab w:leader="none" w:pos="806" w:val="left"/>
        </w:tabs>
        <w:rPr>
          <w:rFonts w:ascii="Arial" w:cs="Arial" w:eastAsia="Arial" w:hAnsi="Arial"/>
          <w:sz w:val="18"/>
          <w:szCs w:val="18"/>
          <w:color w:val="0000EE"/>
        </w:rPr>
      </w:pPr>
      <w:hyperlink w:anchor="page192">
        <w:r>
          <w:rPr>
            <w:rFonts w:ascii="Arial" w:cs="Arial" w:eastAsia="Arial" w:hAnsi="Arial"/>
            <w:sz w:val="18"/>
            <w:szCs w:val="18"/>
            <w:u w:val="single" w:color="auto"/>
            <w:color w:val="0000EE"/>
          </w:rPr>
          <w:t>24.1</w:t>
        </w:r>
      </w:hyperlink>
      <w:r>
        <w:rPr>
          <w:rFonts w:ascii="Arial" w:cs="Arial" w:eastAsia="Arial" w:hAnsi="Arial"/>
          <w:sz w:val="18"/>
          <w:szCs w:val="18"/>
          <w:color w:val="0000EE"/>
        </w:rPr>
        <w:tab/>
      </w:r>
      <w:r>
        <w:rPr>
          <w:rFonts w:ascii="Arial" w:cs="Arial" w:eastAsia="Arial" w:hAnsi="Arial"/>
          <w:sz w:val="16"/>
          <w:szCs w:val="16"/>
          <w:color w:val="0000EE"/>
        </w:rPr>
        <w:t>Powers of Attorney (included on signature page to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6071870" cy="1543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6071870" cy="15430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143510</wp:posOffset>
            </wp:positionV>
            <wp:extent cx="9093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322" w:lineRule="exact"/>
        <w:rPr>
          <w:sz w:val="20"/>
          <w:szCs w:val="20"/>
          <w:color w:val="auto"/>
        </w:rPr>
      </w:pPr>
    </w:p>
    <w:p>
      <w:pPr>
        <w:ind w:left="347" w:hanging="347"/>
        <w:spacing w:after="0"/>
        <w:tabs>
          <w:tab w:leader="none" w:pos="347"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109" w:lineRule="exact"/>
        <w:rPr>
          <w:rFonts w:ascii="Arial" w:cs="Arial" w:eastAsia="Arial" w:hAnsi="Arial"/>
          <w:sz w:val="14"/>
          <w:szCs w:val="14"/>
          <w:color w:val="auto"/>
        </w:rPr>
      </w:pPr>
    </w:p>
    <w:p>
      <w:pPr>
        <w:ind w:left="7"/>
        <w:spacing w:after="0"/>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3"/>
          <w:szCs w:val="13"/>
          <w:color w:val="auto"/>
        </w:rPr>
        <w:t>Previously filed.</w:t>
      </w:r>
    </w:p>
    <w:p>
      <w:pPr>
        <w:spacing w:after="0" w:line="109" w:lineRule="exact"/>
        <w:rPr>
          <w:rFonts w:ascii="Arial" w:cs="Arial" w:eastAsia="Arial" w:hAnsi="Arial"/>
          <w:sz w:val="14"/>
          <w:szCs w:val="14"/>
          <w:color w:val="auto"/>
        </w:rPr>
      </w:pPr>
    </w:p>
    <w:p>
      <w:pPr>
        <w:ind w:left="7"/>
        <w:spacing w:after="0"/>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2"/>
          <w:szCs w:val="12"/>
          <w:color w:val="auto"/>
        </w:rPr>
        <w:t>Indicates a management contract or compensatory plan.</w:t>
      </w:r>
    </w:p>
    <w:p>
      <w:pPr>
        <w:spacing w:after="0" w:line="100" w:lineRule="exact"/>
        <w:rPr>
          <w:sz w:val="20"/>
          <w:szCs w:val="20"/>
          <w:color w:val="auto"/>
        </w:rPr>
      </w:pPr>
    </w:p>
    <w:p>
      <w:pPr>
        <w:ind w:left="7"/>
        <w:spacing w:after="0"/>
        <w:tabs>
          <w:tab w:leader="none" w:pos="326"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Financial Statement Schedules</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All schedules have been omitted as not applicable or not required under the rules of Regulation S-X.</w:t>
      </w:r>
    </w:p>
    <w:p>
      <w:pPr>
        <w:spacing w:after="0" w:line="221"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 xml:space="preserve">ITEM 17 – </w:t>
      </w:r>
      <w:r>
        <w:rPr>
          <w:rFonts w:ascii="Arial" w:cs="Arial" w:eastAsia="Arial" w:hAnsi="Arial"/>
          <w:sz w:val="18"/>
          <w:szCs w:val="18"/>
          <w:b w:val="1"/>
          <w:bCs w:val="1"/>
          <w:i w:val="1"/>
          <w:iCs w:val="1"/>
          <w:color w:val="auto"/>
        </w:rPr>
        <w:t>Undertakings.</w:t>
      </w:r>
    </w:p>
    <w:p>
      <w:pPr>
        <w:spacing w:after="0" w:line="121" w:lineRule="exact"/>
        <w:rPr>
          <w:sz w:val="20"/>
          <w:szCs w:val="20"/>
          <w:color w:val="auto"/>
        </w:rPr>
      </w:pPr>
    </w:p>
    <w:p>
      <w:pPr>
        <w:ind w:left="7" w:firstLine="360"/>
        <w:spacing w:after="0" w:line="264"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73" w:lineRule="exact"/>
        <w:rPr>
          <w:sz w:val="20"/>
          <w:szCs w:val="20"/>
          <w:color w:val="auto"/>
        </w:rPr>
      </w:pPr>
    </w:p>
    <w:p>
      <w:pPr>
        <w:ind w:left="7" w:right="80" w:firstLine="360"/>
        <w:spacing w:after="0" w:line="270"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74" w:lineRule="exact"/>
        <w:rPr>
          <w:sz w:val="20"/>
          <w:szCs w:val="20"/>
          <w:color w:val="auto"/>
        </w:rPr>
      </w:pPr>
    </w:p>
    <w:p>
      <w:pPr>
        <w:ind w:left="367"/>
        <w:spacing w:after="0"/>
        <w:rPr>
          <w:sz w:val="20"/>
          <w:szCs w:val="20"/>
          <w:color w:val="auto"/>
        </w:rPr>
      </w:pPr>
      <w:r>
        <w:rPr>
          <w:rFonts w:ascii="Arial" w:cs="Arial" w:eastAsia="Arial" w:hAnsi="Arial"/>
          <w:sz w:val="18"/>
          <w:szCs w:val="18"/>
          <w:color w:val="auto"/>
        </w:rPr>
        <w:t>The registrant hereby further undertakes that:</w:t>
      </w:r>
    </w:p>
    <w:p>
      <w:pPr>
        <w:spacing w:after="0" w:line="117" w:lineRule="exact"/>
        <w:rPr>
          <w:sz w:val="20"/>
          <w:szCs w:val="20"/>
          <w:color w:val="auto"/>
        </w:rPr>
      </w:pPr>
    </w:p>
    <w:p>
      <w:pPr>
        <w:ind w:left="707" w:right="160" w:hanging="356"/>
        <w:spacing w:after="0" w:line="259" w:lineRule="auto"/>
        <w:tabs>
          <w:tab w:leader="none" w:pos="70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 and</w:t>
      </w:r>
    </w:p>
    <w:p>
      <w:pPr>
        <w:spacing w:after="0" w:line="78" w:lineRule="exact"/>
        <w:rPr>
          <w:rFonts w:ascii="Arial" w:cs="Arial" w:eastAsia="Arial" w:hAnsi="Arial"/>
          <w:sz w:val="18"/>
          <w:szCs w:val="18"/>
          <w:color w:val="auto"/>
        </w:rPr>
      </w:pPr>
    </w:p>
    <w:p>
      <w:pPr>
        <w:jc w:val="both"/>
        <w:ind w:left="707" w:right="120" w:hanging="356"/>
        <w:spacing w:after="0" w:line="286" w:lineRule="auto"/>
        <w:tabs>
          <w:tab w:leader="none" w:pos="707" w:val="left"/>
        </w:tabs>
        <w:numPr>
          <w:ilvl w:val="0"/>
          <w:numId w:val="102"/>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66"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type w:val="continuous"/>
        </w:sectPr>
      </w:pPr>
    </w:p>
    <w:bookmarkStart w:id="191" w:name="page192"/>
    <w:bookmarkEnd w:id="19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jc w:val="both"/>
        <w:ind w:right="500" w:firstLine="360"/>
        <w:spacing w:after="0" w:line="323" w:lineRule="auto"/>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to be signed on its behalf by the undersigned, thereunto duly authorized, in the City of Lubbock, State of Texas, on April 29, 2019.</w:t>
      </w:r>
    </w:p>
    <w:p>
      <w:pPr>
        <w:ind w:left="4580"/>
        <w:spacing w:after="0"/>
        <w:rPr>
          <w:sz w:val="20"/>
          <w:szCs w:val="20"/>
          <w:color w:val="auto"/>
        </w:rPr>
      </w:pPr>
      <w:r>
        <w:rPr>
          <w:rFonts w:ascii="Arial" w:cs="Arial" w:eastAsia="Arial" w:hAnsi="Arial"/>
          <w:sz w:val="18"/>
          <w:szCs w:val="18"/>
          <w:b w:val="1"/>
          <w:bCs w:val="1"/>
          <w:color w:val="auto"/>
        </w:rPr>
        <w:t>SOUTH PLAINS FINANCIAL, INC.</w:t>
      </w:r>
    </w:p>
    <w:p>
      <w:pPr>
        <w:spacing w:after="0" w:line="283" w:lineRule="exact"/>
        <w:rPr>
          <w:sz w:val="20"/>
          <w:szCs w:val="20"/>
          <w:color w:val="auto"/>
        </w:rPr>
      </w:pPr>
    </w:p>
    <w:p>
      <w:pPr>
        <w:ind w:left="4580"/>
        <w:spacing w:after="0"/>
        <w:tabs>
          <w:tab w:leader="none" w:pos="5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3224530</wp:posOffset>
            </wp:positionH>
            <wp:positionV relativeFrom="paragraph">
              <wp:posOffset>14605</wp:posOffset>
            </wp:positionV>
            <wp:extent cx="284734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3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Curtis C. Griffith,</w:t>
      </w:r>
    </w:p>
    <w:p>
      <w:pPr>
        <w:spacing w:after="0" w:line="3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Chairman and Chief Executive Officer</w:t>
      </w:r>
    </w:p>
    <w:p>
      <w:pPr>
        <w:spacing w:after="0" w:line="131"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2"/>
          </w:tcPr>
          <w:p>
            <w:pPr>
              <w:ind w:left="840"/>
              <w:spacing w:after="0"/>
              <w:rPr>
                <w:sz w:val="20"/>
                <w:szCs w:val="20"/>
                <w:color w:val="auto"/>
              </w:rPr>
            </w:pPr>
            <w:r>
              <w:rPr>
                <w:rFonts w:ascii="Arial" w:cs="Arial" w:eastAsia="Arial" w:hAnsi="Arial"/>
                <w:sz w:val="14"/>
                <w:szCs w:val="14"/>
                <w:b w:val="1"/>
                <w:bCs w:val="1"/>
                <w:color w:val="auto"/>
              </w:rPr>
              <w:t>Signature</w:t>
            </w:r>
          </w:p>
        </w:tc>
        <w:tc>
          <w:tcPr>
            <w:tcW w:w="160" w:type="dxa"/>
            <w:vAlign w:val="bottom"/>
          </w:tcPr>
          <w:p>
            <w:pPr>
              <w:spacing w:after="0"/>
              <w:rPr>
                <w:sz w:val="14"/>
                <w:szCs w:val="14"/>
                <w:color w:val="auto"/>
              </w:rPr>
            </w:pPr>
          </w:p>
        </w:tc>
        <w:tc>
          <w:tcPr>
            <w:tcW w:w="4620" w:type="dxa"/>
            <w:vAlign w:val="bottom"/>
            <w:tcBorders>
              <w:bottom w:val="single" w:sz="8" w:color="auto"/>
            </w:tcBorders>
          </w:tcPr>
          <w:p>
            <w:pPr>
              <w:ind w:left="2160"/>
              <w:spacing w:after="0"/>
              <w:rPr>
                <w:sz w:val="20"/>
                <w:szCs w:val="20"/>
                <w:color w:val="auto"/>
              </w:rPr>
            </w:pPr>
            <w:r>
              <w:rPr>
                <w:rFonts w:ascii="Arial" w:cs="Arial" w:eastAsia="Arial" w:hAnsi="Arial"/>
                <w:sz w:val="14"/>
                <w:szCs w:val="14"/>
                <w:b w:val="1"/>
                <w:bCs w:val="1"/>
                <w:color w:val="auto"/>
              </w:rPr>
              <w:t>Title</w:t>
            </w:r>
          </w:p>
        </w:tc>
        <w:tc>
          <w:tcPr>
            <w:tcW w:w="16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20" w:type="dxa"/>
            <w:vAlign w:val="bottom"/>
          </w:tcPr>
          <w:p>
            <w:pPr>
              <w:spacing w:after="0"/>
              <w:rPr>
                <w:sz w:val="14"/>
                <w:szCs w:val="14"/>
                <w:color w:val="auto"/>
              </w:rPr>
            </w:pPr>
          </w:p>
        </w:tc>
      </w:tr>
      <w:tr>
        <w:trPr>
          <w:trHeight w:val="480"/>
        </w:trPr>
        <w:tc>
          <w:tcPr>
            <w:tcW w:w="29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Curtis C. Griffith</w:t>
            </w:r>
          </w:p>
        </w:tc>
        <w:tc>
          <w:tcPr>
            <w:tcW w:w="160" w:type="dxa"/>
            <w:vAlign w:val="bottom"/>
          </w:tcPr>
          <w:p>
            <w:pPr>
              <w:spacing w:after="0"/>
              <w:rPr>
                <w:sz w:val="24"/>
                <w:szCs w:val="24"/>
                <w:color w:val="auto"/>
              </w:rPr>
            </w:pPr>
          </w:p>
        </w:tc>
        <w:tc>
          <w:tcPr>
            <w:tcW w:w="4620" w:type="dxa"/>
            <w:vAlign w:val="bottom"/>
          </w:tcPr>
          <w:p>
            <w:pPr>
              <w:ind w:left="60"/>
              <w:spacing w:after="0"/>
              <w:rPr>
                <w:sz w:val="20"/>
                <w:szCs w:val="20"/>
                <w:color w:val="auto"/>
              </w:rPr>
            </w:pPr>
            <w:r>
              <w:rPr>
                <w:rFonts w:ascii="Arial" w:cs="Arial" w:eastAsia="Arial" w:hAnsi="Arial"/>
                <w:sz w:val="18"/>
                <w:szCs w:val="18"/>
                <w:color w:val="auto"/>
              </w:rPr>
              <w:t>Director (Chairman); Chief Executive Officer</w:t>
            </w:r>
          </w:p>
        </w:tc>
        <w:tc>
          <w:tcPr>
            <w:tcW w:w="1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5"/>
              </w:rPr>
              <w:t>April 29, 2019</w:t>
            </w:r>
          </w:p>
        </w:tc>
        <w:tc>
          <w:tcPr>
            <w:tcW w:w="20" w:type="dxa"/>
            <w:vAlign w:val="bottom"/>
          </w:tcPr>
          <w:p>
            <w:pPr>
              <w:spacing w:after="0"/>
              <w:rPr>
                <w:sz w:val="24"/>
                <w:szCs w:val="24"/>
                <w:color w:val="auto"/>
              </w:rPr>
            </w:pPr>
          </w:p>
        </w:tc>
      </w:tr>
      <w:tr>
        <w:trPr>
          <w:trHeight w:val="237"/>
        </w:trPr>
        <w:tc>
          <w:tcPr>
            <w:tcW w:w="2900" w:type="dxa"/>
            <w:vAlign w:val="bottom"/>
            <w:gridSpan w:val="3"/>
          </w:tcPr>
          <w:p>
            <w:pPr>
              <w:spacing w:after="0"/>
              <w:rPr>
                <w:sz w:val="20"/>
                <w:szCs w:val="20"/>
                <w:color w:val="auto"/>
              </w:rPr>
            </w:pPr>
            <w:r>
              <w:rPr>
                <w:rFonts w:ascii="Arial" w:cs="Arial" w:eastAsia="Arial" w:hAnsi="Arial"/>
                <w:sz w:val="18"/>
                <w:szCs w:val="18"/>
                <w:color w:val="auto"/>
              </w:rPr>
              <w:t>Curtis C. Griffith</w:t>
            </w:r>
          </w:p>
        </w:tc>
        <w:tc>
          <w:tcPr>
            <w:tcW w:w="160" w:type="dxa"/>
            <w:vAlign w:val="bottom"/>
          </w:tcPr>
          <w:p>
            <w:pPr>
              <w:spacing w:after="0"/>
              <w:rPr>
                <w:sz w:val="20"/>
                <w:szCs w:val="20"/>
                <w:color w:val="auto"/>
              </w:rPr>
            </w:pPr>
          </w:p>
        </w:tc>
        <w:tc>
          <w:tcPr>
            <w:tcW w:w="4620" w:type="dxa"/>
            <w:vAlign w:val="bottom"/>
          </w:tcPr>
          <w:p>
            <w:pPr>
              <w:ind w:left="60"/>
              <w:spacing w:after="0"/>
              <w:rPr>
                <w:sz w:val="20"/>
                <w:szCs w:val="20"/>
                <w:color w:val="auto"/>
              </w:rPr>
            </w:pPr>
            <w:r>
              <w:rPr>
                <w:rFonts w:ascii="Arial" w:cs="Arial" w:eastAsia="Arial" w:hAnsi="Arial"/>
                <w:sz w:val="18"/>
                <w:szCs w:val="18"/>
                <w:color w:val="auto"/>
              </w:rPr>
              <w:t>(principal executive officer)</w:t>
            </w: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86"/>
        </w:trPr>
        <w:tc>
          <w:tcPr>
            <w:tcW w:w="29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Cory T. Newsom</w:t>
            </w:r>
          </w:p>
        </w:tc>
        <w:tc>
          <w:tcPr>
            <w:tcW w:w="160" w:type="dxa"/>
            <w:vAlign w:val="bottom"/>
          </w:tcPr>
          <w:p>
            <w:pPr>
              <w:spacing w:after="0"/>
              <w:rPr>
                <w:sz w:val="24"/>
                <w:szCs w:val="24"/>
                <w:color w:val="auto"/>
              </w:rPr>
            </w:pPr>
          </w:p>
        </w:tc>
        <w:tc>
          <w:tcPr>
            <w:tcW w:w="4620" w:type="dxa"/>
            <w:vAlign w:val="bottom"/>
          </w:tcPr>
          <w:p>
            <w:pPr>
              <w:ind w:left="60"/>
              <w:spacing w:after="0"/>
              <w:rPr>
                <w:sz w:val="20"/>
                <w:szCs w:val="20"/>
                <w:color w:val="auto"/>
              </w:rPr>
            </w:pPr>
            <w:r>
              <w:rPr>
                <w:rFonts w:ascii="Arial" w:cs="Arial" w:eastAsia="Arial" w:hAnsi="Arial"/>
                <w:sz w:val="18"/>
                <w:szCs w:val="18"/>
                <w:color w:val="auto"/>
              </w:rPr>
              <w:t>Director and President</w:t>
            </w:r>
          </w:p>
        </w:tc>
        <w:tc>
          <w:tcPr>
            <w:tcW w:w="1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5"/>
              </w:rPr>
              <w:t>April 29, 2019</w:t>
            </w:r>
          </w:p>
        </w:tc>
        <w:tc>
          <w:tcPr>
            <w:tcW w:w="20" w:type="dxa"/>
            <w:vAlign w:val="bottom"/>
          </w:tcPr>
          <w:p>
            <w:pPr>
              <w:spacing w:after="0"/>
              <w:rPr>
                <w:sz w:val="24"/>
                <w:szCs w:val="24"/>
                <w:color w:val="auto"/>
              </w:rPr>
            </w:pPr>
          </w:p>
        </w:tc>
      </w:tr>
      <w:tr>
        <w:trPr>
          <w:trHeight w:val="237"/>
        </w:trPr>
        <w:tc>
          <w:tcPr>
            <w:tcW w:w="2900" w:type="dxa"/>
            <w:vAlign w:val="bottom"/>
            <w:gridSpan w:val="3"/>
          </w:tcPr>
          <w:p>
            <w:pPr>
              <w:spacing w:after="0"/>
              <w:rPr>
                <w:sz w:val="20"/>
                <w:szCs w:val="20"/>
                <w:color w:val="auto"/>
              </w:rPr>
            </w:pPr>
            <w:r>
              <w:rPr>
                <w:rFonts w:ascii="Arial" w:cs="Arial" w:eastAsia="Arial" w:hAnsi="Arial"/>
                <w:sz w:val="18"/>
                <w:szCs w:val="18"/>
                <w:color w:val="auto"/>
              </w:rPr>
              <w:t>Cory T. Newsom</w:t>
            </w:r>
          </w:p>
        </w:tc>
        <w:tc>
          <w:tcPr>
            <w:tcW w:w="16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86"/>
        </w:trPr>
        <w:tc>
          <w:tcPr>
            <w:tcW w:w="29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Steven B. Crockett</w:t>
            </w:r>
          </w:p>
        </w:tc>
        <w:tc>
          <w:tcPr>
            <w:tcW w:w="160" w:type="dxa"/>
            <w:vAlign w:val="bottom"/>
          </w:tcPr>
          <w:p>
            <w:pPr>
              <w:spacing w:after="0"/>
              <w:rPr>
                <w:sz w:val="24"/>
                <w:szCs w:val="24"/>
                <w:color w:val="auto"/>
              </w:rPr>
            </w:pPr>
          </w:p>
        </w:tc>
        <w:tc>
          <w:tcPr>
            <w:tcW w:w="4620" w:type="dxa"/>
            <w:vAlign w:val="bottom"/>
          </w:tcPr>
          <w:p>
            <w:pPr>
              <w:ind w:left="60"/>
              <w:spacing w:after="0"/>
              <w:rPr>
                <w:sz w:val="20"/>
                <w:szCs w:val="20"/>
                <w:color w:val="auto"/>
              </w:rPr>
            </w:pPr>
            <w:r>
              <w:rPr>
                <w:rFonts w:ascii="Arial" w:cs="Arial" w:eastAsia="Arial" w:hAnsi="Arial"/>
                <w:sz w:val="18"/>
                <w:szCs w:val="18"/>
                <w:color w:val="auto"/>
                <w:w w:val="94"/>
              </w:rPr>
              <w:t>Chief Financial Officer and Treasurer (principal financial and</w:t>
            </w:r>
          </w:p>
        </w:tc>
        <w:tc>
          <w:tcPr>
            <w:tcW w:w="1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5"/>
              </w:rPr>
              <w:t>April 29, 2019</w:t>
            </w:r>
          </w:p>
        </w:tc>
        <w:tc>
          <w:tcPr>
            <w:tcW w:w="20" w:type="dxa"/>
            <w:vAlign w:val="bottom"/>
          </w:tcPr>
          <w:p>
            <w:pPr>
              <w:spacing w:after="0"/>
              <w:rPr>
                <w:sz w:val="24"/>
                <w:szCs w:val="24"/>
                <w:color w:val="auto"/>
              </w:rPr>
            </w:pPr>
          </w:p>
        </w:tc>
      </w:tr>
      <w:tr>
        <w:trPr>
          <w:trHeight w:val="237"/>
        </w:trPr>
        <w:tc>
          <w:tcPr>
            <w:tcW w:w="2900" w:type="dxa"/>
            <w:vAlign w:val="bottom"/>
            <w:gridSpan w:val="3"/>
          </w:tcPr>
          <w:p>
            <w:pPr>
              <w:spacing w:after="0"/>
              <w:rPr>
                <w:sz w:val="20"/>
                <w:szCs w:val="20"/>
                <w:color w:val="auto"/>
              </w:rPr>
            </w:pPr>
            <w:r>
              <w:rPr>
                <w:rFonts w:ascii="Arial" w:cs="Arial" w:eastAsia="Arial" w:hAnsi="Arial"/>
                <w:sz w:val="18"/>
                <w:szCs w:val="18"/>
                <w:color w:val="auto"/>
              </w:rPr>
              <w:t>Steven B. Crockett</w:t>
            </w:r>
          </w:p>
        </w:tc>
        <w:tc>
          <w:tcPr>
            <w:tcW w:w="160" w:type="dxa"/>
            <w:vAlign w:val="bottom"/>
          </w:tcPr>
          <w:p>
            <w:pPr>
              <w:spacing w:after="0"/>
              <w:rPr>
                <w:sz w:val="20"/>
                <w:szCs w:val="20"/>
                <w:color w:val="auto"/>
              </w:rPr>
            </w:pPr>
          </w:p>
        </w:tc>
        <w:tc>
          <w:tcPr>
            <w:tcW w:w="4620" w:type="dxa"/>
            <w:vAlign w:val="bottom"/>
          </w:tcPr>
          <w:p>
            <w:pPr>
              <w:ind w:left="60"/>
              <w:spacing w:after="0"/>
              <w:rPr>
                <w:sz w:val="20"/>
                <w:szCs w:val="20"/>
                <w:color w:val="auto"/>
              </w:rPr>
            </w:pPr>
            <w:r>
              <w:rPr>
                <w:rFonts w:ascii="Arial" w:cs="Arial" w:eastAsia="Arial" w:hAnsi="Arial"/>
                <w:sz w:val="18"/>
                <w:szCs w:val="18"/>
                <w:color w:val="auto"/>
              </w:rPr>
              <w:t>accounting officer)</w:t>
            </w: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86"/>
        </w:trPr>
        <w:tc>
          <w:tcPr>
            <w:tcW w:w="29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w:t>
            </w:r>
          </w:p>
        </w:tc>
        <w:tc>
          <w:tcPr>
            <w:tcW w:w="160" w:type="dxa"/>
            <w:vAlign w:val="bottom"/>
          </w:tcPr>
          <w:p>
            <w:pPr>
              <w:spacing w:after="0"/>
              <w:rPr>
                <w:sz w:val="24"/>
                <w:szCs w:val="24"/>
                <w:color w:val="auto"/>
              </w:rPr>
            </w:pPr>
          </w:p>
        </w:tc>
        <w:tc>
          <w:tcPr>
            <w:tcW w:w="4620" w:type="dxa"/>
            <w:vAlign w:val="bottom"/>
          </w:tcPr>
          <w:p>
            <w:pPr>
              <w:ind w:left="6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5"/>
              </w:rPr>
              <w:t>April 29, 2019</w:t>
            </w:r>
          </w:p>
        </w:tc>
        <w:tc>
          <w:tcPr>
            <w:tcW w:w="20" w:type="dxa"/>
            <w:vAlign w:val="bottom"/>
          </w:tcPr>
          <w:p>
            <w:pPr>
              <w:spacing w:after="0"/>
              <w:rPr>
                <w:sz w:val="24"/>
                <w:szCs w:val="24"/>
                <w:color w:val="auto"/>
              </w:rPr>
            </w:pPr>
          </w:p>
        </w:tc>
      </w:tr>
      <w:tr>
        <w:trPr>
          <w:trHeight w:val="237"/>
        </w:trPr>
        <w:tc>
          <w:tcPr>
            <w:tcW w:w="2900" w:type="dxa"/>
            <w:vAlign w:val="bottom"/>
            <w:gridSpan w:val="3"/>
          </w:tcPr>
          <w:p>
            <w:pPr>
              <w:spacing w:after="0"/>
              <w:rPr>
                <w:sz w:val="20"/>
                <w:szCs w:val="20"/>
                <w:color w:val="auto"/>
              </w:rPr>
            </w:pPr>
            <w:r>
              <w:rPr>
                <w:rFonts w:ascii="Arial" w:cs="Arial" w:eastAsia="Arial" w:hAnsi="Arial"/>
                <w:sz w:val="18"/>
                <w:szCs w:val="18"/>
                <w:color w:val="auto"/>
              </w:rPr>
              <w:t>Richard D. Campbell</w:t>
            </w:r>
          </w:p>
        </w:tc>
        <w:tc>
          <w:tcPr>
            <w:tcW w:w="16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86"/>
        </w:trPr>
        <w:tc>
          <w:tcPr>
            <w:tcW w:w="29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w:t>
            </w:r>
          </w:p>
        </w:tc>
        <w:tc>
          <w:tcPr>
            <w:tcW w:w="160" w:type="dxa"/>
            <w:vAlign w:val="bottom"/>
          </w:tcPr>
          <w:p>
            <w:pPr>
              <w:spacing w:after="0"/>
              <w:rPr>
                <w:sz w:val="24"/>
                <w:szCs w:val="24"/>
                <w:color w:val="auto"/>
              </w:rPr>
            </w:pPr>
          </w:p>
        </w:tc>
        <w:tc>
          <w:tcPr>
            <w:tcW w:w="4620" w:type="dxa"/>
            <w:vAlign w:val="bottom"/>
          </w:tcPr>
          <w:p>
            <w:pPr>
              <w:ind w:left="6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5"/>
              </w:rPr>
              <w:t>April 29, 2019</w:t>
            </w:r>
          </w:p>
        </w:tc>
        <w:tc>
          <w:tcPr>
            <w:tcW w:w="20" w:type="dxa"/>
            <w:vAlign w:val="bottom"/>
          </w:tcPr>
          <w:p>
            <w:pPr>
              <w:spacing w:after="0"/>
              <w:rPr>
                <w:sz w:val="24"/>
                <w:szCs w:val="24"/>
                <w:color w:val="auto"/>
              </w:rPr>
            </w:pPr>
          </w:p>
        </w:tc>
      </w:tr>
      <w:tr>
        <w:trPr>
          <w:trHeight w:val="237"/>
        </w:trPr>
        <w:tc>
          <w:tcPr>
            <w:tcW w:w="2900" w:type="dxa"/>
            <w:vAlign w:val="bottom"/>
            <w:gridSpan w:val="3"/>
          </w:tcPr>
          <w:p>
            <w:pPr>
              <w:spacing w:after="0"/>
              <w:rPr>
                <w:sz w:val="20"/>
                <w:szCs w:val="20"/>
                <w:color w:val="auto"/>
              </w:rPr>
            </w:pPr>
            <w:r>
              <w:rPr>
                <w:rFonts w:ascii="Arial" w:cs="Arial" w:eastAsia="Arial" w:hAnsi="Arial"/>
                <w:sz w:val="18"/>
                <w:szCs w:val="18"/>
                <w:color w:val="auto"/>
              </w:rPr>
              <w:t>Cynthia B. Keith</w:t>
            </w:r>
          </w:p>
        </w:tc>
        <w:tc>
          <w:tcPr>
            <w:tcW w:w="16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86"/>
        </w:trPr>
        <w:tc>
          <w:tcPr>
            <w:tcW w:w="29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w:t>
            </w:r>
          </w:p>
        </w:tc>
        <w:tc>
          <w:tcPr>
            <w:tcW w:w="160" w:type="dxa"/>
            <w:vAlign w:val="bottom"/>
          </w:tcPr>
          <w:p>
            <w:pPr>
              <w:spacing w:after="0"/>
              <w:rPr>
                <w:sz w:val="24"/>
                <w:szCs w:val="24"/>
                <w:color w:val="auto"/>
              </w:rPr>
            </w:pPr>
          </w:p>
        </w:tc>
        <w:tc>
          <w:tcPr>
            <w:tcW w:w="4620" w:type="dxa"/>
            <w:vAlign w:val="bottom"/>
          </w:tcPr>
          <w:p>
            <w:pPr>
              <w:ind w:left="6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5"/>
              </w:rPr>
              <w:t>April 29, 2019</w:t>
            </w:r>
          </w:p>
        </w:tc>
        <w:tc>
          <w:tcPr>
            <w:tcW w:w="20" w:type="dxa"/>
            <w:vAlign w:val="bottom"/>
          </w:tcPr>
          <w:p>
            <w:pPr>
              <w:spacing w:after="0"/>
              <w:rPr>
                <w:sz w:val="24"/>
                <w:szCs w:val="24"/>
                <w:color w:val="auto"/>
              </w:rPr>
            </w:pPr>
          </w:p>
        </w:tc>
      </w:tr>
      <w:tr>
        <w:trPr>
          <w:trHeight w:val="237"/>
        </w:trPr>
        <w:tc>
          <w:tcPr>
            <w:tcW w:w="2900" w:type="dxa"/>
            <w:vAlign w:val="bottom"/>
            <w:gridSpan w:val="3"/>
          </w:tcPr>
          <w:p>
            <w:pPr>
              <w:spacing w:after="0"/>
              <w:rPr>
                <w:sz w:val="20"/>
                <w:szCs w:val="20"/>
                <w:color w:val="auto"/>
              </w:rPr>
            </w:pPr>
            <w:r>
              <w:rPr>
                <w:rFonts w:ascii="Arial" w:cs="Arial" w:eastAsia="Arial" w:hAnsi="Arial"/>
                <w:sz w:val="18"/>
                <w:szCs w:val="18"/>
                <w:color w:val="auto"/>
              </w:rPr>
              <w:t>Allison S. Navitskas</w:t>
            </w:r>
          </w:p>
        </w:tc>
        <w:tc>
          <w:tcPr>
            <w:tcW w:w="16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86"/>
        </w:trPr>
        <w:tc>
          <w:tcPr>
            <w:tcW w:w="29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w:t>
            </w:r>
          </w:p>
        </w:tc>
        <w:tc>
          <w:tcPr>
            <w:tcW w:w="160" w:type="dxa"/>
            <w:vAlign w:val="bottom"/>
          </w:tcPr>
          <w:p>
            <w:pPr>
              <w:spacing w:after="0"/>
              <w:rPr>
                <w:sz w:val="24"/>
                <w:szCs w:val="24"/>
                <w:color w:val="auto"/>
              </w:rPr>
            </w:pPr>
          </w:p>
        </w:tc>
        <w:tc>
          <w:tcPr>
            <w:tcW w:w="4620" w:type="dxa"/>
            <w:vAlign w:val="bottom"/>
          </w:tcPr>
          <w:p>
            <w:pPr>
              <w:ind w:left="6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5"/>
              </w:rPr>
              <w:t>April 29, 2019</w:t>
            </w:r>
          </w:p>
        </w:tc>
        <w:tc>
          <w:tcPr>
            <w:tcW w:w="20" w:type="dxa"/>
            <w:vAlign w:val="bottom"/>
          </w:tcPr>
          <w:p>
            <w:pPr>
              <w:spacing w:after="0"/>
              <w:rPr>
                <w:sz w:val="24"/>
                <w:szCs w:val="24"/>
                <w:color w:val="auto"/>
              </w:rPr>
            </w:pPr>
          </w:p>
        </w:tc>
      </w:tr>
      <w:tr>
        <w:trPr>
          <w:trHeight w:val="237"/>
        </w:trPr>
        <w:tc>
          <w:tcPr>
            <w:tcW w:w="2900" w:type="dxa"/>
            <w:vAlign w:val="bottom"/>
            <w:gridSpan w:val="3"/>
          </w:tcPr>
          <w:p>
            <w:pPr>
              <w:spacing w:after="0"/>
              <w:rPr>
                <w:sz w:val="20"/>
                <w:szCs w:val="20"/>
                <w:color w:val="auto"/>
              </w:rPr>
            </w:pPr>
            <w:r>
              <w:rPr>
                <w:rFonts w:ascii="Arial" w:cs="Arial" w:eastAsia="Arial" w:hAnsi="Arial"/>
                <w:sz w:val="18"/>
                <w:szCs w:val="18"/>
                <w:color w:val="auto"/>
              </w:rPr>
              <w:t>Noe G. Valles</w:t>
            </w:r>
          </w:p>
        </w:tc>
        <w:tc>
          <w:tcPr>
            <w:tcW w:w="16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86"/>
        </w:trPr>
        <w:tc>
          <w:tcPr>
            <w:tcW w:w="29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w:t>
            </w:r>
          </w:p>
        </w:tc>
        <w:tc>
          <w:tcPr>
            <w:tcW w:w="160" w:type="dxa"/>
            <w:vAlign w:val="bottom"/>
          </w:tcPr>
          <w:p>
            <w:pPr>
              <w:spacing w:after="0"/>
              <w:rPr>
                <w:sz w:val="24"/>
                <w:szCs w:val="24"/>
                <w:color w:val="auto"/>
              </w:rPr>
            </w:pPr>
          </w:p>
        </w:tc>
        <w:tc>
          <w:tcPr>
            <w:tcW w:w="4620" w:type="dxa"/>
            <w:vAlign w:val="bottom"/>
          </w:tcPr>
          <w:p>
            <w:pPr>
              <w:ind w:left="6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5"/>
              </w:rPr>
              <w:t>April 29, 2019</w:t>
            </w:r>
          </w:p>
        </w:tc>
        <w:tc>
          <w:tcPr>
            <w:tcW w:w="20" w:type="dxa"/>
            <w:vAlign w:val="bottom"/>
          </w:tcPr>
          <w:p>
            <w:pPr>
              <w:spacing w:after="0"/>
              <w:rPr>
                <w:sz w:val="24"/>
                <w:szCs w:val="24"/>
                <w:color w:val="auto"/>
              </w:rPr>
            </w:pPr>
          </w:p>
        </w:tc>
      </w:tr>
      <w:tr>
        <w:trPr>
          <w:trHeight w:val="237"/>
        </w:trPr>
        <w:tc>
          <w:tcPr>
            <w:tcW w:w="2900" w:type="dxa"/>
            <w:vAlign w:val="bottom"/>
            <w:gridSpan w:val="3"/>
          </w:tcPr>
          <w:p>
            <w:pPr>
              <w:spacing w:after="0"/>
              <w:rPr>
                <w:sz w:val="20"/>
                <w:szCs w:val="20"/>
                <w:color w:val="auto"/>
              </w:rPr>
            </w:pPr>
            <w:r>
              <w:rPr>
                <w:rFonts w:ascii="Arial" w:cs="Arial" w:eastAsia="Arial" w:hAnsi="Arial"/>
                <w:sz w:val="18"/>
                <w:szCs w:val="18"/>
                <w:color w:val="auto"/>
              </w:rPr>
              <w:t>Kyle R. Wargo</w:t>
            </w:r>
          </w:p>
        </w:tc>
        <w:tc>
          <w:tcPr>
            <w:tcW w:w="16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23"/>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1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0"/>
        </w:trPr>
        <w:tc>
          <w:tcPr>
            <w:tcW w:w="2900" w:type="dxa"/>
            <w:vAlign w:val="bottom"/>
            <w:gridSpan w:val="3"/>
          </w:tcPr>
          <w:p>
            <w:pPr>
              <w:spacing w:after="0" w:line="190" w:lineRule="exact"/>
              <w:rPr>
                <w:sz w:val="20"/>
                <w:szCs w:val="20"/>
                <w:color w:val="auto"/>
              </w:rPr>
            </w:pPr>
            <w:r>
              <w:rPr>
                <w:rFonts w:ascii="Arial" w:cs="Arial" w:eastAsia="Arial" w:hAnsi="Arial"/>
                <w:sz w:val="18"/>
                <w:szCs w:val="18"/>
                <w:color w:val="auto"/>
              </w:rPr>
              <w:t>By:/s/ Curtis C. Griffith</w:t>
            </w:r>
          </w:p>
        </w:tc>
        <w:tc>
          <w:tcPr>
            <w:tcW w:w="16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26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2900" w:type="dxa"/>
            <w:vAlign w:val="bottom"/>
            <w:gridSpan w:val="3"/>
          </w:tcPr>
          <w:p>
            <w:pPr>
              <w:spacing w:after="0"/>
              <w:rPr>
                <w:sz w:val="20"/>
                <w:szCs w:val="20"/>
                <w:color w:val="auto"/>
              </w:rPr>
            </w:pPr>
            <w:r>
              <w:rPr>
                <w:rFonts w:ascii="Arial" w:cs="Arial" w:eastAsia="Arial" w:hAnsi="Arial"/>
                <w:sz w:val="18"/>
                <w:szCs w:val="18"/>
                <w:color w:val="auto"/>
              </w:rPr>
              <w:t>Curtis C. Gfiffith</w:t>
            </w:r>
          </w:p>
        </w:tc>
        <w:tc>
          <w:tcPr>
            <w:tcW w:w="16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900" w:type="dxa"/>
            <w:vAlign w:val="bottom"/>
            <w:gridSpan w:val="3"/>
          </w:tcPr>
          <w:p>
            <w:pPr>
              <w:spacing w:after="0"/>
              <w:rPr>
                <w:sz w:val="20"/>
                <w:szCs w:val="20"/>
                <w:color w:val="auto"/>
              </w:rPr>
            </w:pPr>
            <w:r>
              <w:rPr>
                <w:rFonts w:ascii="Arial" w:cs="Arial" w:eastAsia="Arial" w:hAnsi="Arial"/>
                <w:sz w:val="18"/>
                <w:szCs w:val="18"/>
                <w:color w:val="auto"/>
              </w:rPr>
              <w:t>Attorney-in-Fact</w:t>
            </w:r>
          </w:p>
        </w:tc>
        <w:tc>
          <w:tcPr>
            <w:tcW w:w="16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2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20" w:type="dxa"/>
            <w:vAlign w:val="bottom"/>
          </w:tcPr>
          <w:p>
            <w:pPr>
              <w:ind w:left="1580"/>
              <w:spacing w:after="0"/>
              <w:rPr>
                <w:sz w:val="20"/>
                <w:szCs w:val="20"/>
                <w:color w:val="auto"/>
              </w:rPr>
            </w:pPr>
            <w:r>
              <w:rPr>
                <w:rFonts w:ascii="Arial" w:cs="Arial" w:eastAsia="Arial" w:hAnsi="Arial"/>
                <w:sz w:val="18"/>
                <w:szCs w:val="18"/>
                <w:color w:val="auto"/>
              </w:rPr>
              <w:t>II-4</w:t>
            </w: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6"/>
        </w:trPr>
        <w:tc>
          <w:tcPr>
            <w:tcW w:w="2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8"/>
        </w:trPr>
        <w:tc>
          <w:tcPr>
            <w:tcW w:w="260" w:type="dxa"/>
            <w:vAlign w:val="bottom"/>
            <w:shd w:val="clear" w:color="auto" w:fill="000000"/>
          </w:tcPr>
          <w:p>
            <w:pPr>
              <w:spacing w:after="0"/>
              <w:rPr>
                <w:sz w:val="5"/>
                <w:szCs w:val="5"/>
                <w:color w:val="auto"/>
              </w:rPr>
            </w:pPr>
          </w:p>
        </w:tc>
        <w:tc>
          <w:tcPr>
            <w:tcW w:w="1980" w:type="dxa"/>
            <w:vAlign w:val="bottom"/>
            <w:shd w:val="clear" w:color="auto" w:fill="000000"/>
          </w:tcPr>
          <w:p>
            <w:pPr>
              <w:spacing w:after="0"/>
              <w:rPr>
                <w:sz w:val="5"/>
                <w:szCs w:val="5"/>
                <w:color w:val="auto"/>
              </w:rPr>
            </w:pPr>
          </w:p>
        </w:tc>
        <w:tc>
          <w:tcPr>
            <w:tcW w:w="6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46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7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9" w:right="115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1.1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Shares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 PLAINS FINANCIAL,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Stock</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UNDERWRITING AGREEMENT</w:t>
      </w:r>
    </w:p>
    <w:p>
      <w:pPr>
        <w:spacing w:after="0" w:line="252" w:lineRule="exact"/>
        <w:rPr>
          <w:sz w:val="20"/>
          <w:szCs w:val="20"/>
          <w:color w:val="auto"/>
        </w:rPr>
      </w:pPr>
    </w:p>
    <w:p>
      <w:pPr>
        <w:ind w:left="10780"/>
        <w:spacing w:after="0"/>
        <w:rPr>
          <w:sz w:val="20"/>
          <w:szCs w:val="20"/>
          <w:color w:val="auto"/>
        </w:rPr>
      </w:pPr>
      <w:r>
        <w:rPr>
          <w:rFonts w:ascii="Arial" w:cs="Arial" w:eastAsia="Arial" w:hAnsi="Arial"/>
          <w:sz w:val="17"/>
          <w:szCs w:val="17"/>
          <w:color w:val="auto"/>
        </w:rPr>
        <w:t>[•], 2019</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KEEFE, BRUYETTE &amp; WOODS, INC.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787 Seventh Avenue</w:t>
      </w:r>
    </w:p>
    <w:p>
      <w:pPr>
        <w:spacing w:after="0" w:line="184" w:lineRule="auto"/>
        <w:rPr>
          <w:sz w:val="20"/>
          <w:szCs w:val="20"/>
          <w:color w:val="auto"/>
        </w:rPr>
      </w:pPr>
      <w:r>
        <w:rPr>
          <w:rFonts w:ascii="Arial" w:cs="Arial" w:eastAsia="Arial" w:hAnsi="Arial"/>
          <w:sz w:val="16"/>
          <w:szCs w:val="16"/>
          <w:color w:val="auto"/>
        </w:rPr>
        <w:t>4</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SANDLER O’NEILL &amp; PARTNERS,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1251 Avenue of the Americas, 6th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South Plains Financial, Inc., a Texas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proposes to issue and sell to Keefe, Bruyette &amp; Woods, Inc. and Sandler O’Neill</w:t>
      </w:r>
    </w:p>
    <w:p>
      <w:pPr>
        <w:spacing w:after="0" w:line="50" w:lineRule="exact"/>
        <w:rPr>
          <w:sz w:val="20"/>
          <w:szCs w:val="20"/>
          <w:color w:val="auto"/>
        </w:rPr>
      </w:pPr>
    </w:p>
    <w:p>
      <w:pPr>
        <w:jc w:val="both"/>
        <w:ind w:firstLine="8"/>
        <w:spacing w:after="0" w:line="270" w:lineRule="auto"/>
        <w:tabs>
          <w:tab w:leader="none" w:pos="185" w:val="left"/>
        </w:tabs>
        <w:numPr>
          <w:ilvl w:val="0"/>
          <w:numId w:val="103"/>
        </w:numPr>
        <w:rPr>
          <w:rFonts w:ascii="Arial" w:cs="Arial" w:eastAsia="Arial" w:hAnsi="Arial"/>
          <w:sz w:val="17"/>
          <w:szCs w:val="17"/>
          <w:color w:val="auto"/>
        </w:rPr>
      </w:pPr>
      <w:r>
        <w:rPr>
          <w:rFonts w:ascii="Arial" w:cs="Arial" w:eastAsia="Arial" w:hAnsi="Arial"/>
          <w:sz w:val="17"/>
          <w:szCs w:val="17"/>
          <w:color w:val="auto"/>
        </w:rPr>
        <w:t>Partners, L.P. (the “</w:t>
      </w:r>
      <w:r>
        <w:rPr>
          <w:rFonts w:ascii="Arial" w:cs="Arial" w:eastAsia="Arial" w:hAnsi="Arial"/>
          <w:sz w:val="17"/>
          <w:szCs w:val="17"/>
          <w:b w:val="1"/>
          <w:bCs w:val="1"/>
          <w:color w:val="auto"/>
        </w:rPr>
        <w:t>Underwriters</w:t>
      </w:r>
      <w:r>
        <w:rPr>
          <w:rFonts w:ascii="Arial" w:cs="Arial" w:eastAsia="Arial" w:hAnsi="Arial"/>
          <w:sz w:val="17"/>
          <w:szCs w:val="17"/>
          <w:color w:val="auto"/>
        </w:rPr>
        <w:t xml:space="preserve">”), and certain shareholders of the Company named in </w:t>
      </w:r>
      <w:r>
        <w:rPr>
          <w:rFonts w:ascii="Arial" w:cs="Arial" w:eastAsia="Arial" w:hAnsi="Arial"/>
          <w:sz w:val="17"/>
          <w:szCs w:val="17"/>
          <w:u w:val="single" w:color="auto"/>
          <w:color w:val="auto"/>
        </w:rPr>
        <w:t>Schedule II</w:t>
      </w:r>
      <w:r>
        <w:rPr>
          <w:rFonts w:ascii="Arial" w:cs="Arial" w:eastAsia="Arial" w:hAnsi="Arial"/>
          <w:sz w:val="17"/>
          <w:szCs w:val="17"/>
          <w:color w:val="auto"/>
        </w:rPr>
        <w:t xml:space="preserve"> hereto (the “</w:t>
      </w:r>
      <w:r>
        <w:rPr>
          <w:rFonts w:ascii="Arial" w:cs="Arial" w:eastAsia="Arial" w:hAnsi="Arial"/>
          <w:sz w:val="17"/>
          <w:szCs w:val="17"/>
          <w:b w:val="1"/>
          <w:bCs w:val="1"/>
          <w:color w:val="auto"/>
        </w:rPr>
        <w:t>Selling Shareholders</w:t>
      </w:r>
      <w:r>
        <w:rPr>
          <w:rFonts w:ascii="Arial" w:cs="Arial" w:eastAsia="Arial" w:hAnsi="Arial"/>
          <w:sz w:val="17"/>
          <w:szCs w:val="17"/>
          <w:color w:val="auto"/>
        </w:rPr>
        <w:t>”) severally propose to sell to the several Underwriters pursuant to the terms set forth herein (this “</w:t>
      </w:r>
      <w:r>
        <w:rPr>
          <w:rFonts w:ascii="Arial" w:cs="Arial" w:eastAsia="Arial" w:hAnsi="Arial"/>
          <w:sz w:val="17"/>
          <w:szCs w:val="17"/>
          <w:b w:val="1"/>
          <w:bCs w:val="1"/>
          <w:color w:val="auto"/>
        </w:rPr>
        <w:t>Agreement</w:t>
      </w:r>
      <w:r>
        <w:rPr>
          <w:rFonts w:ascii="Arial" w:cs="Arial" w:eastAsia="Arial" w:hAnsi="Arial"/>
          <w:sz w:val="17"/>
          <w:szCs w:val="17"/>
          <w:color w:val="auto"/>
        </w:rPr>
        <w:t xml:space="preserve">”), an aggregate of </w:t>
      </w:r>
      <w:r>
        <w:rPr>
          <w:rFonts w:ascii="Arial" w:cs="Arial" w:eastAsia="Arial" w:hAnsi="Arial"/>
          <w:sz w:val="17"/>
          <w:szCs w:val="17"/>
          <w:b w:val="1"/>
          <w:bCs w:val="1"/>
          <w:color w:val="auto"/>
        </w:rPr>
        <w:t>[•]</w:t>
      </w:r>
      <w:r>
        <w:rPr>
          <w:rFonts w:ascii="Arial" w:cs="Arial" w:eastAsia="Arial" w:hAnsi="Arial"/>
          <w:sz w:val="17"/>
          <w:szCs w:val="17"/>
          <w:color w:val="auto"/>
        </w:rPr>
        <w:t xml:space="preserve"> shares (the “</w:t>
      </w:r>
      <w:r>
        <w:rPr>
          <w:rFonts w:ascii="Arial" w:cs="Arial" w:eastAsia="Arial" w:hAnsi="Arial"/>
          <w:sz w:val="17"/>
          <w:szCs w:val="17"/>
          <w:b w:val="1"/>
          <w:bCs w:val="1"/>
          <w:color w:val="auto"/>
        </w:rPr>
        <w:t>Firm Shares</w:t>
      </w:r>
      <w:r>
        <w:rPr>
          <w:rFonts w:ascii="Arial" w:cs="Arial" w:eastAsia="Arial" w:hAnsi="Arial"/>
          <w:sz w:val="17"/>
          <w:szCs w:val="17"/>
          <w:color w:val="auto"/>
        </w:rPr>
        <w:t>”) of the Company’s common stock, par value $1.00 per share (the “</w:t>
      </w:r>
      <w:r>
        <w:rPr>
          <w:rFonts w:ascii="Arial" w:cs="Arial" w:eastAsia="Arial" w:hAnsi="Arial"/>
          <w:sz w:val="17"/>
          <w:szCs w:val="17"/>
          <w:b w:val="1"/>
          <w:bCs w:val="1"/>
          <w:color w:val="auto"/>
        </w:rPr>
        <w:t>Common Stock</w:t>
      </w:r>
      <w:r>
        <w:rPr>
          <w:rFonts w:ascii="Arial" w:cs="Arial" w:eastAsia="Arial" w:hAnsi="Arial"/>
          <w:sz w:val="17"/>
          <w:szCs w:val="17"/>
          <w:color w:val="auto"/>
        </w:rPr>
        <w:t xml:space="preserve">”), of which </w:t>
      </w:r>
      <w:r>
        <w:rPr>
          <w:rFonts w:ascii="Arial" w:cs="Arial" w:eastAsia="Arial" w:hAnsi="Arial"/>
          <w:sz w:val="17"/>
          <w:szCs w:val="17"/>
          <w:b w:val="1"/>
          <w:bCs w:val="1"/>
          <w:color w:val="auto"/>
        </w:rPr>
        <w:t>[•</w:t>
      </w:r>
      <w:r>
        <w:rPr>
          <w:rFonts w:ascii="Arial" w:cs="Arial" w:eastAsia="Arial" w:hAnsi="Arial"/>
          <w:sz w:val="17"/>
          <w:szCs w:val="17"/>
          <w:color w:val="auto"/>
        </w:rPr>
        <w:t xml:space="preserve">] shares are to be issued and sold by the Company and </w:t>
      </w:r>
      <w:r>
        <w:rPr>
          <w:rFonts w:ascii="Arial" w:cs="Arial" w:eastAsia="Arial" w:hAnsi="Arial"/>
          <w:sz w:val="17"/>
          <w:szCs w:val="17"/>
          <w:b w:val="1"/>
          <w:bCs w:val="1"/>
          <w:color w:val="auto"/>
        </w:rPr>
        <w:t>[•]</w:t>
      </w:r>
      <w:r>
        <w:rPr>
          <w:rFonts w:ascii="Arial" w:cs="Arial" w:eastAsia="Arial" w:hAnsi="Arial"/>
          <w:sz w:val="17"/>
          <w:szCs w:val="17"/>
          <w:color w:val="auto"/>
        </w:rPr>
        <w:t xml:space="preserve"> shares are to be sold by the Selling Shareholders in the respective amounts set forth opposite their respective names in </w:t>
      </w:r>
      <w:r>
        <w:rPr>
          <w:rFonts w:ascii="Arial" w:cs="Arial" w:eastAsia="Arial" w:hAnsi="Arial"/>
          <w:sz w:val="17"/>
          <w:szCs w:val="17"/>
          <w:u w:val="single" w:color="auto"/>
          <w:color w:val="auto"/>
        </w:rPr>
        <w:t>Schedule II</w:t>
      </w:r>
      <w:r>
        <w:rPr>
          <w:rFonts w:ascii="Arial" w:cs="Arial" w:eastAsia="Arial" w:hAnsi="Arial"/>
          <w:sz w:val="17"/>
          <w:szCs w:val="17"/>
          <w:color w:val="auto"/>
        </w:rPr>
        <w:t xml:space="preserve"> hereto. The Company has also granted to the Underwriters an option to purchase from the Company up to an additional </w:t>
      </w:r>
      <w:r>
        <w:rPr>
          <w:rFonts w:ascii="Arial" w:cs="Arial" w:eastAsia="Arial" w:hAnsi="Arial"/>
          <w:sz w:val="17"/>
          <w:szCs w:val="17"/>
          <w:b w:val="1"/>
          <w:bCs w:val="1"/>
          <w:color w:val="auto"/>
        </w:rPr>
        <w:t>[•]</w:t>
      </w:r>
      <w:r>
        <w:rPr>
          <w:rFonts w:ascii="Arial" w:cs="Arial" w:eastAsia="Arial" w:hAnsi="Arial"/>
          <w:sz w:val="17"/>
          <w:szCs w:val="17"/>
          <w:color w:val="auto"/>
        </w:rPr>
        <w:t xml:space="preserve"> shares of Common Stock (the “</w:t>
      </w:r>
      <w:r>
        <w:rPr>
          <w:rFonts w:ascii="Arial" w:cs="Arial" w:eastAsia="Arial" w:hAnsi="Arial"/>
          <w:sz w:val="17"/>
          <w:szCs w:val="17"/>
          <w:b w:val="1"/>
          <w:bCs w:val="1"/>
          <w:color w:val="auto"/>
        </w:rPr>
        <w:t>Option Shares</w:t>
      </w:r>
      <w:r>
        <w:rPr>
          <w:rFonts w:ascii="Arial" w:cs="Arial" w:eastAsia="Arial" w:hAnsi="Arial"/>
          <w:sz w:val="17"/>
          <w:szCs w:val="17"/>
          <w:color w:val="auto"/>
        </w:rPr>
        <w:t>”). The Firm Shares and the Option Shares are hereinafter referred to collectively as the “</w:t>
      </w:r>
      <w:r>
        <w:rPr>
          <w:rFonts w:ascii="Arial" w:cs="Arial" w:eastAsia="Arial" w:hAnsi="Arial"/>
          <w:sz w:val="17"/>
          <w:szCs w:val="17"/>
          <w:b w:val="1"/>
          <w:bCs w:val="1"/>
          <w:color w:val="auto"/>
        </w:rPr>
        <w:t>Shares</w:t>
      </w:r>
      <w:r>
        <w:rPr>
          <w:rFonts w:ascii="Arial" w:cs="Arial" w:eastAsia="Arial" w:hAnsi="Arial"/>
          <w:sz w:val="17"/>
          <w:szCs w:val="17"/>
          <w:color w:val="auto"/>
        </w:rPr>
        <w:t>.”</w:t>
      </w:r>
    </w:p>
    <w:p>
      <w:pPr>
        <w:spacing w:after="0" w:line="20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Company has prepared and filed with the United States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a registration statement on Form S-1 (File No. 333-[●]), which includes a form of prospectus to be used in connection with the public offering and sale of the Shares. Such registration statement, as amended, including the financial statements, documents, exhibits and schedules thereto, in the form in which it became effective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and the rules and regulations promulgated thereunder (the “</w:t>
      </w:r>
      <w:r>
        <w:rPr>
          <w:rFonts w:ascii="Arial" w:cs="Arial" w:eastAsia="Arial" w:hAnsi="Arial"/>
          <w:sz w:val="17"/>
          <w:szCs w:val="17"/>
          <w:b w:val="1"/>
          <w:bCs w:val="1"/>
          <w:color w:val="auto"/>
        </w:rPr>
        <w:t>Securities Act Regulations</w:t>
      </w:r>
      <w:r>
        <w:rPr>
          <w:rFonts w:ascii="Arial" w:cs="Arial" w:eastAsia="Arial" w:hAnsi="Arial"/>
          <w:sz w:val="17"/>
          <w:szCs w:val="17"/>
          <w:color w:val="auto"/>
        </w:rPr>
        <w:t>”), including any information contained in the prospectus filed as a part of the registration statement pursuant to Rule 424 of the Securities Act Regulations or otherwise deemed to be a part thereof at the time of effectiveness pursuant to Rule 430A or 430C of the Securities Act Regulations, is called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If the Company files an abbreviated registration statement increasing the size of the offering pursuant to Rule 462(b) under the Securities Act (a “</w:t>
      </w:r>
      <w:r>
        <w:rPr>
          <w:rFonts w:ascii="Arial" w:cs="Arial" w:eastAsia="Arial" w:hAnsi="Arial"/>
          <w:sz w:val="17"/>
          <w:szCs w:val="17"/>
          <w:b w:val="1"/>
          <w:bCs w:val="1"/>
          <w:color w:val="auto"/>
        </w:rPr>
        <w:t>Rule 462(b) Registration Statement</w:t>
      </w:r>
      <w:r>
        <w:rPr>
          <w:rFonts w:ascii="Arial" w:cs="Arial" w:eastAsia="Arial" w:hAnsi="Arial"/>
          <w:sz w:val="17"/>
          <w:szCs w:val="17"/>
          <w:color w:val="auto"/>
        </w:rPr>
        <w:t>”), then the term “Registration Statement” herein shall be deemed to include the Rule 462(b) Registration Statement. The final prospectus (in the form first used by the Underwriters to confirm sales of the Shares or in the form first made available to the Underwriters by the Company to meet requests of purchasers pursuant to Rule 173 under the Securities Act) that meets the requirements of Section 10(a) of the Securities Act is referred to herein as the “</w:t>
      </w:r>
      <w:r>
        <w:rPr>
          <w:rFonts w:ascii="Arial" w:cs="Arial" w:eastAsia="Arial" w:hAnsi="Arial"/>
          <w:sz w:val="17"/>
          <w:szCs w:val="17"/>
          <w:b w:val="1"/>
          <w:bCs w:val="1"/>
          <w:color w:val="auto"/>
        </w:rPr>
        <w:t>Prospectus</w:t>
      </w:r>
      <w:r>
        <w:rPr>
          <w:rFonts w:ascii="Arial" w:cs="Arial" w:eastAsia="Arial" w:hAnsi="Arial"/>
          <w:sz w:val="17"/>
          <w:szCs w:val="17"/>
          <w:color w:val="auto"/>
        </w:rPr>
        <w:t>.” Each prospectus in preliminary form (filed with the Commission pursuant to Rule 424(a) of the Securities Act Regulations, omitting certain information as permitted by Rule 430A(a) of the Securities Act Regulations) that describes the Shares and the offering thereof and is used prior to the filing of the Prospectus is referred to herein as a “</w:t>
      </w:r>
      <w:r>
        <w:rPr>
          <w:rFonts w:ascii="Arial" w:cs="Arial" w:eastAsia="Arial" w:hAnsi="Arial"/>
          <w:sz w:val="17"/>
          <w:szCs w:val="17"/>
          <w:b w:val="1"/>
          <w:bCs w:val="1"/>
          <w:color w:val="auto"/>
        </w:rPr>
        <w:t>preliminary prospectus</w:t>
      </w:r>
      <w:r>
        <w:rPr>
          <w:rFonts w:ascii="Arial" w:cs="Arial" w:eastAsia="Arial" w:hAnsi="Arial"/>
          <w:sz w:val="17"/>
          <w:szCs w:val="17"/>
          <w:color w:val="auto"/>
        </w:rPr>
        <w:t>.” The preliminary prospectus relating to the Shares that was included in the Registration Statement immediately prior to the Applicable Time (as defined below) is hereinafter called the “</w:t>
      </w:r>
      <w:r>
        <w:rPr>
          <w:rFonts w:ascii="Arial" w:cs="Arial" w:eastAsia="Arial" w:hAnsi="Arial"/>
          <w:sz w:val="17"/>
          <w:szCs w:val="17"/>
          <w:b w:val="1"/>
          <w:bCs w:val="1"/>
          <w:color w:val="auto"/>
        </w:rPr>
        <w:t>Pricing</w:t>
      </w:r>
      <w:r>
        <w:rPr>
          <w:rFonts w:ascii="Arial" w:cs="Arial" w:eastAsia="Arial" w:hAnsi="Arial"/>
          <w:sz w:val="17"/>
          <w:szCs w:val="17"/>
          <w:color w:val="auto"/>
        </w:rPr>
        <w:t xml:space="preserve"> </w:t>
      </w:r>
      <w:r>
        <w:rPr>
          <w:rFonts w:ascii="Arial" w:cs="Arial" w:eastAsia="Arial" w:hAnsi="Arial"/>
          <w:sz w:val="17"/>
          <w:szCs w:val="17"/>
          <w:b w:val="1"/>
          <w:bCs w:val="1"/>
          <w:color w:val="auto"/>
        </w:rPr>
        <w:t>Prospectus.</w:t>
      </w:r>
      <w:r>
        <w:rPr>
          <w:rFonts w:ascii="Arial" w:cs="Arial" w:eastAsia="Arial" w:hAnsi="Arial"/>
          <w:sz w:val="17"/>
          <w:szCs w:val="17"/>
          <w:color w:val="auto"/>
        </w:rPr>
        <w:t>” “</w:t>
      </w:r>
      <w:r>
        <w:rPr>
          <w:rFonts w:ascii="Arial" w:cs="Arial" w:eastAsia="Arial" w:hAnsi="Arial"/>
          <w:sz w:val="17"/>
          <w:szCs w:val="17"/>
          <w:b w:val="1"/>
          <w:bCs w:val="1"/>
          <w:color w:val="auto"/>
        </w:rPr>
        <w:t>Pricing Disclosure Package</w:t>
      </w:r>
      <w:r>
        <w:rPr>
          <w:rFonts w:ascii="Arial" w:cs="Arial" w:eastAsia="Arial" w:hAnsi="Arial"/>
          <w:sz w:val="17"/>
          <w:szCs w:val="17"/>
          <w:color w:val="auto"/>
        </w:rPr>
        <w:t>” means the Pricing Prospectus, together with the Issuer Free Writing Prospectuses (as defined below), if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listed on </w:t>
      </w:r>
      <w:r>
        <w:rPr>
          <w:rFonts w:ascii="Arial" w:cs="Arial" w:eastAsia="Arial" w:hAnsi="Arial"/>
          <w:sz w:val="17"/>
          <w:szCs w:val="17"/>
          <w:u w:val="single" w:color="auto"/>
          <w:color w:val="auto"/>
        </w:rPr>
        <w:t>Schedule III</w:t>
      </w:r>
      <w:r>
        <w:rPr>
          <w:rFonts w:ascii="Arial" w:cs="Arial" w:eastAsia="Arial" w:hAnsi="Arial"/>
          <w:sz w:val="17"/>
          <w:szCs w:val="17"/>
          <w:color w:val="auto"/>
        </w:rPr>
        <w:t xml:space="preserve"> hereto, and the pricing information conveyed orally to investors, and as set forth on </w:t>
      </w:r>
      <w:r>
        <w:rPr>
          <w:rFonts w:ascii="Arial" w:cs="Arial" w:eastAsia="Arial" w:hAnsi="Arial"/>
          <w:sz w:val="17"/>
          <w:szCs w:val="17"/>
          <w:u w:val="single" w:color="auto"/>
          <w:color w:val="auto"/>
        </w:rPr>
        <w:t>Schedule III</w:t>
      </w:r>
      <w:r>
        <w:rPr>
          <w:rFonts w:ascii="Arial" w:cs="Arial" w:eastAsia="Arial" w:hAnsi="Arial"/>
          <w:sz w:val="17"/>
          <w:szCs w:val="17"/>
          <w:color w:val="auto"/>
        </w:rPr>
        <w:t xml:space="preserve"> hereto. Any “issuer free writing prospectus” (as defined in Rule 433(h)(1) of the Securities Act Regulations) relating to the offering of the Shares contemplated hereunder is hereinafter called an “</w:t>
      </w:r>
      <w:r>
        <w:rPr>
          <w:rFonts w:ascii="Arial" w:cs="Arial" w:eastAsia="Arial" w:hAnsi="Arial"/>
          <w:sz w:val="17"/>
          <w:szCs w:val="17"/>
          <w:b w:val="1"/>
          <w:bCs w:val="1"/>
          <w:color w:val="auto"/>
        </w:rPr>
        <w:t>Issuer Free Writing Prospectus</w:t>
      </w:r>
      <w:r>
        <w:rPr>
          <w:rFonts w:ascii="Arial" w:cs="Arial" w:eastAsia="Arial" w:hAnsi="Arial"/>
          <w:sz w:val="17"/>
          <w:szCs w:val="17"/>
          <w:color w:val="auto"/>
        </w:rPr>
        <w: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193" w:name="page194"/>
    <w:bookmarkEnd w:id="193"/>
    <w:p>
      <w:pPr>
        <w:jc w:val="both"/>
        <w:ind w:right="20" w:firstLine="648"/>
        <w:spacing w:after="0" w:line="347" w:lineRule="auto"/>
        <w:rPr>
          <w:sz w:val="20"/>
          <w:szCs w:val="20"/>
          <w:color w:val="auto"/>
        </w:rPr>
      </w:pPr>
      <w:r>
        <w:rPr>
          <w:rFonts w:ascii="Arial" w:cs="Arial" w:eastAsia="Arial" w:hAnsi="Arial"/>
          <w:sz w:val="16"/>
          <w:szCs w:val="16"/>
          <w:color w:val="auto"/>
        </w:rPr>
        <w:t>The Company also has prepared and filed, in accordance with Section 12 of the Securities Exchange Act of 1934, as amended (the “</w:t>
      </w:r>
      <w:r>
        <w:rPr>
          <w:rFonts w:ascii="Arial" w:cs="Arial" w:eastAsia="Arial" w:hAnsi="Arial"/>
          <w:sz w:val="16"/>
          <w:szCs w:val="16"/>
          <w:b w:val="1"/>
          <w:bCs w:val="1"/>
          <w:color w:val="auto"/>
        </w:rPr>
        <w:t>Exchange</w:t>
      </w:r>
      <w:r>
        <w:rPr>
          <w:rFonts w:ascii="Arial" w:cs="Arial" w:eastAsia="Arial" w:hAnsi="Arial"/>
          <w:sz w:val="16"/>
          <w:szCs w:val="16"/>
          <w:color w:val="auto"/>
        </w:rPr>
        <w:t xml:space="preserve"> </w:t>
      </w:r>
      <w:r>
        <w:rPr>
          <w:rFonts w:ascii="Arial" w:cs="Arial" w:eastAsia="Arial" w:hAnsi="Arial"/>
          <w:sz w:val="16"/>
          <w:szCs w:val="16"/>
          <w:b w:val="1"/>
          <w:bCs w:val="1"/>
          <w:color w:val="auto"/>
        </w:rPr>
        <w:t>Act</w:t>
      </w:r>
      <w:r>
        <w:rPr>
          <w:rFonts w:ascii="Arial" w:cs="Arial" w:eastAsia="Arial" w:hAnsi="Arial"/>
          <w:sz w:val="16"/>
          <w:szCs w:val="16"/>
          <w:color w:val="auto"/>
        </w:rPr>
        <w:t>”), a registration statement on Form 8-A (File No. 001-[●]) to register the Common Stock under Section 12(b) or (g) of the Exchange Act, as applicable.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in this Agreement: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Time</w:t>
      </w:r>
      <w:r>
        <w:rPr>
          <w:rFonts w:ascii="Arial" w:cs="Arial" w:eastAsia="Arial" w:hAnsi="Arial"/>
          <w:sz w:val="18"/>
          <w:szCs w:val="18"/>
          <w:color w:val="auto"/>
        </w:rPr>
        <w:t xml:space="preserve">” means </w:t>
      </w:r>
      <w:r>
        <w:rPr>
          <w:rFonts w:ascii="Arial" w:cs="Arial" w:eastAsia="Arial" w:hAnsi="Arial"/>
          <w:sz w:val="18"/>
          <w:szCs w:val="18"/>
          <w:b w:val="1"/>
          <w:bCs w:val="1"/>
          <w:color w:val="auto"/>
        </w:rPr>
        <w:t>[•]</w:t>
      </w:r>
      <w:r>
        <w:rPr>
          <w:rFonts w:ascii="Arial" w:cs="Arial" w:eastAsia="Arial" w:hAnsi="Arial"/>
          <w:sz w:val="18"/>
          <w:szCs w:val="18"/>
          <w:color w:val="auto"/>
        </w:rPr>
        <w:t xml:space="preserve"> [a.m./p.m.], New York City time, on </w:t>
      </w:r>
      <w:r>
        <w:rPr>
          <w:rFonts w:ascii="Arial" w:cs="Arial" w:eastAsia="Arial" w:hAnsi="Arial"/>
          <w:sz w:val="18"/>
          <w:szCs w:val="18"/>
          <w:b w:val="1"/>
          <w:bCs w:val="1"/>
          <w:color w:val="auto"/>
        </w:rPr>
        <w:t>[•]</w:t>
      </w:r>
      <w:r>
        <w:rPr>
          <w:rFonts w:ascii="Arial" w:cs="Arial" w:eastAsia="Arial" w:hAnsi="Arial"/>
          <w:sz w:val="18"/>
          <w:szCs w:val="18"/>
          <w:color w:val="auto"/>
        </w:rPr>
        <w:t>, 2019;</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Written Testing-the-Waters Communications</w:t>
      </w:r>
      <w:r>
        <w:rPr>
          <w:rFonts w:ascii="Arial" w:cs="Arial" w:eastAsia="Arial" w:hAnsi="Arial"/>
          <w:sz w:val="18"/>
          <w:szCs w:val="18"/>
          <w:color w:val="auto"/>
        </w:rPr>
        <w:t xml:space="preserve">” means the Written Testing-the-Waters Communications (as defined below), if any, listed on </w:t>
      </w:r>
      <w:r>
        <w:rPr>
          <w:rFonts w:ascii="Arial" w:cs="Arial" w:eastAsia="Arial" w:hAnsi="Arial"/>
          <w:sz w:val="18"/>
          <w:szCs w:val="18"/>
          <w:u w:val="single" w:color="auto"/>
          <w:color w:val="auto"/>
        </w:rPr>
        <w:t>Schedule IV</w:t>
      </w:r>
      <w:r>
        <w:rPr>
          <w:rFonts w:ascii="Arial" w:cs="Arial" w:eastAsia="Arial" w:hAnsi="Arial"/>
          <w:sz w:val="18"/>
          <w:szCs w:val="18"/>
          <w:color w:val="auto"/>
        </w:rPr>
        <w:t xml:space="preserve"> hereto;</w:t>
      </w:r>
    </w:p>
    <w:p>
      <w:pPr>
        <w:spacing w:after="0" w:line="189" w:lineRule="exact"/>
        <w:rPr>
          <w:sz w:val="20"/>
          <w:szCs w:val="20"/>
          <w:color w:val="auto"/>
        </w:rPr>
      </w:pPr>
    </w:p>
    <w:p>
      <w:pPr>
        <w:jc w:val="both"/>
        <w:ind w:firstLine="693"/>
        <w:spacing w:after="0" w:line="281" w:lineRule="auto"/>
        <w:rPr>
          <w:sz w:val="20"/>
          <w:szCs w:val="20"/>
          <w:color w:val="auto"/>
        </w:rPr>
      </w:pPr>
      <w:r>
        <w:rPr>
          <w:rFonts w:ascii="Arial" w:cs="Arial" w:eastAsia="Arial" w:hAnsi="Arial"/>
          <w:sz w:val="17"/>
          <w:szCs w:val="17"/>
          <w:b w:val="1"/>
          <w:bCs w:val="1"/>
          <w:color w:val="auto"/>
        </w:rPr>
        <w:t xml:space="preserve">“Road Show” </w:t>
      </w:r>
      <w:r>
        <w:rPr>
          <w:rFonts w:ascii="Arial" w:cs="Arial" w:eastAsia="Arial" w:hAnsi="Arial"/>
          <w:sz w:val="17"/>
          <w:szCs w:val="17"/>
          <w:color w:val="auto"/>
        </w:rPr>
        <w:t>means a “road show” (as defined in Rule 433 under the Securities Act) relating to the offering of the Shares contemplated hereby that</w:t>
      </w:r>
      <w:r>
        <w:rPr>
          <w:rFonts w:ascii="Arial" w:cs="Arial" w:eastAsia="Arial" w:hAnsi="Arial"/>
          <w:sz w:val="17"/>
          <w:szCs w:val="17"/>
          <w:b w:val="1"/>
          <w:bCs w:val="1"/>
          <w:color w:val="auto"/>
        </w:rPr>
        <w:t xml:space="preserve"> </w:t>
      </w:r>
      <w:r>
        <w:rPr>
          <w:rFonts w:ascii="Arial" w:cs="Arial" w:eastAsia="Arial" w:hAnsi="Arial"/>
          <w:sz w:val="17"/>
          <w:szCs w:val="17"/>
          <w:color w:val="auto"/>
        </w:rPr>
        <w:t>is a “written communication” (as defined in Rule 405 under the Securities Act). All references to the Registration Statement, any preliminary prospectus, the Pricing Prospectus, the Prospectus, any Issuer Free Writing Prospectus or any amendment or supplement to any of the foregoing shall be deemed to include the copy filed with the Commission pursuant to its Electronic Data Gathering, Analysis and Retrieval system (“</w:t>
      </w:r>
      <w:r>
        <w:rPr>
          <w:rFonts w:ascii="Arial" w:cs="Arial" w:eastAsia="Arial" w:hAnsi="Arial"/>
          <w:sz w:val="17"/>
          <w:szCs w:val="17"/>
          <w:b w:val="1"/>
          <w:bCs w:val="1"/>
          <w:color w:val="auto"/>
        </w:rPr>
        <w:t>EDGAR</w:t>
      </w:r>
      <w:r>
        <w:rPr>
          <w:rFonts w:ascii="Arial" w:cs="Arial" w:eastAsia="Arial" w:hAnsi="Arial"/>
          <w:sz w:val="17"/>
          <w:szCs w:val="17"/>
          <w:color w:val="auto"/>
        </w:rPr>
        <w:t>”);</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Testing-the-Waters Communication</w:t>
      </w:r>
      <w:r>
        <w:rPr>
          <w:rFonts w:ascii="Arial" w:cs="Arial" w:eastAsia="Arial" w:hAnsi="Arial"/>
          <w:sz w:val="18"/>
          <w:szCs w:val="18"/>
          <w:color w:val="auto"/>
        </w:rPr>
        <w:t>” means any oral or written communication with potential investors undertaken in reliance on Section 5(d) of the Securities Act; and</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Written Testing-the-Waters Communication</w:t>
      </w:r>
      <w:r>
        <w:rPr>
          <w:rFonts w:ascii="Arial" w:cs="Arial" w:eastAsia="Arial" w:hAnsi="Arial"/>
          <w:sz w:val="18"/>
          <w:szCs w:val="18"/>
          <w:color w:val="auto"/>
        </w:rPr>
        <w:t>” means any Testing-the-Waters Communication that is a written communication within the meaning of Rule 405 under the Securities Act.</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and the Underwriters agree that up to 5.0% of the Firm Shares (the “Directed Shares”) shall be reserved for sale by the Underwriters to certain eligible officers, directors, employees, business associates and related persons of the Company and its Subsidiaries (as defined herein) and certain related persons (collectively, the “</w:t>
      </w:r>
      <w:r>
        <w:rPr>
          <w:rFonts w:ascii="Arial" w:cs="Arial" w:eastAsia="Arial" w:hAnsi="Arial"/>
          <w:sz w:val="18"/>
          <w:szCs w:val="18"/>
          <w:b w:val="1"/>
          <w:bCs w:val="1"/>
          <w:color w:val="auto"/>
        </w:rPr>
        <w:t>Directed Share Participants</w:t>
      </w:r>
      <w:r>
        <w:rPr>
          <w:rFonts w:ascii="Arial" w:cs="Arial" w:eastAsia="Arial" w:hAnsi="Arial"/>
          <w:sz w:val="18"/>
          <w:szCs w:val="18"/>
          <w:color w:val="auto"/>
        </w:rPr>
        <w:t>”), as part of the distribution of the Shares by the Underwriters, subject to the terms of this Agreement, the applicable rules, regulations and interpretations of the Financial Industry Regulatory Authority, Inc. (“</w:t>
      </w:r>
      <w:r>
        <w:rPr>
          <w:rFonts w:ascii="Arial" w:cs="Arial" w:eastAsia="Arial" w:hAnsi="Arial"/>
          <w:sz w:val="18"/>
          <w:szCs w:val="18"/>
          <w:b w:val="1"/>
          <w:bCs w:val="1"/>
          <w:color w:val="auto"/>
        </w:rPr>
        <w:t>FINRA</w:t>
      </w:r>
      <w:r>
        <w:rPr>
          <w:rFonts w:ascii="Arial" w:cs="Arial" w:eastAsia="Arial" w:hAnsi="Arial"/>
          <w:sz w:val="18"/>
          <w:szCs w:val="18"/>
          <w:color w:val="auto"/>
        </w:rPr>
        <w:t>”) and all other applicable laws, rules and regulations. To the extent that such Directed Shares are not orally confirmed for purchase, and subject to an agreement to purchase, by such Directed Share Participants by the end of the first business day after the date of this Agreement, such Directed Shares may be offered to the public as part of the public offering contemplated hereby.</w:t>
      </w:r>
    </w:p>
    <w:p>
      <w:pPr>
        <w:spacing w:after="0" w:line="18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Each Selling Shareholder has executed and delivered an Irrevocable Power of Attorney and Custody Agreement (collectively, the “</w:t>
      </w:r>
      <w:r>
        <w:rPr>
          <w:rFonts w:ascii="Arial" w:cs="Arial" w:eastAsia="Arial" w:hAnsi="Arial"/>
          <w:sz w:val="18"/>
          <w:szCs w:val="18"/>
          <w:b w:val="1"/>
          <w:bCs w:val="1"/>
          <w:color w:val="auto"/>
        </w:rPr>
        <w:t>Power of</w:t>
      </w:r>
      <w:r>
        <w:rPr>
          <w:rFonts w:ascii="Arial" w:cs="Arial" w:eastAsia="Arial" w:hAnsi="Arial"/>
          <w:sz w:val="18"/>
          <w:szCs w:val="18"/>
          <w:color w:val="auto"/>
        </w:rPr>
        <w:t xml:space="preserve"> </w:t>
      </w:r>
      <w:r>
        <w:rPr>
          <w:rFonts w:ascii="Arial" w:cs="Arial" w:eastAsia="Arial" w:hAnsi="Arial"/>
          <w:sz w:val="18"/>
          <w:szCs w:val="18"/>
          <w:b w:val="1"/>
          <w:bCs w:val="1"/>
          <w:color w:val="auto"/>
        </w:rPr>
        <w:t>Attorney and Custody Agreement</w:t>
      </w:r>
      <w:r>
        <w:rPr>
          <w:rFonts w:ascii="Arial" w:cs="Arial" w:eastAsia="Arial" w:hAnsi="Arial"/>
          <w:sz w:val="18"/>
          <w:szCs w:val="18"/>
          <w:color w:val="auto"/>
        </w:rPr>
        <w:t>”) pursuant to which each Selling Shareholder has placed his or her Firm Shares in custody and appointed the person(s)</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designated therein (the “</w:t>
      </w:r>
      <w:r>
        <w:rPr>
          <w:rFonts w:ascii="Arial" w:cs="Arial" w:eastAsia="Arial" w:hAnsi="Arial"/>
          <w:sz w:val="18"/>
          <w:szCs w:val="18"/>
          <w:b w:val="1"/>
          <w:bCs w:val="1"/>
          <w:color w:val="auto"/>
        </w:rPr>
        <w:t>Attorneys-in-Fact</w:t>
      </w:r>
      <w:r>
        <w:rPr>
          <w:rFonts w:ascii="Arial" w:cs="Arial" w:eastAsia="Arial" w:hAnsi="Arial"/>
          <w:sz w:val="18"/>
          <w:szCs w:val="18"/>
          <w:color w:val="auto"/>
        </w:rPr>
        <w:t>”) with authority to execute and deliver this Agreement on behalf of such Selling Shareholder and to take certain other actions with respect thereto and hereto.</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4" w:name="page195"/>
    <w:bookmarkEnd w:id="194"/>
    <w:p>
      <w:pPr>
        <w:ind w:left="660"/>
        <w:spacing w:after="0"/>
        <w:rPr>
          <w:sz w:val="20"/>
          <w:szCs w:val="20"/>
          <w:color w:val="auto"/>
        </w:rPr>
      </w:pPr>
      <w:r>
        <w:rPr>
          <w:rFonts w:ascii="Arial" w:cs="Arial" w:eastAsia="Arial" w:hAnsi="Arial"/>
          <w:sz w:val="17"/>
          <w:szCs w:val="17"/>
          <w:color w:val="auto"/>
        </w:rPr>
        <w:t>The Company, the Bank (as defined below) and the Selling Shareholders confirm as follows their respective agreements with the Underwriters.</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 Representations and Warranties.</w:t>
      </w:r>
    </w:p>
    <w:p>
      <w:pPr>
        <w:spacing w:after="0" w:line="256" w:lineRule="exact"/>
        <w:rPr>
          <w:sz w:val="20"/>
          <w:szCs w:val="20"/>
          <w:color w:val="auto"/>
        </w:rPr>
      </w:pPr>
    </w:p>
    <w:p>
      <w:pPr>
        <w:ind w:firstLine="1142"/>
        <w:spacing w:after="0" w:line="308" w:lineRule="auto"/>
        <w:tabs>
          <w:tab w:leader="none" w:pos="1411" w:val="left"/>
        </w:tabs>
        <w:numPr>
          <w:ilvl w:val="0"/>
          <w:numId w:val="104"/>
        </w:numPr>
        <w:rPr>
          <w:rFonts w:ascii="Arial" w:cs="Arial" w:eastAsia="Arial" w:hAnsi="Arial"/>
          <w:sz w:val="17"/>
          <w:szCs w:val="17"/>
          <w:color w:val="auto"/>
        </w:rPr>
      </w:pPr>
      <w:r>
        <w:rPr>
          <w:rFonts w:ascii="Arial" w:cs="Arial" w:eastAsia="Arial" w:hAnsi="Arial"/>
          <w:sz w:val="17"/>
          <w:szCs w:val="17"/>
          <w:i w:val="1"/>
          <w:iCs w:val="1"/>
          <w:color w:val="auto"/>
        </w:rPr>
        <w:t>Representations and Warranties of the Company</w:t>
      </w:r>
      <w:r>
        <w:rPr>
          <w:rFonts w:ascii="Arial" w:cs="Arial" w:eastAsia="Arial" w:hAnsi="Arial"/>
          <w:sz w:val="17"/>
          <w:szCs w:val="17"/>
          <w:color w:val="auto"/>
        </w:rPr>
        <w:t>. The Company represents and warrants to each Underwriter at the date hereof, the</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Time, the Closing Date (as defined below) and each Option Closing Date, if any, and agrees with each Underwriter, as follows:</w:t>
      </w:r>
    </w:p>
    <w:p>
      <w:pPr>
        <w:spacing w:after="0" w:line="200" w:lineRule="exact"/>
        <w:rPr>
          <w:rFonts w:ascii="Arial" w:cs="Arial" w:eastAsia="Arial" w:hAnsi="Arial"/>
          <w:sz w:val="17"/>
          <w:szCs w:val="17"/>
          <w:color w:val="auto"/>
        </w:rPr>
      </w:pPr>
    </w:p>
    <w:p>
      <w:pPr>
        <w:jc w:val="both"/>
        <w:ind w:firstLine="1467"/>
        <w:spacing w:after="0" w:line="272" w:lineRule="auto"/>
        <w:tabs>
          <w:tab w:leader="none" w:pos="1682" w:val="left"/>
        </w:tabs>
        <w:numPr>
          <w:ilvl w:val="1"/>
          <w:numId w:val="104"/>
        </w:numPr>
        <w:rPr>
          <w:rFonts w:ascii="Arial" w:cs="Arial" w:eastAsia="Arial" w:hAnsi="Arial"/>
          <w:sz w:val="17"/>
          <w:szCs w:val="17"/>
          <w:color w:val="auto"/>
        </w:rPr>
      </w:pPr>
      <w:r>
        <w:rPr>
          <w:rFonts w:ascii="Arial" w:cs="Arial" w:eastAsia="Arial" w:hAnsi="Arial"/>
          <w:sz w:val="17"/>
          <w:szCs w:val="17"/>
          <w:u w:val="single" w:color="auto"/>
          <w:color w:val="auto"/>
        </w:rPr>
        <w:t>Compliance of the Registration Statement, the Prospectus and Incorporated Documents</w:t>
      </w:r>
      <w:r>
        <w:rPr>
          <w:rFonts w:ascii="Arial" w:cs="Arial" w:eastAsia="Arial" w:hAnsi="Arial"/>
          <w:sz w:val="17"/>
          <w:szCs w:val="17"/>
          <w:color w:val="auto"/>
        </w:rPr>
        <w:t>. Each of the Registration Statement, the Rule 462(b) Registration Statement, and any post-effective amendment thereto has become effective under the Securities Act. No stop order suspending the effectiveness of the Registration Statement, any Rule 462(b) Registration Statement or any post-effective amendment thereto has been issued under the Securities Act, no notice of objection of the Commission to the use of the Registration Statement has been received by the Company, no order preventing or suspending the use of any preliminary prospectus or the Prospectus or any amendment or supplement thereto has been issued and no proceedings for any of those purposes have been instituted or are pending or, to the Company’s knowledge, contemplated. The Company has complied with each request (if any) from the Commission for additional information.</w:t>
      </w:r>
    </w:p>
    <w:p>
      <w:pPr>
        <w:spacing w:after="0" w:line="20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Each of the Registration Statement and any post-effective amendment thereto, at the time of its effectiveness and as of each deemed effective date with respect to the Underwriters pursuant to Rule 430B(f)(2) and any Rule 462(b) Registration Statement, complied in all material respects with the requirements of the Securities Act and the Securities Act Regulations. Each preliminary prospectus, the Prospectus and any amendment or supplement thereto, at the time each was filed with the Commission, complied in all material respects with the requirements of the Securities Act and the Securities Act Regulations and are identical to the electronically transmitted copies thereof filed with the Commission pursuant to EDGAR, except to the extent permitted by Regulation S-T.</w:t>
      </w:r>
    </w:p>
    <w:p>
      <w:pPr>
        <w:spacing w:after="0" w:line="212" w:lineRule="exact"/>
        <w:rPr>
          <w:sz w:val="20"/>
          <w:szCs w:val="20"/>
          <w:color w:val="auto"/>
        </w:rPr>
      </w:pPr>
    </w:p>
    <w:p>
      <w:pPr>
        <w:jc w:val="both"/>
        <w:ind w:firstLine="1467"/>
        <w:spacing w:after="0" w:line="268" w:lineRule="auto"/>
        <w:tabs>
          <w:tab w:leader="none" w:pos="1746" w:val="left"/>
        </w:tabs>
        <w:numPr>
          <w:ilvl w:val="0"/>
          <w:numId w:val="105"/>
        </w:numPr>
        <w:rPr>
          <w:rFonts w:ascii="Arial" w:cs="Arial" w:eastAsia="Arial" w:hAnsi="Arial"/>
          <w:sz w:val="17"/>
          <w:szCs w:val="17"/>
          <w:color w:val="auto"/>
        </w:rPr>
      </w:pPr>
      <w:r>
        <w:rPr>
          <w:rFonts w:ascii="Arial" w:cs="Arial" w:eastAsia="Arial" w:hAnsi="Arial"/>
          <w:sz w:val="17"/>
          <w:szCs w:val="17"/>
          <w:u w:val="single" w:color="auto"/>
          <w:color w:val="auto"/>
        </w:rPr>
        <w:t>Accurate Disclosure</w:t>
      </w:r>
      <w:r>
        <w:rPr>
          <w:rFonts w:ascii="Arial" w:cs="Arial" w:eastAsia="Arial" w:hAnsi="Arial"/>
          <w:sz w:val="17"/>
          <w:szCs w:val="17"/>
          <w:color w:val="auto"/>
        </w:rPr>
        <w:t>. Neither the Registration Statement nor the Rule 462(b) Registration Statement, at the Closing Date, nor any post-effective amendment thereto, at its effective time, contains or will contain an untrue statement of a material fact or omitted, omits or will omit to state a material fact required to be stated therein or necessary to make the statements therein not misleading. At the Applicable Time, neither (A) the Pricing Disclosure Package nor (B) any individual Issuer Free Writing Prospectus, when considered together with the Pricing Disclosure Package, included, includes or will include an untrue statement of a material fact or omitted, omits or will omit to state a material fact necessary in order to make the statements therein, in the light of the circumstances under which they were made, not misleading. Neither the Prospectus nor any amendment or supplement thereto, as of its issue date or at the Closing Date included, includes or will include an untrue statement of a material fact or omitted, omits or will omit to state a material fact necessary in order to make the statements therein, in the light of the circumstances under which they were made, not misleading. There are no statutes, regulations, documents or contracts of a character required to be described in the Registration Statement, Rule 462(b) Registration Statement, the Pricing Disclosure Package and the Prospectus, or to be filed as an exhibit to the Registration Statement or the Rule 462(b) Registration Statement, which are not described or filed as required. There are no business relationships or related person transactions involving the Company or any Subsidiary (as defined herein) or any other person required to be described in the Registration Statement, Rule 462(b) Registration Statement, the Pricing Disclosure Package and the Prospectus that have not been described as required.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5" w:name="page196"/>
    <w:bookmarkEnd w:id="195"/>
    <w:p>
      <w:pPr>
        <w:jc w:val="both"/>
        <w:spacing w:after="0" w:line="271" w:lineRule="auto"/>
        <w:rPr>
          <w:sz w:val="20"/>
          <w:szCs w:val="20"/>
          <w:color w:val="auto"/>
        </w:rPr>
      </w:pPr>
      <w:r>
        <w:rPr>
          <w:rFonts w:ascii="Arial" w:cs="Arial" w:eastAsia="Arial" w:hAnsi="Arial"/>
          <w:sz w:val="17"/>
          <w:szCs w:val="17"/>
          <w:color w:val="auto"/>
        </w:rPr>
        <w:t>The representations and warranties in this subsection shall not apply to statements in or omissions from the Registration Statement, any Rule 462(b) Registration Statement or any amendment thereto or the Pricing Disclosure Package or the Prospectus or any amendment or supplement thereto made in reliance upon and in conformity with written information furnished to the Company by the Underwriters expressly for use therein. For purposes of this Agreement, the only information so furnished shall be the information in (i) the list of Underwriters and their respective allocation of the Shares under the heading “Underwriting,” (ii) the second and third sentences of the first paragraph under the heading “Underwriting—Underwriting Discounts,” and (iii) the first, second, third and fourth paragraphs and the first sentence of the fifth paragraph under the heading “Underwriting—Price Stabilization, Short Positions, and Penalty Bids,” contained in the Registration Statement, any Rule 462(b) Registration Statement, the preliminary prospectus contained in the Pricing Disclosure Package and the Prospectus (collectively, the “</w:t>
      </w:r>
      <w:r>
        <w:rPr>
          <w:rFonts w:ascii="Arial" w:cs="Arial" w:eastAsia="Arial" w:hAnsi="Arial"/>
          <w:sz w:val="17"/>
          <w:szCs w:val="17"/>
          <w:b w:val="1"/>
          <w:bCs w:val="1"/>
          <w:color w:val="auto"/>
        </w:rPr>
        <w:t>Underwriter Information</w:t>
      </w:r>
      <w:r>
        <w:rPr>
          <w:rFonts w:ascii="Arial" w:cs="Arial" w:eastAsia="Arial" w:hAnsi="Arial"/>
          <w:sz w:val="17"/>
          <w:szCs w:val="17"/>
          <w:color w:val="auto"/>
        </w:rPr>
        <w:t>”).</w:t>
      </w:r>
    </w:p>
    <w:p>
      <w:pPr>
        <w:spacing w:after="0" w:line="233" w:lineRule="exact"/>
        <w:rPr>
          <w:sz w:val="20"/>
          <w:szCs w:val="20"/>
          <w:color w:val="auto"/>
        </w:rPr>
      </w:pPr>
    </w:p>
    <w:p>
      <w:pPr>
        <w:jc w:val="both"/>
        <w:ind w:firstLine="1467"/>
        <w:spacing w:after="0" w:line="264" w:lineRule="auto"/>
        <w:tabs>
          <w:tab w:leader="none" w:pos="1783"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Issuer Free Writing Prospectuses</w:t>
      </w:r>
      <w:r>
        <w:rPr>
          <w:rFonts w:ascii="Arial" w:cs="Arial" w:eastAsia="Arial" w:hAnsi="Arial"/>
          <w:sz w:val="18"/>
          <w:szCs w:val="18"/>
          <w:color w:val="auto"/>
        </w:rPr>
        <w:t>. No Issuer Free Writing Prospectus conflicts or will conflict with the information contained in the Registration Statement, any preliminary prospectus or the Prospectus, including any document incorporated by reference therein, that has not been superseded or modified.</w:t>
      </w:r>
    </w:p>
    <w:p>
      <w:pPr>
        <w:spacing w:after="0" w:line="208" w:lineRule="exact"/>
        <w:rPr>
          <w:rFonts w:ascii="Arial" w:cs="Arial" w:eastAsia="Arial" w:hAnsi="Arial"/>
          <w:sz w:val="18"/>
          <w:szCs w:val="18"/>
          <w:color w:val="auto"/>
        </w:rPr>
      </w:pPr>
    </w:p>
    <w:p>
      <w:pPr>
        <w:jc w:val="both"/>
        <w:ind w:firstLine="1467"/>
        <w:spacing w:after="0" w:line="255" w:lineRule="auto"/>
        <w:tabs>
          <w:tab w:leader="none" w:pos="1763"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Company Not Ineligible Issuer</w:t>
      </w:r>
      <w:r>
        <w:rPr>
          <w:rFonts w:ascii="Arial" w:cs="Arial" w:eastAsia="Arial" w:hAnsi="Arial"/>
          <w:sz w:val="18"/>
          <w:szCs w:val="18"/>
          <w:color w:val="auto"/>
        </w:rPr>
        <w:t>. (A) At the time of filing the Registration Statement, any Rule 462(b) Registration Statement and any post-effective amendment thereto, (B) at the earliest time thereafter that the Company or another offering participant made a bona fide offer (within the meaning of Rule 164(h)(2) of the Securities Act Regulations) of the Shares and (C) at the Applicable Time, the Company was not and is not an “ineligible issuer,” as defined in Rule 405 of the Securities Act Regulations. The Company has paid the registration fee for this offering pursuant to Rule 111 under the Securities Act Regulations or will pay such fee within the time period required by such rule (without giving effect to the proviso therein) and in any event prior to the Closing Date.</w:t>
      </w:r>
    </w:p>
    <w:p>
      <w:pPr>
        <w:spacing w:after="0" w:line="247" w:lineRule="exact"/>
        <w:rPr>
          <w:rFonts w:ascii="Arial" w:cs="Arial" w:eastAsia="Arial" w:hAnsi="Arial"/>
          <w:sz w:val="18"/>
          <w:szCs w:val="18"/>
          <w:color w:val="auto"/>
        </w:rPr>
      </w:pPr>
    </w:p>
    <w:p>
      <w:pPr>
        <w:jc w:val="both"/>
        <w:ind w:firstLine="1467"/>
        <w:spacing w:after="0" w:line="291" w:lineRule="auto"/>
        <w:tabs>
          <w:tab w:leader="none" w:pos="1736"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Auditor</w:t>
      </w:r>
      <w:r>
        <w:rPr>
          <w:rFonts w:ascii="Arial" w:cs="Arial" w:eastAsia="Arial" w:hAnsi="Arial"/>
          <w:sz w:val="16"/>
          <w:szCs w:val="16"/>
          <w:color w:val="auto"/>
        </w:rPr>
        <w:t>. Weaver and Tidwell, L.L.P., the accounting firm that certified the financial statements and supporting schedules of the Company that are included in the Registration Statement, the Pricing Disclosure Package and the Prospectus, is (i) an independent public accountant as required by the Securities Act, the Securities Act Regulations, the Exchange Act, the rules and regulations promulgated under the Exchange Act (the “</w:t>
      </w:r>
      <w:r>
        <w:rPr>
          <w:rFonts w:ascii="Arial" w:cs="Arial" w:eastAsia="Arial" w:hAnsi="Arial"/>
          <w:sz w:val="16"/>
          <w:szCs w:val="16"/>
          <w:b w:val="1"/>
          <w:bCs w:val="1"/>
          <w:color w:val="auto"/>
        </w:rPr>
        <w:t>Exchange Act Regulations</w:t>
      </w:r>
      <w:r>
        <w:rPr>
          <w:rFonts w:ascii="Arial" w:cs="Arial" w:eastAsia="Arial" w:hAnsi="Arial"/>
          <w:sz w:val="16"/>
          <w:szCs w:val="16"/>
          <w:color w:val="auto"/>
        </w:rPr>
        <w:t>”) and the Public Company Accounting Oversight Board (the “PCAOB”), (ii) a registered public accounting firm, as defined by the PCAOB, which has not had its registration superseded or revoked and which has not requested that such registration be withdrawn, and (iii) with respect to the Company, is not and has not been in violation of the auditor independence requirements of the Sarbanes-Oxley Act of 2002 (the “</w:t>
      </w:r>
      <w:r>
        <w:rPr>
          <w:rFonts w:ascii="Arial" w:cs="Arial" w:eastAsia="Arial" w:hAnsi="Arial"/>
          <w:sz w:val="16"/>
          <w:szCs w:val="16"/>
          <w:b w:val="1"/>
          <w:bCs w:val="1"/>
          <w:color w:val="auto"/>
        </w:rPr>
        <w:t>Sarbanes-Oxley</w:t>
      </w:r>
      <w:r>
        <w:rPr>
          <w:rFonts w:ascii="Arial" w:cs="Arial" w:eastAsia="Arial" w:hAnsi="Arial"/>
          <w:sz w:val="16"/>
          <w:szCs w:val="16"/>
          <w:color w:val="auto"/>
        </w:rPr>
        <w:t xml:space="preserve"> </w:t>
      </w:r>
      <w:r>
        <w:rPr>
          <w:rFonts w:ascii="Arial" w:cs="Arial" w:eastAsia="Arial" w:hAnsi="Arial"/>
          <w:sz w:val="16"/>
          <w:szCs w:val="16"/>
          <w:b w:val="1"/>
          <w:bCs w:val="1"/>
          <w:color w:val="auto"/>
        </w:rPr>
        <w:t>Act</w:t>
      </w:r>
      <w:r>
        <w:rPr>
          <w:rFonts w:ascii="Arial" w:cs="Arial" w:eastAsia="Arial" w:hAnsi="Arial"/>
          <w:sz w:val="16"/>
          <w:szCs w:val="16"/>
          <w:color w:val="auto"/>
        </w:rPr>
        <w:t>”) and the rules and regulations of the Commission. The Company’s prior auditor, Lam &amp; Company PC is an independent public accountant.</w:t>
      </w:r>
    </w:p>
    <w:p>
      <w:pPr>
        <w:spacing w:after="0" w:line="221" w:lineRule="exact"/>
        <w:rPr>
          <w:rFonts w:ascii="Arial" w:cs="Arial" w:eastAsia="Arial" w:hAnsi="Arial"/>
          <w:sz w:val="16"/>
          <w:szCs w:val="16"/>
          <w:color w:val="auto"/>
        </w:rPr>
      </w:pPr>
    </w:p>
    <w:p>
      <w:pPr>
        <w:jc w:val="both"/>
        <w:ind w:firstLine="1467"/>
        <w:spacing w:after="0" w:line="268" w:lineRule="auto"/>
        <w:tabs>
          <w:tab w:leader="none" w:pos="1772" w:val="left"/>
        </w:tabs>
        <w:numPr>
          <w:ilvl w:val="0"/>
          <w:numId w:val="106"/>
        </w:numPr>
        <w:rPr>
          <w:rFonts w:ascii="Arial" w:cs="Arial" w:eastAsia="Arial" w:hAnsi="Arial"/>
          <w:sz w:val="17"/>
          <w:szCs w:val="17"/>
          <w:color w:val="auto"/>
        </w:rPr>
      </w:pPr>
      <w:r>
        <w:rPr>
          <w:rFonts w:ascii="Arial" w:cs="Arial" w:eastAsia="Arial" w:hAnsi="Arial"/>
          <w:sz w:val="17"/>
          <w:szCs w:val="17"/>
          <w:u w:val="single" w:color="auto"/>
          <w:color w:val="auto"/>
        </w:rPr>
        <w:t>Financial Statements; Non-GAAP Financial Measures</w:t>
      </w:r>
      <w:r>
        <w:rPr>
          <w:rFonts w:ascii="Arial" w:cs="Arial" w:eastAsia="Arial" w:hAnsi="Arial"/>
          <w:sz w:val="17"/>
          <w:szCs w:val="17"/>
          <w:color w:val="auto"/>
        </w:rPr>
        <w:t>. The financial statements of the Company and its consolidated Subsidiaries (as defined below) included in the Registration Statement, the Pricing Disclosure Package and the Prospectus, together with the related schedules and notes, comply in all material respects with the requirements of the Securities Act and present fairly in all material respects the financial position of the Company and its consolidated Subsidiaries (as defined below) at the respective dates of and for the respective periods to which they apply. The financial statements of the Company and its consolidated Subsidiaries (as defined below) have been prepared in conformity with U.S. generally accepted accounting principles (“</w:t>
      </w:r>
      <w:r>
        <w:rPr>
          <w:rFonts w:ascii="Arial" w:cs="Arial" w:eastAsia="Arial" w:hAnsi="Arial"/>
          <w:sz w:val="17"/>
          <w:szCs w:val="17"/>
          <w:b w:val="1"/>
          <w:bCs w:val="1"/>
          <w:color w:val="auto"/>
        </w:rPr>
        <w:t>GAAP</w:t>
      </w:r>
      <w:r>
        <w:rPr>
          <w:rFonts w:ascii="Arial" w:cs="Arial" w:eastAsia="Arial" w:hAnsi="Arial"/>
          <w:sz w:val="17"/>
          <w:szCs w:val="17"/>
          <w:color w:val="auto"/>
        </w:rPr>
        <w:t>”) applied on a consistent basis throughout the periods involved. The supporting schedules, if any, present fairly in all material respects in accordance with GAAP the information required to be stated therein. The selected financial data included in the Registration Statement, the Pricing Disclosure Package and the Prospectus present fairly in all material respects the information shown therein and have been compiled on a basis consistent with that of the audited financial statements included therein. Except as included therein, no historical or pro forma financial statements or supporting schedules are required to be included in the Registration Statement, any preliminary prospectus or the Prospectus. To the extent applicable, all disclosures contained in the Registration Statement, the Pricing Disclosure Package or the Prospectus, if any, regarding “non-GAAP financial measures” (as such term is defined by the rules and regulations of the Commission) comply in all material respects with Regulation G under the Exchange Act and Item 10(e) of Regulation S-K under the Securities Act.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6" w:name="page197"/>
    <w:bookmarkEnd w:id="196"/>
    <w:p>
      <w:pPr>
        <w:jc w:val="both"/>
        <w:ind w:firstLine="1467"/>
        <w:spacing w:after="0" w:line="269" w:lineRule="auto"/>
        <w:tabs>
          <w:tab w:leader="none" w:pos="1822" w:val="left"/>
        </w:tabs>
        <w:numPr>
          <w:ilvl w:val="0"/>
          <w:numId w:val="107"/>
        </w:numPr>
        <w:rPr>
          <w:rFonts w:ascii="Arial" w:cs="Arial" w:eastAsia="Arial" w:hAnsi="Arial"/>
          <w:sz w:val="17"/>
          <w:szCs w:val="17"/>
          <w:color w:val="auto"/>
        </w:rPr>
      </w:pPr>
      <w:r>
        <w:rPr>
          <w:rFonts w:ascii="Arial" w:cs="Arial" w:eastAsia="Arial" w:hAnsi="Arial"/>
          <w:sz w:val="17"/>
          <w:szCs w:val="17"/>
          <w:u w:val="single" w:color="auto"/>
          <w:color w:val="auto"/>
        </w:rPr>
        <w:t>No Material Adverse Change in Business</w:t>
      </w:r>
      <w:r>
        <w:rPr>
          <w:rFonts w:ascii="Arial" w:cs="Arial" w:eastAsia="Arial" w:hAnsi="Arial"/>
          <w:sz w:val="17"/>
          <w:szCs w:val="17"/>
          <w:color w:val="auto"/>
        </w:rPr>
        <w:t>. Since the respective dates as of which information is given in the Registration Statement, the Pricing Disclosure Package and the Prospectus, except as otherwise stated or contemplated therein, (A) there has been no material adverse effect, or any development that would reasonably be expected to result in a material adverse effect, (i) on the general affairs, condition (financial or otherwise), business, properties, prospects, management, financial position, shareholders’ equity, assets, liabilities or results of operations, of the Company and its subsidiaries (the “</w:t>
      </w:r>
      <w:r>
        <w:rPr>
          <w:rFonts w:ascii="Arial" w:cs="Arial" w:eastAsia="Arial" w:hAnsi="Arial"/>
          <w:sz w:val="17"/>
          <w:szCs w:val="17"/>
          <w:b w:val="1"/>
          <w:bCs w:val="1"/>
          <w:color w:val="auto"/>
        </w:rPr>
        <w:t>Subsidiaries</w:t>
      </w:r>
      <w:r>
        <w:rPr>
          <w:rFonts w:ascii="Arial" w:cs="Arial" w:eastAsia="Arial" w:hAnsi="Arial"/>
          <w:sz w:val="17"/>
          <w:szCs w:val="17"/>
          <w:color w:val="auto"/>
        </w:rPr>
        <w:t>”) considered as one enterprise, whether or not arising in the ordinary course of business or (ii) in the ability of the Company to perform its obligations under, and to consummate the transactions contemplated by, this Agreement (each of (i) and (ii) a “</w:t>
      </w:r>
      <w:r>
        <w:rPr>
          <w:rFonts w:ascii="Arial" w:cs="Arial" w:eastAsia="Arial" w:hAnsi="Arial"/>
          <w:sz w:val="17"/>
          <w:szCs w:val="17"/>
          <w:b w:val="1"/>
          <w:bCs w:val="1"/>
          <w:color w:val="auto"/>
        </w:rPr>
        <w:t>Material Adverse Effect</w:t>
      </w:r>
      <w:r>
        <w:rPr>
          <w:rFonts w:ascii="Arial" w:cs="Arial" w:eastAsia="Arial" w:hAnsi="Arial"/>
          <w:sz w:val="17"/>
          <w:szCs w:val="17"/>
          <w:color w:val="auto"/>
        </w:rPr>
        <w:t>”), (B) there has not been any change in the capital stock, short-term debt or long-term debt of the Company or any of the Subsidiaries, (C) there have been no transactions entered into by, and no obligations or liabilities, contingent or otherwise, incurred by the Company or any of the Subsidiaries, whether or not in the ordinary course of business, which are material to the Company and the Subsidiaries, considered as one enterprise, (D) the Company has not purchased any of its outstanding capital stock and there has been no dividend or distribution of any kind declared, paid or made by the Company on any class of its capital stock or (E) there has been no material loss or interference with the Company’s business from fire, explosion, flood or other calamity, whether or not covered by insurance, or from any labor dispute or court or governmental action, order or decree.</w:t>
      </w:r>
    </w:p>
    <w:p>
      <w:pPr>
        <w:spacing w:after="0" w:line="233" w:lineRule="exact"/>
        <w:rPr>
          <w:rFonts w:ascii="Arial" w:cs="Arial" w:eastAsia="Arial" w:hAnsi="Arial"/>
          <w:sz w:val="17"/>
          <w:szCs w:val="17"/>
          <w:color w:val="auto"/>
        </w:rPr>
      </w:pPr>
    </w:p>
    <w:p>
      <w:pPr>
        <w:jc w:val="both"/>
        <w:ind w:firstLine="1467"/>
        <w:spacing w:after="0" w:line="293" w:lineRule="auto"/>
        <w:tabs>
          <w:tab w:leader="none" w:pos="1872"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Good Standing of the Company</w:t>
      </w:r>
      <w:r>
        <w:rPr>
          <w:rFonts w:ascii="Arial" w:cs="Arial" w:eastAsia="Arial" w:hAnsi="Arial"/>
          <w:sz w:val="16"/>
          <w:szCs w:val="16"/>
          <w:color w:val="auto"/>
        </w:rPr>
        <w:t>. The Company has been duly organized and is validly existing as a corporation in good standing under the laws of the State of Texas and has corporate power and authority to own or lease, as the case may be, and operate its properties and to conduct its business as described in the Registration Statement, the Pricing Disclosure Package and the Prospectus and to enter into and perform its obligations under this Agreement; and the Company is duly qualified as a foreign corporation to transact business and is in good standing in each other jurisdiction in which such qualification is required, whether by reason of the ownership or leasing of property or the conduct of business, except where the failure to so qualify or to be in good standing would not, individually or in the aggregate, reasonably be expected to result in a Material Adverse Effect.</w:t>
      </w:r>
    </w:p>
    <w:p>
      <w:pPr>
        <w:spacing w:after="0" w:line="214" w:lineRule="exact"/>
        <w:rPr>
          <w:rFonts w:ascii="Arial" w:cs="Arial" w:eastAsia="Arial" w:hAnsi="Arial"/>
          <w:sz w:val="16"/>
          <w:szCs w:val="16"/>
          <w:color w:val="auto"/>
        </w:rPr>
      </w:pPr>
    </w:p>
    <w:p>
      <w:pPr>
        <w:jc w:val="both"/>
        <w:ind w:firstLine="1467"/>
        <w:spacing w:after="0" w:line="285" w:lineRule="auto"/>
        <w:tabs>
          <w:tab w:leader="none" w:pos="1772"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Good Standing of Subsidiaries</w:t>
      </w:r>
      <w:r>
        <w:rPr>
          <w:rFonts w:ascii="Arial" w:cs="Arial" w:eastAsia="Arial" w:hAnsi="Arial"/>
          <w:sz w:val="16"/>
          <w:szCs w:val="16"/>
          <w:color w:val="auto"/>
        </w:rPr>
        <w:t>. City Bank (the “</w:t>
      </w:r>
      <w:r>
        <w:rPr>
          <w:rFonts w:ascii="Arial" w:cs="Arial" w:eastAsia="Arial" w:hAnsi="Arial"/>
          <w:sz w:val="16"/>
          <w:szCs w:val="16"/>
          <w:b w:val="1"/>
          <w:bCs w:val="1"/>
          <w:color w:val="auto"/>
        </w:rPr>
        <w:t>Bank</w:t>
      </w:r>
      <w:r>
        <w:rPr>
          <w:rFonts w:ascii="Arial" w:cs="Arial" w:eastAsia="Arial" w:hAnsi="Arial"/>
          <w:sz w:val="16"/>
          <w:szCs w:val="16"/>
          <w:color w:val="auto"/>
        </w:rPr>
        <w:t>”) is a bank chartered under the laws of the State of Texas and the charter of the Bank is in full force and effect. The Bank and Windmark Insurance Agency, Inc. are the only “significant subsidiaries” of the Company, as such term is defined in Rule 1-02 of Regulation S-X (collectively, the “</w:t>
      </w:r>
      <w:r>
        <w:rPr>
          <w:rFonts w:ascii="Arial" w:cs="Arial" w:eastAsia="Arial" w:hAnsi="Arial"/>
          <w:sz w:val="16"/>
          <w:szCs w:val="16"/>
          <w:b w:val="1"/>
          <w:bCs w:val="1"/>
          <w:color w:val="auto"/>
        </w:rPr>
        <w:t>Significant Subsidiaries</w:t>
      </w:r>
      <w:r>
        <w:rPr>
          <w:rFonts w:ascii="Arial" w:cs="Arial" w:eastAsia="Arial" w:hAnsi="Arial"/>
          <w:sz w:val="16"/>
          <w:szCs w:val="16"/>
          <w:color w:val="auto"/>
        </w:rPr>
        <w:t>”). Each subsidiary (as defined in Rule 405 of the Securities Act Regulations) of the Company (each, a “</w:t>
      </w:r>
      <w:r>
        <w:rPr>
          <w:rFonts w:ascii="Arial" w:cs="Arial" w:eastAsia="Arial" w:hAnsi="Arial"/>
          <w:sz w:val="16"/>
          <w:szCs w:val="16"/>
          <w:b w:val="1"/>
          <w:bCs w:val="1"/>
          <w:color w:val="auto"/>
        </w:rPr>
        <w:t>Subsidiary</w:t>
      </w:r>
      <w:r>
        <w:rPr>
          <w:rFonts w:ascii="Arial" w:cs="Arial" w:eastAsia="Arial" w:hAnsi="Arial"/>
          <w:sz w:val="16"/>
          <w:szCs w:val="16"/>
          <w:color w:val="auto"/>
        </w:rPr>
        <w:t>”) has been duly organized and is validly existing as a corporation or other organization in good standing under the laws of the jurisdiction of its incorporation, formation or organization, has the requisite corporate or organizational power and authority to own or lease, as the case may be, and operate its properties and to conduct its business as described in the Registration Statement, the Pricing Disclosure Package and the Prospectus and is duly qualified as a foreign corporation or other business entity to transact business and is in good standing in each jurisdiction in which such qualification is required, whether by reason of the ownership or leasing of property or the conduct of business, except where the failure to so qualify or to be in good standing would not, individually or in the aggregate, reasonably be expected to result in a Material Adverse Effect. Except as otherwise disclosed in the Registration Statement, the Pricing Disclosure Package and the Prospectus, all of the issued and outstanding capital stock of each such Subsidiary has been duly authorized and validly issued, is fully paid and non-assessable and is owned by the Company, directly or through Subsidiaries, free and clear of any security interest, mortgage, pledge, lien, encumbrance, claim or equity; none of the outstanding shares of capital stock of any Subsidiary was issued in violation of the preemptive or similar rights of any securityholder of such Subsidiary arising by operation of law, or under the certificate of formation, bylaws or other organizational documents of the Company or any Subsidiary or under any agreement to which the Company or any Subsidiary is a party. The only Subsidiaries of the Company are (A) the Significant Subsidiaries and (B) certain other subsidiaries which, considered in the aggregate as a single subsidiary, do not constitute a “significant subsidiary” as defined in Rule 1-02 of Regulation S-X. Except for the Subsidiaries, the Company does not own beneficially, directly or indirectly, more than five percent (5%) of any class of equity securities or similar interests in any corporation, business trust, association or similar organization, and is not, directly or indirectly, a partner in any partnership or party to any joint venture.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97" w:name="page198"/>
    <w:bookmarkEnd w:id="197"/>
    <w:p>
      <w:pPr>
        <w:jc w:val="both"/>
        <w:ind w:firstLine="1467"/>
        <w:spacing w:after="0" w:line="290" w:lineRule="auto"/>
        <w:tabs>
          <w:tab w:leader="none" w:pos="1722"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The authorized, issued and outstanding capital stock of the Company is as set forth in the Registration Statement, the Pricing Disclosure Package and the Prospectus in the column entitled “Actual” under the caption “Capitalization” (except for subsequent issuances, if any, pursuant to this Agreement, pursuant to reservations, agreements or employee benefit plans referred to in the Registration Statement, the Pricing Disclosure Package and the Prospectus or pursuant to the exercise of convertible securities or options referred to in the Registration Statement, the Pricing Disclosure Package and the Prospectus). The shares of issued and outstanding capital stock of the Company have been duly authorized and validly issued and are fully paid and non-assessable; none of the outstanding shares of capital stock of the Company was issued in violation of the preemptive rights, rights of first refusal or other similar rights of any securityholder of the Company arising by operation of law, or under the certificate of formation, bylaws or other organizational documents of the Company or any Subsidiary or under any agreement to which the Company or any Subsidiary is a party.</w:t>
      </w:r>
    </w:p>
    <w:p>
      <w:pPr>
        <w:spacing w:after="0" w:line="216" w:lineRule="exact"/>
        <w:rPr>
          <w:rFonts w:ascii="Arial" w:cs="Arial" w:eastAsia="Arial" w:hAnsi="Arial"/>
          <w:sz w:val="16"/>
          <w:szCs w:val="16"/>
          <w:color w:val="auto"/>
        </w:rPr>
      </w:pPr>
    </w:p>
    <w:p>
      <w:pPr>
        <w:jc w:val="both"/>
        <w:ind w:firstLine="1467"/>
        <w:spacing w:after="0" w:line="258" w:lineRule="auto"/>
        <w:tabs>
          <w:tab w:leader="none" w:pos="1772"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Company Equity Awards</w:t>
      </w:r>
      <w:r>
        <w:rPr>
          <w:rFonts w:ascii="Arial" w:cs="Arial" w:eastAsia="Arial" w:hAnsi="Arial"/>
          <w:sz w:val="18"/>
          <w:szCs w:val="18"/>
          <w:color w:val="auto"/>
        </w:rPr>
        <w:t>. With respect to any stock options, restricted stock or other equity awards (the “</w:t>
      </w:r>
      <w:r>
        <w:rPr>
          <w:rFonts w:ascii="Arial" w:cs="Arial" w:eastAsia="Arial" w:hAnsi="Arial"/>
          <w:sz w:val="18"/>
          <w:szCs w:val="18"/>
          <w:b w:val="1"/>
          <w:bCs w:val="1"/>
          <w:color w:val="auto"/>
        </w:rPr>
        <w:t>Equity Awards</w:t>
      </w:r>
      <w:r>
        <w:rPr>
          <w:rFonts w:ascii="Arial" w:cs="Arial" w:eastAsia="Arial" w:hAnsi="Arial"/>
          <w:sz w:val="18"/>
          <w:szCs w:val="18"/>
          <w:color w:val="auto"/>
        </w:rPr>
        <w:t>”) granted pursuant to any compensation plan of the Company or its Subsidiaries providing for the issuance of Equity Awards (the “</w:t>
      </w:r>
      <w:r>
        <w:rPr>
          <w:rFonts w:ascii="Arial" w:cs="Arial" w:eastAsia="Arial" w:hAnsi="Arial"/>
          <w:sz w:val="18"/>
          <w:szCs w:val="18"/>
          <w:b w:val="1"/>
          <w:bCs w:val="1"/>
          <w:color w:val="auto"/>
        </w:rPr>
        <w:t>Company Plans</w:t>
      </w:r>
      <w:r>
        <w:rPr>
          <w:rFonts w:ascii="Arial" w:cs="Arial" w:eastAsia="Arial" w:hAnsi="Arial"/>
          <w:sz w:val="18"/>
          <w:szCs w:val="18"/>
          <w:color w:val="auto"/>
        </w:rPr>
        <w:t>”), (A) each grant of an Equity Award was duly authorized no later than the date on which the grant of such Equity Award was by its terms to be effective by all necessary corporate action, and (B) each such grant was made in accordance with the terms of the Company Plans and all other applicable laws and regulatory rules or requirements.</w:t>
      </w:r>
    </w:p>
    <w:p>
      <w:pPr>
        <w:spacing w:after="0" w:line="241" w:lineRule="exact"/>
        <w:rPr>
          <w:rFonts w:ascii="Arial" w:cs="Arial" w:eastAsia="Arial" w:hAnsi="Arial"/>
          <w:sz w:val="18"/>
          <w:szCs w:val="18"/>
          <w:color w:val="auto"/>
        </w:rPr>
      </w:pPr>
    </w:p>
    <w:p>
      <w:pPr>
        <w:jc w:val="both"/>
        <w:ind w:firstLine="1467"/>
        <w:spacing w:after="0" w:line="259" w:lineRule="auto"/>
        <w:tabs>
          <w:tab w:leader="none" w:pos="1822"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Authorization of Agreement</w:t>
      </w:r>
      <w:r>
        <w:rPr>
          <w:rFonts w:ascii="Arial" w:cs="Arial" w:eastAsia="Arial" w:hAnsi="Arial"/>
          <w:sz w:val="18"/>
          <w:szCs w:val="18"/>
          <w:color w:val="auto"/>
        </w:rPr>
        <w:t>. The Company has full right, power and authority to execute and deliver this Agreement and to perform its obligations hereunder; and all action required to be taken for the due and proper authorization, execution and delivery by it of this Agreement and the consummation by it of the transactions contemplated hereby has been duly and validly taken. This Agreement has been duly authorized, executed and delivered by the Company.</w:t>
      </w:r>
    </w:p>
    <w:p>
      <w:pPr>
        <w:spacing w:after="0" w:line="240" w:lineRule="exact"/>
        <w:rPr>
          <w:rFonts w:ascii="Arial" w:cs="Arial" w:eastAsia="Arial" w:hAnsi="Arial"/>
          <w:sz w:val="18"/>
          <w:szCs w:val="18"/>
          <w:color w:val="auto"/>
        </w:rPr>
      </w:pPr>
    </w:p>
    <w:p>
      <w:pPr>
        <w:jc w:val="both"/>
        <w:ind w:firstLine="1467"/>
        <w:spacing w:after="0" w:line="259" w:lineRule="auto"/>
        <w:tabs>
          <w:tab w:leader="none" w:pos="1872"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Securities Offerings</w:t>
      </w:r>
      <w:r>
        <w:rPr>
          <w:rFonts w:ascii="Arial" w:cs="Arial" w:eastAsia="Arial" w:hAnsi="Arial"/>
          <w:sz w:val="18"/>
          <w:szCs w:val="18"/>
          <w:color w:val="auto"/>
        </w:rPr>
        <w:t>. All offers and sales of the Company’s capital stock and debt or other securities prior to the date hereof were made in compliance with or were the subject of an available exemption from the Securities Act and the Securities Act Regulations and all other applicable state and federal laws or regulations, or any actions under the Securities Act and the Securities Act Regulations or any state or federal laws or regulations in respect of any such offers or sales are effectively barred by effective waivers or statutes of limitation.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98" w:name="page199"/>
    <w:bookmarkEnd w:id="198"/>
    <w:p>
      <w:pPr>
        <w:jc w:val="both"/>
        <w:ind w:firstLine="1467"/>
        <w:spacing w:after="0" w:line="269" w:lineRule="auto"/>
        <w:tabs>
          <w:tab w:leader="none" w:pos="1890"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Authorization and Description of Shares</w:t>
      </w:r>
      <w:r>
        <w:rPr>
          <w:rFonts w:ascii="Arial" w:cs="Arial" w:eastAsia="Arial" w:hAnsi="Arial"/>
          <w:sz w:val="17"/>
          <w:szCs w:val="17"/>
          <w:color w:val="auto"/>
        </w:rPr>
        <w:t>. The Shares to be purchased by the Underwriters from the Company have been duly authorized for issuance and sale to the Underwriters pursuant to this Agreement and, when issued and delivered by the Company pursuant to this Agreement against payment of the consideration set forth herein, will be validly issued and fully paid and non-assessable; the Common Stock will conform in all material respects to all statements relating thereto contained in the Registration Statement, the Pricing Disclosure Package and the Prospectus and such statements conform in all material respects to the rights set forth in the instruments defining the same; no holder of the Shares will be subject to personal liability for the debts of the Company by reason of being such a holder; and the issuance of the Shares is not subject to the preemptive rights, rights of first refusal or other similar rights of any securityholder of the Company. There are no authorized or outstanding options, warrants, preemptive rights, rights of first refusal or other rights to purchase, or equity or debt securities convertible into or exchangeable or exercisable for, any capital stock of the Company or any of the Subsidiaries other than those described in the Registration Statement, the Pricing Disclosure Package and the Prospectus. The descriptions of the Company’s stock option, stock bonus and other stock plans or arrangements, and the options or other rights granted thereunder, set forth in the Registration Statement, the Pricing Disclosure Package and the Prospectus accurately and fairly present in all material respects the information required to be shown with respect to such plans, arrangements, options and rights.</w:t>
      </w:r>
    </w:p>
    <w:p>
      <w:pPr>
        <w:spacing w:after="0" w:line="233" w:lineRule="exact"/>
        <w:rPr>
          <w:rFonts w:ascii="Arial" w:cs="Arial" w:eastAsia="Arial" w:hAnsi="Arial"/>
          <w:sz w:val="17"/>
          <w:szCs w:val="17"/>
          <w:color w:val="auto"/>
        </w:rPr>
      </w:pPr>
    </w:p>
    <w:p>
      <w:pPr>
        <w:jc w:val="both"/>
        <w:ind w:firstLine="1467"/>
        <w:spacing w:after="0" w:line="259" w:lineRule="auto"/>
        <w:tabs>
          <w:tab w:leader="none" w:pos="1839"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There are no contracts, agreements or understandings between the Company and any person granting such person registration rights or other similar rights to have any securities registered for resale pursuant to the Registration Statement or otherwise registered for resale or sold by the Company under the Securities Act pursuant to this Agreement other than any rights that have been disclosed in the Registration Statement, the Pricing Disclosure Package and the Prospectus and have been waived.</w:t>
      </w:r>
    </w:p>
    <w:p>
      <w:pPr>
        <w:spacing w:after="0" w:line="240" w:lineRule="exact"/>
        <w:rPr>
          <w:rFonts w:ascii="Arial" w:cs="Arial" w:eastAsia="Arial" w:hAnsi="Arial"/>
          <w:sz w:val="18"/>
          <w:szCs w:val="18"/>
          <w:color w:val="auto"/>
        </w:rPr>
      </w:pPr>
    </w:p>
    <w:p>
      <w:pPr>
        <w:jc w:val="both"/>
        <w:ind w:firstLine="1467"/>
        <w:spacing w:after="0" w:line="286" w:lineRule="auto"/>
        <w:tabs>
          <w:tab w:leader="none" w:pos="1890"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Summaries of Legal Matters</w:t>
      </w:r>
      <w:r>
        <w:rPr>
          <w:rFonts w:ascii="Arial" w:cs="Arial" w:eastAsia="Arial" w:hAnsi="Arial"/>
          <w:sz w:val="17"/>
          <w:szCs w:val="17"/>
          <w:color w:val="auto"/>
        </w:rPr>
        <w:t>. The statements set forth in the Registration Statement, the Pricing Disclosure Package and the Prospectus under the caption “Description of Capital Stock” and under the caption “Supervision and Regulation,” insofar as they purport to describe the provisions of the laws and regulations or documents referred to therein, are accurate, complete and fair in all material respects.</w:t>
      </w:r>
    </w:p>
    <w:p>
      <w:pPr>
        <w:spacing w:after="0" w:line="215" w:lineRule="exact"/>
        <w:rPr>
          <w:rFonts w:ascii="Arial" w:cs="Arial" w:eastAsia="Arial" w:hAnsi="Arial"/>
          <w:sz w:val="17"/>
          <w:szCs w:val="17"/>
          <w:color w:val="auto"/>
        </w:rPr>
      </w:pPr>
    </w:p>
    <w:p>
      <w:pPr>
        <w:jc w:val="both"/>
        <w:ind w:firstLine="1467"/>
        <w:spacing w:after="0" w:line="285" w:lineRule="auto"/>
        <w:tabs>
          <w:tab w:leader="none" w:pos="1913"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Absence of Defaults and Conflicts</w:t>
      </w:r>
      <w:r>
        <w:rPr>
          <w:rFonts w:ascii="Arial" w:cs="Arial" w:eastAsia="Arial" w:hAnsi="Arial"/>
          <w:sz w:val="16"/>
          <w:szCs w:val="16"/>
          <w:color w:val="auto"/>
        </w:rPr>
        <w:t>. The Company is not in violation of its Certificate of Formation, as amended (the “</w:t>
      </w:r>
      <w:r>
        <w:rPr>
          <w:rFonts w:ascii="Arial" w:cs="Arial" w:eastAsia="Arial" w:hAnsi="Arial"/>
          <w:sz w:val="16"/>
          <w:szCs w:val="16"/>
          <w:b w:val="1"/>
          <w:bCs w:val="1"/>
          <w:color w:val="auto"/>
        </w:rPr>
        <w:t>Charter</w:t>
      </w:r>
      <w:r>
        <w:rPr>
          <w:rFonts w:ascii="Arial" w:cs="Arial" w:eastAsia="Arial" w:hAnsi="Arial"/>
          <w:sz w:val="16"/>
          <w:szCs w:val="16"/>
          <w:color w:val="auto"/>
        </w:rPr>
        <w:t>”), or Bylaws, as amended (the “</w:t>
      </w:r>
      <w:r>
        <w:rPr>
          <w:rFonts w:ascii="Arial" w:cs="Arial" w:eastAsia="Arial" w:hAnsi="Arial"/>
          <w:sz w:val="16"/>
          <w:szCs w:val="16"/>
          <w:b w:val="1"/>
          <w:bCs w:val="1"/>
          <w:color w:val="auto"/>
        </w:rPr>
        <w:t>Bylaws</w:t>
      </w:r>
      <w:r>
        <w:rPr>
          <w:rFonts w:ascii="Arial" w:cs="Arial" w:eastAsia="Arial" w:hAnsi="Arial"/>
          <w:sz w:val="16"/>
          <w:szCs w:val="16"/>
          <w:color w:val="auto"/>
        </w:rPr>
        <w:t>”); none of the Subsidiaries is in violation of its charter, bylaws or other organizational documents and neither the Company nor any of its Subsidiaries is (A) in default in the performance or observance of any obligation, agreement, covenant or condition contained in any contract, indenture, mortgage, deed of trust, loan or credit agreement, note, lease or other agreement or instrument to which the Company or any of its Subsidiaries is a party or by which it or any of them may be bound, or to which any of the property or assets of the Company or any Subsidiary is subject (collectively, “</w:t>
      </w:r>
      <w:r>
        <w:rPr>
          <w:rFonts w:ascii="Arial" w:cs="Arial" w:eastAsia="Arial" w:hAnsi="Arial"/>
          <w:sz w:val="16"/>
          <w:szCs w:val="16"/>
          <w:b w:val="1"/>
          <w:bCs w:val="1"/>
          <w:color w:val="auto"/>
        </w:rPr>
        <w:t>Agreements and Instruments</w:t>
      </w:r>
      <w:r>
        <w:rPr>
          <w:rFonts w:ascii="Arial" w:cs="Arial" w:eastAsia="Arial" w:hAnsi="Arial"/>
          <w:sz w:val="16"/>
          <w:szCs w:val="16"/>
          <w:color w:val="auto"/>
        </w:rPr>
        <w:t>”), or (B) in violation of any law or statute or any judgment, order, rule or regulation of any court or arbitrator or governmental or regulatory authority, except, in the case of clauses (A) and (B), for such violations or defaults that could not, singly or in the aggregate, reasonably be expected to result in a Material Adverse Effect; and the execution, delivery and performance of this Agreement by the Company and the consummation of the transactions contemplated herein and in the Registration Statement by the Company (including the issuance and sale of the Shares and the use of the proceeds from the sale of the Shares as described in the Prospectus under the caption “Use of Proceeds”) and compliance by the Company with its obligations hereunder do not and will not, whether with or without the giving of notice or passage of time or both, conflict with or constitute a breach of, or default or Repayment Event (as defined below) under, or result in the creation or imposition of any lien, charge or encumbrance upon any property or assets of the Company or any Subsidiary pursuant to, the Agreements and Instruments (except for such conflicts, breaches, defaults or liens, charges or encumbrances that would not, singly or in the aggregate, reasonably be expected to result in a Material Adverse Effect); nor will such action result in any violation of the provisions of the Charter or Bylaws of the Company or the charter, bylaws or other organizational document of any Subsidiary; nor will such action result in any violation of any applicable law, statute, rule, regulation, judgment, order, writ or decree of any government, government instrumentality or court, domestic or foreign, having jurisdiction over the Company or any Subsidiary or any of their assets, properties or operations (except for such violations that would not, singly or in the aggregate, reasonably be expected to result in a Material Adverse Effect). As used herein, a “</w:t>
      </w:r>
      <w:r>
        <w:rPr>
          <w:rFonts w:ascii="Arial" w:cs="Arial" w:eastAsia="Arial" w:hAnsi="Arial"/>
          <w:sz w:val="16"/>
          <w:szCs w:val="16"/>
          <w:b w:val="1"/>
          <w:bCs w:val="1"/>
          <w:color w:val="auto"/>
        </w:rPr>
        <w:t>Repayment Event</w:t>
      </w:r>
      <w:r>
        <w:rPr>
          <w:rFonts w:ascii="Arial" w:cs="Arial" w:eastAsia="Arial" w:hAnsi="Arial"/>
          <w:sz w:val="16"/>
          <w:szCs w:val="16"/>
          <w:color w:val="auto"/>
        </w:rPr>
        <w:t>” means any event or condition which gives the holder of any note, debenture or other evidence of indebtedness (or any person acting on such holder’s behalf) the right to require the repurchase, redemption or repayment of all or a portion of such indebtedness by the Company or any Subsidiary.</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99" w:name="page200"/>
    <w:bookmarkEnd w:id="199"/>
    <w:p>
      <w:pPr>
        <w:jc w:val="both"/>
        <w:ind w:firstLine="1467"/>
        <w:spacing w:after="0" w:line="286" w:lineRule="auto"/>
        <w:tabs>
          <w:tab w:leader="none" w:pos="1976" w:val="left"/>
        </w:tabs>
        <w:numPr>
          <w:ilvl w:val="0"/>
          <w:numId w:val="110"/>
        </w:numPr>
        <w:rPr>
          <w:rFonts w:ascii="Arial" w:cs="Arial" w:eastAsia="Arial" w:hAnsi="Arial"/>
          <w:sz w:val="17"/>
          <w:szCs w:val="17"/>
          <w:color w:val="auto"/>
        </w:rPr>
      </w:pPr>
      <w:r>
        <w:rPr>
          <w:rFonts w:ascii="Arial" w:cs="Arial" w:eastAsia="Arial" w:hAnsi="Arial"/>
          <w:sz w:val="17"/>
          <w:szCs w:val="17"/>
          <w:u w:val="single" w:color="auto"/>
          <w:color w:val="auto"/>
        </w:rPr>
        <w:t>Nasdaq Listing</w:t>
      </w:r>
      <w:r>
        <w:rPr>
          <w:rFonts w:ascii="Arial" w:cs="Arial" w:eastAsia="Arial" w:hAnsi="Arial"/>
          <w:sz w:val="17"/>
          <w:szCs w:val="17"/>
          <w:color w:val="auto"/>
        </w:rPr>
        <w:t>. The Shares have been approved for listing, subject to official notice of issuance and evidence of satisfactory distribution, on the Nasdaq Global Select Market (“</w:t>
      </w:r>
      <w:r>
        <w:rPr>
          <w:rFonts w:ascii="Arial" w:cs="Arial" w:eastAsia="Arial" w:hAnsi="Arial"/>
          <w:sz w:val="17"/>
          <w:szCs w:val="17"/>
          <w:b w:val="1"/>
          <w:bCs w:val="1"/>
          <w:color w:val="auto"/>
        </w:rPr>
        <w:t>Nasdaq</w:t>
      </w:r>
      <w:r>
        <w:rPr>
          <w:rFonts w:ascii="Arial" w:cs="Arial" w:eastAsia="Arial" w:hAnsi="Arial"/>
          <w:sz w:val="17"/>
          <w:szCs w:val="17"/>
          <w:color w:val="auto"/>
        </w:rPr>
        <w:t>”), and the Company has taken no action designed to, or likely to have the effect of, delisting the Shares from Nasdaq, nor has the Company received any notification that the Commission or Nasdaq is contemplating terminating such listing.</w:t>
      </w:r>
    </w:p>
    <w:p>
      <w:pPr>
        <w:spacing w:after="0" w:line="219" w:lineRule="exact"/>
        <w:rPr>
          <w:rFonts w:ascii="Arial" w:cs="Arial" w:eastAsia="Arial" w:hAnsi="Arial"/>
          <w:sz w:val="17"/>
          <w:szCs w:val="17"/>
          <w:color w:val="auto"/>
        </w:rPr>
      </w:pPr>
    </w:p>
    <w:p>
      <w:pPr>
        <w:jc w:val="both"/>
        <w:ind w:firstLine="1467"/>
        <w:spacing w:after="0" w:line="286" w:lineRule="auto"/>
        <w:tabs>
          <w:tab w:leader="none" w:pos="1862"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Absence of Labor Dispute</w:t>
      </w:r>
      <w:r>
        <w:rPr>
          <w:rFonts w:ascii="Arial" w:cs="Arial" w:eastAsia="Arial" w:hAnsi="Arial"/>
          <w:sz w:val="16"/>
          <w:szCs w:val="16"/>
          <w:color w:val="auto"/>
        </w:rPr>
        <w:t>. No labor dispute with the employees of the Company or any Subsidiary exists or, to the knowledge of the Company, is imminent. The Company is not aware of any existing or imminent labor disturbance by the employees of any of its or any Subsidiary’s principal suppliers, manufacturers, customers or contractors, which, in either case, would, singly or in the aggregate, reasonably be expected to result in a Material Adverse Effect. Neither the Company nor any of the Significant Subsidiaries is engaged in any unfair labor practice; to the Company’s knowledge, no union organizing activities are currently taking place concerning the employees of the Company or any of the Significant Subsidiaries; except for matters which would not, individually or in the aggregate, reasonably be expected to have a Material Adverse Effect, (A) there is (1) no unfair labor practice complaint pending or, to the Company’s knowledge, threatened against the Company or any of the Significant Subsidiaries before the National Labor Relations Board or any similar domestic or foreign body, and no grievance or arbitration proceeding arising out of or under collective bargaining agreements is pending or, to the Company’s knowledge, threatened, (2) no strike, labor dispute, slowdown or stoppage pending or, to the Company’s knowledge, threatened against the Company or any of the Significant Subsidiaries and (3) no union representation dispute currently existing concerning the employees of the Company or any of the Significant Subsidiaries, and (B) there has been no violation of any federal, state, local or foreign law relating to discrimination in the hiring, promotion or pay of employees, any applicable wage or hour laws or any provision of the Employee Retirement Income Security Act of 1974, as amended, and the regulations and published interpretations thereunder (collectively, “</w:t>
      </w:r>
      <w:r>
        <w:rPr>
          <w:rFonts w:ascii="Arial" w:cs="Arial" w:eastAsia="Arial" w:hAnsi="Arial"/>
          <w:sz w:val="16"/>
          <w:szCs w:val="16"/>
          <w:b w:val="1"/>
          <w:bCs w:val="1"/>
          <w:color w:val="auto"/>
        </w:rPr>
        <w:t>ERISA</w:t>
      </w:r>
      <w:r>
        <w:rPr>
          <w:rFonts w:ascii="Arial" w:cs="Arial" w:eastAsia="Arial" w:hAnsi="Arial"/>
          <w:sz w:val="16"/>
          <w:szCs w:val="16"/>
          <w:color w:val="auto"/>
        </w:rPr>
        <w:t>”) or any similar domestic or foreign law or the rules and regulations promulgated thereunder concerning the employees of the Company or any of the Significant Subsidiaries.</w:t>
      </w:r>
    </w:p>
    <w:p>
      <w:pPr>
        <w:spacing w:after="0" w:line="225" w:lineRule="exact"/>
        <w:rPr>
          <w:rFonts w:ascii="Arial" w:cs="Arial" w:eastAsia="Arial" w:hAnsi="Arial"/>
          <w:sz w:val="16"/>
          <w:szCs w:val="16"/>
          <w:color w:val="auto"/>
        </w:rPr>
      </w:pPr>
    </w:p>
    <w:p>
      <w:pPr>
        <w:jc w:val="both"/>
        <w:ind w:firstLine="1467"/>
        <w:spacing w:after="0" w:line="253" w:lineRule="auto"/>
        <w:tabs>
          <w:tab w:leader="none" w:pos="1853"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Absence of Proceedings</w:t>
      </w:r>
      <w:r>
        <w:rPr>
          <w:rFonts w:ascii="Arial" w:cs="Arial" w:eastAsia="Arial" w:hAnsi="Arial"/>
          <w:sz w:val="18"/>
          <w:szCs w:val="18"/>
          <w:color w:val="auto"/>
        </w:rPr>
        <w:t>. There is no action, suit, proceeding, inquiry or investigation before or brought by any court or governmental agency or body, domestic or foreign, now pending, or, to the knowledge of the Company, threatened, against or affecting the Company or any Subsidiary, other than as disclosed in the Registration Statement, which is required to be disclosed in the Registration Statement or which, if determined adversely to the Company or any Subsidiary, individually or in the aggregate, would reasonably be expected to result in a Material Adverse Effect, or which would materially and adversely affect the properties or assets thereof, nor to the Company’s knowledge, is there any basis for any such action, suit, inquiry, proceeding or investigation; the aggregate of all pending legal or governmental proceedings to which the Company or any Subsidiary is a party or of which any of their respective property or assets is the subject which are not described in the Registration Statement, including ordinary routine litigation incidental to the business, if determined adversely to the Company or any Subsidiary, individually or in the aggregate, would not reasonably be expected to result in a Material Adverse Effect.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00" w:name="page201"/>
    <w:bookmarkEnd w:id="200"/>
    <w:p>
      <w:pPr>
        <w:ind w:firstLine="1467"/>
        <w:spacing w:after="0" w:line="308" w:lineRule="auto"/>
        <w:tabs>
          <w:tab w:leader="none" w:pos="1903" w:val="left"/>
        </w:tabs>
        <w:numPr>
          <w:ilvl w:val="0"/>
          <w:numId w:val="111"/>
        </w:numPr>
        <w:rPr>
          <w:rFonts w:ascii="Arial" w:cs="Arial" w:eastAsia="Arial" w:hAnsi="Arial"/>
          <w:sz w:val="17"/>
          <w:szCs w:val="17"/>
          <w:color w:val="auto"/>
        </w:rPr>
      </w:pPr>
      <w:r>
        <w:rPr>
          <w:rFonts w:ascii="Arial" w:cs="Arial" w:eastAsia="Arial" w:hAnsi="Arial"/>
          <w:sz w:val="17"/>
          <w:szCs w:val="17"/>
          <w:u w:val="single" w:color="auto"/>
          <w:color w:val="auto"/>
        </w:rPr>
        <w:t>Bank Holding Company Act</w:t>
      </w:r>
      <w:r>
        <w:rPr>
          <w:rFonts w:ascii="Arial" w:cs="Arial" w:eastAsia="Arial" w:hAnsi="Arial"/>
          <w:sz w:val="17"/>
          <w:szCs w:val="17"/>
          <w:color w:val="auto"/>
        </w:rPr>
        <w:t>. The Company has been duly registered as, and meets in all material respects the applicable requirements for qualification as, a bank holding company under the applicable provisions of the Bank Holding Company Act of 1956, as amended.</w:t>
      </w:r>
    </w:p>
    <w:p>
      <w:pPr>
        <w:spacing w:after="0" w:line="200" w:lineRule="exact"/>
        <w:rPr>
          <w:rFonts w:ascii="Arial" w:cs="Arial" w:eastAsia="Arial" w:hAnsi="Arial"/>
          <w:sz w:val="17"/>
          <w:szCs w:val="17"/>
          <w:color w:val="auto"/>
        </w:rPr>
      </w:pPr>
    </w:p>
    <w:p>
      <w:pPr>
        <w:jc w:val="both"/>
        <w:ind w:firstLine="1467"/>
        <w:spacing w:after="0" w:line="284" w:lineRule="auto"/>
        <w:tabs>
          <w:tab w:leader="none" w:pos="1913"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Compliance with Bank Regulatory Authorities</w:t>
      </w:r>
      <w:r>
        <w:rPr>
          <w:rFonts w:ascii="Arial" w:cs="Arial" w:eastAsia="Arial" w:hAnsi="Arial"/>
          <w:sz w:val="16"/>
          <w:szCs w:val="16"/>
          <w:color w:val="auto"/>
        </w:rPr>
        <w:t>. The Company and each of its Subsidiaries is in compliance in all material respects with all applicable laws, rules and regulations (including, without limitation, all applicable regulations and orders) of, or agreements with, the Board of Governors of the Federal Reserve System (“</w:t>
      </w:r>
      <w:r>
        <w:rPr>
          <w:rFonts w:ascii="Arial" w:cs="Arial" w:eastAsia="Arial" w:hAnsi="Arial"/>
          <w:sz w:val="16"/>
          <w:szCs w:val="16"/>
          <w:b w:val="1"/>
          <w:bCs w:val="1"/>
          <w:color w:val="auto"/>
        </w:rPr>
        <w:t>Federal Reserve</w:t>
      </w:r>
      <w:r>
        <w:rPr>
          <w:rFonts w:ascii="Arial" w:cs="Arial" w:eastAsia="Arial" w:hAnsi="Arial"/>
          <w:sz w:val="16"/>
          <w:szCs w:val="16"/>
          <w:color w:val="auto"/>
        </w:rPr>
        <w:t>”), the Federal Deposit Insurance Corporation (“</w:t>
      </w:r>
      <w:r>
        <w:rPr>
          <w:rFonts w:ascii="Arial" w:cs="Arial" w:eastAsia="Arial" w:hAnsi="Arial"/>
          <w:sz w:val="16"/>
          <w:szCs w:val="16"/>
          <w:b w:val="1"/>
          <w:bCs w:val="1"/>
          <w:color w:val="auto"/>
        </w:rPr>
        <w:t>FDIC</w:t>
      </w:r>
      <w:r>
        <w:rPr>
          <w:rFonts w:ascii="Arial" w:cs="Arial" w:eastAsia="Arial" w:hAnsi="Arial"/>
          <w:sz w:val="16"/>
          <w:szCs w:val="16"/>
          <w:color w:val="auto"/>
        </w:rPr>
        <w:t>”), and the Texas Department of Banking (“TDB”), and any other applicable federal or state banking authorities, as applicable (collectively, the “</w:t>
      </w:r>
      <w:r>
        <w:rPr>
          <w:rFonts w:ascii="Arial" w:cs="Arial" w:eastAsia="Arial" w:hAnsi="Arial"/>
          <w:sz w:val="16"/>
          <w:szCs w:val="16"/>
          <w:b w:val="1"/>
          <w:bCs w:val="1"/>
          <w:color w:val="auto"/>
        </w:rPr>
        <w:t>Bank Regulatory Authorities</w:t>
      </w:r>
      <w:r>
        <w:rPr>
          <w:rFonts w:ascii="Arial" w:cs="Arial" w:eastAsia="Arial" w:hAnsi="Arial"/>
          <w:sz w:val="16"/>
          <w:szCs w:val="16"/>
          <w:color w:val="auto"/>
        </w:rPr>
        <w:t>”), the Equal Credit Opportunity Act, the Fair Housing Act, the Truth in Lending Act, the Community Reinvestment Act (the “</w:t>
      </w:r>
      <w:r>
        <w:rPr>
          <w:rFonts w:ascii="Arial" w:cs="Arial" w:eastAsia="Arial" w:hAnsi="Arial"/>
          <w:sz w:val="16"/>
          <w:szCs w:val="16"/>
          <w:b w:val="1"/>
          <w:bCs w:val="1"/>
          <w:color w:val="auto"/>
        </w:rPr>
        <w:t>CRA</w:t>
      </w:r>
      <w:r>
        <w:rPr>
          <w:rFonts w:ascii="Arial" w:cs="Arial" w:eastAsia="Arial" w:hAnsi="Arial"/>
          <w:sz w:val="16"/>
          <w:szCs w:val="16"/>
          <w:color w:val="auto"/>
        </w:rPr>
        <w:t>”), the Home Mortgage Disclosure Act, the Currency and Foreign Transactions Reporting Act or Bank Secrecy Act of 1970 (“</w:t>
      </w:r>
      <w:r>
        <w:rPr>
          <w:rFonts w:ascii="Arial" w:cs="Arial" w:eastAsia="Arial" w:hAnsi="Arial"/>
          <w:sz w:val="16"/>
          <w:szCs w:val="16"/>
          <w:b w:val="1"/>
          <w:bCs w:val="1"/>
          <w:color w:val="auto"/>
        </w:rPr>
        <w:t>Bank Secrecy Act</w:t>
      </w:r>
      <w:r>
        <w:rPr>
          <w:rFonts w:ascii="Arial" w:cs="Arial" w:eastAsia="Arial" w:hAnsi="Arial"/>
          <w:sz w:val="16"/>
          <w:szCs w:val="16"/>
          <w:color w:val="auto"/>
        </w:rPr>
        <w:t>”) and Title III of the Uniting and Strengthening America by Providing Appropriate Tools Required to Intercept and Obstruct Terrorism Act of 2001 (“</w:t>
      </w:r>
      <w:r>
        <w:rPr>
          <w:rFonts w:ascii="Arial" w:cs="Arial" w:eastAsia="Arial" w:hAnsi="Arial"/>
          <w:sz w:val="16"/>
          <w:szCs w:val="16"/>
          <w:b w:val="1"/>
          <w:bCs w:val="1"/>
          <w:color w:val="auto"/>
        </w:rPr>
        <w:t>USA Patriot Act</w:t>
      </w:r>
      <w:r>
        <w:rPr>
          <w:rFonts w:ascii="Arial" w:cs="Arial" w:eastAsia="Arial" w:hAnsi="Arial"/>
          <w:sz w:val="16"/>
          <w:szCs w:val="16"/>
          <w:color w:val="auto"/>
        </w:rPr>
        <w:t>”), to the extent such laws or regulations apply to the Company or the Bank, as applicable. The Company and the Bank have no knowledge of any facts and circumstances, and has no reason to believe that any facts or circumstances exist, that could cause the Bank (A) to be deemed not to be in satisfactory compliance with the CRA and the regulations promulgated thereunder or to be assigned a CRA rating by federal or state banking regulators of lower than “satisfactory,” or (B) to be deemed to be operating in violation, in any material respect, of the Bank Secrecy Act, the USA Patriot Act or any order issued with respect to the Anti-Money Laundering Laws (as defined below). As of the most recent quarter end, the Bank met or exceeded the standards necessary to be considered “well capitalized” under the regulatory framework for prompt corrective action of the FDIC. The Bank is the only depository institution subsidiary of the Company and the Bank is a member in good standing of the Federal Home Loan Bank System. The activities of the Bank are permitted under the laws and regulations of the State of Texas. Since December 31, 2014, the Company, the Bank and each of their respective subsidiaries have filed all material reports, registrations and statements, together with any required amendments thereto, that were required to be filed with all Bank Regulatory Authorities. All such reports and statements filed with any such regulatory body or authority are collectively referred to herein as the “</w:t>
      </w:r>
      <w:r>
        <w:rPr>
          <w:rFonts w:ascii="Arial" w:cs="Arial" w:eastAsia="Arial" w:hAnsi="Arial"/>
          <w:sz w:val="16"/>
          <w:szCs w:val="16"/>
          <w:b w:val="1"/>
          <w:bCs w:val="1"/>
          <w:color w:val="auto"/>
        </w:rPr>
        <w:t>Company Reports</w:t>
      </w:r>
      <w:r>
        <w:rPr>
          <w:rFonts w:ascii="Arial" w:cs="Arial" w:eastAsia="Arial" w:hAnsi="Arial"/>
          <w:sz w:val="16"/>
          <w:szCs w:val="16"/>
          <w:color w:val="auto"/>
        </w:rPr>
        <w:t>.” As of their respective dates, the Company Reports complied as to form in all material respects with all the rules and regulations promulgated by the Bank Regulatory Authorities. Except as disclosed in the Registration Statement, the Pricing Disclosure Package and the Prospectus, none of the Company, the Bank or any of their respective subsidiaries is a party or subject to any formal or informal agreement, memorandum of understanding, consent decree, directive, cease-and-desist order, order of prohibition or suspension, written commitment, supervisory agreement or other written statement as described under 12 U.S.C. 1818(u) with, or order issued by, or has adopted any board resolutions at the request of, any Bank Regulatory Authority that restricts materially the conduct of its business, or in any manner relates to its capital adequacy, its credit policies or its management, nor have any of them been advised by any Bank Regulatory Authority that it is contemplating issuing or requesting (or is considering the appropriateness of issuing or requesting) any such order, decree, agreement, memorandum of understanding, extraordinary supervisory letter, commitment letter or similar submission, or any such board resolutions or that imposes any restrictions or requirements not generally applicable to bank holding companies or commercial banks. There is no unresolved violation, criticism or exception by any Bank Regulatory Authority with respect to any examination of the Company, the Bank or any of the Company’s other Subsidiaries, which might, individually or in the aggregate, reasonably be expected to result in a Material Adverse Effect.</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01" w:name="page202"/>
    <w:bookmarkEnd w:id="201"/>
    <w:p>
      <w:pPr>
        <w:ind w:right="20" w:firstLine="1467"/>
        <w:spacing w:after="0" w:line="308" w:lineRule="auto"/>
        <w:tabs>
          <w:tab w:leader="none" w:pos="1963" w:val="left"/>
        </w:tabs>
        <w:numPr>
          <w:ilvl w:val="0"/>
          <w:numId w:val="112"/>
        </w:numPr>
        <w:rPr>
          <w:rFonts w:ascii="Arial" w:cs="Arial" w:eastAsia="Arial" w:hAnsi="Arial"/>
          <w:sz w:val="17"/>
          <w:szCs w:val="17"/>
          <w:color w:val="auto"/>
        </w:rPr>
      </w:pPr>
      <w:r>
        <w:rPr>
          <w:rFonts w:ascii="Arial" w:cs="Arial" w:eastAsia="Arial" w:hAnsi="Arial"/>
          <w:sz w:val="17"/>
          <w:szCs w:val="17"/>
          <w:u w:val="single" w:color="auto"/>
          <w:color w:val="auto"/>
        </w:rPr>
        <w:t>Accuracy of Exhibits</w:t>
      </w:r>
      <w:r>
        <w:rPr>
          <w:rFonts w:ascii="Arial" w:cs="Arial" w:eastAsia="Arial" w:hAnsi="Arial"/>
          <w:sz w:val="17"/>
          <w:szCs w:val="17"/>
          <w:color w:val="auto"/>
        </w:rPr>
        <w:t>. There are no contracts or documents which are required to be described in the Registration Statement, the Pricing Disclosure Package, the Prospectus or to be filed as exhibits thereto which have not been so described and filed as required.</w:t>
      </w:r>
    </w:p>
    <w:p>
      <w:pPr>
        <w:spacing w:after="0" w:line="200" w:lineRule="exact"/>
        <w:rPr>
          <w:rFonts w:ascii="Arial" w:cs="Arial" w:eastAsia="Arial" w:hAnsi="Arial"/>
          <w:sz w:val="17"/>
          <w:szCs w:val="17"/>
          <w:color w:val="auto"/>
        </w:rPr>
      </w:pPr>
    </w:p>
    <w:p>
      <w:pPr>
        <w:jc w:val="both"/>
        <w:ind w:firstLine="1467"/>
        <w:spacing w:after="0" w:line="270" w:lineRule="auto"/>
        <w:tabs>
          <w:tab w:leader="none" w:pos="1952" w:val="left"/>
        </w:tabs>
        <w:numPr>
          <w:ilvl w:val="0"/>
          <w:numId w:val="112"/>
        </w:numPr>
        <w:rPr>
          <w:rFonts w:ascii="Arial" w:cs="Arial" w:eastAsia="Arial" w:hAnsi="Arial"/>
          <w:sz w:val="17"/>
          <w:szCs w:val="17"/>
          <w:color w:val="auto"/>
        </w:rPr>
      </w:pPr>
      <w:r>
        <w:rPr>
          <w:rFonts w:ascii="Arial" w:cs="Arial" w:eastAsia="Arial" w:hAnsi="Arial"/>
          <w:sz w:val="17"/>
          <w:szCs w:val="17"/>
          <w:u w:val="single" w:color="auto"/>
          <w:color w:val="auto"/>
        </w:rPr>
        <w:t>Absence of Further Requirements</w:t>
      </w:r>
      <w:r>
        <w:rPr>
          <w:rFonts w:ascii="Arial" w:cs="Arial" w:eastAsia="Arial" w:hAnsi="Arial"/>
          <w:sz w:val="17"/>
          <w:szCs w:val="17"/>
          <w:color w:val="auto"/>
        </w:rPr>
        <w:t>. No filing with, or authorization, approval, consent, license, order, registration, qualification or decree of, any court or governmental agency or body is necessary or required for the performance by the Company of its obligations under this Agreement in connection with the offering, issuance or sale of the Shares or the consummation of the transactions contemplated in this Agreement prior to the Closing Date, except such as have been already obtained or as may be required under the Securities Act, the Securities Act Regulations, the rules of Nasdaq, the securities laws of any state or non-U.S. jurisdiction or the rules of FINRA. All of the information provided to the Underwriters or to counsel for the Underwriters by the Company, its counsel, its officers and directors and the holders of any securities (debt or equity) or options to acquire any securities of the Company in connection with the offering of the Shares is true, complete, correct and compliant in all material respects with FINRA’s rules, and any letters, filings or other supplemental information provided to FINRA pursuant to FINRA Rules or National Association of Securities Dealers Conduct Rules are true, complete and correct in all material respects.</w:t>
      </w:r>
    </w:p>
    <w:p>
      <w:pPr>
        <w:spacing w:after="0" w:line="235" w:lineRule="exact"/>
        <w:rPr>
          <w:rFonts w:ascii="Arial" w:cs="Arial" w:eastAsia="Arial" w:hAnsi="Arial"/>
          <w:sz w:val="17"/>
          <w:szCs w:val="17"/>
          <w:color w:val="auto"/>
        </w:rPr>
      </w:pPr>
    </w:p>
    <w:p>
      <w:pPr>
        <w:jc w:val="both"/>
        <w:ind w:firstLine="1467"/>
        <w:spacing w:after="0" w:line="269" w:lineRule="auto"/>
        <w:tabs>
          <w:tab w:leader="none" w:pos="1916" w:val="left"/>
        </w:tabs>
        <w:numPr>
          <w:ilvl w:val="0"/>
          <w:numId w:val="112"/>
        </w:numPr>
        <w:rPr>
          <w:rFonts w:ascii="Arial" w:cs="Arial" w:eastAsia="Arial" w:hAnsi="Arial"/>
          <w:sz w:val="17"/>
          <w:szCs w:val="17"/>
          <w:color w:val="auto"/>
        </w:rPr>
      </w:pPr>
      <w:r>
        <w:rPr>
          <w:rFonts w:ascii="Arial" w:cs="Arial" w:eastAsia="Arial" w:hAnsi="Arial"/>
          <w:sz w:val="17"/>
          <w:szCs w:val="17"/>
          <w:u w:val="single" w:color="auto"/>
          <w:color w:val="auto"/>
        </w:rPr>
        <w:t>Possession of Licenses and Permits</w:t>
      </w:r>
      <w:r>
        <w:rPr>
          <w:rFonts w:ascii="Arial" w:cs="Arial" w:eastAsia="Arial" w:hAnsi="Arial"/>
          <w:sz w:val="17"/>
          <w:szCs w:val="17"/>
          <w:color w:val="auto"/>
        </w:rPr>
        <w:t>. The Company and its Subsidiaries possess such permits, licenses, approvals, registrations, memberships, consents and other authorizations (collectively, “</w:t>
      </w:r>
      <w:r>
        <w:rPr>
          <w:rFonts w:ascii="Arial" w:cs="Arial" w:eastAsia="Arial" w:hAnsi="Arial"/>
          <w:sz w:val="17"/>
          <w:szCs w:val="17"/>
          <w:b w:val="1"/>
          <w:bCs w:val="1"/>
          <w:color w:val="auto"/>
        </w:rPr>
        <w:t>Governmental Licenses</w:t>
      </w:r>
      <w:r>
        <w:rPr>
          <w:rFonts w:ascii="Arial" w:cs="Arial" w:eastAsia="Arial" w:hAnsi="Arial"/>
          <w:sz w:val="17"/>
          <w:szCs w:val="17"/>
          <w:color w:val="auto"/>
        </w:rPr>
        <w:t>”) issued by the appropriate federal, state, local or foreign regulatory agencies or bodies necessary to conduct the business now operated by them; the Company and its Subsidiaries are in compliance with the terms and conditions of all such Governmental Licenses, except where the failure to so comply would not, singly or in the aggregate, reasonably be expected to have a Material Adverse Effect and no event has occurred that allows, or after notice or lapse of time would allow, revocation or termination of any such Governmental License or result in any other material impairment of the rights of any such Governmental License; all of the Governmental Licenses are valid and in full force and effect; and neither the Company nor any of its Subsidiaries has received any notice of proceedings relating to the revocation or modification of any such Governmental Licenses. Neither the Company nor any of its Subsidiaries has failed to file with applicable regulatory authorities any material statement, report, information or form required by any applicable law, regulation or order, all such filings were in material compliance with applicable laws when filed and no material deficiencies have been asserted by any regulatory commission, agency or authority with respect to any such filings or submissions.</w:t>
      </w:r>
    </w:p>
    <w:p>
      <w:pPr>
        <w:spacing w:after="0" w:line="236" w:lineRule="exact"/>
        <w:rPr>
          <w:rFonts w:ascii="Arial" w:cs="Arial" w:eastAsia="Arial" w:hAnsi="Arial"/>
          <w:sz w:val="17"/>
          <w:szCs w:val="17"/>
          <w:color w:val="auto"/>
        </w:rPr>
      </w:pPr>
    </w:p>
    <w:p>
      <w:pPr>
        <w:jc w:val="both"/>
        <w:ind w:firstLine="1467"/>
        <w:spacing w:after="0" w:line="289" w:lineRule="auto"/>
        <w:tabs>
          <w:tab w:leader="none" w:pos="1952"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auto"/>
        </w:rPr>
        <w:t>Title to Property</w:t>
      </w:r>
      <w:r>
        <w:rPr>
          <w:rFonts w:ascii="Arial" w:cs="Arial" w:eastAsia="Arial" w:hAnsi="Arial"/>
          <w:sz w:val="16"/>
          <w:szCs w:val="16"/>
          <w:color w:val="auto"/>
        </w:rPr>
        <w:t>. The Company and its Subsidiaries have good and marketable title in fee simple to all real property owned by the Company and its Subsidiaries and good title to all other properties owned by them, in each case, free and clear of all mortgages, pledges, liens, security interests, claims, restrictions or encumbrances of any kind except such as (A) are described in the Registration Statement, the Pricing Disclosure Package and the Prospectus or (B) do not materially affect the value of such property and do not materially interfere with the use made and proposed to be made of such property by the Company or any Subsidiary. All of the leases and subleases under which the Company or any of its Subsidiaries holds properties described in the Registration Statement, the Pricing Disclosure Package and the Prospectus, are in full force and effect and are held under valid, subsisting and enforceable leases, and neither the Company nor any Subsidiary has any notice of any material claim of any sort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02" w:name="page203"/>
    <w:bookmarkEnd w:id="202"/>
    <w:p>
      <w:pPr>
        <w:jc w:val="both"/>
        <w:ind w:firstLine="1467"/>
        <w:spacing w:after="0" w:line="291" w:lineRule="auto"/>
        <w:tabs>
          <w:tab w:leader="none" w:pos="2029"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t>Possession of Intellectual Property</w:t>
      </w:r>
      <w:r>
        <w:rPr>
          <w:rFonts w:ascii="Arial" w:cs="Arial" w:eastAsia="Arial" w:hAnsi="Arial"/>
          <w:sz w:val="16"/>
          <w:szCs w:val="16"/>
          <w:color w:val="auto"/>
        </w:rPr>
        <w:t>. The Company and its Subsidiaries own or possess, or can acquire on reasonable terms, adequate patents, patent rights, licenses, inventions, copyrights, know-how (including trade secrets and other unpatented and/or unpatentable proprietary or confidential information, systems or procedures and excluding generally commercially available “off the shelf” software programs licensed pursuant to shrink wrap or “click and accept” licenses), systems, technology, trademarks, service marks, trade names or other intellectual property (collectively, “</w:t>
      </w:r>
      <w:r>
        <w:rPr>
          <w:rFonts w:ascii="Arial" w:cs="Arial" w:eastAsia="Arial" w:hAnsi="Arial"/>
          <w:sz w:val="16"/>
          <w:szCs w:val="16"/>
          <w:b w:val="1"/>
          <w:bCs w:val="1"/>
          <w:color w:val="auto"/>
        </w:rPr>
        <w:t>Intellectual</w:t>
      </w:r>
      <w:r>
        <w:rPr>
          <w:rFonts w:ascii="Arial" w:cs="Arial" w:eastAsia="Arial" w:hAnsi="Arial"/>
          <w:sz w:val="16"/>
          <w:szCs w:val="16"/>
          <w:color w:val="auto"/>
        </w:rPr>
        <w:t xml:space="preserve"> </w:t>
      </w:r>
      <w:r>
        <w:rPr>
          <w:rFonts w:ascii="Arial" w:cs="Arial" w:eastAsia="Arial" w:hAnsi="Arial"/>
          <w:sz w:val="16"/>
          <w:szCs w:val="16"/>
          <w:b w:val="1"/>
          <w:bCs w:val="1"/>
          <w:color w:val="auto"/>
        </w:rPr>
        <w:t>Property</w:t>
      </w:r>
      <w:r>
        <w:rPr>
          <w:rFonts w:ascii="Arial" w:cs="Arial" w:eastAsia="Arial" w:hAnsi="Arial"/>
          <w:sz w:val="16"/>
          <w:szCs w:val="16"/>
          <w:color w:val="auto"/>
        </w:rPr>
        <w:t>”) necessary to carry on the business now operated by them in all material respects, and neither the Company nor any of its Subsidiaries has received</w:t>
      </w:r>
      <w:r>
        <w:rPr>
          <w:rFonts w:ascii="Arial" w:cs="Arial" w:eastAsia="Arial" w:hAnsi="Arial"/>
          <w:sz w:val="16"/>
          <w:szCs w:val="16"/>
          <w:b w:val="1"/>
          <w:bCs w:val="1"/>
          <w:color w:val="auto"/>
        </w:rPr>
        <w:t xml:space="preserve"> </w:t>
      </w:r>
      <w:r>
        <w:rPr>
          <w:rFonts w:ascii="Arial" w:cs="Arial" w:eastAsia="Arial" w:hAnsi="Arial"/>
          <w:sz w:val="16"/>
          <w:szCs w:val="16"/>
          <w:color w:val="auto"/>
        </w:rPr>
        <w:t>any notice or is otherwise aware of any infringement of or conflict with asserted rights of others with respect to any Intellectual Property or of any facts or circumstances which could render any Intellectual Property invalid or inadequate to protect the interest of the Company or any of its Subsidiaries therein.</w:t>
      </w:r>
    </w:p>
    <w:p>
      <w:pPr>
        <w:spacing w:after="0" w:line="221" w:lineRule="exact"/>
        <w:rPr>
          <w:rFonts w:ascii="Arial" w:cs="Arial" w:eastAsia="Arial" w:hAnsi="Arial"/>
          <w:sz w:val="16"/>
          <w:szCs w:val="16"/>
          <w:color w:val="auto"/>
        </w:rPr>
      </w:pPr>
    </w:p>
    <w:p>
      <w:pPr>
        <w:jc w:val="both"/>
        <w:ind w:firstLine="1467"/>
        <w:spacing w:after="0" w:line="268" w:lineRule="auto"/>
        <w:tabs>
          <w:tab w:leader="none" w:pos="2066" w:val="left"/>
        </w:tabs>
        <w:numPr>
          <w:ilvl w:val="0"/>
          <w:numId w:val="113"/>
        </w:numPr>
        <w:rPr>
          <w:rFonts w:ascii="Arial" w:cs="Arial" w:eastAsia="Arial" w:hAnsi="Arial"/>
          <w:sz w:val="17"/>
          <w:szCs w:val="17"/>
          <w:color w:val="auto"/>
        </w:rPr>
      </w:pPr>
      <w:r>
        <w:rPr>
          <w:rFonts w:ascii="Arial" w:cs="Arial" w:eastAsia="Arial" w:hAnsi="Arial"/>
          <w:sz w:val="17"/>
          <w:szCs w:val="17"/>
          <w:u w:val="single" w:color="auto"/>
          <w:color w:val="auto"/>
        </w:rPr>
        <w:t>Environmental Laws</w:t>
      </w:r>
      <w:r>
        <w:rPr>
          <w:rFonts w:ascii="Arial" w:cs="Arial" w:eastAsia="Arial" w:hAnsi="Arial"/>
          <w:sz w:val="17"/>
          <w:szCs w:val="17"/>
          <w:color w:val="auto"/>
        </w:rPr>
        <w:t>. Except as described in the Registration Statement and except as would not, singly or in the aggregate, reasonably be expected to result in a Material Adverse Effect, (A)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asbestos-containing materials or mold (collectively, “</w:t>
      </w:r>
      <w:r>
        <w:rPr>
          <w:rFonts w:ascii="Arial" w:cs="Arial" w:eastAsia="Arial" w:hAnsi="Arial"/>
          <w:sz w:val="17"/>
          <w:szCs w:val="17"/>
          <w:b w:val="1"/>
          <w:bCs w:val="1"/>
          <w:color w:val="auto"/>
        </w:rPr>
        <w:t>Hazardous Materials</w:t>
      </w:r>
      <w:r>
        <w:rPr>
          <w:rFonts w:ascii="Arial" w:cs="Arial" w:eastAsia="Arial" w:hAnsi="Arial"/>
          <w:sz w:val="17"/>
          <w:szCs w:val="17"/>
          <w:color w:val="auto"/>
        </w:rPr>
        <w:t>”) or to the manufacture, processing, distribution, use, treatment, storage, disposal, transport or handling of Hazardous Materials (collectively, “</w:t>
      </w:r>
      <w:r>
        <w:rPr>
          <w:rFonts w:ascii="Arial" w:cs="Arial" w:eastAsia="Arial" w:hAnsi="Arial"/>
          <w:sz w:val="17"/>
          <w:szCs w:val="17"/>
          <w:b w:val="1"/>
          <w:bCs w:val="1"/>
          <w:color w:val="auto"/>
        </w:rPr>
        <w:t>Environmental Laws</w:t>
      </w:r>
      <w:r>
        <w:rPr>
          <w:rFonts w:ascii="Arial" w:cs="Arial" w:eastAsia="Arial" w:hAnsi="Arial"/>
          <w:sz w:val="17"/>
          <w:szCs w:val="17"/>
          <w:color w:val="auto"/>
        </w:rPr>
        <w:t>”), (B) the Company and its Subsidiaries have all permits, authorizations and approvals required under any applicable Environmental Laws and are each in compliance with their requirements, (C) there are no pending or, to the Company’s knowledge, threatened administrative, regulatory or judicial actions, suits, demands, demand letters, claims, liens, notices of noncompliance or violation, investigation or proceedings relating to any Environmental Law against the Company or any of its Subsidiaries and (D) there are no events or circumstances that would reasonably be expected to result in forming the basis of an order for clean-up or remediation, or an action, suit or proceeding by any private party or governmental body or agency, against or affecting the Company or any of its Subsidiaries relating to Hazardous Materials or any Environmental Laws.</w:t>
      </w:r>
    </w:p>
    <w:p>
      <w:pPr>
        <w:spacing w:after="0" w:line="239" w:lineRule="exact"/>
        <w:rPr>
          <w:rFonts w:ascii="Arial" w:cs="Arial" w:eastAsia="Arial" w:hAnsi="Arial"/>
          <w:sz w:val="17"/>
          <w:szCs w:val="17"/>
          <w:color w:val="auto"/>
        </w:rPr>
      </w:pPr>
    </w:p>
    <w:p>
      <w:pPr>
        <w:jc w:val="both"/>
        <w:ind w:firstLine="1467"/>
        <w:spacing w:after="0" w:line="285" w:lineRule="auto"/>
        <w:tabs>
          <w:tab w:leader="none" w:pos="1952"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t>ERISA</w:t>
      </w:r>
      <w:r>
        <w:rPr>
          <w:rFonts w:ascii="Arial" w:cs="Arial" w:eastAsia="Arial" w:hAnsi="Arial"/>
          <w:sz w:val="16"/>
          <w:szCs w:val="16"/>
          <w:color w:val="auto"/>
        </w:rPr>
        <w:t>. Each employee benefit plan, within the meaning of Section 3(3) of ERISA, that is maintained, administered or contributed to by the Company or any Subsidiary or any member of the Company’s “control group” (within the meaning of Section 414 of the Internal Revenue Code of 1986, as amended (the “</w:t>
      </w:r>
      <w:r>
        <w:rPr>
          <w:rFonts w:ascii="Arial" w:cs="Arial" w:eastAsia="Arial" w:hAnsi="Arial"/>
          <w:sz w:val="16"/>
          <w:szCs w:val="16"/>
          <w:b w:val="1"/>
          <w:bCs w:val="1"/>
          <w:color w:val="auto"/>
        </w:rPr>
        <w:t>Code</w:t>
      </w:r>
      <w:r>
        <w:rPr>
          <w:rFonts w:ascii="Arial" w:cs="Arial" w:eastAsia="Arial" w:hAnsi="Arial"/>
          <w:sz w:val="16"/>
          <w:szCs w:val="16"/>
          <w:color w:val="auto"/>
        </w:rPr>
        <w:t>”) for employees or former employees of the Company and its affiliates (“</w:t>
      </w:r>
      <w:r>
        <w:rPr>
          <w:rFonts w:ascii="Arial" w:cs="Arial" w:eastAsia="Arial" w:hAnsi="Arial"/>
          <w:sz w:val="16"/>
          <w:szCs w:val="16"/>
          <w:b w:val="1"/>
          <w:bCs w:val="1"/>
          <w:color w:val="auto"/>
        </w:rPr>
        <w:t>Plan</w:t>
      </w:r>
      <w:r>
        <w:rPr>
          <w:rFonts w:ascii="Arial" w:cs="Arial" w:eastAsia="Arial" w:hAnsi="Arial"/>
          <w:sz w:val="16"/>
          <w:szCs w:val="16"/>
          <w:color w:val="auto"/>
        </w:rPr>
        <w:t>”) has been maintained in material compliance with its terms and the requirements of any applicable statutes, orders, rules and regulations, including but not limited to ERISA and the Code. No “prohibited transaction,” within the meaning of Section 406 of ERISA or Section 4975 of the Code has occurred with respect to any such Plan excluding transactions effected pursuant to a statutory or administrative exemption. No “reportable event” (as defined under ERISA) has occurred or is reasonably expected to occur with respect to any “employee benefit plan” established or maintained by the Company, the Subsidiaries or any of their ERISA Affiliates. No “employee benefit plan” (as defined under ERISA) established or maintained by the Company, the Subsidiaries or any of their ERISA Affiliates, if such employee benefit plan were terminated, could have any “amount of unfunded benefit liabilities” (as defined under ERISA). Neither the Company, the Subsidiaries nor any of their ERISA Affiliates has incurred or reasonably expects to incur any liability under (A) Title IV of ERISA with respect to termination of, or withdrawal from, any “employee benefit plan,” or (B) Sections 412, 4971, 4975 or 4980B of the Code. Each employee benefit plan established or maintained by the Company, the Subsidiaries or any of their ERISA Affiliates that is intended to be qualified under Section 401(a) of the Code is so qualified and nothing has occurred, whether by action or failure to act, which could cause the loss of such qualification. With respect to each Plan subject to Title IV of ERISA, the minimum funding standard of Section 302 of ERISA or Section 412 of the Code, as applicable, has been satisfied (without taking into account any waiver thereof or extension of any amortization period) and is reasonably expected to be satisfied in the future (without taking into account any waiver thereof or extension of any amortization period) and the fair market value of the assets under each Plan exceeds the present value of all benefits accrued under such Plan (determined based on those assumptions used to fund such Plan). There is no pending audit or investigation by the Internal Revenue Service, the U.S. Department of Labor, the Pension Benefit Guaranty Corporation or any other governmental agency or any foreign agency.</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3" w:right="239" w:bottom="1440" w:gutter="0" w:footer="0" w:header="0"/>
        </w:sectPr>
      </w:pPr>
    </w:p>
    <w:bookmarkStart w:id="203" w:name="page204"/>
    <w:bookmarkEnd w:id="203"/>
    <w:p>
      <w:pPr>
        <w:jc w:val="both"/>
        <w:ind w:firstLine="1467"/>
        <w:spacing w:after="0" w:line="268" w:lineRule="auto"/>
        <w:tabs>
          <w:tab w:leader="none" w:pos="1916" w:val="left"/>
        </w:tabs>
        <w:numPr>
          <w:ilvl w:val="0"/>
          <w:numId w:val="114"/>
        </w:numPr>
        <w:rPr>
          <w:rFonts w:ascii="Arial" w:cs="Arial" w:eastAsia="Arial" w:hAnsi="Arial"/>
          <w:sz w:val="17"/>
          <w:szCs w:val="17"/>
          <w:color w:val="auto"/>
        </w:rPr>
      </w:pPr>
      <w:r>
        <w:rPr>
          <w:rFonts w:ascii="Arial" w:cs="Arial" w:eastAsia="Arial" w:hAnsi="Arial"/>
          <w:sz w:val="17"/>
          <w:szCs w:val="17"/>
          <w:u w:val="single" w:color="auto"/>
          <w:color w:val="auto"/>
        </w:rPr>
        <w:t>Internal Control Over Financial Reporting</w:t>
      </w:r>
      <w:r>
        <w:rPr>
          <w:rFonts w:ascii="Arial" w:cs="Arial" w:eastAsia="Arial" w:hAnsi="Arial"/>
          <w:sz w:val="17"/>
          <w:szCs w:val="17"/>
          <w:color w:val="auto"/>
        </w:rPr>
        <w:t>. The Company and each of its Subsidiaries maintain a system of internal control over financial reporting (as such term is defined in Rule 13a-15(f) of the Exchange Act Regulations) that complies in all material respects with the requirements of the Exchange Act and has been designed by the Company’s principal executive officer and principal financial officer and is sufficient to provide reasonable assurance that (A) transactions are executed in accordance with management’s general or specific authorizations; (B) transactions are recorded as necessary to permit preparation of financial statements in conformity with GAAP and to maintain asset accountability; (C) access to assets is permitted only in accordance with management’s general or specific authorization; (D) the recorded accountability for assets is compared with the existing assets at reasonable intervals and appropriate action is taken with respect to any differences; and (E) any interactive data in eXtensible Business Reporting Language included in the Registration Statement is accurate and fairly presents the information called for in all materials respects and has been prepared in accordance with the Commission’s rules and guidelines applicable thereto. Except as described in the Registration Statement, the Pricing Disclosure Package and the Prospectus, since the end of the Company’s most recent audited fiscal year, (i) there has been no material weakness in the Company’s internal control over financial reporting (whether or not remediated), (ii) there has been no change in the Company’s internal control over financial reporting that has materially affected, or is reasonably likely to materially affect, the Company’s internal control over financial reporting and (iii) the Company has not been advised of (a) any significant deficiencies in the design or operation of internal controls that could adversely affect the ability of the Company or any Subsidiary to record, process, summarize and report financial data, or any material weaknesses in the Company’s internal control over financial reporting, or (b) any fraud, whether or not material, that involves management or other employees who have a significant role in the internal controls of the Company and each of the Subsidiaries.</w:t>
      </w:r>
    </w:p>
    <w:p>
      <w:pPr>
        <w:spacing w:after="0" w:line="234" w:lineRule="exact"/>
        <w:rPr>
          <w:rFonts w:ascii="Arial" w:cs="Arial" w:eastAsia="Arial" w:hAnsi="Arial"/>
          <w:sz w:val="17"/>
          <w:szCs w:val="17"/>
          <w:color w:val="auto"/>
        </w:rPr>
      </w:pPr>
    </w:p>
    <w:p>
      <w:pPr>
        <w:jc w:val="both"/>
        <w:ind w:firstLine="1467"/>
        <w:spacing w:after="0" w:line="287" w:lineRule="auto"/>
        <w:tabs>
          <w:tab w:leader="none" w:pos="1952"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Disclosure Controls and Procedures</w:t>
      </w:r>
      <w:r>
        <w:rPr>
          <w:rFonts w:ascii="Arial" w:cs="Arial" w:eastAsia="Arial" w:hAnsi="Arial"/>
          <w:sz w:val="16"/>
          <w:szCs w:val="16"/>
          <w:color w:val="auto"/>
        </w:rPr>
        <w:t>. The Company and its Subsidiaries employ disclosure controls and procedures (as such term is defined in Rule 13a-15 of the Exchange Act Regulations), which (A) are designed to ensure that information required to be disclosed by the Company in the reports that it files or submits under the Exchange Act is recorded, processed, summarized and reported within the time periods specified in the Commission’s rules and forms and that material information relating to the Company and its Subsidiaries is made known to the Company’s principal executive officer and principal financial officer by others within the Company and its Subsidiaries to allow timely decisions regarding disclosure, (B) have been evaluated by management of the Company for effectiveness as of the end of the Company’s most recent fiscal quarter, and (C) were then effective in all material respects to perform the functions for which they were established. Based on the evaluation of the Company’s and each Subsidiary’s disclosure controls and procedures described above, the Company is not aware of (1) any significant deficiency in the design or operation of internal controls which could adversely affect the Company’s or its Subsidiaries’ ability to record, process, summarize and report financial data or any material weaknesses in internal controls or (2) any fraud, whether or not material, that involves management or other employees who have a significant role in the Company’s or its Subsidiaries’ internal controls. Since the most recent evaluation of the Company’s disclosure controls and procedures described above, there have been no changes in internal controls or in other factors that could significantly and adversely affect internal controls.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04" w:name="page205"/>
    <w:bookmarkEnd w:id="204"/>
    <w:p>
      <w:pPr>
        <w:jc w:val="both"/>
        <w:ind w:firstLine="1467"/>
        <w:spacing w:after="0" w:line="264" w:lineRule="auto"/>
        <w:tabs>
          <w:tab w:leader="none" w:pos="2002"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Compliance with the Sarbanes-Oxley Act</w:t>
      </w:r>
      <w:r>
        <w:rPr>
          <w:rFonts w:ascii="Arial" w:cs="Arial" w:eastAsia="Arial" w:hAnsi="Arial"/>
          <w:sz w:val="18"/>
          <w:szCs w:val="18"/>
          <w:color w:val="auto"/>
        </w:rPr>
        <w:t>. There is and has been no failure on the part of the Company or any of the Company’s directors or officers, in their capacities as such, to comply with any provision of the Sarbanes-Oxley Act and the rules and regulations promulgated in connection therewith, including Section 402 related to loans and Sections 302 and 906 related to certifications.</w:t>
      </w:r>
    </w:p>
    <w:p>
      <w:pPr>
        <w:spacing w:after="0" w:line="235" w:lineRule="exact"/>
        <w:rPr>
          <w:rFonts w:ascii="Arial" w:cs="Arial" w:eastAsia="Arial" w:hAnsi="Arial"/>
          <w:sz w:val="18"/>
          <w:szCs w:val="18"/>
          <w:color w:val="auto"/>
        </w:rPr>
      </w:pPr>
    </w:p>
    <w:p>
      <w:pPr>
        <w:jc w:val="both"/>
        <w:ind w:firstLine="1467"/>
        <w:spacing w:after="0" w:line="264" w:lineRule="auto"/>
        <w:tabs>
          <w:tab w:leader="none" w:pos="2066"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Pending Procedures and Examinations</w:t>
      </w:r>
      <w:r>
        <w:rPr>
          <w:rFonts w:ascii="Arial" w:cs="Arial" w:eastAsia="Arial" w:hAnsi="Arial"/>
          <w:sz w:val="18"/>
          <w:szCs w:val="18"/>
          <w:color w:val="auto"/>
        </w:rPr>
        <w:t>. The Registration Statement is not the subject of a pending proceeding or examination under Section 8(d) or 8(e) of the Securities Act, and the Company is not the subject of a pending proceeding under Section 8A of the Securities Act in connection with the offering of the Shares.</w:t>
      </w:r>
    </w:p>
    <w:p>
      <w:pPr>
        <w:spacing w:after="0" w:line="235" w:lineRule="exact"/>
        <w:rPr>
          <w:rFonts w:ascii="Arial" w:cs="Arial" w:eastAsia="Arial" w:hAnsi="Arial"/>
          <w:sz w:val="18"/>
          <w:szCs w:val="18"/>
          <w:color w:val="auto"/>
        </w:rPr>
      </w:pPr>
    </w:p>
    <w:p>
      <w:pPr>
        <w:jc w:val="both"/>
        <w:ind w:firstLine="1467"/>
        <w:spacing w:after="0" w:line="286" w:lineRule="auto"/>
        <w:tabs>
          <w:tab w:leader="none" w:pos="2042" w:val="left"/>
        </w:tabs>
        <w:numPr>
          <w:ilvl w:val="0"/>
          <w:numId w:val="115"/>
        </w:numPr>
        <w:rPr>
          <w:rFonts w:ascii="Arial" w:cs="Arial" w:eastAsia="Arial" w:hAnsi="Arial"/>
          <w:sz w:val="16"/>
          <w:szCs w:val="16"/>
          <w:color w:val="auto"/>
        </w:rPr>
      </w:pPr>
      <w:r>
        <w:rPr>
          <w:rFonts w:ascii="Arial" w:cs="Arial" w:eastAsia="Arial" w:hAnsi="Arial"/>
          <w:sz w:val="16"/>
          <w:szCs w:val="16"/>
          <w:u w:val="single" w:color="auto"/>
          <w:color w:val="auto"/>
        </w:rPr>
        <w:t>Payment of Taxes</w:t>
      </w:r>
      <w:r>
        <w:rPr>
          <w:rFonts w:ascii="Arial" w:cs="Arial" w:eastAsia="Arial" w:hAnsi="Arial"/>
          <w:sz w:val="16"/>
          <w:szCs w:val="16"/>
          <w:color w:val="auto"/>
        </w:rPr>
        <w:t>. All United States federal income tax returns of the Company and the Subsidiaries required by law to be filed have been timely filed (taking into account any valid extensions) and all taxes shown by such returns or otherwise assessed, which are due and payable, have been paid, except assessments against which have been or will be promptly contested in good faith and as to which adequate reserves have been provided in the Company’s financials in accordance with GAAP. The Company and the Subsidiaries have filed all other tax returns that are required to have been filed by them pursuant to applicable foreign, state, local or other law, except insofar as the failure to file such returns, individually or in the aggregate, would not reasonably be expected to result in a Material Adverse Effect, and have paid all taxes due pursuant to such returns or pursuant to any assessment received by the Company or any Subsidiary except for such taxes, if any, as are being contested in good faith and as to which adequate reserves have been provided. The charges, accruals and reserves on the books of the Company and the Subsidiaries in respect of any income and corporation tax liability for any years not finally determined are adequate to meet any assessments or re-assessments for additional income tax for any years not finally determined. Except as otherwise disclosed in the Registration Statement, the Pricing Disclosure Package and the Prospectus, there is no tax deficiency that has been or would reasonably be expected to be asserted against the Company or any of its Subsidiaries or any of their respective properties or assets. The Company properly and timely elected as of January 1, 1998 to be treated as an “S Corporation” (as defined in Section 1361(a)(1) of the Code) for federal income tax purposes and for the purposes of any applicable state and local tax law of any state in which it is qualified to do business, and at all times during which it had such election(s) in place, the Company qualified to be and was properly treated as an S corporation for U.S. federal income (and any applicable state and local) tax purposes. Such S corporation elections were validly terminated and revoked by the Company as of May 31, 2018.</w:t>
      </w:r>
    </w:p>
    <w:p>
      <w:pPr>
        <w:spacing w:after="0" w:line="222" w:lineRule="exact"/>
        <w:rPr>
          <w:rFonts w:ascii="Arial" w:cs="Arial" w:eastAsia="Arial" w:hAnsi="Arial"/>
          <w:sz w:val="16"/>
          <w:szCs w:val="16"/>
          <w:color w:val="auto"/>
        </w:rPr>
      </w:pPr>
    </w:p>
    <w:p>
      <w:pPr>
        <w:jc w:val="both"/>
        <w:ind w:firstLine="1467"/>
        <w:spacing w:after="0" w:line="255" w:lineRule="auto"/>
        <w:tabs>
          <w:tab w:leader="none" w:pos="1992"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The Company and each Subsidiary is insured by insurers of recognized financial responsibility against such losses and risks and in such amounts as are prudent and customary in the businesses in which they are engaged including, but not limited to, policies covering real and personal property owned or leased by the Company and each Subsidiary against theft, damage, destruction, acts of vandalism and earthquakes; neither the Company nor any of its Subsidiaries has been refused any insurance coverage sought or applied for; and the Company has no reason to believe that it or any Subsidiary will not be able to renew their existing insurance coverage as and when such coverage expires or to obtain similar coverage from similar insurers as may be necessary to continue its business at a cost that would not reasonably be expected to have a Material Adverse Effect. All such insurance is fully in force as of the date hereof.</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05" w:name="page206"/>
    <w:bookmarkEnd w:id="205"/>
    <w:p>
      <w:pPr>
        <w:jc w:val="both"/>
        <w:ind w:firstLine="1467"/>
        <w:spacing w:after="0" w:line="259" w:lineRule="auto"/>
        <w:tabs>
          <w:tab w:leader="none" w:pos="2056"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Investment Company Act</w:t>
      </w:r>
      <w:r>
        <w:rPr>
          <w:rFonts w:ascii="Arial" w:cs="Arial" w:eastAsia="Arial" w:hAnsi="Arial"/>
          <w:sz w:val="18"/>
          <w:szCs w:val="18"/>
          <w:color w:val="auto"/>
        </w:rPr>
        <w:t>. The Company is not, and upon the issuance and sale of the Shares as herein contemplated and the application of the net proceeds therefrom as described in the Registration Statement, the Pricing Disclosure Package and the Prospectus will not be, an “investment company” or an entity “controlled” by an “investment company” as such terms are defined in the Investment Company Act of 1940, as amended (the “</w:t>
      </w:r>
      <w:r>
        <w:rPr>
          <w:rFonts w:ascii="Arial" w:cs="Arial" w:eastAsia="Arial" w:hAnsi="Arial"/>
          <w:sz w:val="18"/>
          <w:szCs w:val="18"/>
          <w:b w:val="1"/>
          <w:bCs w:val="1"/>
          <w:color w:val="auto"/>
        </w:rPr>
        <w:t>Investment Company Act</w:t>
      </w:r>
      <w:r>
        <w:rPr>
          <w:rFonts w:ascii="Arial" w:cs="Arial" w:eastAsia="Arial" w:hAnsi="Arial"/>
          <w:sz w:val="18"/>
          <w:szCs w:val="18"/>
          <w:color w:val="auto"/>
        </w:rPr>
        <w:t>”).</w:t>
      </w:r>
    </w:p>
    <w:p>
      <w:pPr>
        <w:spacing w:after="0" w:line="240" w:lineRule="exact"/>
        <w:rPr>
          <w:rFonts w:ascii="Arial" w:cs="Arial" w:eastAsia="Arial" w:hAnsi="Arial"/>
          <w:sz w:val="18"/>
          <w:szCs w:val="18"/>
          <w:color w:val="auto"/>
        </w:rPr>
      </w:pPr>
    </w:p>
    <w:p>
      <w:pPr>
        <w:jc w:val="both"/>
        <w:ind w:firstLine="1467"/>
        <w:spacing w:after="0" w:line="255" w:lineRule="auto"/>
        <w:tabs>
          <w:tab w:leader="none" w:pos="2133"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Absence of Manipulation</w:t>
      </w:r>
      <w:r>
        <w:rPr>
          <w:rFonts w:ascii="Arial" w:cs="Arial" w:eastAsia="Arial" w:hAnsi="Arial"/>
          <w:sz w:val="18"/>
          <w:szCs w:val="18"/>
          <w:color w:val="auto"/>
        </w:rPr>
        <w:t>. Neither the Company nor any of the Subsidiaries, nor any affiliates of the Company or its Subsidiaries, has taken, directly, or indirectly, and neither the Company nor any of the Subsidiaries, nor any affiliates of the Company or its Subsidiaries, will take, directly or indirectly, any action designed to cause or result in, or which constitutes or might reasonably be expected to constitute, the stabilization or manipulation of the price of any security of the Company or any “reference security” (as defined in Rule 100 of Regulation M under the Exchange Act) to facilitate the sale or resale of the Shares or otherwise, and has taken no action which would directly or indirectly violate Regulation M under the Exchange Act.</w:t>
      </w:r>
    </w:p>
    <w:p>
      <w:pPr>
        <w:spacing w:after="0" w:line="247" w:lineRule="exact"/>
        <w:rPr>
          <w:rFonts w:ascii="Arial" w:cs="Arial" w:eastAsia="Arial" w:hAnsi="Arial"/>
          <w:sz w:val="18"/>
          <w:szCs w:val="18"/>
          <w:color w:val="auto"/>
        </w:rPr>
      </w:pPr>
    </w:p>
    <w:p>
      <w:pPr>
        <w:jc w:val="both"/>
        <w:ind w:firstLine="1467"/>
        <w:spacing w:after="0" w:line="271" w:lineRule="auto"/>
        <w:tabs>
          <w:tab w:leader="none" w:pos="2156" w:val="left"/>
        </w:tabs>
        <w:numPr>
          <w:ilvl w:val="0"/>
          <w:numId w:val="116"/>
        </w:numPr>
        <w:rPr>
          <w:rFonts w:ascii="Arial" w:cs="Arial" w:eastAsia="Arial" w:hAnsi="Arial"/>
          <w:sz w:val="17"/>
          <w:szCs w:val="17"/>
          <w:color w:val="auto"/>
        </w:rPr>
      </w:pPr>
      <w:r>
        <w:rPr>
          <w:rFonts w:ascii="Arial" w:cs="Arial" w:eastAsia="Arial" w:hAnsi="Arial"/>
          <w:sz w:val="17"/>
          <w:szCs w:val="17"/>
          <w:u w:val="single" w:color="auto"/>
          <w:color w:val="auto"/>
        </w:rPr>
        <w:t>Foreign Corrupt Practices Act</w:t>
      </w:r>
      <w:r>
        <w:rPr>
          <w:rFonts w:ascii="Arial" w:cs="Arial" w:eastAsia="Arial" w:hAnsi="Arial"/>
          <w:sz w:val="17"/>
          <w:szCs w:val="17"/>
          <w:color w:val="auto"/>
        </w:rPr>
        <w:t>. None of the Company, any of its Subsidiaries or, to the best knowledge of the Company, any director, officer, agent or employee of the Company or any of its Subsidiaries has (A) used any corporate funds for any unlawful contribution, gift, entertainment or other unlawful expense relating to political activity; (B) made or taken an act in furtherance of an offer, promise or authorization of any direct or indirect unlawful payment to any foreign or domestic government official or employee from corporate funds; (C) violated or is in violation of any provision of the Foreign Corrupt Practices Act of 1977, as amended (the “</w:t>
      </w:r>
      <w:r>
        <w:rPr>
          <w:rFonts w:ascii="Arial" w:cs="Arial" w:eastAsia="Arial" w:hAnsi="Arial"/>
          <w:sz w:val="17"/>
          <w:szCs w:val="17"/>
          <w:b w:val="1"/>
          <w:bCs w:val="1"/>
          <w:color w:val="auto"/>
        </w:rPr>
        <w:t>FCPA</w:t>
      </w:r>
      <w:r>
        <w:rPr>
          <w:rFonts w:ascii="Arial" w:cs="Arial" w:eastAsia="Arial" w:hAnsi="Arial"/>
          <w:sz w:val="17"/>
          <w:szCs w:val="17"/>
          <w:color w:val="auto"/>
        </w:rPr>
        <w:t>”), or any applicable non-U.S. anti-bribery statute or regulation; or (D) made, offered, agreed, requested or taken an act in furtherance of any unlawful bribe, rebate, payoff, influence payment, kickback or other unlawful payment. To the knowledge of the Company, its affiliates have conducted their businesses in compliance with the FCPA and have instituted and maintained policies and procedures designed to ensure, and which are reasonably expected to continue to ensure, continued compliance therewith.</w:t>
      </w:r>
    </w:p>
    <w:p>
      <w:pPr>
        <w:spacing w:after="0" w:line="232" w:lineRule="exact"/>
        <w:rPr>
          <w:rFonts w:ascii="Arial" w:cs="Arial" w:eastAsia="Arial" w:hAnsi="Arial"/>
          <w:sz w:val="17"/>
          <w:szCs w:val="17"/>
          <w:color w:val="auto"/>
        </w:rPr>
      </w:pPr>
    </w:p>
    <w:p>
      <w:pPr>
        <w:jc w:val="both"/>
        <w:ind w:firstLine="1467"/>
        <w:spacing w:after="0" w:line="271" w:lineRule="auto"/>
        <w:tabs>
          <w:tab w:leader="none" w:pos="2042" w:val="left"/>
        </w:tabs>
        <w:numPr>
          <w:ilvl w:val="0"/>
          <w:numId w:val="116"/>
        </w:numPr>
        <w:rPr>
          <w:rFonts w:ascii="Arial" w:cs="Arial" w:eastAsia="Arial" w:hAnsi="Arial"/>
          <w:sz w:val="17"/>
          <w:szCs w:val="17"/>
          <w:color w:val="auto"/>
        </w:rPr>
      </w:pPr>
      <w:r>
        <w:rPr>
          <w:rFonts w:ascii="Arial" w:cs="Arial" w:eastAsia="Arial" w:hAnsi="Arial"/>
          <w:sz w:val="17"/>
          <w:szCs w:val="17"/>
          <w:u w:val="single" w:color="auto"/>
          <w:color w:val="auto"/>
        </w:rPr>
        <w:t>Anti-Money Laundering Laws</w:t>
      </w:r>
      <w:r>
        <w:rPr>
          <w:rFonts w:ascii="Arial" w:cs="Arial" w:eastAsia="Arial" w:hAnsi="Arial"/>
          <w:sz w:val="17"/>
          <w:szCs w:val="17"/>
          <w:color w:val="auto"/>
        </w:rPr>
        <w:t>. The operations of the Company and its Subsidiaries and, to the knowledge of the Company, their respective affiliates, are and have been conducted at all times in compliance with applicable financial recordkeeping and reporting requirements of the Bank Secrecy Act, the money laundering statutes of all applicable jurisdictions and the rules and regulations promulgated thereunder, administered or enforced by any governmental agency or body (collectively, the “</w:t>
      </w:r>
      <w:r>
        <w:rPr>
          <w:rFonts w:ascii="Arial" w:cs="Arial" w:eastAsia="Arial" w:hAnsi="Arial"/>
          <w:sz w:val="17"/>
          <w:szCs w:val="17"/>
          <w:b w:val="1"/>
          <w:bCs w:val="1"/>
          <w:color w:val="auto"/>
        </w:rPr>
        <w:t>Anti-Money Laundering Laws</w:t>
      </w:r>
      <w:r>
        <w:rPr>
          <w:rFonts w:ascii="Arial" w:cs="Arial" w:eastAsia="Arial" w:hAnsi="Arial"/>
          <w:sz w:val="17"/>
          <w:szCs w:val="17"/>
          <w:color w:val="auto"/>
        </w:rPr>
        <w:t>”); and no action, suit or proceeding by or before any court, governmental agency or body involving the Company or any of its Subsidiaries with respect to the Anti-Money Laundering Laws is pending or, to the best knowledge of the Company, threatened. The Company and its Subsidiaries and, to the knowledge of the Company, their respective affiliates, have conducted their businesses in compliance with applicable anti-corruption laws and have instituted and maintain and will continue to maintain policies and procedures designed to promote and achieve compliance with such laws.</w:t>
      </w:r>
    </w:p>
    <w:p>
      <w:pPr>
        <w:spacing w:after="0" w:line="233" w:lineRule="exact"/>
        <w:rPr>
          <w:sz w:val="20"/>
          <w:szCs w:val="20"/>
          <w:color w:val="auto"/>
        </w:rPr>
      </w:pPr>
    </w:p>
    <w:p>
      <w:pPr>
        <w:jc w:val="both"/>
        <w:ind w:firstLine="1459"/>
        <w:spacing w:after="0" w:line="268" w:lineRule="auto"/>
        <w:rPr>
          <w:sz w:val="20"/>
          <w:szCs w:val="20"/>
          <w:color w:val="auto"/>
        </w:rPr>
      </w:pPr>
      <w:r>
        <w:rPr>
          <w:rFonts w:ascii="Arial" w:cs="Arial" w:eastAsia="Arial" w:hAnsi="Arial"/>
          <w:sz w:val="17"/>
          <w:szCs w:val="17"/>
          <w:color w:val="auto"/>
        </w:rPr>
        <w:t xml:space="preserve">(xl) </w:t>
      </w:r>
      <w:r>
        <w:rPr>
          <w:rFonts w:ascii="Arial" w:cs="Arial" w:eastAsia="Arial" w:hAnsi="Arial"/>
          <w:sz w:val="17"/>
          <w:szCs w:val="17"/>
          <w:u w:val="single" w:color="auto"/>
          <w:color w:val="auto"/>
        </w:rPr>
        <w:t>OFAC</w:t>
      </w:r>
      <w:r>
        <w:rPr>
          <w:rFonts w:ascii="Arial" w:cs="Arial" w:eastAsia="Arial" w:hAnsi="Arial"/>
          <w:sz w:val="17"/>
          <w:szCs w:val="17"/>
          <w:color w:val="auto"/>
        </w:rPr>
        <w:t>. None of the Company, any of the Subsidiaries or any officer or director of either the Company or any Subsidiary, nor, to the knowledge of the Company, any agent, employee, affiliate or person acting on behalf of the Company or any of the Subsidiaries is or has been (A) engaged in any services (including financial services), transfers of goods, software, or technology, or any other business activity related to (i) Cuba, Iran, North Korea, Sudan, Syria or the Crimea region of Ukraine claimed by Russia (“</w:t>
      </w:r>
      <w:r>
        <w:rPr>
          <w:rFonts w:ascii="Arial" w:cs="Arial" w:eastAsia="Arial" w:hAnsi="Arial"/>
          <w:sz w:val="17"/>
          <w:szCs w:val="17"/>
          <w:b w:val="1"/>
          <w:bCs w:val="1"/>
          <w:color w:val="auto"/>
        </w:rPr>
        <w:t>Sanctioned Countries</w:t>
      </w:r>
      <w:r>
        <w:rPr>
          <w:rFonts w:ascii="Arial" w:cs="Arial" w:eastAsia="Arial" w:hAnsi="Arial"/>
          <w:sz w:val="17"/>
          <w:szCs w:val="17"/>
          <w:color w:val="auto"/>
        </w:rPr>
        <w:t>”), (ii) the government of any Sanctioned Country, (iii) any person, entity or organization located in, resident in, formed under the laws of, or owned or controlled by the government of, any Sanctioned Country, or (iv) any person, entity or organization made subject of any sanctions administered or enforced by the United States Government, including, without limitation, the list of Specially Designated Nationals (“</w:t>
      </w:r>
      <w:r>
        <w:rPr>
          <w:rFonts w:ascii="Arial" w:cs="Arial" w:eastAsia="Arial" w:hAnsi="Arial"/>
          <w:sz w:val="17"/>
          <w:szCs w:val="17"/>
          <w:b w:val="1"/>
          <w:bCs w:val="1"/>
          <w:color w:val="auto"/>
        </w:rPr>
        <w:t>SDN List</w:t>
      </w:r>
      <w:r>
        <w:rPr>
          <w:rFonts w:ascii="Arial" w:cs="Arial" w:eastAsia="Arial" w:hAnsi="Arial"/>
          <w:sz w:val="17"/>
          <w:szCs w:val="17"/>
          <w:color w:val="auto"/>
        </w:rPr>
        <w:t>”) of the Office of Foreign Assets Control of the U.S. Treasury Department (“</w:t>
      </w:r>
      <w:r>
        <w:rPr>
          <w:rFonts w:ascii="Arial" w:cs="Arial" w:eastAsia="Arial" w:hAnsi="Arial"/>
          <w:sz w:val="17"/>
          <w:szCs w:val="17"/>
          <w:b w:val="1"/>
          <w:bCs w:val="1"/>
          <w:color w:val="auto"/>
        </w:rPr>
        <w:t>OFAC</w:t>
      </w:r>
      <w:r>
        <w:rPr>
          <w:rFonts w:ascii="Arial" w:cs="Arial" w:eastAsia="Arial" w:hAnsi="Arial"/>
          <w:sz w:val="17"/>
          <w:szCs w:val="17"/>
          <w:color w:val="auto"/>
        </w:rPr>
        <w:t>”), or by the United Nations Security Council, the European Union, Her Majesty’s Treasury, or other relevant sanctions authority (collectively, “</w:t>
      </w:r>
      <w:r>
        <w:rPr>
          <w:rFonts w:ascii="Arial" w:cs="Arial" w:eastAsia="Arial" w:hAnsi="Arial"/>
          <w:sz w:val="17"/>
          <w:szCs w:val="17"/>
          <w:b w:val="1"/>
          <w:bCs w:val="1"/>
          <w:color w:val="auto"/>
        </w:rPr>
        <w:t>Sanctions</w:t>
      </w:r>
      <w:r>
        <w:rPr>
          <w:rFonts w:ascii="Arial" w:cs="Arial" w:eastAsia="Arial" w:hAnsi="Arial"/>
          <w:sz w:val="17"/>
          <w:szCs w:val="17"/>
          <w:color w:val="auto"/>
        </w:rPr>
        <w:t>”) and the Company will not directly or indirectly use the proceeds of this offering, or lend, contribute or otherwise make available such proceeds to any Subsidiary, or any joint venture partner or other person or entity, for the purpose of financing the activities of or business with any person, or in any country or territory, that currently is the subject to any U.S. sanctions administered by OFAC or in any other manner that will result in a violation by any person (including any person participating in the transaction whether as underwriter, advisor, investor or otherwise) of U.S. sanctions administered by OFAC; (B) engaged in any transfers of goods, technologies or services (including financial services) that may assist the governments of Sanctioned Countries or facilitate money laundering or other activities proscribed by United States laws, rules or regulations; (C) is a person, entity or organization currently the subject of any Sanctions; or (D) located, organized or resident in any Sanctioned Country.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06" w:name="page207"/>
    <w:bookmarkEnd w:id="206"/>
    <w:p>
      <w:pPr>
        <w:jc w:val="both"/>
        <w:ind w:firstLine="1459"/>
        <w:spacing w:after="0" w:line="286" w:lineRule="auto"/>
        <w:rPr>
          <w:sz w:val="20"/>
          <w:szCs w:val="20"/>
          <w:color w:val="auto"/>
        </w:rPr>
      </w:pPr>
      <w:r>
        <w:rPr>
          <w:rFonts w:ascii="Arial" w:cs="Arial" w:eastAsia="Arial" w:hAnsi="Arial"/>
          <w:sz w:val="17"/>
          <w:szCs w:val="17"/>
          <w:color w:val="auto"/>
        </w:rPr>
        <w:t xml:space="preserve">(xli) </w:t>
      </w:r>
      <w:r>
        <w:rPr>
          <w:rFonts w:ascii="Arial" w:cs="Arial" w:eastAsia="Arial" w:hAnsi="Arial"/>
          <w:sz w:val="17"/>
          <w:szCs w:val="17"/>
          <w:u w:val="single" w:color="auto"/>
          <w:color w:val="auto"/>
        </w:rPr>
        <w:t>Relationship</w:t>
      </w:r>
      <w:r>
        <w:rPr>
          <w:rFonts w:ascii="Arial" w:cs="Arial" w:eastAsia="Arial" w:hAnsi="Arial"/>
          <w:sz w:val="17"/>
          <w:szCs w:val="17"/>
          <w:color w:val="auto"/>
        </w:rPr>
        <w:t>. No relationship, direct or indirect, exists between or among the Company or any of its Subsidiaries, on the one hand, and the directors, officers, shareholders, customers or suppliers of the Company or any of its Subsidiaries, on the other, that is required by the Securities Act or Securities Act Regulations to be described in the Registration Statement and/or the Prospectus and that is not so described.</w:t>
      </w:r>
    </w:p>
    <w:p>
      <w:pPr>
        <w:spacing w:after="0" w:line="220" w:lineRule="exact"/>
        <w:rPr>
          <w:sz w:val="20"/>
          <w:szCs w:val="20"/>
          <w:color w:val="auto"/>
        </w:rPr>
      </w:pPr>
    </w:p>
    <w:p>
      <w:pPr>
        <w:jc w:val="both"/>
        <w:ind w:firstLine="1459"/>
        <w:spacing w:after="0" w:line="286" w:lineRule="auto"/>
        <w:rPr>
          <w:sz w:val="20"/>
          <w:szCs w:val="20"/>
          <w:color w:val="auto"/>
        </w:rPr>
      </w:pPr>
      <w:r>
        <w:rPr>
          <w:rFonts w:ascii="Arial" w:cs="Arial" w:eastAsia="Arial" w:hAnsi="Arial"/>
          <w:sz w:val="17"/>
          <w:szCs w:val="17"/>
          <w:color w:val="auto"/>
        </w:rPr>
        <w:t xml:space="preserve">(xlii) </w:t>
      </w:r>
      <w:r>
        <w:rPr>
          <w:rFonts w:ascii="Arial" w:cs="Arial" w:eastAsia="Arial" w:hAnsi="Arial"/>
          <w:sz w:val="17"/>
          <w:szCs w:val="17"/>
          <w:u w:val="single" w:color="auto"/>
          <w:color w:val="auto"/>
        </w:rPr>
        <w:t>Lending Relationship</w:t>
      </w:r>
      <w:r>
        <w:rPr>
          <w:rFonts w:ascii="Arial" w:cs="Arial" w:eastAsia="Arial" w:hAnsi="Arial"/>
          <w:sz w:val="17"/>
          <w:szCs w:val="17"/>
          <w:color w:val="auto"/>
        </w:rPr>
        <w:t>. Except as disclosed in the Registration Statement, the Pricing Disclosure Package and the Prospectus, the Company (A) does not have any material lending or other relationship with any bank or lending affiliate of any Underwriter and (B) does not intend to use any of the proceeds from the sale of the Shares to repay any outstanding debt owed to any affiliate of any Underwriter.</w:t>
      </w:r>
    </w:p>
    <w:p>
      <w:pPr>
        <w:spacing w:after="0" w:line="220" w:lineRule="exact"/>
        <w:rPr>
          <w:sz w:val="20"/>
          <w:szCs w:val="20"/>
          <w:color w:val="auto"/>
        </w:rPr>
      </w:pPr>
    </w:p>
    <w:p>
      <w:pPr>
        <w:jc w:val="both"/>
        <w:ind w:firstLine="1459"/>
        <w:spacing w:after="0" w:line="257" w:lineRule="auto"/>
        <w:rPr>
          <w:sz w:val="20"/>
          <w:szCs w:val="20"/>
          <w:color w:val="auto"/>
        </w:rPr>
      </w:pPr>
      <w:r>
        <w:rPr>
          <w:rFonts w:ascii="Arial" w:cs="Arial" w:eastAsia="Arial" w:hAnsi="Arial"/>
          <w:sz w:val="18"/>
          <w:szCs w:val="18"/>
          <w:color w:val="auto"/>
        </w:rPr>
        <w:t xml:space="preserve">(xliii) </w:t>
      </w:r>
      <w:r>
        <w:rPr>
          <w:rFonts w:ascii="Arial" w:cs="Arial" w:eastAsia="Arial" w:hAnsi="Arial"/>
          <w:sz w:val="18"/>
          <w:szCs w:val="18"/>
          <w:u w:val="single" w:color="auto"/>
          <w:color w:val="auto"/>
        </w:rPr>
        <w:t>No Restrictions on Subsidiaries</w:t>
      </w:r>
      <w:r>
        <w:rPr>
          <w:rFonts w:ascii="Arial" w:cs="Arial" w:eastAsia="Arial" w:hAnsi="Arial"/>
          <w:sz w:val="18"/>
          <w:szCs w:val="18"/>
          <w:color w:val="auto"/>
        </w:rPr>
        <w:t>. Except in each case as otherwise disclosed in the Registration Statement, the Pricing Disclosure Package and the Prospectus, no Subsidiary of the Company is currently prohibited, directly or indirectly, under any agreement or other instrument to which it is a party or is subject, from paying any dividends to the Company, from making any other distribution on such Subsidiary’s capital stock, from repaying to the Company any loans or advances to such Subsidiary from the Company or from transferring any of such Subsidiary’s properties or assets to the Company or any other Subsidiary of the Company.</w:t>
      </w:r>
    </w:p>
    <w:p>
      <w:pPr>
        <w:spacing w:after="0" w:line="242" w:lineRule="exact"/>
        <w:rPr>
          <w:sz w:val="20"/>
          <w:szCs w:val="20"/>
          <w:color w:val="auto"/>
        </w:rPr>
      </w:pPr>
    </w:p>
    <w:p>
      <w:pPr>
        <w:jc w:val="both"/>
        <w:ind w:firstLine="1459"/>
        <w:spacing w:after="0" w:line="264" w:lineRule="auto"/>
        <w:rPr>
          <w:sz w:val="20"/>
          <w:szCs w:val="20"/>
          <w:color w:val="auto"/>
        </w:rPr>
      </w:pPr>
      <w:r>
        <w:rPr>
          <w:rFonts w:ascii="Arial" w:cs="Arial" w:eastAsia="Arial" w:hAnsi="Arial"/>
          <w:sz w:val="18"/>
          <w:szCs w:val="18"/>
          <w:color w:val="auto"/>
        </w:rPr>
        <w:t xml:space="preserve">(xliv) </w:t>
      </w:r>
      <w:r>
        <w:rPr>
          <w:rFonts w:ascii="Arial" w:cs="Arial" w:eastAsia="Arial" w:hAnsi="Arial"/>
          <w:sz w:val="18"/>
          <w:szCs w:val="18"/>
          <w:u w:val="single" w:color="auto"/>
          <w:color w:val="auto"/>
        </w:rPr>
        <w:t>Statistical and Market-Related Data</w:t>
      </w:r>
      <w:r>
        <w:rPr>
          <w:rFonts w:ascii="Arial" w:cs="Arial" w:eastAsia="Arial" w:hAnsi="Arial"/>
          <w:sz w:val="18"/>
          <w:szCs w:val="18"/>
          <w:color w:val="auto"/>
        </w:rPr>
        <w:t>. The statistical and market related data contained in the Registration Statement and Prospectus are based on or derived from sources which the Company believes are reliable and accurate, and the Company has obtained the written consent to the use of such data from such sources to the extent required.</w:t>
      </w:r>
    </w:p>
    <w:p>
      <w:pPr>
        <w:spacing w:after="0" w:line="235" w:lineRule="exact"/>
        <w:rPr>
          <w:sz w:val="20"/>
          <w:szCs w:val="20"/>
          <w:color w:val="auto"/>
        </w:rPr>
      </w:pPr>
    </w:p>
    <w:p>
      <w:pPr>
        <w:jc w:val="both"/>
        <w:ind w:firstLine="1459"/>
        <w:spacing w:after="0" w:line="288" w:lineRule="auto"/>
        <w:rPr>
          <w:sz w:val="20"/>
          <w:szCs w:val="20"/>
          <w:color w:val="auto"/>
        </w:rPr>
      </w:pPr>
      <w:r>
        <w:rPr>
          <w:rFonts w:ascii="Arial" w:cs="Arial" w:eastAsia="Arial" w:hAnsi="Arial"/>
          <w:sz w:val="16"/>
          <w:szCs w:val="16"/>
          <w:color w:val="auto"/>
        </w:rPr>
        <w:t xml:space="preserve">(xlv) </w:t>
      </w:r>
      <w:r>
        <w:rPr>
          <w:rFonts w:ascii="Arial" w:cs="Arial" w:eastAsia="Arial" w:hAnsi="Arial"/>
          <w:sz w:val="16"/>
          <w:szCs w:val="16"/>
          <w:u w:val="single" w:color="auto"/>
          <w:color w:val="auto"/>
        </w:rPr>
        <w:t>Distribution of Offering Material By the Company</w:t>
      </w:r>
      <w:r>
        <w:rPr>
          <w:rFonts w:ascii="Arial" w:cs="Arial" w:eastAsia="Arial" w:hAnsi="Arial"/>
          <w:sz w:val="16"/>
          <w:szCs w:val="16"/>
          <w:color w:val="auto"/>
        </w:rPr>
        <w:t xml:space="preserve">. The Company has not distributed and will not distribute, prior to the later of the Closing Date and the completion of the Underwriters’ distribution of the Shares, any offering material in connection with the offering and sale of the Shares other than the Registration Statement, the preliminary prospectus contained in the Pricing Disclosure Package, the Prospectus, any Issuer Free Writing Prospectus reviewed and consented to by the Underwriters and included in </w:t>
      </w:r>
      <w:r>
        <w:rPr>
          <w:rFonts w:ascii="Arial" w:cs="Arial" w:eastAsia="Arial" w:hAnsi="Arial"/>
          <w:sz w:val="16"/>
          <w:szCs w:val="16"/>
          <w:u w:val="single" w:color="auto"/>
          <w:color w:val="auto"/>
        </w:rPr>
        <w:t>Schedule III</w:t>
      </w:r>
      <w:r>
        <w:rPr>
          <w:rFonts w:ascii="Arial" w:cs="Arial" w:eastAsia="Arial" w:hAnsi="Arial"/>
          <w:sz w:val="16"/>
          <w:szCs w:val="16"/>
          <w:color w:val="auto"/>
        </w:rPr>
        <w:t xml:space="preserve"> hereto or any electronic road show or other written communications reviewed and consented to by the Underwriters and listed on </w:t>
      </w:r>
      <w:r>
        <w:rPr>
          <w:rFonts w:ascii="Arial" w:cs="Arial" w:eastAsia="Arial" w:hAnsi="Arial"/>
          <w:sz w:val="16"/>
          <w:szCs w:val="16"/>
          <w:u w:val="single" w:color="auto"/>
          <w:color w:val="auto"/>
        </w:rPr>
        <w:t>Schedule IV</w:t>
      </w:r>
      <w:r>
        <w:rPr>
          <w:rFonts w:ascii="Arial" w:cs="Arial" w:eastAsia="Arial" w:hAnsi="Arial"/>
          <w:sz w:val="16"/>
          <w:szCs w:val="16"/>
          <w:color w:val="auto"/>
        </w:rPr>
        <w:t xml:space="preserve"> hereto (each a, “</w:t>
      </w:r>
      <w:r>
        <w:rPr>
          <w:rFonts w:ascii="Arial" w:cs="Arial" w:eastAsia="Arial" w:hAnsi="Arial"/>
          <w:sz w:val="16"/>
          <w:szCs w:val="16"/>
          <w:b w:val="1"/>
          <w:bCs w:val="1"/>
          <w:color w:val="auto"/>
        </w:rPr>
        <w:t>Company Additional Written Communication</w:t>
      </w:r>
      <w:r>
        <w:rPr>
          <w:rFonts w:ascii="Arial" w:cs="Arial" w:eastAsia="Arial" w:hAnsi="Arial"/>
          <w:sz w:val="16"/>
          <w:szCs w:val="16"/>
          <w:color w:val="auto"/>
        </w:rPr>
        <w:t>”). Each such Company Additional Written Communication, when taken together with the Pricing Disclosure Package, did not, and at the Closing Date will not, contain any untrue statement of a material fact or omit to state a material fact necessary in order to make the statements therein, in the light of the circumstances under which they were made, not misleading. The preceding sentence does not apply to statements in or omissions from the Company Additional Written Communication based upon and in conformity with written information furnished to the Company by the Underwriters specifically for use therein, it being understood and agreed that the only such information furnished by the Underwriters consists of the Underwriter Information.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07" w:name="page208"/>
    <w:bookmarkEnd w:id="207"/>
    <w:p>
      <w:pPr>
        <w:ind w:firstLine="1459"/>
        <w:spacing w:after="0" w:line="291" w:lineRule="auto"/>
        <w:rPr>
          <w:sz w:val="20"/>
          <w:szCs w:val="20"/>
          <w:color w:val="auto"/>
        </w:rPr>
      </w:pPr>
      <w:r>
        <w:rPr>
          <w:rFonts w:ascii="Arial" w:cs="Arial" w:eastAsia="Arial" w:hAnsi="Arial"/>
          <w:sz w:val="16"/>
          <w:szCs w:val="16"/>
          <w:color w:val="auto"/>
        </w:rPr>
        <w:t xml:space="preserve">(xlvi) </w:t>
      </w:r>
      <w:r>
        <w:rPr>
          <w:rFonts w:ascii="Arial" w:cs="Arial" w:eastAsia="Arial" w:hAnsi="Arial"/>
          <w:sz w:val="16"/>
          <w:szCs w:val="16"/>
          <w:u w:val="single" w:color="auto"/>
          <w:color w:val="auto"/>
        </w:rPr>
        <w:t>Forward-Looking Statements</w:t>
      </w:r>
      <w:r>
        <w:rPr>
          <w:rFonts w:ascii="Arial" w:cs="Arial" w:eastAsia="Arial" w:hAnsi="Arial"/>
          <w:sz w:val="16"/>
          <w:szCs w:val="16"/>
          <w:color w:val="auto"/>
        </w:rPr>
        <w:t>. Each financial or operational projection or other “forward-looking statement” (as defined by Section 27A of the Securities Act or Section 21E of the Exchange Act) contained in the Registration Statement, the Pricing Disclosure Package and the Prospectus</w:t>
      </w:r>
    </w:p>
    <w:p>
      <w:pPr>
        <w:jc w:val="both"/>
        <w:ind w:firstLine="8"/>
        <w:spacing w:after="0" w:line="254" w:lineRule="auto"/>
        <w:tabs>
          <w:tab w:leader="none" w:pos="32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was so included by the Company in good faith and with reasonable basis after due consideration by the Company of the underlying assumptions, estimates and other applicable facts and circumstances, and (B) is accompanied by meaningful cautionary statements identifying those factors that could cause actual results to differ materially from those in such forward-looking statement. No such statement was made with the knowledge of an executive officer or director of the Company that it was false or misleading.</w:t>
      </w:r>
    </w:p>
    <w:p>
      <w:pPr>
        <w:spacing w:after="0" w:line="244" w:lineRule="exact"/>
        <w:rPr>
          <w:sz w:val="20"/>
          <w:szCs w:val="20"/>
          <w:color w:val="auto"/>
        </w:rPr>
      </w:pPr>
    </w:p>
    <w:p>
      <w:pPr>
        <w:jc w:val="both"/>
        <w:ind w:firstLine="1459"/>
        <w:spacing w:after="0" w:line="342" w:lineRule="auto"/>
        <w:rPr>
          <w:sz w:val="20"/>
          <w:szCs w:val="20"/>
          <w:color w:val="auto"/>
        </w:rPr>
      </w:pPr>
      <w:r>
        <w:rPr>
          <w:rFonts w:ascii="Arial" w:cs="Arial" w:eastAsia="Arial" w:hAnsi="Arial"/>
          <w:sz w:val="16"/>
          <w:szCs w:val="16"/>
          <w:color w:val="auto"/>
        </w:rPr>
        <w:t xml:space="preserve">(xlvii) </w:t>
      </w:r>
      <w:r>
        <w:rPr>
          <w:rFonts w:ascii="Arial" w:cs="Arial" w:eastAsia="Arial" w:hAnsi="Arial"/>
          <w:sz w:val="16"/>
          <w:szCs w:val="16"/>
          <w:u w:val="single" w:color="auto"/>
          <w:color w:val="auto"/>
        </w:rPr>
        <w:t>Lock-Up Agreements</w:t>
      </w:r>
      <w:r>
        <w:rPr>
          <w:rFonts w:ascii="Arial" w:cs="Arial" w:eastAsia="Arial" w:hAnsi="Arial"/>
          <w:sz w:val="16"/>
          <w:szCs w:val="16"/>
          <w:color w:val="auto"/>
        </w:rPr>
        <w:t xml:space="preserve">. Each of the Company’s officers, as defined by Rule 16a-1(f) of the Exchange Act Regulations, directors, and certain shareholders, in each case as listed on </w:t>
      </w:r>
      <w:r>
        <w:rPr>
          <w:rFonts w:ascii="Arial" w:cs="Arial" w:eastAsia="Arial" w:hAnsi="Arial"/>
          <w:sz w:val="16"/>
          <w:szCs w:val="16"/>
          <w:u w:val="single" w:color="auto"/>
          <w:color w:val="auto"/>
        </w:rPr>
        <w:t>Exhibit C-1</w:t>
      </w:r>
      <w:r>
        <w:rPr>
          <w:rFonts w:ascii="Arial" w:cs="Arial" w:eastAsia="Arial" w:hAnsi="Arial"/>
          <w:sz w:val="16"/>
          <w:szCs w:val="16"/>
          <w:color w:val="auto"/>
        </w:rPr>
        <w:t xml:space="preserve"> hereto, has executed and delivered lock-up agreements as contemplated in Section 6(m) hereof.</w:t>
      </w:r>
    </w:p>
    <w:p>
      <w:pPr>
        <w:spacing w:after="0" w:line="178" w:lineRule="exact"/>
        <w:rPr>
          <w:sz w:val="20"/>
          <w:szCs w:val="20"/>
          <w:color w:val="auto"/>
        </w:rPr>
      </w:pPr>
    </w:p>
    <w:p>
      <w:pPr>
        <w:jc w:val="both"/>
        <w:ind w:firstLine="1459"/>
        <w:spacing w:after="0" w:line="264" w:lineRule="auto"/>
        <w:rPr>
          <w:sz w:val="20"/>
          <w:szCs w:val="20"/>
          <w:color w:val="auto"/>
        </w:rPr>
      </w:pPr>
      <w:r>
        <w:rPr>
          <w:rFonts w:ascii="Arial" w:cs="Arial" w:eastAsia="Arial" w:hAnsi="Arial"/>
          <w:sz w:val="18"/>
          <w:szCs w:val="18"/>
          <w:color w:val="auto"/>
        </w:rPr>
        <w:t xml:space="preserve">(xlviii) </w:t>
      </w:r>
      <w:r>
        <w:rPr>
          <w:rFonts w:ascii="Arial" w:cs="Arial" w:eastAsia="Arial" w:hAnsi="Arial"/>
          <w:sz w:val="18"/>
          <w:szCs w:val="18"/>
          <w:u w:val="single" w:color="auto"/>
          <w:color w:val="auto"/>
        </w:rPr>
        <w:t>Fees</w:t>
      </w:r>
      <w:r>
        <w:rPr>
          <w:rFonts w:ascii="Arial" w:cs="Arial" w:eastAsia="Arial" w:hAnsi="Arial"/>
          <w:sz w:val="18"/>
          <w:szCs w:val="18"/>
          <w:color w:val="auto"/>
        </w:rPr>
        <w:t>. Other than as contemplated by this Agreement, there is no broker, finder or other party that is entitled to receive from the Company or any Subsidiary any brokerage or finder’s fee or any other fee, commission or payment as a result of the transactions contemplated by this Agreement.</w:t>
      </w:r>
    </w:p>
    <w:p>
      <w:pPr>
        <w:spacing w:after="0" w:line="235" w:lineRule="exact"/>
        <w:rPr>
          <w:sz w:val="20"/>
          <w:szCs w:val="20"/>
          <w:color w:val="auto"/>
        </w:rPr>
      </w:pPr>
    </w:p>
    <w:p>
      <w:pPr>
        <w:jc w:val="both"/>
        <w:ind w:firstLine="1459"/>
        <w:spacing w:after="0" w:line="264" w:lineRule="auto"/>
        <w:rPr>
          <w:sz w:val="20"/>
          <w:szCs w:val="20"/>
          <w:color w:val="auto"/>
        </w:rPr>
      </w:pPr>
      <w:r>
        <w:rPr>
          <w:rFonts w:ascii="Arial" w:cs="Arial" w:eastAsia="Arial" w:hAnsi="Arial"/>
          <w:sz w:val="18"/>
          <w:szCs w:val="18"/>
          <w:color w:val="auto"/>
        </w:rPr>
        <w:t xml:space="preserve">(xlix) </w:t>
      </w:r>
      <w:r>
        <w:rPr>
          <w:rFonts w:ascii="Arial" w:cs="Arial" w:eastAsia="Arial" w:hAnsi="Arial"/>
          <w:sz w:val="18"/>
          <w:szCs w:val="18"/>
          <w:u w:val="single" w:color="auto"/>
          <w:color w:val="auto"/>
        </w:rPr>
        <w:t>Deposit Insurance</w:t>
      </w:r>
      <w:r>
        <w:rPr>
          <w:rFonts w:ascii="Arial" w:cs="Arial" w:eastAsia="Arial" w:hAnsi="Arial"/>
          <w:sz w:val="18"/>
          <w:szCs w:val="18"/>
          <w:color w:val="auto"/>
        </w:rPr>
        <w:t>. The deposit accounts of the Bank are insured by the FDIC up to applicable legal limits, the Bank has paid all premiums and assessments required by the FDIC and the regulations thereunder, and no proceeding for the termination or revocation of such insurance has been instituted, is pending or, to the knowledge of the Company, is threatened.</w:t>
      </w:r>
    </w:p>
    <w:p>
      <w:pPr>
        <w:spacing w:after="0" w:line="235" w:lineRule="exact"/>
        <w:rPr>
          <w:sz w:val="20"/>
          <w:szCs w:val="20"/>
          <w:color w:val="auto"/>
        </w:rPr>
      </w:pPr>
    </w:p>
    <w:p>
      <w:pPr>
        <w:jc w:val="both"/>
        <w:ind w:firstLine="1467"/>
        <w:spacing w:after="0" w:line="291" w:lineRule="auto"/>
        <w:tabs>
          <w:tab w:leader="none" w:pos="1696" w:val="left"/>
        </w:tabs>
        <w:numPr>
          <w:ilvl w:val="0"/>
          <w:numId w:val="118"/>
        </w:numPr>
        <w:rPr>
          <w:rFonts w:ascii="Arial" w:cs="Arial" w:eastAsia="Arial" w:hAnsi="Arial"/>
          <w:sz w:val="16"/>
          <w:szCs w:val="16"/>
          <w:color w:val="auto"/>
        </w:rPr>
      </w:pPr>
      <w:r>
        <w:rPr>
          <w:rFonts w:ascii="Arial" w:cs="Arial" w:eastAsia="Arial" w:hAnsi="Arial"/>
          <w:sz w:val="16"/>
          <w:szCs w:val="16"/>
          <w:u w:val="single" w:color="auto"/>
          <w:color w:val="auto"/>
        </w:rPr>
        <w:t>Derivative Instruments</w:t>
      </w:r>
      <w:r>
        <w:rPr>
          <w:rFonts w:ascii="Arial" w:cs="Arial" w:eastAsia="Arial" w:hAnsi="Arial"/>
          <w:sz w:val="16"/>
          <w:szCs w:val="16"/>
          <w:color w:val="auto"/>
        </w:rPr>
        <w:t>. Any and all material swaps, caps, floors, futures, forward contracts, option agreements (other than options issued under the Company’s shareholder-approved benefit plans) and other derivative financial instruments, contracts or arrangements, whether entered into for the account of the Company or one of its Subsidiaries or for the account of a customer of the Company or one of its Subsidiaries, were entered into in the ordinary course of business and in accordance with applicable laws, rules, regulations and policies of all applicable regulatory agencies and with counterparties believed by the Company to be financially responsible. The Company and each of its Subsidiaries have duly performed in all material respects all of their obligations thereunder to the extent that such obligations to perform have accrued, and there are no breaches, violations or defaults or allegations or assertions of such by any party thereunder except as would not, singly or in the aggregate, reasonably be expected to have a Material Adverse Effect.</w:t>
      </w:r>
    </w:p>
    <w:p>
      <w:pPr>
        <w:spacing w:after="0" w:line="221" w:lineRule="exact"/>
        <w:rPr>
          <w:sz w:val="20"/>
          <w:szCs w:val="20"/>
          <w:color w:val="auto"/>
        </w:rPr>
      </w:pPr>
    </w:p>
    <w:p>
      <w:pPr>
        <w:jc w:val="both"/>
        <w:ind w:firstLine="1459"/>
        <w:spacing w:after="0" w:line="293" w:lineRule="auto"/>
        <w:rPr>
          <w:sz w:val="20"/>
          <w:szCs w:val="20"/>
          <w:color w:val="auto"/>
        </w:rPr>
      </w:pPr>
      <w:r>
        <w:rPr>
          <w:rFonts w:ascii="Arial" w:cs="Arial" w:eastAsia="Arial" w:hAnsi="Arial"/>
          <w:sz w:val="16"/>
          <w:szCs w:val="16"/>
          <w:color w:val="auto"/>
        </w:rPr>
        <w:t xml:space="preserve">(li) </w:t>
      </w:r>
      <w:r>
        <w:rPr>
          <w:rFonts w:ascii="Arial" w:cs="Arial" w:eastAsia="Arial" w:hAnsi="Arial"/>
          <w:sz w:val="16"/>
          <w:szCs w:val="16"/>
          <w:u w:val="single" w:color="auto"/>
          <w:color w:val="auto"/>
        </w:rPr>
        <w:t>Termination of Contracts</w:t>
      </w:r>
      <w:r>
        <w:rPr>
          <w:rFonts w:ascii="Arial" w:cs="Arial" w:eastAsia="Arial" w:hAnsi="Arial"/>
          <w:sz w:val="16"/>
          <w:szCs w:val="16"/>
          <w:color w:val="auto"/>
        </w:rPr>
        <w:t>. Neither the Company nor any Significant Subsidiary has sent or received any communication regarding termination of, or intent not to renew, any of the contracts or agreements referred to or described in the Pricing Disclosure Package and Prospectus, or referred to or described in, or filed as an exhibit to, the Pricing Disclosure Package and Prospectus, and no such termination or non-renewal has been threatened by the Company or any Significant Subsidiary or, to the Company’s knowledge, any other party to any such contract or agreement; and there are no contracts or documents of the Company or any of the Significant Subsidiaries that are required to be described in the Pricing Disclosure Package and the Prospectus or to be filed as exhibits thereto by the Securities Act or by the rules and regulations of the Commission thereunder that have not been so described and filed.</w:t>
      </w:r>
    </w:p>
    <w:p>
      <w:pPr>
        <w:spacing w:after="0" w:line="219" w:lineRule="exact"/>
        <w:rPr>
          <w:sz w:val="20"/>
          <w:szCs w:val="20"/>
          <w:color w:val="auto"/>
        </w:rPr>
      </w:pPr>
    </w:p>
    <w:p>
      <w:pPr>
        <w:jc w:val="both"/>
        <w:ind w:firstLine="1459"/>
        <w:spacing w:after="0" w:line="264" w:lineRule="auto"/>
        <w:rPr>
          <w:sz w:val="20"/>
          <w:szCs w:val="20"/>
          <w:color w:val="auto"/>
        </w:rPr>
      </w:pPr>
      <w:r>
        <w:rPr>
          <w:rFonts w:ascii="Arial" w:cs="Arial" w:eastAsia="Arial" w:hAnsi="Arial"/>
          <w:sz w:val="18"/>
          <w:szCs w:val="18"/>
          <w:color w:val="auto"/>
        </w:rPr>
        <w:t xml:space="preserve">(lii) </w:t>
      </w:r>
      <w:r>
        <w:rPr>
          <w:rFonts w:ascii="Arial" w:cs="Arial" w:eastAsia="Arial" w:hAnsi="Arial"/>
          <w:sz w:val="18"/>
          <w:szCs w:val="18"/>
          <w:u w:val="single" w:color="auto"/>
          <w:color w:val="auto"/>
        </w:rPr>
        <w:t>Off-Balance Sheet Transactions</w:t>
      </w:r>
      <w:r>
        <w:rPr>
          <w:rFonts w:ascii="Arial" w:cs="Arial" w:eastAsia="Arial" w:hAnsi="Arial"/>
          <w:sz w:val="18"/>
          <w:szCs w:val="18"/>
          <w:color w:val="auto"/>
        </w:rPr>
        <w:t>. There is no transaction, arrangement or other relationship between the Company or any of its Subsidiaries and an unconsolidated or other off-balance sheet entity which is required to be disclosed in the Registration Statement, the Pricing Disclosure Package and the Prospectus (other than as disclosed therein).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3" w:right="239" w:bottom="1440" w:gutter="0" w:footer="0" w:header="0"/>
        </w:sectPr>
      </w:pPr>
    </w:p>
    <w:bookmarkStart w:id="208" w:name="page209"/>
    <w:bookmarkEnd w:id="208"/>
    <w:p>
      <w:pPr>
        <w:jc w:val="both"/>
        <w:ind w:firstLine="1459"/>
        <w:spacing w:after="0" w:line="264" w:lineRule="auto"/>
        <w:rPr>
          <w:sz w:val="20"/>
          <w:szCs w:val="20"/>
          <w:color w:val="auto"/>
        </w:rPr>
      </w:pPr>
      <w:r>
        <w:rPr>
          <w:rFonts w:ascii="Arial" w:cs="Arial" w:eastAsia="Arial" w:hAnsi="Arial"/>
          <w:sz w:val="18"/>
          <w:szCs w:val="18"/>
          <w:color w:val="auto"/>
        </w:rPr>
        <w:t xml:space="preserve">(liii) </w:t>
      </w:r>
      <w:r>
        <w:rPr>
          <w:rFonts w:ascii="Arial" w:cs="Arial" w:eastAsia="Arial" w:hAnsi="Arial"/>
          <w:sz w:val="18"/>
          <w:szCs w:val="18"/>
          <w:u w:val="single" w:color="auto"/>
          <w:color w:val="auto"/>
        </w:rPr>
        <w:t>Margin Rules</w:t>
      </w:r>
      <w:r>
        <w:rPr>
          <w:rFonts w:ascii="Arial" w:cs="Arial" w:eastAsia="Arial" w:hAnsi="Arial"/>
          <w:sz w:val="18"/>
          <w:szCs w:val="18"/>
          <w:color w:val="auto"/>
        </w:rPr>
        <w:t>. The application of the proceeds received by the Company from the issuance, sale and delivery of the Shares as described in the Registration Statement, the Pricing Disclosure Package and the Prospectus will not violate Regulation T, U or X of the Federal Reserve or any other regulation of the Federal Reserve.</w:t>
      </w:r>
    </w:p>
    <w:p>
      <w:pPr>
        <w:spacing w:after="0" w:line="235" w:lineRule="exact"/>
        <w:rPr>
          <w:sz w:val="20"/>
          <w:szCs w:val="20"/>
          <w:color w:val="auto"/>
        </w:rPr>
      </w:pPr>
    </w:p>
    <w:p>
      <w:pPr>
        <w:jc w:val="both"/>
        <w:ind w:right="20" w:firstLine="1459"/>
        <w:spacing w:after="0" w:line="259" w:lineRule="auto"/>
        <w:rPr>
          <w:sz w:val="20"/>
          <w:szCs w:val="20"/>
          <w:color w:val="auto"/>
        </w:rPr>
      </w:pPr>
      <w:r>
        <w:rPr>
          <w:rFonts w:ascii="Arial" w:cs="Arial" w:eastAsia="Arial" w:hAnsi="Arial"/>
          <w:sz w:val="18"/>
          <w:szCs w:val="18"/>
          <w:color w:val="auto"/>
        </w:rPr>
        <w:t xml:space="preserve">(liv) </w:t>
      </w:r>
      <w:r>
        <w:rPr>
          <w:rFonts w:ascii="Arial" w:cs="Arial" w:eastAsia="Arial" w:hAnsi="Arial"/>
          <w:sz w:val="18"/>
          <w:szCs w:val="18"/>
          <w:u w:val="single" w:color="auto"/>
          <w:color w:val="auto"/>
        </w:rPr>
        <w:t>Emerging Growth Company Status</w:t>
      </w:r>
      <w:r>
        <w:rPr>
          <w:rFonts w:ascii="Arial" w:cs="Arial" w:eastAsia="Arial" w:hAnsi="Arial"/>
          <w:sz w:val="18"/>
          <w:szCs w:val="18"/>
          <w:color w:val="auto"/>
        </w:rPr>
        <w:t>. From the time of initial confidential submission of the Registration Statement to the Commission (or, if earlier, the first date on which the Company engaged in any Written Testing-the-Waters Communication or any Testing-the-Waters Communication) through the Closing Date or the Option Closing Date (if applicable), the Company has been and is an “emerging growth company,” as defined in Section 2(a)(19) of the Securities Act (an “</w:t>
      </w:r>
      <w:r>
        <w:rPr>
          <w:rFonts w:ascii="Arial" w:cs="Arial" w:eastAsia="Arial" w:hAnsi="Arial"/>
          <w:sz w:val="18"/>
          <w:szCs w:val="18"/>
          <w:b w:val="1"/>
          <w:bCs w:val="1"/>
          <w:color w:val="auto"/>
        </w:rPr>
        <w:t>Emerging Growth Company</w:t>
      </w:r>
      <w:r>
        <w:rPr>
          <w:rFonts w:ascii="Arial" w:cs="Arial" w:eastAsia="Arial" w:hAnsi="Arial"/>
          <w:sz w:val="18"/>
          <w:szCs w:val="18"/>
          <w:color w:val="auto"/>
        </w:rPr>
        <w:t>”).</w:t>
      </w:r>
    </w:p>
    <w:p>
      <w:pPr>
        <w:spacing w:after="0" w:line="241" w:lineRule="exact"/>
        <w:rPr>
          <w:sz w:val="20"/>
          <w:szCs w:val="20"/>
          <w:color w:val="auto"/>
        </w:rPr>
      </w:pPr>
    </w:p>
    <w:p>
      <w:pPr>
        <w:jc w:val="both"/>
        <w:ind w:firstLine="1459"/>
        <w:spacing w:after="0" w:line="291" w:lineRule="auto"/>
        <w:rPr>
          <w:sz w:val="20"/>
          <w:szCs w:val="20"/>
          <w:color w:val="auto"/>
        </w:rPr>
      </w:pPr>
      <w:r>
        <w:rPr>
          <w:rFonts w:ascii="Arial" w:cs="Arial" w:eastAsia="Arial" w:hAnsi="Arial"/>
          <w:sz w:val="16"/>
          <w:szCs w:val="16"/>
          <w:color w:val="auto"/>
        </w:rPr>
        <w:t xml:space="preserve">(lv) </w:t>
      </w:r>
      <w:r>
        <w:rPr>
          <w:rFonts w:ascii="Arial" w:cs="Arial" w:eastAsia="Arial" w:hAnsi="Arial"/>
          <w:sz w:val="16"/>
          <w:szCs w:val="16"/>
          <w:u w:val="single" w:color="auto"/>
          <w:color w:val="auto"/>
        </w:rPr>
        <w:t>Permitted Testing-the-Waters Communications</w:t>
      </w:r>
      <w:r>
        <w:rPr>
          <w:rFonts w:ascii="Arial" w:cs="Arial" w:eastAsia="Arial" w:hAnsi="Arial"/>
          <w:sz w:val="16"/>
          <w:szCs w:val="16"/>
          <w:color w:val="auto"/>
        </w:rPr>
        <w:t xml:space="preserve"> The Company (a) has not alone engaged in any Testing-the-Waters Communication other than Permitted Written Testing-the-Waters Communications with the consent of the Underwriters with entities that are qualified institutional buyers within the meaning of Rule 144A of the Securities Act Regulations or institutions that are accredited investors within the meaning of Rule 501 of the Securities Act Regulations, and (b) has not authorized anyone other than the Underwriters to engage in Testing-the-Waters Communications (other than the participation by the Company’s management with respect to Permitted Written Testing the Waters Communication). The Company reconfirms that the Underwriters have been authorized to act on its behalf in undertaking Testing-the-Waters Communications. The Company has not distributed or approved for distribution any Written Testing-the-Waters Communications other than the Permitted Written Testing-the-Waters Communications.</w:t>
      </w:r>
    </w:p>
    <w:p>
      <w:pPr>
        <w:spacing w:after="0" w:line="221" w:lineRule="exact"/>
        <w:rPr>
          <w:sz w:val="20"/>
          <w:szCs w:val="20"/>
          <w:color w:val="auto"/>
        </w:rPr>
      </w:pPr>
    </w:p>
    <w:p>
      <w:pPr>
        <w:jc w:val="both"/>
        <w:ind w:firstLine="1459"/>
        <w:spacing w:after="0" w:line="272" w:lineRule="auto"/>
        <w:rPr>
          <w:sz w:val="20"/>
          <w:szCs w:val="20"/>
          <w:color w:val="auto"/>
        </w:rPr>
      </w:pPr>
      <w:r>
        <w:rPr>
          <w:rFonts w:ascii="Arial" w:cs="Arial" w:eastAsia="Arial" w:hAnsi="Arial"/>
          <w:sz w:val="17"/>
          <w:szCs w:val="17"/>
          <w:color w:val="auto"/>
        </w:rPr>
        <w:t xml:space="preserve">(lvi) </w:t>
      </w:r>
      <w:r>
        <w:rPr>
          <w:rFonts w:ascii="Arial" w:cs="Arial" w:eastAsia="Arial" w:hAnsi="Arial"/>
          <w:sz w:val="17"/>
          <w:szCs w:val="17"/>
          <w:u w:val="single" w:color="auto"/>
          <w:color w:val="auto"/>
        </w:rPr>
        <w:t>Accuracy of Permitted Written Testing-the-Waters Communications</w:t>
      </w:r>
      <w:r>
        <w:rPr>
          <w:rFonts w:ascii="Arial" w:cs="Arial" w:eastAsia="Arial" w:hAnsi="Arial"/>
          <w:sz w:val="17"/>
          <w:szCs w:val="17"/>
          <w:color w:val="auto"/>
        </w:rPr>
        <w:t xml:space="preserve"> As of the Applicable Time, each Permitted Written Testing-the-Waters Communication, as supplemented by and taken together with the Pricing Disclosure Package, did not, as of the Applicable Time, include an untrue statement of a material fact or omit to state a material fact necessary in order to make the statements therein, in the light of the circumstances under which they were made, not misleading; and each Permitted Written Testing-the-Waters Communication, if any, does not, as of the date hereof, conflict with the information contained in the Registration Statement, any preliminary prospectus, the Pricing Disclosure Package, any Issuer Free Writing Prospectus or the Prospectus; and the Company has filed publicly on EDGAR at least 15 calendar days prior to any Road Show, any confidentially submitted registration statement and registration statement amendments relating to the offer and sale of the Shares.</w:t>
      </w:r>
    </w:p>
    <w:p>
      <w:pPr>
        <w:spacing w:after="0" w:line="232" w:lineRule="exact"/>
        <w:rPr>
          <w:sz w:val="20"/>
          <w:szCs w:val="20"/>
          <w:color w:val="auto"/>
        </w:rPr>
      </w:pPr>
    </w:p>
    <w:p>
      <w:pPr>
        <w:ind w:firstLine="1142"/>
        <w:spacing w:after="0" w:line="277" w:lineRule="auto"/>
        <w:tabs>
          <w:tab w:leader="none" w:pos="1412"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 of the Bank</w:t>
      </w:r>
      <w:r>
        <w:rPr>
          <w:rFonts w:ascii="Arial" w:cs="Arial" w:eastAsia="Arial" w:hAnsi="Arial"/>
          <w:sz w:val="18"/>
          <w:szCs w:val="18"/>
          <w:color w:val="auto"/>
        </w:rPr>
        <w:t>. The Bank represents and warrants to each Underwriter at the date hereof, the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Time, the Closing Date, and each Option Closing Date, if any, and agrees with each Underwriter, as follows:</w:t>
      </w:r>
    </w:p>
    <w:p>
      <w:pPr>
        <w:spacing w:after="0" w:line="224" w:lineRule="exact"/>
        <w:rPr>
          <w:rFonts w:ascii="Arial" w:cs="Arial" w:eastAsia="Arial" w:hAnsi="Arial"/>
          <w:sz w:val="18"/>
          <w:szCs w:val="18"/>
          <w:color w:val="auto"/>
        </w:rPr>
      </w:pPr>
    </w:p>
    <w:p>
      <w:pPr>
        <w:jc w:val="both"/>
        <w:ind w:firstLine="1467"/>
        <w:spacing w:after="0" w:line="259" w:lineRule="auto"/>
        <w:tabs>
          <w:tab w:leader="none" w:pos="1682" w:val="left"/>
        </w:tabs>
        <w:numPr>
          <w:ilvl w:val="1"/>
          <w:numId w:val="119"/>
        </w:numPr>
        <w:rPr>
          <w:rFonts w:ascii="Arial" w:cs="Arial" w:eastAsia="Arial" w:hAnsi="Arial"/>
          <w:sz w:val="18"/>
          <w:szCs w:val="18"/>
          <w:color w:val="auto"/>
        </w:rPr>
      </w:pPr>
      <w:r>
        <w:rPr>
          <w:rFonts w:ascii="Arial" w:cs="Arial" w:eastAsia="Arial" w:hAnsi="Arial"/>
          <w:sz w:val="18"/>
          <w:szCs w:val="18"/>
          <w:u w:val="single" w:color="auto"/>
          <w:color w:val="auto"/>
        </w:rPr>
        <w:t>Good Standing of the Bank</w:t>
      </w:r>
      <w:r>
        <w:rPr>
          <w:rFonts w:ascii="Arial" w:cs="Arial" w:eastAsia="Arial" w:hAnsi="Arial"/>
          <w:sz w:val="18"/>
          <w:szCs w:val="18"/>
          <w:color w:val="auto"/>
        </w:rPr>
        <w:t xml:space="preserve"> The Bank has been duly chartered and is validly existing as a Texas banking association in good standing under the laws of the State of Texas, and has been duly qualified as a foreign bank for the transaction of business and is in good standing under the laws of each other jurisdiction in which it owns or leases properties or conducts any business so as to require such qualification or is subject to no material liability or disability by reason of the failure to be so qualified in any such other jurisdiction.</w:t>
      </w:r>
    </w:p>
    <w:p>
      <w:pPr>
        <w:spacing w:after="0" w:line="240" w:lineRule="exact"/>
        <w:rPr>
          <w:rFonts w:ascii="Arial" w:cs="Arial" w:eastAsia="Arial" w:hAnsi="Arial"/>
          <w:sz w:val="18"/>
          <w:szCs w:val="18"/>
          <w:color w:val="auto"/>
        </w:rPr>
      </w:pPr>
    </w:p>
    <w:p>
      <w:pPr>
        <w:jc w:val="both"/>
        <w:ind w:firstLine="1467"/>
        <w:spacing w:after="0" w:line="255" w:lineRule="auto"/>
        <w:tabs>
          <w:tab w:leader="none" w:pos="1733" w:val="left"/>
        </w:tabs>
        <w:numPr>
          <w:ilvl w:val="1"/>
          <w:numId w:val="119"/>
        </w:numPr>
        <w:rPr>
          <w:rFonts w:ascii="Arial" w:cs="Arial" w:eastAsia="Arial" w:hAnsi="Arial"/>
          <w:sz w:val="18"/>
          <w:szCs w:val="18"/>
          <w:color w:val="auto"/>
        </w:rPr>
      </w:pPr>
      <w:r>
        <w:rPr>
          <w:rFonts w:ascii="Arial" w:cs="Arial" w:eastAsia="Arial" w:hAnsi="Arial"/>
          <w:sz w:val="18"/>
          <w:szCs w:val="18"/>
          <w:u w:val="single" w:color="auto"/>
          <w:color w:val="auto"/>
        </w:rPr>
        <w:t>Absence of Defaults</w:t>
      </w:r>
      <w:r>
        <w:rPr>
          <w:rFonts w:ascii="Arial" w:cs="Arial" w:eastAsia="Arial" w:hAnsi="Arial"/>
          <w:sz w:val="18"/>
          <w:szCs w:val="18"/>
          <w:color w:val="auto"/>
        </w:rPr>
        <w:t>. Neither the Bank nor any of its Subsidiaries is (A) in violation of its articles or certificate of formation, bylaws or other organizational or governing documents, (B) in default in the performance or observance of any obligation, agreement, covenant or condition contained in any contract, indenture, mortgage, deed of trust, loan agreement, note, lease or other agreement or instrument to which the Bank or any of its subsidiaries is a party or by which any of them is bound or to which any of the property or assets of the Bank or any of its subsidiaries is subject (collectively, the “</w:t>
      </w:r>
      <w:r>
        <w:rPr>
          <w:rFonts w:ascii="Arial" w:cs="Arial" w:eastAsia="Arial" w:hAnsi="Arial"/>
          <w:sz w:val="18"/>
          <w:szCs w:val="18"/>
          <w:b w:val="1"/>
          <w:bCs w:val="1"/>
          <w:color w:val="auto"/>
        </w:rPr>
        <w:t>Bank Instruments</w:t>
      </w:r>
      <w:r>
        <w:rPr>
          <w:rFonts w:ascii="Arial" w:cs="Arial" w:eastAsia="Arial" w:hAnsi="Arial"/>
          <w:sz w:val="18"/>
          <w:szCs w:val="18"/>
          <w:color w:val="auto"/>
        </w:rPr>
        <w:t>”) or (C) in material violation of any statute, law, rule, regulation, order, decree of any court or governmental agency or body having jurisdiction over the Bank or any of its subsidiaries.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09" w:name="page210"/>
    <w:bookmarkEnd w:id="209"/>
    <w:p>
      <w:pPr>
        <w:jc w:val="both"/>
        <w:ind w:firstLine="1467"/>
        <w:spacing w:after="0" w:line="272" w:lineRule="auto"/>
        <w:tabs>
          <w:tab w:leader="none" w:pos="1796" w:val="left"/>
        </w:tabs>
        <w:numPr>
          <w:ilvl w:val="1"/>
          <w:numId w:val="120"/>
        </w:numPr>
        <w:rPr>
          <w:rFonts w:ascii="Arial" w:cs="Arial" w:eastAsia="Arial" w:hAnsi="Arial"/>
          <w:sz w:val="17"/>
          <w:szCs w:val="17"/>
          <w:color w:val="auto"/>
        </w:rPr>
      </w:pPr>
      <w:r>
        <w:rPr>
          <w:rFonts w:ascii="Arial" w:cs="Arial" w:eastAsia="Arial" w:hAnsi="Arial"/>
          <w:sz w:val="17"/>
          <w:szCs w:val="17"/>
          <w:u w:val="single" w:color="auto"/>
          <w:color w:val="auto"/>
        </w:rPr>
        <w:t>No Conflicts</w:t>
      </w:r>
      <w:r>
        <w:rPr>
          <w:rFonts w:ascii="Arial" w:cs="Arial" w:eastAsia="Arial" w:hAnsi="Arial"/>
          <w:sz w:val="17"/>
          <w:szCs w:val="17"/>
          <w:color w:val="auto"/>
        </w:rPr>
        <w:t>. The execution, delivery and performance of this Agreement by the Bank, compliance by the Bank with all of the provisions of this Agreement and the consummation of the transactions herein contemplated do not and will not materially contravene, conflict with, or result in a material breach or violation of any of the terms or provisions of, or constitute a default under, any Bank Instrument, nor does or will any such action contravene, conflict with or result in a breach or violation of (A) any of the terms or provisions of the articles or certificate of formation or association or bylaws of the Bank or (B) any applicable statute, order, law, rule, regulation or decree of any court or governmental agency or body having jurisdiction over the Bank or any of its subsidiaries or any of their properties, except, in the case of clause (B) for such contraventions, conflicts, breaches or violations that would not, singly or in the aggregate, reasonably be expected to result in a Material Adverse Effect.</w:t>
      </w:r>
    </w:p>
    <w:p>
      <w:pPr>
        <w:spacing w:after="0" w:line="231" w:lineRule="exact"/>
        <w:rPr>
          <w:rFonts w:ascii="Arial" w:cs="Arial" w:eastAsia="Arial" w:hAnsi="Arial"/>
          <w:sz w:val="17"/>
          <w:szCs w:val="17"/>
          <w:color w:val="auto"/>
        </w:rPr>
      </w:pPr>
    </w:p>
    <w:p>
      <w:pPr>
        <w:jc w:val="both"/>
        <w:ind w:firstLine="1142"/>
        <w:spacing w:after="0" w:line="264" w:lineRule="auto"/>
        <w:tabs>
          <w:tab w:leader="none" w:pos="1388" w:val="left"/>
        </w:tabs>
        <w:numPr>
          <w:ilvl w:val="0"/>
          <w:numId w:val="121"/>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 of the Selling Shareholders</w:t>
      </w:r>
      <w:r>
        <w:rPr>
          <w:rFonts w:ascii="Arial" w:cs="Arial" w:eastAsia="Arial" w:hAnsi="Arial"/>
          <w:sz w:val="18"/>
          <w:szCs w:val="18"/>
          <w:color w:val="auto"/>
        </w:rPr>
        <w:t>. Each Selling Shareholder, severally and not jointly, represents and warrants</w:t>
      </w:r>
      <w:r>
        <w:rPr>
          <w:rFonts w:ascii="Arial" w:cs="Arial" w:eastAsia="Arial" w:hAnsi="Arial"/>
          <w:sz w:val="18"/>
          <w:szCs w:val="18"/>
          <w:i w:val="1"/>
          <w:iCs w:val="1"/>
          <w:color w:val="auto"/>
        </w:rPr>
        <w:t xml:space="preserve"> </w:t>
      </w:r>
      <w:r>
        <w:rPr>
          <w:rFonts w:ascii="Arial" w:cs="Arial" w:eastAsia="Arial" w:hAnsi="Arial"/>
          <w:sz w:val="18"/>
          <w:szCs w:val="18"/>
          <w:color w:val="auto"/>
        </w:rPr>
        <w:t>to, and agrees with, each of the Underwriters that, as of the date hereof, the Applicable Time, and as of the Closing Date and each Option Closing Date, if any:</w:t>
      </w:r>
    </w:p>
    <w:p>
      <w:pPr>
        <w:spacing w:after="0" w:line="235" w:lineRule="exact"/>
        <w:rPr>
          <w:rFonts w:ascii="Arial" w:cs="Arial" w:eastAsia="Arial" w:hAnsi="Arial"/>
          <w:sz w:val="18"/>
          <w:szCs w:val="18"/>
          <w:color w:val="auto"/>
        </w:rPr>
      </w:pPr>
    </w:p>
    <w:p>
      <w:pPr>
        <w:jc w:val="both"/>
        <w:ind w:firstLine="1467"/>
        <w:spacing w:after="0" w:line="279" w:lineRule="auto"/>
        <w:tabs>
          <w:tab w:leader="none" w:pos="1682" w:val="left"/>
        </w:tabs>
        <w:numPr>
          <w:ilvl w:val="1"/>
          <w:numId w:val="121"/>
        </w:numPr>
        <w:rPr>
          <w:rFonts w:ascii="Arial" w:cs="Arial" w:eastAsia="Arial" w:hAnsi="Arial"/>
          <w:sz w:val="17"/>
          <w:szCs w:val="17"/>
          <w:color w:val="auto"/>
        </w:rPr>
      </w:pPr>
      <w:r>
        <w:rPr>
          <w:rFonts w:ascii="Arial" w:cs="Arial" w:eastAsia="Arial" w:hAnsi="Arial"/>
          <w:sz w:val="17"/>
          <w:szCs w:val="17"/>
          <w:u w:val="single" w:color="auto"/>
          <w:color w:val="auto"/>
        </w:rPr>
        <w:t>Consents</w:t>
      </w:r>
      <w:r>
        <w:rPr>
          <w:rFonts w:ascii="Arial" w:cs="Arial" w:eastAsia="Arial" w:hAnsi="Arial"/>
          <w:sz w:val="17"/>
          <w:szCs w:val="17"/>
          <w:color w:val="auto"/>
        </w:rPr>
        <w:t>. All consents, approvals, authorizations and orders necessary for the execution and delivery by such Selling Shareholder of this Agreement and the Power of Attorney and Custody Agreement and for the sale and delivery of the Shares to be sold by such Selling Shareholder hereunder, have been obtained; and such Selling Shareholder has full right, power and authority to enter into this Agreement and the Power of Attorney and Custody Agreement and to sell, assign, transfer and deliver the Shares to be sold by such Selling Shareholder hereunder.</w:t>
      </w:r>
    </w:p>
    <w:p>
      <w:pPr>
        <w:spacing w:after="0" w:line="225" w:lineRule="exact"/>
        <w:rPr>
          <w:sz w:val="20"/>
          <w:szCs w:val="20"/>
          <w:color w:val="auto"/>
        </w:rPr>
      </w:pPr>
    </w:p>
    <w:p>
      <w:pPr>
        <w:jc w:val="both"/>
        <w:ind w:firstLine="1467"/>
        <w:spacing w:after="0" w:line="276" w:lineRule="auto"/>
        <w:tabs>
          <w:tab w:leader="none" w:pos="1746" w:val="left"/>
        </w:tabs>
        <w:numPr>
          <w:ilvl w:val="0"/>
          <w:numId w:val="122"/>
        </w:numPr>
        <w:rPr>
          <w:rFonts w:ascii="Arial" w:cs="Arial" w:eastAsia="Arial" w:hAnsi="Arial"/>
          <w:sz w:val="17"/>
          <w:szCs w:val="17"/>
          <w:color w:val="auto"/>
        </w:rPr>
      </w:pPr>
      <w:r>
        <w:rPr>
          <w:rFonts w:ascii="Arial" w:cs="Arial" w:eastAsia="Arial" w:hAnsi="Arial"/>
          <w:sz w:val="17"/>
          <w:szCs w:val="17"/>
          <w:u w:val="single" w:color="auto"/>
          <w:color w:val="auto"/>
        </w:rPr>
        <w:t>Authorization</w:t>
      </w:r>
      <w:r>
        <w:rPr>
          <w:rFonts w:ascii="Arial" w:cs="Arial" w:eastAsia="Arial" w:hAnsi="Arial"/>
          <w:sz w:val="17"/>
          <w:szCs w:val="17"/>
          <w:color w:val="auto"/>
        </w:rPr>
        <w:t>. This Agreement and the Power of Attorney and Custody Agreement have each been duly authorized, executed and delivered by such Selling Shareholder; and the Power of Attorney and Custody Agreement constitutes the legal, valid and binding obligation of such Selling Shareholder, enforceable against such Selling Shareholder in accordance with its terms, except as the enforcement hereof may be limited by bankruptcy, insolvency, fraudulent transfer, reorganization, moratorium or other similar laws relating to or affecting the rights and remedies of creditors or by general equitable principles (whether considered in a proceeding at law or equity) relating to enforceability.</w:t>
      </w:r>
    </w:p>
    <w:p>
      <w:pPr>
        <w:spacing w:after="0" w:line="226" w:lineRule="exact"/>
        <w:rPr>
          <w:rFonts w:ascii="Arial" w:cs="Arial" w:eastAsia="Arial" w:hAnsi="Arial"/>
          <w:sz w:val="17"/>
          <w:szCs w:val="17"/>
          <w:color w:val="auto"/>
        </w:rPr>
      </w:pPr>
    </w:p>
    <w:p>
      <w:pPr>
        <w:ind w:firstLine="1467"/>
        <w:spacing w:after="0" w:line="277" w:lineRule="auto"/>
        <w:tabs>
          <w:tab w:leader="none" w:pos="1783"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Incorporation</w:t>
      </w:r>
      <w:r>
        <w:rPr>
          <w:rFonts w:ascii="Arial" w:cs="Arial" w:eastAsia="Arial" w:hAnsi="Arial"/>
          <w:sz w:val="18"/>
          <w:szCs w:val="18"/>
          <w:color w:val="auto"/>
        </w:rPr>
        <w:t>. Such Selling Shareholder, if not an individual, has been duly incorporated (or organized) and is validly existing as a corporation (or other organization) in good standing under the laws of its jurisdiction of incorporation (or organization).</w:t>
      </w:r>
    </w:p>
    <w:p>
      <w:pPr>
        <w:spacing w:after="0" w:line="224" w:lineRule="exact"/>
        <w:rPr>
          <w:rFonts w:ascii="Arial" w:cs="Arial" w:eastAsia="Arial" w:hAnsi="Arial"/>
          <w:sz w:val="18"/>
          <w:szCs w:val="18"/>
          <w:color w:val="auto"/>
        </w:rPr>
      </w:pPr>
    </w:p>
    <w:p>
      <w:pPr>
        <w:jc w:val="both"/>
        <w:ind w:firstLine="1467"/>
        <w:spacing w:after="0" w:line="288" w:lineRule="auto"/>
        <w:tabs>
          <w:tab w:leader="none" w:pos="1772" w:val="left"/>
        </w:tabs>
        <w:numPr>
          <w:ilvl w:val="0"/>
          <w:numId w:val="122"/>
        </w:numPr>
        <w:rPr>
          <w:rFonts w:ascii="Arial" w:cs="Arial" w:eastAsia="Arial" w:hAnsi="Arial"/>
          <w:sz w:val="16"/>
          <w:szCs w:val="16"/>
          <w:color w:val="auto"/>
        </w:rPr>
      </w:pPr>
      <w:r>
        <w:rPr>
          <w:rFonts w:ascii="Arial" w:cs="Arial" w:eastAsia="Arial" w:hAnsi="Arial"/>
          <w:sz w:val="16"/>
          <w:szCs w:val="16"/>
          <w:u w:val="single" w:color="auto"/>
          <w:color w:val="auto"/>
        </w:rPr>
        <w:t>Non-Contravention</w:t>
      </w:r>
      <w:r>
        <w:rPr>
          <w:rFonts w:ascii="Arial" w:cs="Arial" w:eastAsia="Arial" w:hAnsi="Arial"/>
          <w:sz w:val="16"/>
          <w:szCs w:val="16"/>
          <w:color w:val="auto"/>
        </w:rPr>
        <w:t>. The sale of the Shares to be sold by such Selling Shareholder hereunder, the execution of this Agreement and the Power of Attorney and Custody Agreement by such Selling Shareholder and the compliance by such Selling Shareholder with all of the provisions of this Agreement and the Power of Attorney and Custody Agreement and the consummation of the transactions herein and therein contemplated will not conflict with or result in a breach or violation of any of the terms or provisions of, or constitute a default under, (A) any indenture, mortgage, deed of trust, loan agreement, note, lease or other agreement or instrument to which such Selling Shareholder or its affiliates is a party or by which such Selling Shareholder is bound or to which any of the property or assets of such Selling Shareholder is subject, (B) the certificate or articles of incorporation or by-laws (or other organization documents) of such Selling Shareholder, if such Selling Shareholder is not an individual, or (C) any statute or any order, law, rule, regulation or decree of any court or governmental agency or body having jurisdiction over such Selling Shareholder or any of its property or assets, except, in the case of clauses (A) and (C), where such conflict, breach, violation or default would not impair or delay in any material respect the ability of the Selling Shareholder to perform its obligations under this Agreement and the Power of Attorney and Custody Agreement.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10" w:name="page211"/>
    <w:bookmarkEnd w:id="210"/>
    <w:p>
      <w:pPr>
        <w:jc w:val="both"/>
        <w:ind w:firstLine="1467"/>
        <w:spacing w:after="0" w:line="272" w:lineRule="auto"/>
        <w:tabs>
          <w:tab w:leader="none" w:pos="1736" w:val="left"/>
        </w:tabs>
        <w:numPr>
          <w:ilvl w:val="0"/>
          <w:numId w:val="123"/>
        </w:numPr>
        <w:rPr>
          <w:rFonts w:ascii="Arial" w:cs="Arial" w:eastAsia="Arial" w:hAnsi="Arial"/>
          <w:sz w:val="17"/>
          <w:szCs w:val="17"/>
          <w:color w:val="auto"/>
        </w:rPr>
      </w:pPr>
      <w:r>
        <w:rPr>
          <w:rFonts w:ascii="Arial" w:cs="Arial" w:eastAsia="Arial" w:hAnsi="Arial"/>
          <w:sz w:val="17"/>
          <w:szCs w:val="17"/>
          <w:u w:val="single" w:color="auto"/>
          <w:color w:val="auto"/>
        </w:rPr>
        <w:t>Custodian</w:t>
      </w:r>
      <w:r>
        <w:rPr>
          <w:rFonts w:ascii="Arial" w:cs="Arial" w:eastAsia="Arial" w:hAnsi="Arial"/>
          <w:sz w:val="17"/>
          <w:szCs w:val="17"/>
          <w:color w:val="auto"/>
        </w:rPr>
        <w:t>. Certificates in negotiable form or book-entry security entitlements for the Shares to be sold by the Selling Shareholders hereunder have been placed in custody, for delivery under this Agreement, under the Power of Attorney and Custody Agreement made with [Name of Custodian], as custodian (the “</w:t>
      </w:r>
      <w:r>
        <w:rPr>
          <w:rFonts w:ascii="Arial" w:cs="Arial" w:eastAsia="Arial" w:hAnsi="Arial"/>
          <w:sz w:val="17"/>
          <w:szCs w:val="17"/>
          <w:b w:val="1"/>
          <w:bCs w:val="1"/>
          <w:color w:val="auto"/>
        </w:rPr>
        <w:t>Custodian</w:t>
      </w:r>
      <w:r>
        <w:rPr>
          <w:rFonts w:ascii="Arial" w:cs="Arial" w:eastAsia="Arial" w:hAnsi="Arial"/>
          <w:sz w:val="17"/>
          <w:szCs w:val="17"/>
          <w:color w:val="auto"/>
        </w:rPr>
        <w:t>”). Each Selling Shareholder agrees that the shares represented by the certificates or book-entry security entitlements held in custody for the Selling Shareholders under such Power of Attorney and Custody Agreement are subject to the interests of the Underwriters hereunder, that the arrangements made by the Selling Shareholders for such custody are to that extent irrevocable and that the obligations of the Selling Shareholders hereunder shall not be terminated by operation of law, whether by the death of any individual Selling Shareholder or the occurrence of any other event, or in the case of a trust, by the death of any trustee or trustees or the termination of such trust.</w:t>
      </w:r>
    </w:p>
    <w:p>
      <w:pPr>
        <w:spacing w:after="0" w:line="231" w:lineRule="exact"/>
        <w:rPr>
          <w:rFonts w:ascii="Arial" w:cs="Arial" w:eastAsia="Arial" w:hAnsi="Arial"/>
          <w:sz w:val="17"/>
          <w:szCs w:val="17"/>
          <w:color w:val="auto"/>
        </w:rPr>
      </w:pPr>
    </w:p>
    <w:p>
      <w:pPr>
        <w:jc w:val="both"/>
        <w:ind w:firstLine="1467"/>
        <w:spacing w:after="0" w:line="293" w:lineRule="auto"/>
        <w:tabs>
          <w:tab w:leader="none" w:pos="1786"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t>Title</w:t>
      </w:r>
      <w:r>
        <w:rPr>
          <w:rFonts w:ascii="Arial" w:cs="Arial" w:eastAsia="Arial" w:hAnsi="Arial"/>
          <w:sz w:val="16"/>
          <w:szCs w:val="16"/>
          <w:color w:val="auto"/>
        </w:rPr>
        <w:t>. Such Selling Shareholder has, and immediately prior to the Closing Date and each Option Closing Date will have, good and valid title to, or a valid “security entitlement” within the meaning of Section 8-501 of the New York Uniform Commercial Code (the “</w:t>
      </w:r>
      <w:r>
        <w:rPr>
          <w:rFonts w:ascii="Arial" w:cs="Arial" w:eastAsia="Arial" w:hAnsi="Arial"/>
          <w:sz w:val="16"/>
          <w:szCs w:val="16"/>
          <w:b w:val="1"/>
          <w:bCs w:val="1"/>
          <w:color w:val="auto"/>
        </w:rPr>
        <w:t>UCC</w:t>
      </w:r>
      <w:r>
        <w:rPr>
          <w:rFonts w:ascii="Arial" w:cs="Arial" w:eastAsia="Arial" w:hAnsi="Arial"/>
          <w:sz w:val="16"/>
          <w:szCs w:val="16"/>
          <w:color w:val="auto"/>
        </w:rPr>
        <w:t>”) in respect of, the Shares subject to sale by such Selling Shareholder pursuant to this Agreement on such date free and clear of all security interests, claims, liens, equities or other encumbrances and the legal right and power to enter into this Agreement and to sell, transfer and deliver all of the Shares which may be sold by such Selling Shareholder pursuant to this Agreement and to comply with its other obligations hereunder and upon delivery of such Shares and payment therefor pursuant hereto, good and valid title to such Shares, free and clear of all liens, encumbrances, equities or claims, will pass to the several Underwriters.</w:t>
      </w:r>
    </w:p>
    <w:p>
      <w:pPr>
        <w:spacing w:after="0" w:line="218" w:lineRule="exact"/>
        <w:rPr>
          <w:rFonts w:ascii="Arial" w:cs="Arial" w:eastAsia="Arial" w:hAnsi="Arial"/>
          <w:sz w:val="16"/>
          <w:szCs w:val="16"/>
          <w:color w:val="auto"/>
        </w:rPr>
      </w:pPr>
    </w:p>
    <w:p>
      <w:pPr>
        <w:jc w:val="both"/>
        <w:ind w:firstLine="1467"/>
        <w:spacing w:after="0" w:line="287" w:lineRule="auto"/>
        <w:tabs>
          <w:tab w:leader="none" w:pos="1849"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t>Depository Trust Company</w:t>
      </w:r>
      <w:r>
        <w:rPr>
          <w:rFonts w:ascii="Arial" w:cs="Arial" w:eastAsia="Arial" w:hAnsi="Arial"/>
          <w:sz w:val="16"/>
          <w:szCs w:val="16"/>
          <w:color w:val="auto"/>
        </w:rPr>
        <w:t>. Upon payment of the Purchase Price (as defined below) for the Shares to be sold by such Selling Shareholder pursuant to this Agreement, delivery of such Shares, as directed by the Underwriters, to Cede &amp; Co. (“</w:t>
      </w:r>
      <w:r>
        <w:rPr>
          <w:rFonts w:ascii="Arial" w:cs="Arial" w:eastAsia="Arial" w:hAnsi="Arial"/>
          <w:sz w:val="16"/>
          <w:szCs w:val="16"/>
          <w:b w:val="1"/>
          <w:bCs w:val="1"/>
          <w:color w:val="auto"/>
        </w:rPr>
        <w:t>Cede</w:t>
      </w:r>
      <w:r>
        <w:rPr>
          <w:rFonts w:ascii="Arial" w:cs="Arial" w:eastAsia="Arial" w:hAnsi="Arial"/>
          <w:sz w:val="16"/>
          <w:szCs w:val="16"/>
          <w:color w:val="auto"/>
        </w:rPr>
        <w:t>”) or such other nominee as may be designated by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registration of such Shares in the name of Cede or such other nominee and the crediting of such Shares on the books of DTC to securities accounts of the Underwriters (assuming that neither DTC nor any such Underwriter has notice of any adverse claim (within the meaning of Section 8-105 of the UCC) to such Shares), (A) DTC shall be a “protected purchaser” of such Shares within the meaning of Section 8-303 of the UCC, (B) under Section 8-501 of the UCC, the Underwriters will acquire a valid security entitlement in respect of such Shares and (C) no action based on any “adverse claim”, within the meaning of Section 8-102 of the UCC, to such Shares may be asserted against the Underwriters with respect to such security entitlement; for purposes of this representation, such Selling Shareholder may assume that when such payment, delivery and crediting occur, (x) such Shares will have been registered in the name of Cede or another nominee designated by DTC, in each case on the Company’s share registry in accordance with its Charter, Bylaws and applicable law, rule or regulation, (y) DTC will be registered as a “clearing corporation” within the meaning of Section 8-102 of the UCC and (z) appropriate entries to the accounts of the several Underwriters on the records of DTC will have been made pursuant to the UCC.</w:t>
      </w:r>
    </w:p>
    <w:p>
      <w:pPr>
        <w:spacing w:after="0" w:line="226" w:lineRule="exact"/>
        <w:rPr>
          <w:rFonts w:ascii="Arial" w:cs="Arial" w:eastAsia="Arial" w:hAnsi="Arial"/>
          <w:sz w:val="16"/>
          <w:szCs w:val="16"/>
          <w:color w:val="auto"/>
        </w:rPr>
      </w:pPr>
    </w:p>
    <w:p>
      <w:pPr>
        <w:jc w:val="both"/>
        <w:ind w:firstLine="1467"/>
        <w:spacing w:after="0" w:line="255" w:lineRule="auto"/>
        <w:tabs>
          <w:tab w:leader="none" w:pos="1899"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Material Adverse Effect</w:t>
      </w:r>
      <w:r>
        <w:rPr>
          <w:rFonts w:ascii="Arial" w:cs="Arial" w:eastAsia="Arial" w:hAnsi="Arial"/>
          <w:sz w:val="18"/>
          <w:szCs w:val="18"/>
          <w:color w:val="auto"/>
        </w:rPr>
        <w:t>. Such Selling Shareholder (A) has no reason to believe that the representations and warranties of the Company contained in Section 1(a) hereof are not true and correct, (B) is familiar with the Registration Statement, the Pricing Disclosure Package (each, as of the time of the execution and delivery of this Agreement) and the Prospectus (as of the Closing Date) and has no knowledge of any material fact, condition or information not disclosed in the Registration Statement and the Pricing Disclosure Package (each, as of the time of the execution and delivery of this Agreement) and the Prospectus (as of the Closing Date) that has resulted in or may result in a Material Adverse Effect, and (C) is not prompted to sell Shares by any information concerning the Company or any of the Subsidiaries which is not set forth in the Registration Statement, the Pricing Disclosure Package and the Prospectus.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11" w:name="page212"/>
    <w:bookmarkEnd w:id="211"/>
    <w:p>
      <w:pPr>
        <w:jc w:val="both"/>
        <w:ind w:firstLine="1467"/>
        <w:spacing w:after="0" w:line="259" w:lineRule="auto"/>
        <w:tabs>
          <w:tab w:leader="none" w:pos="1786"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Absence of Manipulation</w:t>
      </w:r>
      <w:r>
        <w:rPr>
          <w:rFonts w:ascii="Arial" w:cs="Arial" w:eastAsia="Arial" w:hAnsi="Arial"/>
          <w:sz w:val="18"/>
          <w:szCs w:val="18"/>
          <w:color w:val="auto"/>
        </w:rPr>
        <w:t>. Such Selling Shareholder has not taken and will not take, directly or indirectly, any action designed to cause or result in, or which constitutes or might reasonably be expected to constitute, the stabilization or manipulation of the price of the Shares or any reference security, whether to facilitate the sale or resale of the Shares or otherwise and has taken no action which could directly or indirectly violate Regulation M under the Exchange Act.</w:t>
      </w:r>
    </w:p>
    <w:p>
      <w:pPr>
        <w:spacing w:after="0" w:line="240" w:lineRule="exact"/>
        <w:rPr>
          <w:rFonts w:ascii="Arial" w:cs="Arial" w:eastAsia="Arial" w:hAnsi="Arial"/>
          <w:sz w:val="18"/>
          <w:szCs w:val="18"/>
          <w:color w:val="auto"/>
        </w:rPr>
      </w:pPr>
    </w:p>
    <w:p>
      <w:pPr>
        <w:jc w:val="both"/>
        <w:ind w:firstLine="1467"/>
        <w:spacing w:after="0" w:line="264" w:lineRule="auto"/>
        <w:tabs>
          <w:tab w:leader="none" w:pos="1722"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Proceedings</w:t>
      </w:r>
      <w:r>
        <w:rPr>
          <w:rFonts w:ascii="Arial" w:cs="Arial" w:eastAsia="Arial" w:hAnsi="Arial"/>
          <w:sz w:val="18"/>
          <w:szCs w:val="18"/>
          <w:color w:val="auto"/>
        </w:rPr>
        <w:t>. There are no legal or governmental proceedings pending to which such Selling Shareholder is a party or of which any property of such Selling Shareholder is the subject that, if determined adversely to such Selling Shareholder, individually or in the aggregate, could prevent or impair the consummation of the transactions contemplated by this Agreement.</w:t>
      </w:r>
    </w:p>
    <w:p>
      <w:pPr>
        <w:spacing w:after="0" w:line="235" w:lineRule="exact"/>
        <w:rPr>
          <w:rFonts w:ascii="Arial" w:cs="Arial" w:eastAsia="Arial" w:hAnsi="Arial"/>
          <w:sz w:val="18"/>
          <w:szCs w:val="18"/>
          <w:color w:val="auto"/>
        </w:rPr>
      </w:pPr>
    </w:p>
    <w:p>
      <w:pPr>
        <w:jc w:val="both"/>
        <w:ind w:firstLine="1467"/>
        <w:spacing w:after="0" w:line="267" w:lineRule="auto"/>
        <w:tabs>
          <w:tab w:leader="none" w:pos="1772" w:val="left"/>
        </w:tabs>
        <w:numPr>
          <w:ilvl w:val="0"/>
          <w:numId w:val="124"/>
        </w:numPr>
        <w:rPr>
          <w:rFonts w:ascii="Arial" w:cs="Arial" w:eastAsia="Arial" w:hAnsi="Arial"/>
          <w:sz w:val="17"/>
          <w:szCs w:val="17"/>
          <w:color w:val="auto"/>
        </w:rPr>
      </w:pPr>
      <w:r>
        <w:rPr>
          <w:rFonts w:ascii="Arial" w:cs="Arial" w:eastAsia="Arial" w:hAnsi="Arial"/>
          <w:sz w:val="17"/>
          <w:szCs w:val="17"/>
          <w:u w:val="single" w:color="auto"/>
          <w:color w:val="auto"/>
        </w:rPr>
        <w:t>Accurate Disclosure</w:t>
      </w:r>
      <w:r>
        <w:rPr>
          <w:rFonts w:ascii="Arial" w:cs="Arial" w:eastAsia="Arial" w:hAnsi="Arial"/>
          <w:sz w:val="17"/>
          <w:szCs w:val="17"/>
          <w:color w:val="auto"/>
        </w:rPr>
        <w:t>. (A) At the respective times the Registration Statement, any Rule 462(b) Registration Statement, and any post-effective amendments thereto became effective and at the Closing Date (and, if any Option Shares are purchased, at each Option Closing Date), the Registration Statement, any Rule 462(b) Registration Statement, and any amendments and supplements (including any prospectus wrapper) thereto did not and will not contain an untrue statement of a material fact or omit to state a material fact required to be stated therein or necessary to make the statements therein not misleading, and (B) at the time the Pricing Prospectus, the Prospectus or any amendments or supplements thereto were issued and at the Closing Date (and, if any Option Shares are purchased, at each Option Closing Date), none of the Pricing Prospectus, the Prospectus nor any amendment or supplement thereto included or will include an untrue statement of a material fact or omitted or will omit to state a material fact necessary in order to make the statements therein, in the light of the circumstances under which they were made, not misleading; provided that the representations and warranties in clauses (A) and (B) above shall (X) only apply to statements or omissions made in reliance upon and in conformity with information relating to such Selling Shareholder furnished in writing by or on behalf of such Selling Shareholder expressly for use in the Registration Statement, the Pricing Disclosure Package or the Prospectus or any amendment or supplement thereto, it being understood and agreed that such information consists only of the name of such Selling Shareholder, the number of Shares to be sold by such Selling Shareholder and the address and other information with respect to such Selling Shareholder (excluding percentages) which appear in the Pricing Prospectus in the table (and corresponding footnotes) under the caption “Principal and Selling Shareholders” (with respect to each Selling Shareholder, the “</w:t>
      </w:r>
      <w:r>
        <w:rPr>
          <w:rFonts w:ascii="Arial" w:cs="Arial" w:eastAsia="Arial" w:hAnsi="Arial"/>
          <w:sz w:val="17"/>
          <w:szCs w:val="17"/>
          <w:b w:val="1"/>
          <w:bCs w:val="1"/>
          <w:color w:val="auto"/>
        </w:rPr>
        <w:t>Selling Shareholder Information</w:t>
      </w:r>
      <w:r>
        <w:rPr>
          <w:rFonts w:ascii="Arial" w:cs="Arial" w:eastAsia="Arial" w:hAnsi="Arial"/>
          <w:sz w:val="17"/>
          <w:szCs w:val="17"/>
          <w:color w:val="auto"/>
        </w:rPr>
        <w:t>”), and (Y) not apply to statements in or omissions from the Registration Statement or the Prospectus made in reliance upon and in strict conformity with information furnished to the Company in writing by the Underwriters expressly for use in the Registration Statement or the Prospectus, it being understood and agreed that the only such information provided by the Underwriters is the Underwriter Information.</w:t>
      </w:r>
    </w:p>
    <w:p>
      <w:pPr>
        <w:spacing w:after="0" w:line="246" w:lineRule="exact"/>
        <w:rPr>
          <w:rFonts w:ascii="Arial" w:cs="Arial" w:eastAsia="Arial" w:hAnsi="Arial"/>
          <w:sz w:val="17"/>
          <w:szCs w:val="17"/>
          <w:color w:val="auto"/>
        </w:rPr>
      </w:pPr>
    </w:p>
    <w:p>
      <w:pPr>
        <w:jc w:val="both"/>
        <w:ind w:firstLine="1467"/>
        <w:spacing w:after="0" w:line="259" w:lineRule="auto"/>
        <w:tabs>
          <w:tab w:leader="none" w:pos="1822"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Tax Forms</w:t>
      </w:r>
      <w:r>
        <w:rPr>
          <w:rFonts w:ascii="Arial" w:cs="Arial" w:eastAsia="Arial" w:hAnsi="Arial"/>
          <w:sz w:val="18"/>
          <w:szCs w:val="18"/>
          <w:color w:val="auto"/>
        </w:rPr>
        <w:t>. In order to document the Underwriters’ compliance with the reporting and withholding provisions of the Tax Equity and Fiscal Responsibility Act of 1982 with respect to the transactions herein contemplated, each Selling Shareholder will deliver to Underwriters prior to or on the Closing Date a properly completed and executed United States Treasury Department Form W-9 or W-8, as applicable (or other applicable form of statement specified by Treasury Department regulations in lieu thereof),</w:t>
      </w:r>
    </w:p>
    <w:p>
      <w:pPr>
        <w:spacing w:after="0" w:line="240" w:lineRule="exact"/>
        <w:rPr>
          <w:rFonts w:ascii="Arial" w:cs="Arial" w:eastAsia="Arial" w:hAnsi="Arial"/>
          <w:sz w:val="18"/>
          <w:szCs w:val="18"/>
          <w:color w:val="auto"/>
        </w:rPr>
      </w:pPr>
    </w:p>
    <w:p>
      <w:pPr>
        <w:jc w:val="both"/>
        <w:ind w:firstLine="1467"/>
        <w:spacing w:after="0" w:line="259" w:lineRule="auto"/>
        <w:tabs>
          <w:tab w:leader="none" w:pos="1886"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FINRA Associations</w:t>
      </w:r>
      <w:r>
        <w:rPr>
          <w:rFonts w:ascii="Arial" w:cs="Arial" w:eastAsia="Arial" w:hAnsi="Arial"/>
          <w:sz w:val="18"/>
          <w:szCs w:val="18"/>
          <w:color w:val="auto"/>
        </w:rPr>
        <w:t>. There are no affiliations or associations between any member of the FINRA and such Selling Shareholder, except as described in the Pricing Prospectus; none of the proceeds received by such Selling Shareholder from the sale of the Shares to be sold by such Selling Shareholder hereunder will be paid to a member of the FINRA or any affiliate of (or person “associated with,” as such terms are used in the rules of the FINRA) such member.</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12" w:name="page213"/>
    <w:bookmarkEnd w:id="212"/>
    <w:p>
      <w:pPr>
        <w:ind w:firstLine="1467"/>
        <w:spacing w:after="0" w:line="277" w:lineRule="auto"/>
        <w:tabs>
          <w:tab w:leader="none" w:pos="1876" w:val="left"/>
        </w:tabs>
        <w:numPr>
          <w:ilvl w:val="1"/>
          <w:numId w:val="125"/>
        </w:numPr>
        <w:rPr>
          <w:rFonts w:ascii="Arial" w:cs="Arial" w:eastAsia="Arial" w:hAnsi="Arial"/>
          <w:sz w:val="18"/>
          <w:szCs w:val="18"/>
          <w:color w:val="auto"/>
        </w:rPr>
      </w:pPr>
      <w:r>
        <w:rPr>
          <w:rFonts w:ascii="Arial" w:cs="Arial" w:eastAsia="Arial" w:hAnsi="Arial"/>
          <w:sz w:val="18"/>
          <w:szCs w:val="18"/>
          <w:u w:val="single" w:color="auto"/>
          <w:color w:val="auto"/>
        </w:rPr>
        <w:t>Material Non-public Information</w:t>
      </w:r>
      <w:r>
        <w:rPr>
          <w:rFonts w:ascii="Arial" w:cs="Arial" w:eastAsia="Arial" w:hAnsi="Arial"/>
          <w:sz w:val="18"/>
          <w:szCs w:val="18"/>
          <w:color w:val="auto"/>
        </w:rPr>
        <w:t>. Such Selling Shareholder is not aware of any material non-public information concerning the Company or any of its Subsidiaries that is not disclosed in the Pricing Prospectus.</w:t>
      </w:r>
    </w:p>
    <w:p>
      <w:pPr>
        <w:spacing w:after="0" w:line="224" w:lineRule="exact"/>
        <w:rPr>
          <w:rFonts w:ascii="Arial" w:cs="Arial" w:eastAsia="Arial" w:hAnsi="Arial"/>
          <w:sz w:val="18"/>
          <w:szCs w:val="18"/>
          <w:color w:val="auto"/>
        </w:rPr>
      </w:pPr>
    </w:p>
    <w:p>
      <w:pPr>
        <w:jc w:val="both"/>
        <w:ind w:firstLine="1142"/>
        <w:spacing w:after="0" w:line="255" w:lineRule="auto"/>
        <w:tabs>
          <w:tab w:leader="none" w:pos="1398" w:val="left"/>
        </w:tabs>
        <w:numPr>
          <w:ilvl w:val="0"/>
          <w:numId w:val="126"/>
        </w:numPr>
        <w:rPr>
          <w:rFonts w:ascii="Arial" w:cs="Arial" w:eastAsia="Arial" w:hAnsi="Arial"/>
          <w:sz w:val="18"/>
          <w:szCs w:val="18"/>
          <w:color w:val="auto"/>
        </w:rPr>
      </w:pPr>
      <w:r>
        <w:rPr>
          <w:rFonts w:ascii="Arial" w:cs="Arial" w:eastAsia="Arial" w:hAnsi="Arial"/>
          <w:sz w:val="18"/>
          <w:szCs w:val="18"/>
          <w:i w:val="1"/>
          <w:iCs w:val="1"/>
          <w:color w:val="auto"/>
        </w:rPr>
        <w:t>Reliance on Representations; Certificates</w:t>
      </w:r>
      <w:r>
        <w:rPr>
          <w:rFonts w:ascii="Arial" w:cs="Arial" w:eastAsia="Arial" w:hAnsi="Arial"/>
          <w:sz w:val="18"/>
          <w:szCs w:val="18"/>
          <w:color w:val="auto"/>
        </w:rPr>
        <w:t>. Each of the Company, the Bank and each of the Selling Shareholders has a reasonable basis for</w:t>
      </w:r>
      <w:r>
        <w:rPr>
          <w:rFonts w:ascii="Arial" w:cs="Arial" w:eastAsia="Arial" w:hAnsi="Arial"/>
          <w:sz w:val="18"/>
          <w:szCs w:val="18"/>
          <w:i w:val="1"/>
          <w:iCs w:val="1"/>
          <w:color w:val="auto"/>
        </w:rPr>
        <w:t xml:space="preserve"> </w:t>
      </w:r>
      <w:r>
        <w:rPr>
          <w:rFonts w:ascii="Arial" w:cs="Arial" w:eastAsia="Arial" w:hAnsi="Arial"/>
          <w:sz w:val="18"/>
          <w:szCs w:val="18"/>
          <w:color w:val="auto"/>
        </w:rPr>
        <w:t>making each of the representations set forth in Section 1(a), Section 1(b) and Section 1(c), as applicable. Each of the Company, the Bank and each of the Selling Shareholders acknowledges that the Underwriters and, for purposes of the opinions to be delivered pursuant to Section 6 hereof, counsel to the Company and counsel to the Underwriters, may rely upon the accuracy and truthfulness of the foregoing representations and hereby consents to such reliance. Any certificate signed by, or on behalf of, the Company, the Bank or the Selling Shareholders delivered to the Underwriters or to counsel for the Underwriters shall be deemed a representation and warranty by the Company, the Bank or the Selling Shareholders, respectively, to the Underwriters as to the matters covered thereby.</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2. Sale; Option Shares</w:t>
      </w:r>
      <w:r>
        <w:rPr>
          <w:rFonts w:ascii="Arial" w:cs="Arial" w:eastAsia="Arial" w:hAnsi="Arial"/>
          <w:sz w:val="18"/>
          <w:szCs w:val="18"/>
          <w:color w:val="auto"/>
        </w:rPr>
        <w:t>.</w:t>
      </w:r>
    </w:p>
    <w:p>
      <w:pPr>
        <w:spacing w:after="0" w:line="283" w:lineRule="exact"/>
        <w:rPr>
          <w:sz w:val="20"/>
          <w:szCs w:val="20"/>
          <w:color w:val="auto"/>
        </w:rPr>
      </w:pPr>
    </w:p>
    <w:p>
      <w:pPr>
        <w:jc w:val="both"/>
        <w:ind w:firstLine="1142"/>
        <w:spacing w:after="0" w:line="291" w:lineRule="auto"/>
        <w:tabs>
          <w:tab w:leader="none" w:pos="1388" w:val="left"/>
        </w:tabs>
        <w:numPr>
          <w:ilvl w:val="0"/>
          <w:numId w:val="127"/>
        </w:numPr>
        <w:rPr>
          <w:rFonts w:ascii="Arial" w:cs="Arial" w:eastAsia="Arial" w:hAnsi="Arial"/>
          <w:sz w:val="16"/>
          <w:szCs w:val="16"/>
          <w:color w:val="auto"/>
        </w:rPr>
      </w:pPr>
      <w:r>
        <w:rPr>
          <w:rFonts w:ascii="Arial" w:cs="Arial" w:eastAsia="Arial" w:hAnsi="Arial"/>
          <w:sz w:val="16"/>
          <w:szCs w:val="16"/>
          <w:i w:val="1"/>
          <w:iCs w:val="1"/>
          <w:color w:val="auto"/>
        </w:rPr>
        <w:t>Firm Shares</w:t>
      </w:r>
      <w:r>
        <w:rPr>
          <w:rFonts w:ascii="Arial" w:cs="Arial" w:eastAsia="Arial" w:hAnsi="Arial"/>
          <w:sz w:val="16"/>
          <w:szCs w:val="16"/>
          <w:color w:val="auto"/>
        </w:rPr>
        <w:t>. Subject to the terms and conditions herein set forth, (i) the Company and each Selling Shareholder agrees, severally and not</w:t>
      </w:r>
      <w:r>
        <w:rPr>
          <w:rFonts w:ascii="Arial" w:cs="Arial" w:eastAsia="Arial" w:hAnsi="Arial"/>
          <w:sz w:val="16"/>
          <w:szCs w:val="16"/>
          <w:i w:val="1"/>
          <w:iCs w:val="1"/>
          <w:color w:val="auto"/>
        </w:rPr>
        <w:t xml:space="preserve"> </w:t>
      </w:r>
      <w:r>
        <w:rPr>
          <w:rFonts w:ascii="Arial" w:cs="Arial" w:eastAsia="Arial" w:hAnsi="Arial"/>
          <w:sz w:val="16"/>
          <w:szCs w:val="16"/>
          <w:color w:val="auto"/>
        </w:rPr>
        <w:t>jointly, to sell to each of the Underwriters, and each of the Underwriters agrees, severally and not jointly, to purchase from the Company and each Selling Shareholder, at a purchase price per share of $</w:t>
      </w:r>
      <w:r>
        <w:rPr>
          <w:rFonts w:ascii="Arial" w:cs="Arial" w:eastAsia="Arial" w:hAnsi="Arial"/>
          <w:sz w:val="16"/>
          <w:szCs w:val="16"/>
          <w:b w:val="1"/>
          <w:bCs w:val="1"/>
          <w:color w:val="auto"/>
        </w:rPr>
        <w:t>[•]</w:t>
      </w:r>
      <w:r>
        <w:rPr>
          <w:rFonts w:ascii="Arial" w:cs="Arial" w:eastAsia="Arial" w:hAnsi="Arial"/>
          <w:sz w:val="16"/>
          <w:szCs w:val="16"/>
          <w:color w:val="auto"/>
        </w:rPr>
        <w:t xml:space="preserve"> (the “</w:t>
      </w:r>
      <w:r>
        <w:rPr>
          <w:rFonts w:ascii="Arial" w:cs="Arial" w:eastAsia="Arial" w:hAnsi="Arial"/>
          <w:sz w:val="16"/>
          <w:szCs w:val="16"/>
          <w:b w:val="1"/>
          <w:bCs w:val="1"/>
          <w:color w:val="auto"/>
        </w:rPr>
        <w:t>Purchase Price</w:t>
      </w:r>
      <w:r>
        <w:rPr>
          <w:rFonts w:ascii="Arial" w:cs="Arial" w:eastAsia="Arial" w:hAnsi="Arial"/>
          <w:sz w:val="16"/>
          <w:szCs w:val="16"/>
          <w:color w:val="auto"/>
        </w:rPr>
        <w:t xml:space="preserve">”), the number of Firm Shares (to be adjusted by the Underwriters so as to eliminate fractional shares) determined by multiplying (x) the aggregate number of Firm Shares to be sold by the Company or such Selling Shareholder as set forth opposite the name of the Company or such Selling Shareholder in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hereto by (y) a fraction, the numerator of which is the aggregate number of Firm Shares to be purchased by such Underwriter as set forth opposite the name of such Underwriter in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and the denominator of which is the aggregate number of Firm Shares to be purchased by all of the Underwriters from the Company and the Selling Shareholders hereunder.</w:t>
      </w:r>
    </w:p>
    <w:p>
      <w:pPr>
        <w:spacing w:after="0" w:line="221" w:lineRule="exact"/>
        <w:rPr>
          <w:rFonts w:ascii="Arial" w:cs="Arial" w:eastAsia="Arial" w:hAnsi="Arial"/>
          <w:sz w:val="16"/>
          <w:szCs w:val="16"/>
          <w:color w:val="auto"/>
        </w:rPr>
      </w:pPr>
    </w:p>
    <w:p>
      <w:pPr>
        <w:jc w:val="both"/>
        <w:ind w:firstLine="1142"/>
        <w:spacing w:after="0" w:line="287" w:lineRule="auto"/>
        <w:tabs>
          <w:tab w:leader="none" w:pos="1398" w:val="left"/>
        </w:tabs>
        <w:numPr>
          <w:ilvl w:val="0"/>
          <w:numId w:val="127"/>
        </w:numPr>
        <w:rPr>
          <w:rFonts w:ascii="Arial" w:cs="Arial" w:eastAsia="Arial" w:hAnsi="Arial"/>
          <w:sz w:val="16"/>
          <w:szCs w:val="16"/>
          <w:color w:val="auto"/>
        </w:rPr>
      </w:pPr>
      <w:r>
        <w:rPr>
          <w:rFonts w:ascii="Arial" w:cs="Arial" w:eastAsia="Arial" w:hAnsi="Arial"/>
          <w:sz w:val="16"/>
          <w:szCs w:val="16"/>
          <w:i w:val="1"/>
          <w:iCs w:val="1"/>
          <w:color w:val="auto"/>
        </w:rPr>
        <w:t>Option Shares</w:t>
      </w:r>
      <w:r>
        <w:rPr>
          <w:rFonts w:ascii="Arial" w:cs="Arial" w:eastAsia="Arial" w:hAnsi="Arial"/>
          <w:sz w:val="16"/>
          <w:szCs w:val="16"/>
          <w:color w:val="auto"/>
        </w:rPr>
        <w:t>. In addition, on the basis of the representations and warranties herein contained and subject to the terms and conditions set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forth herein, the Company hereby grants to the Underwriters the right to purchase at their election up to </w:t>
      </w:r>
      <w:r>
        <w:rPr>
          <w:rFonts w:ascii="Arial" w:cs="Arial" w:eastAsia="Arial" w:hAnsi="Arial"/>
          <w:sz w:val="16"/>
          <w:szCs w:val="16"/>
          <w:b w:val="1"/>
          <w:bCs w:val="1"/>
          <w:color w:val="auto"/>
        </w:rPr>
        <w:t>[•]</w:t>
      </w:r>
      <w:r>
        <w:rPr>
          <w:rFonts w:ascii="Arial" w:cs="Arial" w:eastAsia="Arial" w:hAnsi="Arial"/>
          <w:sz w:val="16"/>
          <w:szCs w:val="16"/>
          <w:color w:val="auto"/>
        </w:rPr>
        <w:t xml:space="preserve"> Option Shares, at the Purchase Price. The Underwriters may exercise their option to acquire Option Shares in whole or in part from time to time only by written notice from the Underwriters to the Company given within a period of 30 calendar days after the date of this Agreement and setting forth (i) the aggregate number of Option Shares to be purchased and (ii) the time, date and place at which such Option Shares are to be delivered, as determined by the Underwriters but in no event earlier than the Closing Date or, unless the Underwriters and the Company otherwise agree in writing, earlier than two or later than ten business days after the date of such notice. In the event and to the extent that the Underwriters shall exercise the election to purchase Option Shares as provided above, the Company agrees to sell to each of the Underwriters, and each of the Underwriters agrees, severally and not jointly, to purchase from the Company, at the Purchase Price, the number of Option Shares (to be adjusted by the Underwriters so as to eliminate fractional shares) determined by multiplying (x) the number of Option Shares as to which such election shall have been exercised by (y) a fraction, the numerator of which is the aggregate number of Firm Shares to be purchased by such Underwriter as set forth opposite the name of such Underwriter in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and the denominator of which is the aggregate number of Firm Shares to be purchased by all of the Underwriters from the Company and the Selling Shareholders.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13" w:name="page214"/>
    <w:bookmarkEnd w:id="213"/>
    <w:p>
      <w:pPr>
        <w:ind w:left="660"/>
        <w:spacing w:after="0"/>
        <w:rPr>
          <w:sz w:val="20"/>
          <w:szCs w:val="20"/>
          <w:color w:val="auto"/>
        </w:rPr>
      </w:pPr>
      <w:r>
        <w:rPr>
          <w:rFonts w:ascii="Arial" w:cs="Arial" w:eastAsia="Arial" w:hAnsi="Arial"/>
          <w:sz w:val="18"/>
          <w:szCs w:val="18"/>
          <w:b w:val="1"/>
          <w:bCs w:val="1"/>
          <w:color w:val="auto"/>
        </w:rPr>
        <w:t>Section 3. Delivery to Underwriters; Closing.</w:t>
      </w:r>
    </w:p>
    <w:p>
      <w:pPr>
        <w:spacing w:after="0" w:line="283" w:lineRule="exact"/>
        <w:rPr>
          <w:sz w:val="20"/>
          <w:szCs w:val="20"/>
          <w:color w:val="auto"/>
        </w:rPr>
      </w:pPr>
    </w:p>
    <w:p>
      <w:pPr>
        <w:ind w:right="20" w:firstLine="1142"/>
        <w:spacing w:after="0" w:line="277" w:lineRule="auto"/>
        <w:tabs>
          <w:tab w:leader="none" w:pos="1388" w:val="left"/>
        </w:tabs>
        <w:numPr>
          <w:ilvl w:val="0"/>
          <w:numId w:val="128"/>
        </w:numPr>
        <w:rPr>
          <w:rFonts w:ascii="Arial" w:cs="Arial" w:eastAsia="Arial" w:hAnsi="Arial"/>
          <w:sz w:val="18"/>
          <w:szCs w:val="18"/>
          <w:color w:val="auto"/>
        </w:rPr>
      </w:pPr>
      <w:r>
        <w:rPr>
          <w:rFonts w:ascii="Arial" w:cs="Arial" w:eastAsia="Arial" w:hAnsi="Arial"/>
          <w:sz w:val="18"/>
          <w:szCs w:val="18"/>
          <w:i w:val="1"/>
          <w:iCs w:val="1"/>
          <w:color w:val="auto"/>
        </w:rPr>
        <w:t>Sale of Firm Shares</w:t>
      </w:r>
      <w:r>
        <w:rPr>
          <w:rFonts w:ascii="Arial" w:cs="Arial" w:eastAsia="Arial" w:hAnsi="Arial"/>
          <w:sz w:val="18"/>
          <w:szCs w:val="18"/>
          <w:color w:val="auto"/>
        </w:rPr>
        <w:t>. It is understood that the several Underwriters propose to offer the Firm Shares for sale to the public upon the terms</w:t>
      </w:r>
      <w:r>
        <w:rPr>
          <w:rFonts w:ascii="Arial" w:cs="Arial" w:eastAsia="Arial" w:hAnsi="Arial"/>
          <w:sz w:val="18"/>
          <w:szCs w:val="18"/>
          <w:i w:val="1"/>
          <w:iCs w:val="1"/>
          <w:color w:val="auto"/>
        </w:rPr>
        <w:t xml:space="preserve"> </w:t>
      </w:r>
      <w:r>
        <w:rPr>
          <w:rFonts w:ascii="Arial" w:cs="Arial" w:eastAsia="Arial" w:hAnsi="Arial"/>
          <w:sz w:val="18"/>
          <w:szCs w:val="18"/>
          <w:color w:val="auto"/>
        </w:rPr>
        <w:t>and conditions set forth in the Prospectus.</w:t>
      </w:r>
    </w:p>
    <w:p>
      <w:pPr>
        <w:spacing w:after="0" w:line="224" w:lineRule="exact"/>
        <w:rPr>
          <w:rFonts w:ascii="Arial" w:cs="Arial" w:eastAsia="Arial" w:hAnsi="Arial"/>
          <w:sz w:val="18"/>
          <w:szCs w:val="18"/>
          <w:color w:val="auto"/>
        </w:rPr>
      </w:pPr>
    </w:p>
    <w:p>
      <w:pPr>
        <w:jc w:val="both"/>
        <w:ind w:firstLine="1142"/>
        <w:spacing w:after="0" w:line="268" w:lineRule="auto"/>
        <w:tabs>
          <w:tab w:leader="none" w:pos="1412" w:val="left"/>
        </w:tabs>
        <w:numPr>
          <w:ilvl w:val="0"/>
          <w:numId w:val="128"/>
        </w:numPr>
        <w:rPr>
          <w:rFonts w:ascii="Arial" w:cs="Arial" w:eastAsia="Arial" w:hAnsi="Arial"/>
          <w:sz w:val="17"/>
          <w:szCs w:val="17"/>
          <w:color w:val="auto"/>
        </w:rPr>
      </w:pPr>
      <w:r>
        <w:rPr>
          <w:rFonts w:ascii="Arial" w:cs="Arial" w:eastAsia="Arial" w:hAnsi="Arial"/>
          <w:sz w:val="17"/>
          <w:szCs w:val="17"/>
          <w:i w:val="1"/>
          <w:iCs w:val="1"/>
          <w:color w:val="auto"/>
        </w:rPr>
        <w:t>Closing and Delivery of Firm Shares</w:t>
      </w:r>
      <w:r>
        <w:rPr>
          <w:rFonts w:ascii="Arial" w:cs="Arial" w:eastAsia="Arial" w:hAnsi="Arial"/>
          <w:sz w:val="17"/>
          <w:szCs w:val="17"/>
          <w:color w:val="auto"/>
        </w:rPr>
        <w:t>. The Company and the Custodian will deliver the Firm Shares to the Underwriters through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facilities of DTC for the accounts of the Underwriters, against payment of the purchase price therefor in Federal (same day) funds by official bank check or checks or wire transfer drawn to the order of the Company, in the case of Firm Shares sold by the Company, and to or on behalf of the Selling Shareholders, pro rata based on the number of Firm Shares sold by each of them, under instructions from the Custodian, in the case of Firm Shares sold by the Selling Shareholders, at the office of Fenimore, Kay, Harrison &amp; Ford, LLP, 812 San Antonio Street, Suite 600, Austin, Texas 78701, at 10:00 A.M., New York City time, on </w:t>
      </w:r>
      <w:r>
        <w:rPr>
          <w:rFonts w:ascii="Arial" w:cs="Arial" w:eastAsia="Arial" w:hAnsi="Arial"/>
          <w:sz w:val="17"/>
          <w:szCs w:val="17"/>
          <w:b w:val="1"/>
          <w:bCs w:val="1"/>
          <w:color w:val="auto"/>
        </w:rPr>
        <w:t>[•]</w:t>
      </w:r>
      <w:r>
        <w:rPr>
          <w:rFonts w:ascii="Arial" w:cs="Arial" w:eastAsia="Arial" w:hAnsi="Arial"/>
          <w:sz w:val="17"/>
          <w:szCs w:val="17"/>
          <w:color w:val="auto"/>
        </w:rPr>
        <w:t xml:space="preserve">, 2019, unless postponed in accordance with Section 10 hereof, or such other time and date not later than 1:30 p.m., New York City time, on </w:t>
      </w:r>
      <w:r>
        <w:rPr>
          <w:rFonts w:ascii="Arial" w:cs="Arial" w:eastAsia="Arial" w:hAnsi="Arial"/>
          <w:sz w:val="17"/>
          <w:szCs w:val="17"/>
          <w:b w:val="1"/>
          <w:bCs w:val="1"/>
          <w:color w:val="auto"/>
        </w:rPr>
        <w:t>[•],</w:t>
      </w:r>
      <w:r>
        <w:rPr>
          <w:rFonts w:ascii="Arial" w:cs="Arial" w:eastAsia="Arial" w:hAnsi="Arial"/>
          <w:sz w:val="17"/>
          <w:szCs w:val="17"/>
          <w:color w:val="auto"/>
        </w:rPr>
        <w:t xml:space="preserve"> as the Underwriters and the Company determine, such time being referred to herein as the “Closing Date.” For purposes of Rule 15c6-1 of the Exchange Act Regulations, the Closing Date (if later than the otherwise applicable settlement date) shall be the settlement date for payment of funds and delivery of securities for all the Firm Shares. The certificates or book-entry security entitlements for the Firm Shares so to be delivered will be in such denominations and registered in such names as the Underwriters request and, if the Firm Shares are to be certificated, will be delivered and made available for checking and packaging at the above office of Fenimore, Kay, Harrison &amp; Ford, LLP at least 24 hours prior to the Closing Date. If any individual Selling Shareholder or any such trustee or trustees of any Selling Shareholder should die, or if any other such event should occur, or if any of such trusts should terminate, before the delivery of the Shares hereunder, certificates for such Shares shall be delivered by the Custodian in accordance with the terms and conditions of this Agreement as if such death or other event or termination had not occurred, regardless of whether or not the Custodian shall have received notice of such death or other event or termination.</w:t>
      </w:r>
    </w:p>
    <w:p>
      <w:pPr>
        <w:spacing w:after="0" w:line="237" w:lineRule="exact"/>
        <w:rPr>
          <w:rFonts w:ascii="Arial" w:cs="Arial" w:eastAsia="Arial" w:hAnsi="Arial"/>
          <w:sz w:val="17"/>
          <w:szCs w:val="17"/>
          <w:color w:val="auto"/>
        </w:rPr>
      </w:pPr>
    </w:p>
    <w:p>
      <w:pPr>
        <w:jc w:val="both"/>
        <w:ind w:firstLine="1142"/>
        <w:spacing w:after="0" w:line="270" w:lineRule="auto"/>
        <w:tabs>
          <w:tab w:leader="none" w:pos="1388" w:val="left"/>
        </w:tabs>
        <w:numPr>
          <w:ilvl w:val="0"/>
          <w:numId w:val="128"/>
        </w:numPr>
        <w:rPr>
          <w:rFonts w:ascii="Arial" w:cs="Arial" w:eastAsia="Arial" w:hAnsi="Arial"/>
          <w:sz w:val="17"/>
          <w:szCs w:val="17"/>
          <w:color w:val="auto"/>
        </w:rPr>
      </w:pPr>
      <w:r>
        <w:rPr>
          <w:rFonts w:ascii="Arial" w:cs="Arial" w:eastAsia="Arial" w:hAnsi="Arial"/>
          <w:sz w:val="17"/>
          <w:szCs w:val="17"/>
          <w:i w:val="1"/>
          <w:iCs w:val="1"/>
          <w:color w:val="auto"/>
        </w:rPr>
        <w:t>Closing and Delivery of Option Shares</w:t>
      </w:r>
      <w:r>
        <w:rPr>
          <w:rFonts w:ascii="Arial" w:cs="Arial" w:eastAsia="Arial" w:hAnsi="Arial"/>
          <w:sz w:val="17"/>
          <w:szCs w:val="17"/>
          <w:color w:val="auto"/>
        </w:rPr>
        <w:t>. Each time for the delivery of and payment for the Option Shares, being herein referred to as an</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Option Closing Date</w:t>
      </w:r>
      <w:r>
        <w:rPr>
          <w:rFonts w:ascii="Arial" w:cs="Arial" w:eastAsia="Arial" w:hAnsi="Arial"/>
          <w:sz w:val="17"/>
          <w:szCs w:val="17"/>
          <w:color w:val="auto"/>
        </w:rPr>
        <w:t>”, which may be the Closing Date, shall be determined by the Underwriters as provided above. The Custodian will deliver the Option Shares being purchased on each Option Closing Date to the Underwriters through the facilities of DTC for the accounts of the Underwriters, against payment of the purchase price therefor in Federal (same day) funds by official bank check or checks or wire transfer drawn to the order on behalf of the Selling Shareholders, pro rata based on the number of Option Shares sold by each of them, under instructions from the Custodian at the above office of Fenimore, Kay, Harrison &amp; Ford, LLP, at 10:00 A.M., New York City time, on the applicable Option Closing Date. The certificates or book-entry security entitlements for the Option Shares so to be delivered will be in such denominations and registered in such names as the Underwriters requests and, if the Option Shares are to be certificated, will be delivered and made available for checking and packaging at the above office of Fenimore, Kay, Harrison &amp; Ford, LLP at least 24 hours prior to such Option Closing Date.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8" w:right="239" w:bottom="1440" w:gutter="0" w:footer="0" w:header="0"/>
        </w:sectPr>
      </w:pPr>
    </w:p>
    <w:bookmarkStart w:id="214" w:name="page215"/>
    <w:bookmarkEnd w:id="214"/>
    <w:p>
      <w:pPr>
        <w:ind w:left="660"/>
        <w:spacing w:after="0"/>
        <w:rPr>
          <w:sz w:val="20"/>
          <w:szCs w:val="20"/>
          <w:color w:val="auto"/>
        </w:rPr>
      </w:pPr>
      <w:r>
        <w:rPr>
          <w:rFonts w:ascii="Arial" w:cs="Arial" w:eastAsia="Arial" w:hAnsi="Arial"/>
          <w:sz w:val="18"/>
          <w:szCs w:val="18"/>
          <w:b w:val="1"/>
          <w:bCs w:val="1"/>
          <w:color w:val="auto"/>
        </w:rPr>
        <w:t>Section 4. Covenants.</w:t>
      </w:r>
    </w:p>
    <w:p>
      <w:pPr>
        <w:spacing w:after="0" w:line="283" w:lineRule="exact"/>
        <w:rPr>
          <w:sz w:val="20"/>
          <w:szCs w:val="20"/>
          <w:color w:val="auto"/>
        </w:rPr>
      </w:pPr>
    </w:p>
    <w:p>
      <w:pPr>
        <w:ind w:left="1400" w:hanging="258"/>
        <w:spacing w:after="0"/>
        <w:tabs>
          <w:tab w:leader="none" w:pos="1400" w:val="left"/>
        </w:tabs>
        <w:numPr>
          <w:ilvl w:val="0"/>
          <w:numId w:val="129"/>
        </w:numPr>
        <w:rPr>
          <w:rFonts w:ascii="Arial" w:cs="Arial" w:eastAsia="Arial" w:hAnsi="Arial"/>
          <w:sz w:val="18"/>
          <w:szCs w:val="18"/>
          <w:color w:val="auto"/>
        </w:rPr>
      </w:pPr>
      <w:r>
        <w:rPr>
          <w:rFonts w:ascii="Arial" w:cs="Arial" w:eastAsia="Arial" w:hAnsi="Arial"/>
          <w:sz w:val="18"/>
          <w:szCs w:val="18"/>
          <w:i w:val="1"/>
          <w:iCs w:val="1"/>
          <w:color w:val="auto"/>
        </w:rPr>
        <w:t>Covenants of the Company</w:t>
      </w:r>
      <w:r>
        <w:rPr>
          <w:rFonts w:ascii="Arial" w:cs="Arial" w:eastAsia="Arial" w:hAnsi="Arial"/>
          <w:sz w:val="18"/>
          <w:szCs w:val="18"/>
          <w:color w:val="auto"/>
        </w:rPr>
        <w:t>. The Company further covenants and agrees with each of the Underwriters as follows:</w:t>
      </w:r>
    </w:p>
    <w:p>
      <w:pPr>
        <w:spacing w:after="0" w:line="279" w:lineRule="exact"/>
        <w:rPr>
          <w:rFonts w:ascii="Arial" w:cs="Arial" w:eastAsia="Arial" w:hAnsi="Arial"/>
          <w:sz w:val="18"/>
          <w:szCs w:val="18"/>
          <w:color w:val="auto"/>
        </w:rPr>
      </w:pPr>
    </w:p>
    <w:p>
      <w:pPr>
        <w:jc w:val="both"/>
        <w:ind w:firstLine="1467"/>
        <w:spacing w:after="0" w:line="287" w:lineRule="auto"/>
        <w:tabs>
          <w:tab w:leader="none" w:pos="1682" w:val="left"/>
        </w:tabs>
        <w:numPr>
          <w:ilvl w:val="1"/>
          <w:numId w:val="129"/>
        </w:numPr>
        <w:rPr>
          <w:rFonts w:ascii="Arial" w:cs="Arial" w:eastAsia="Arial" w:hAnsi="Arial"/>
          <w:sz w:val="16"/>
          <w:szCs w:val="16"/>
          <w:color w:val="auto"/>
        </w:rPr>
      </w:pPr>
      <w:r>
        <w:rPr>
          <w:rFonts w:ascii="Arial" w:cs="Arial" w:eastAsia="Arial" w:hAnsi="Arial"/>
          <w:sz w:val="16"/>
          <w:szCs w:val="16"/>
          <w:u w:val="single" w:color="auto"/>
          <w:color w:val="auto"/>
        </w:rPr>
        <w:t>Compliance with Securities Act and Notifications to Underwriters</w:t>
      </w:r>
      <w:r>
        <w:rPr>
          <w:rFonts w:ascii="Arial" w:cs="Arial" w:eastAsia="Arial" w:hAnsi="Arial"/>
          <w:sz w:val="16"/>
          <w:szCs w:val="16"/>
          <w:color w:val="auto"/>
        </w:rPr>
        <w:t>. The Company, subject to Section 4(a)(ii) hereof, will comply with the requirements of Rule 430A of the Securities Act Regulations, and will notify the Underwriters promptly, and confirm the notice in writing, (A) when any post-effective amendment to the Registration Statement shall become effective, or any amendment or supplement to the Prospectus shall have been filed, to furnish the Underwriters with copies thereof, and to file promptly all materials required to be filed by the Company with the Commission pursuant to Rule 433(d) of the Securities Act Regulations, (B) of the receipt of any comments from the Commission, (C) of any request by the Commission for any amendment to the Registration Statement or any amendment or supplement to the Prospectus or for additional information, and (D) of the issuance by the Commission of any stop order suspending the effectiveness of the Registration Statement or of any order preventing or suspending the use of any preliminary prospectus, or of the suspension of the qualification of the Shares for offering or sale in any jurisdiction, or of the initiation or threatening of any proceedings for any of such purposes. The Company will promptly effect the filings necessary pursuant to Rule 424(b) of the Securities Act Regulations and will take such steps as it deems necessary to ascertain promptly whether the form of prospectus transmitted for filing under Rule 424(b) was received for filing by the Commission and, in the event that it was not, it will promptly file such prospectus. The Company will make every reasonable effort to prevent the issuance of any stop order and, if any stop order is issued, to obtain the lifting thereof at the earliest possible moment.</w:t>
      </w:r>
    </w:p>
    <w:p>
      <w:pPr>
        <w:spacing w:after="0" w:line="222" w:lineRule="exact"/>
        <w:rPr>
          <w:rFonts w:ascii="Arial" w:cs="Arial" w:eastAsia="Arial" w:hAnsi="Arial"/>
          <w:sz w:val="16"/>
          <w:szCs w:val="16"/>
          <w:color w:val="auto"/>
        </w:rPr>
      </w:pPr>
    </w:p>
    <w:p>
      <w:pPr>
        <w:jc w:val="both"/>
        <w:ind w:firstLine="1467"/>
        <w:spacing w:after="0" w:line="270" w:lineRule="auto"/>
        <w:tabs>
          <w:tab w:leader="none" w:pos="1733" w:val="left"/>
        </w:tabs>
        <w:numPr>
          <w:ilvl w:val="1"/>
          <w:numId w:val="129"/>
        </w:numPr>
        <w:rPr>
          <w:rFonts w:ascii="Arial" w:cs="Arial" w:eastAsia="Arial" w:hAnsi="Arial"/>
          <w:sz w:val="17"/>
          <w:szCs w:val="17"/>
          <w:color w:val="auto"/>
        </w:rPr>
      </w:pPr>
      <w:r>
        <w:rPr>
          <w:rFonts w:ascii="Arial" w:cs="Arial" w:eastAsia="Arial" w:hAnsi="Arial"/>
          <w:sz w:val="17"/>
          <w:szCs w:val="17"/>
          <w:u w:val="single" w:color="auto"/>
          <w:color w:val="auto"/>
        </w:rPr>
        <w:t>Amendments and Supplements to Registration Statement</w:t>
      </w:r>
      <w:r>
        <w:rPr>
          <w:rFonts w:ascii="Arial" w:cs="Arial" w:eastAsia="Arial" w:hAnsi="Arial"/>
          <w:sz w:val="17"/>
          <w:szCs w:val="17"/>
          <w:color w:val="auto"/>
        </w:rPr>
        <w:t>. During the period when a prospectus relating to the Shares is required by the Securities Act to be delivered (whether physically or through compliance with Rule 172 of the Securities Act Regulations or any similar rule), the Company (A) will furnish to the Underwriters for review, a reasonable period of time prior to the proposed time of filing of any proposed amendment or supplement to the Registration Statement, a copy of each such amendment or supplement, and (B) will not amend or supplement the Registration Statement without the Underwriters’ prior written consent. Prior to amending or supplementing any preliminary prospectus, the Pricing Prospectus or the Prospectus, the Company shall furnish to the Underwriters for review, a reasonable amount of time prior to the time of filing or use of the proposed amendment or supplement, a copy of each such proposed amendment or supplement. The Company shall not file or use any such proposed amendment or supplement without the Underwriters’ prior written consent. The Company shall file with the Commission within the applicable period specified in Rule 424(b) of the Securities Act Regulations any prospectus required to be filed pursuant to such rule.</w:t>
      </w:r>
    </w:p>
    <w:p>
      <w:pPr>
        <w:spacing w:after="0" w:line="235" w:lineRule="exact"/>
        <w:rPr>
          <w:rFonts w:ascii="Arial" w:cs="Arial" w:eastAsia="Arial" w:hAnsi="Arial"/>
          <w:sz w:val="17"/>
          <w:szCs w:val="17"/>
          <w:color w:val="auto"/>
        </w:rPr>
      </w:pPr>
    </w:p>
    <w:p>
      <w:pPr>
        <w:jc w:val="both"/>
        <w:ind w:firstLine="1467"/>
        <w:spacing w:after="0" w:line="285" w:lineRule="auto"/>
        <w:tabs>
          <w:tab w:leader="none" w:pos="1810" w:val="left"/>
        </w:tabs>
        <w:numPr>
          <w:ilvl w:val="1"/>
          <w:numId w:val="129"/>
        </w:numPr>
        <w:rPr>
          <w:rFonts w:ascii="Arial" w:cs="Arial" w:eastAsia="Arial" w:hAnsi="Arial"/>
          <w:sz w:val="16"/>
          <w:szCs w:val="16"/>
          <w:color w:val="auto"/>
        </w:rPr>
      </w:pPr>
      <w:r>
        <w:rPr>
          <w:rFonts w:ascii="Arial" w:cs="Arial" w:eastAsia="Arial" w:hAnsi="Arial"/>
          <w:sz w:val="16"/>
          <w:szCs w:val="16"/>
          <w:u w:val="single" w:color="auto"/>
          <w:color w:val="auto"/>
        </w:rPr>
        <w:t>Free Writing Prospectus</w:t>
      </w:r>
      <w:r>
        <w:rPr>
          <w:rFonts w:ascii="Arial" w:cs="Arial" w:eastAsia="Arial" w:hAnsi="Arial"/>
          <w:sz w:val="16"/>
          <w:szCs w:val="16"/>
          <w:color w:val="auto"/>
        </w:rPr>
        <w:t xml:space="preserve">. The Company shall furnish to the Underwriters for review, a reasonable amount of time prior to the proposed time of filing or use thereof, a copy of each proposed free writing prospectus or any amendment or supplement thereto prepared by or on behalf of, used by, or referred to by the Company, and the Company shall not file, use or refer to any proposed free writing prospectus or any amendment or supplement thereto without the Underwriters’ prior written consent. Any such free writing prospectus the use of which has been consented to by the Company and the Underwriters is listed on </w:t>
      </w:r>
      <w:r>
        <w:rPr>
          <w:rFonts w:ascii="Arial" w:cs="Arial" w:eastAsia="Arial" w:hAnsi="Arial"/>
          <w:sz w:val="16"/>
          <w:szCs w:val="16"/>
          <w:u w:val="single" w:color="auto"/>
          <w:color w:val="auto"/>
        </w:rPr>
        <w:t>Schedule III</w:t>
      </w:r>
      <w:r>
        <w:rPr>
          <w:rFonts w:ascii="Arial" w:cs="Arial" w:eastAsia="Arial" w:hAnsi="Arial"/>
          <w:sz w:val="16"/>
          <w:szCs w:val="16"/>
          <w:color w:val="auto"/>
        </w:rPr>
        <w:t xml:space="preserve"> hereto. The Company shall furnish to each Underwriter, without charge, as many copies of any free writing prospectus prepared by or on behalf of, used by or referred to by the Company as such Underwriter may reasonably request. If at any time when a prospectus is required by the Securities Act to be delivered (whether physically or through compliance with Rule 172 of the Securities Act Regulations or any similar rule) in connection with sales of the Shares (but in any event if at any time through and including the Closing Date) there occurred or occurs an event or development as a result of which any free writing prospectus prepared by or on behalf of, used by, or referred to by the Company conflicted or could conflict with the information contained in the Registration Statement, the Pricing Prospectus or the Prospectus or included or could include an untrue statement of a material fact or omitted or could omit to state a material fact necessary in order to make the statements therein, in the light of the circumstances prevailing at such time, not misleading, the Company shall promptly amend or supplement such free writing prospectus to eliminate or correct such conflict so that the statements in such free writing prospectus as so amended or supplemented will not include an untrue statement of a material fact or omit to state a material fact necessary in order to make the statements therein, in the light of the circumstances prevailing at such time, not misleading, as the case may be; provided, that prior to amending or supplementing any such free writing prospectus, the Company shall furnish to the Underwriters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Underwriters’ prior written consent.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2" w:right="239" w:bottom="1440" w:gutter="0" w:footer="0" w:header="0"/>
        </w:sectPr>
      </w:pPr>
    </w:p>
    <w:bookmarkStart w:id="215" w:name="page216"/>
    <w:bookmarkEnd w:id="215"/>
    <w:p>
      <w:pPr>
        <w:jc w:val="both"/>
        <w:ind w:firstLine="1467"/>
        <w:spacing w:after="0" w:line="297" w:lineRule="auto"/>
        <w:tabs>
          <w:tab w:leader="none" w:pos="1772" w:val="left"/>
        </w:tabs>
        <w:numPr>
          <w:ilvl w:val="0"/>
          <w:numId w:val="130"/>
        </w:numPr>
        <w:rPr>
          <w:rFonts w:ascii="Arial" w:cs="Arial" w:eastAsia="Arial" w:hAnsi="Arial"/>
          <w:sz w:val="16"/>
          <w:szCs w:val="16"/>
          <w:color w:val="auto"/>
        </w:rPr>
      </w:pPr>
      <w:r>
        <w:rPr>
          <w:rFonts w:ascii="Arial" w:cs="Arial" w:eastAsia="Arial" w:hAnsi="Arial"/>
          <w:sz w:val="16"/>
          <w:szCs w:val="16"/>
          <w:u w:val="single" w:color="auto"/>
          <w:color w:val="auto"/>
        </w:rPr>
        <w:t>Qualification of Shares for Sale</w:t>
      </w:r>
      <w:r>
        <w:rPr>
          <w:rFonts w:ascii="Arial" w:cs="Arial" w:eastAsia="Arial" w:hAnsi="Arial"/>
          <w:sz w:val="16"/>
          <w:szCs w:val="16"/>
          <w:color w:val="auto"/>
        </w:rPr>
        <w:t>. The Company will use its reasonable best efforts to qualify the Shares for offering and sale under the securities laws of such jurisdictions as the Underwriters may reasonably request and to comply with such laws so as to permit the continuance of sales and dealings therein in such jurisdictions for as long as may be necessary to complete the distribution of the Shares, provided that nothing in this Section 4(a)(iv) shall require the Company to qualify as a foreign corporation in any jurisdiction in which it is not already so qualified or to file a general consent to service of process in any jurisdiction or to subject itself to taxation in respect of doing business in any jurisdiction in which it is otherwise not so subject.</w:t>
      </w:r>
    </w:p>
    <w:p>
      <w:pPr>
        <w:spacing w:after="0" w:line="212" w:lineRule="exact"/>
        <w:rPr>
          <w:rFonts w:ascii="Arial" w:cs="Arial" w:eastAsia="Arial" w:hAnsi="Arial"/>
          <w:sz w:val="16"/>
          <w:szCs w:val="16"/>
          <w:color w:val="auto"/>
        </w:rPr>
      </w:pPr>
    </w:p>
    <w:p>
      <w:pPr>
        <w:jc w:val="both"/>
        <w:ind w:firstLine="1467"/>
        <w:spacing w:after="0" w:line="255" w:lineRule="auto"/>
        <w:tabs>
          <w:tab w:leader="none" w:pos="1722"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Copies of Registration Statement</w:t>
      </w:r>
      <w:r>
        <w:rPr>
          <w:rFonts w:ascii="Arial" w:cs="Arial" w:eastAsia="Arial" w:hAnsi="Arial"/>
          <w:sz w:val="18"/>
          <w:szCs w:val="18"/>
          <w:color w:val="auto"/>
        </w:rPr>
        <w:t>. The Company has furnished or will deliver to the Underwriters, without charge, signed copies of the Registration Statement as originally filed, any Rule 462(b) Registration Statement and of each amendment to each (including exhibits filed therewith) and signed copies of all consents and certificates of experts, and will also, upon request, deliver to the Underwriters, without charge, a conformed copy of the Registration Statement as originally filed and of each amendment thereto (without exhibits) for each of the Underwriters. The copies of the Registration Statement and each amendment thereto furnished to the Underwriters will be identical to the electronically transmitted copies thereof filed with the Commission pursuant to EDGAR, except to the extent permitted by Regulation S-T.</w:t>
      </w:r>
    </w:p>
    <w:p>
      <w:pPr>
        <w:spacing w:after="0" w:line="247" w:lineRule="exact"/>
        <w:rPr>
          <w:rFonts w:ascii="Arial" w:cs="Arial" w:eastAsia="Arial" w:hAnsi="Arial"/>
          <w:sz w:val="18"/>
          <w:szCs w:val="18"/>
          <w:color w:val="auto"/>
        </w:rPr>
      </w:pPr>
    </w:p>
    <w:p>
      <w:pPr>
        <w:jc w:val="both"/>
        <w:ind w:firstLine="1467"/>
        <w:spacing w:after="0" w:line="271" w:lineRule="auto"/>
        <w:tabs>
          <w:tab w:leader="none" w:pos="1786" w:val="left"/>
        </w:tabs>
        <w:numPr>
          <w:ilvl w:val="0"/>
          <w:numId w:val="130"/>
        </w:numPr>
        <w:rPr>
          <w:rFonts w:ascii="Arial" w:cs="Arial" w:eastAsia="Arial" w:hAnsi="Arial"/>
          <w:sz w:val="17"/>
          <w:szCs w:val="17"/>
          <w:color w:val="auto"/>
        </w:rPr>
      </w:pPr>
      <w:r>
        <w:rPr>
          <w:rFonts w:ascii="Arial" w:cs="Arial" w:eastAsia="Arial" w:hAnsi="Arial"/>
          <w:sz w:val="17"/>
          <w:szCs w:val="17"/>
          <w:u w:val="single" w:color="auto"/>
          <w:color w:val="auto"/>
        </w:rPr>
        <w:t>Copies of Prospectus</w:t>
      </w:r>
      <w:r>
        <w:rPr>
          <w:rFonts w:ascii="Arial" w:cs="Arial" w:eastAsia="Arial" w:hAnsi="Arial"/>
          <w:sz w:val="17"/>
          <w:szCs w:val="17"/>
          <w:color w:val="auto"/>
        </w:rPr>
        <w:t>. The Company has delivered to each Underwriter, without charge, as many written and electronic copies of each preliminary prospectus and/or the Pricing Prospectus as such Underwriter reasonably requested, and the Company hereby consents to the use of such copies for purposes permitted by the Securities Act. The Company will furnish to each Underwriter, without charge, prior to 5:00 p.m., New York City time, on the business day next succeeding the date of this Agreement and from time to time thereafter during the period when the Prospectus is required to be delivered in connection with sales of the Shares under the Securities Act or the Exchange Act or in lieu thereof, the notice referred to in Rule 173(a) of the Securities Act Regulations, such number of written and electronic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w:t>
      </w:r>
    </w:p>
    <w:p>
      <w:pPr>
        <w:spacing w:after="0" w:line="232" w:lineRule="exact"/>
        <w:rPr>
          <w:rFonts w:ascii="Arial" w:cs="Arial" w:eastAsia="Arial" w:hAnsi="Arial"/>
          <w:sz w:val="17"/>
          <w:szCs w:val="17"/>
          <w:color w:val="auto"/>
        </w:rPr>
      </w:pPr>
    </w:p>
    <w:p>
      <w:pPr>
        <w:jc w:val="both"/>
        <w:ind w:firstLine="1467"/>
        <w:spacing w:after="0" w:line="255" w:lineRule="auto"/>
        <w:tabs>
          <w:tab w:leader="none" w:pos="1822"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Permitted Written Testing-the-Waters Communication</w:t>
      </w:r>
      <w:r>
        <w:rPr>
          <w:rFonts w:ascii="Arial" w:cs="Arial" w:eastAsia="Arial" w:hAnsi="Arial"/>
          <w:sz w:val="18"/>
          <w:szCs w:val="18"/>
          <w:color w:val="auto"/>
        </w:rPr>
        <w:t>. If at any time following the distribution of any Permitted Written Testing-the-Waters Communication there occurred or occurs an event or development as a result of which such Permitted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Underwriters and, should the Underwriters request, will promptly amend or supplement, at its own expense, such Permitted Written Testing-the-Waters Communication to eliminate or correct such untrue statement or omission.</w:t>
      </w:r>
    </w:p>
    <w:p>
      <w:pPr>
        <w:spacing w:after="0" w:line="247" w:lineRule="exact"/>
        <w:rPr>
          <w:rFonts w:ascii="Arial" w:cs="Arial" w:eastAsia="Arial" w:hAnsi="Arial"/>
          <w:sz w:val="18"/>
          <w:szCs w:val="18"/>
          <w:color w:val="auto"/>
        </w:rPr>
      </w:pPr>
    </w:p>
    <w:p>
      <w:pPr>
        <w:jc w:val="both"/>
        <w:ind w:firstLine="1467"/>
        <w:spacing w:after="0" w:line="257" w:lineRule="auto"/>
        <w:tabs>
          <w:tab w:leader="none" w:pos="1872"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Earning Statement</w:t>
      </w:r>
      <w:r>
        <w:rPr>
          <w:rFonts w:ascii="Arial" w:cs="Arial" w:eastAsia="Arial" w:hAnsi="Arial"/>
          <w:sz w:val="18"/>
          <w:szCs w:val="18"/>
          <w:color w:val="auto"/>
        </w:rPr>
        <w:t>. The Company will make generally available (within the meaning of Section 11(a) of the Securities Act) to its security holders and to the Underwriters as soon as practicable, but not later than 45 days after the end of its fiscal quarter in which the first anniversary date of the effective date of the Registration Statement occurs, an earning statement (as defined and in the form complying with the provisions of Rule 158 of the Securities Act Regulations and satisfying the provisions of Section 11(a) of the Securities Act) covering a period of at least 12 consecutive months beginning after the effective date of the Registration Statement.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16" w:name="page217"/>
    <w:bookmarkEnd w:id="216"/>
    <w:p>
      <w:pPr>
        <w:ind w:firstLine="1467"/>
        <w:spacing w:after="0" w:line="277" w:lineRule="auto"/>
        <w:tabs>
          <w:tab w:leader="none" w:pos="1786"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Use of Proceeds</w:t>
      </w:r>
      <w:r>
        <w:rPr>
          <w:rFonts w:ascii="Arial" w:cs="Arial" w:eastAsia="Arial" w:hAnsi="Arial"/>
          <w:sz w:val="18"/>
          <w:szCs w:val="18"/>
          <w:color w:val="auto"/>
        </w:rPr>
        <w:t>. The Company will use the net proceeds received by it from the sale of the Shares in the manner specified in the Pricing Prospectus under the heading “Use of Proceeds.”</w:t>
      </w:r>
    </w:p>
    <w:p>
      <w:pPr>
        <w:spacing w:after="0" w:line="224" w:lineRule="exact"/>
        <w:rPr>
          <w:rFonts w:ascii="Arial" w:cs="Arial" w:eastAsia="Arial" w:hAnsi="Arial"/>
          <w:sz w:val="18"/>
          <w:szCs w:val="18"/>
          <w:color w:val="auto"/>
        </w:rPr>
      </w:pPr>
    </w:p>
    <w:p>
      <w:pPr>
        <w:ind w:left="1740" w:hanging="273"/>
        <w:spacing w:after="0"/>
        <w:tabs>
          <w:tab w:leader="none" w:pos="1740"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Registrar and Transfer Agent</w:t>
      </w:r>
      <w:r>
        <w:rPr>
          <w:rFonts w:ascii="Arial" w:cs="Arial" w:eastAsia="Arial" w:hAnsi="Arial"/>
          <w:sz w:val="16"/>
          <w:szCs w:val="16"/>
          <w:color w:val="auto"/>
        </w:rPr>
        <w:t>. The Company shall engage and maintain, at its expense, a registrar and transfer agent for the Shares.</w:t>
      </w:r>
    </w:p>
    <w:p>
      <w:pPr>
        <w:spacing w:after="0" w:line="302" w:lineRule="exact"/>
        <w:rPr>
          <w:rFonts w:ascii="Arial" w:cs="Arial" w:eastAsia="Arial" w:hAnsi="Arial"/>
          <w:sz w:val="16"/>
          <w:szCs w:val="16"/>
          <w:color w:val="auto"/>
        </w:rPr>
      </w:pPr>
    </w:p>
    <w:p>
      <w:pPr>
        <w:ind w:firstLine="1467"/>
        <w:spacing w:after="0" w:line="277" w:lineRule="auto"/>
        <w:tabs>
          <w:tab w:leader="none" w:pos="1772"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Listing of Common Stock</w:t>
      </w:r>
      <w:r>
        <w:rPr>
          <w:rFonts w:ascii="Arial" w:cs="Arial" w:eastAsia="Arial" w:hAnsi="Arial"/>
          <w:sz w:val="18"/>
          <w:szCs w:val="18"/>
          <w:color w:val="auto"/>
        </w:rPr>
        <w:t>. The Company will use its reasonable best efforts to effect and maintain the listing of the Common Stock (including the Shares) on Nasdaq.</w:t>
      </w:r>
    </w:p>
    <w:p>
      <w:pPr>
        <w:spacing w:after="0" w:line="220" w:lineRule="exact"/>
        <w:rPr>
          <w:rFonts w:ascii="Arial" w:cs="Arial" w:eastAsia="Arial" w:hAnsi="Arial"/>
          <w:sz w:val="18"/>
          <w:szCs w:val="18"/>
          <w:color w:val="auto"/>
        </w:rPr>
      </w:pPr>
    </w:p>
    <w:p>
      <w:pPr>
        <w:jc w:val="both"/>
        <w:ind w:firstLine="1467"/>
        <w:spacing w:after="0" w:line="270" w:lineRule="auto"/>
        <w:tabs>
          <w:tab w:leader="none" w:pos="1822" w:val="left"/>
        </w:tabs>
        <w:numPr>
          <w:ilvl w:val="0"/>
          <w:numId w:val="131"/>
        </w:numPr>
        <w:rPr>
          <w:rFonts w:ascii="Arial" w:cs="Arial" w:eastAsia="Arial" w:hAnsi="Arial"/>
          <w:sz w:val="17"/>
          <w:szCs w:val="17"/>
          <w:color w:val="auto"/>
        </w:rPr>
      </w:pPr>
      <w:r>
        <w:rPr>
          <w:rFonts w:ascii="Arial" w:cs="Arial" w:eastAsia="Arial" w:hAnsi="Arial"/>
          <w:sz w:val="17"/>
          <w:szCs w:val="17"/>
          <w:u w:val="single" w:color="auto"/>
          <w:color w:val="auto"/>
        </w:rPr>
        <w:t>Company Lock-Up</w:t>
      </w:r>
      <w:r>
        <w:rPr>
          <w:rFonts w:ascii="Arial" w:cs="Arial" w:eastAsia="Arial" w:hAnsi="Arial"/>
          <w:sz w:val="17"/>
          <w:szCs w:val="17"/>
          <w:color w:val="auto"/>
        </w:rPr>
        <w:t>. During a period of 180 days from the date of the Prospectus (the “</w:t>
      </w:r>
      <w:r>
        <w:rPr>
          <w:rFonts w:ascii="Arial" w:cs="Arial" w:eastAsia="Arial" w:hAnsi="Arial"/>
          <w:sz w:val="17"/>
          <w:szCs w:val="17"/>
          <w:b w:val="1"/>
          <w:bCs w:val="1"/>
          <w:color w:val="auto"/>
        </w:rPr>
        <w:t>Lock-Up Period”</w:t>
      </w:r>
      <w:r>
        <w:rPr>
          <w:rFonts w:ascii="Arial" w:cs="Arial" w:eastAsia="Arial" w:hAnsi="Arial"/>
          <w:sz w:val="17"/>
          <w:szCs w:val="17"/>
          <w:color w:val="auto"/>
        </w:rPr>
        <w:t>), the Company will not, without the prior written consent of the Underwriters, (A) offer, pledge, sell, contract to sell, sell any option or contract to purchase, purchase any option or contract to sell, grant any option, right or warrant to purchase, lend or otherwise transfer or dispose of, directly or indirectly, or file with the Commission a registration statement under the Act relating to, any Common Stock or any securities convertible into or exercisable or exchangeable for Common Stock or publicly disclose the intention to make any offer, pledge, sale, disposition or filing, or (B) enter into any swap or other agreement that transfers, in whole or in part, any of the economic consequences of ownership of Common Stock, whether any such transaction described in clause (A) or (B) above is to be settled by delivery of Common Stock or such other securities, in cash or otherwise, other than (X) the Shares to be sold hereunder, (Y) the issuance of equity-based awards granted pursuant to the Company’s benefit plans existing on the date hereof that are described in the Registration Statement, the Pricing Disclosure Package and the Prospectus, as such plans may be amended, or (Z) the issuance of shares of Common Stock upon the exercise of, or otherwise pursuant to, any such equity-based awards.</w:t>
      </w:r>
    </w:p>
    <w:p>
      <w:pPr>
        <w:spacing w:after="0" w:line="235" w:lineRule="exact"/>
        <w:rPr>
          <w:rFonts w:ascii="Arial" w:cs="Arial" w:eastAsia="Arial" w:hAnsi="Arial"/>
          <w:sz w:val="17"/>
          <w:szCs w:val="17"/>
          <w:color w:val="auto"/>
        </w:rPr>
      </w:pPr>
    </w:p>
    <w:p>
      <w:pPr>
        <w:jc w:val="both"/>
        <w:ind w:firstLine="1467"/>
        <w:spacing w:after="0" w:line="273" w:lineRule="auto"/>
        <w:tabs>
          <w:tab w:leader="none" w:pos="1872" w:val="left"/>
        </w:tabs>
        <w:numPr>
          <w:ilvl w:val="0"/>
          <w:numId w:val="131"/>
        </w:numPr>
        <w:rPr>
          <w:rFonts w:ascii="Arial" w:cs="Arial" w:eastAsia="Arial" w:hAnsi="Arial"/>
          <w:sz w:val="17"/>
          <w:szCs w:val="17"/>
          <w:color w:val="auto"/>
        </w:rPr>
      </w:pPr>
      <w:r>
        <w:rPr>
          <w:rFonts w:ascii="Arial" w:cs="Arial" w:eastAsia="Arial" w:hAnsi="Arial"/>
          <w:sz w:val="17"/>
          <w:szCs w:val="17"/>
          <w:u w:val="single" w:color="auto"/>
          <w:color w:val="auto"/>
        </w:rPr>
        <w:t>Security Holder Lock-Ups</w:t>
      </w:r>
      <w:r>
        <w:rPr>
          <w:rFonts w:ascii="Arial" w:cs="Arial" w:eastAsia="Arial" w:hAnsi="Arial"/>
          <w:sz w:val="17"/>
          <w:szCs w:val="17"/>
          <w:color w:val="auto"/>
        </w:rPr>
        <w:t>. During the Lock-Up Period, the Company will enforce all agreements between the Company and any of its security holders that restrict or prohibit, expressly or in operation, the offer, sale or transfer of shares of Common Stock or securities convertible into or exchangeable or exercisable for any shares of Common Stock, or any of the other actions restricted or prohibited under the terms of the “lock-up” agreement contemplated by Section 6(m). In addition, the Company will direct the transfer agent to place stop transfer restrictions upon any such securities of the Company that are bound by such “lock-up” agreements for the duration of the periods contemplated in such agreements, including, without limitation, “lock-up” agreements entered into by the Company’s officers, directors and shareholders pursuant to Section 6(m) hereof.</w:t>
      </w:r>
    </w:p>
    <w:p>
      <w:pPr>
        <w:spacing w:after="0" w:line="232" w:lineRule="exact"/>
        <w:rPr>
          <w:rFonts w:ascii="Arial" w:cs="Arial" w:eastAsia="Arial" w:hAnsi="Arial"/>
          <w:sz w:val="17"/>
          <w:szCs w:val="17"/>
          <w:color w:val="auto"/>
        </w:rPr>
      </w:pPr>
    </w:p>
    <w:p>
      <w:pPr>
        <w:jc w:val="both"/>
        <w:ind w:firstLine="1467"/>
        <w:spacing w:after="0" w:line="257" w:lineRule="auto"/>
        <w:tabs>
          <w:tab w:leader="none" w:pos="1862"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Announcement of Release from Lock-Up</w:t>
      </w:r>
      <w:r>
        <w:rPr>
          <w:rFonts w:ascii="Arial" w:cs="Arial" w:eastAsia="Arial" w:hAnsi="Arial"/>
          <w:sz w:val="18"/>
          <w:szCs w:val="18"/>
          <w:color w:val="auto"/>
        </w:rPr>
        <w:t xml:space="preserve">. If the Underwriters, in their sole discretion, agree to release or waive the restrictions set forth in a “lock-up” agreement described in Section 6(m) hereof for an officer or director of the Company and provides the Company with notice of the impending release or waiver at least three business days before the effective date of the release or waiver, the Company agrees to announce the impending release or waiver by a press release substantially in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hereto through a major news service at least two business days before the effective date of the release or waiver.</w:t>
      </w:r>
    </w:p>
    <w:p>
      <w:pPr>
        <w:spacing w:after="0" w:line="242" w:lineRule="exact"/>
        <w:rPr>
          <w:rFonts w:ascii="Arial" w:cs="Arial" w:eastAsia="Arial" w:hAnsi="Arial"/>
          <w:sz w:val="18"/>
          <w:szCs w:val="18"/>
          <w:color w:val="auto"/>
        </w:rPr>
      </w:pPr>
    </w:p>
    <w:p>
      <w:pPr>
        <w:jc w:val="both"/>
        <w:ind w:firstLine="1467"/>
        <w:spacing w:after="0" w:line="293" w:lineRule="auto"/>
        <w:tabs>
          <w:tab w:leader="none" w:pos="1812"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Compliance with Securities Act and Exchange Act</w:t>
      </w:r>
      <w:r>
        <w:rPr>
          <w:rFonts w:ascii="Arial" w:cs="Arial" w:eastAsia="Arial" w:hAnsi="Arial"/>
          <w:sz w:val="16"/>
          <w:szCs w:val="16"/>
          <w:color w:val="auto"/>
        </w:rPr>
        <w:t>. The Company will comply with the Securities Act and the Exchange Act so as to permit the completion of the distribution of the Shares as contemplated by this Agreement</w:t>
      </w:r>
      <w:r>
        <w:rPr>
          <w:rFonts w:ascii="Arial" w:cs="Arial" w:eastAsia="Arial" w:hAnsi="Arial"/>
          <w:sz w:val="16"/>
          <w:szCs w:val="16"/>
          <w:b w:val="1"/>
          <w:bCs w:val="1"/>
          <w:color w:val="auto"/>
        </w:rPr>
        <w:t>,</w:t>
      </w:r>
      <w:r>
        <w:rPr>
          <w:rFonts w:ascii="Arial" w:cs="Arial" w:eastAsia="Arial" w:hAnsi="Arial"/>
          <w:sz w:val="16"/>
          <w:szCs w:val="16"/>
          <w:color w:val="auto"/>
        </w:rPr>
        <w:t xml:space="preserve"> the Registration Statement, the Pricing Disclosure Package and the Prospectus. Without limiting the generality of the foregoing, the Company will, during the period when a prospectus relating to the Shares is required by the Securities Act to be delivered (whether physically or through compliance with Rule 172 of the Securities Act Regulations or any similar rule), file on a timely basis with the Commission and Nasdaq all reports and documents required to be filed under the Exchange Act. Additionally, the Company shall report the use of proceeds from the issuance of the Shares as may be required under Rule 463 under the Securities Act.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17" w:name="page218"/>
    <w:bookmarkEnd w:id="217"/>
    <w:p>
      <w:pPr>
        <w:ind w:right="20" w:firstLine="1467"/>
        <w:spacing w:after="0" w:line="277" w:lineRule="auto"/>
        <w:tabs>
          <w:tab w:leader="none" w:pos="1876"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Exchange Act Filings</w:t>
      </w:r>
      <w:r>
        <w:rPr>
          <w:rFonts w:ascii="Arial" w:cs="Arial" w:eastAsia="Arial" w:hAnsi="Arial"/>
          <w:sz w:val="18"/>
          <w:szCs w:val="18"/>
          <w:color w:val="auto"/>
        </w:rPr>
        <w:t>. The Company will file with the Commission such information on Form 10-Q or Form 10-K as may be required pursuant to Rule 463 of the Securities Act Regulations.</w:t>
      </w:r>
    </w:p>
    <w:p>
      <w:pPr>
        <w:spacing w:after="0" w:line="224" w:lineRule="exact"/>
        <w:rPr>
          <w:rFonts w:ascii="Arial" w:cs="Arial" w:eastAsia="Arial" w:hAnsi="Arial"/>
          <w:sz w:val="18"/>
          <w:szCs w:val="18"/>
          <w:color w:val="auto"/>
        </w:rPr>
      </w:pPr>
    </w:p>
    <w:p>
      <w:pPr>
        <w:jc w:val="both"/>
        <w:ind w:firstLine="1467"/>
        <w:spacing w:after="0" w:line="291" w:lineRule="auto"/>
        <w:tabs>
          <w:tab w:leader="none" w:pos="1940"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t>Delivery of Reports and Information</w:t>
      </w:r>
      <w:r>
        <w:rPr>
          <w:rFonts w:ascii="Arial" w:cs="Arial" w:eastAsia="Arial" w:hAnsi="Arial"/>
          <w:sz w:val="16"/>
          <w:szCs w:val="16"/>
          <w:color w:val="auto"/>
        </w:rPr>
        <w:t>. During a period of five years from the effective date of the Registration Statement, the Company will make available on EDGAR (or any successor or additional filing location required under applicable rules and regulations of the Commission) or furnish to the Underwriters copies of all reports or other communications (financial or other) furnished to shareholders generally, and to deliver to the Underwriters (A) as soon as they are available, copies of any reports and financial statements furnished to or filed with the Commission or any national securities exchange on which any class of securities of the Company is listed, and (B) such additional information concerning the business and financial condition of the Company as the Underwriters may from time to time reasonably request (such financial statements to be on a consolidated basis to the extent the accounts of the Company and the Subsidiaries are consolidated in reports furnished to its shareholders generally or to the Commission).</w:t>
      </w:r>
    </w:p>
    <w:p>
      <w:pPr>
        <w:spacing w:after="0" w:line="221" w:lineRule="exact"/>
        <w:rPr>
          <w:rFonts w:ascii="Arial" w:cs="Arial" w:eastAsia="Arial" w:hAnsi="Arial"/>
          <w:sz w:val="16"/>
          <w:szCs w:val="16"/>
          <w:color w:val="auto"/>
        </w:rPr>
      </w:pPr>
    </w:p>
    <w:p>
      <w:pPr>
        <w:jc w:val="both"/>
        <w:ind w:firstLine="1467"/>
        <w:spacing w:after="0" w:line="264" w:lineRule="auto"/>
        <w:tabs>
          <w:tab w:leader="none" w:pos="1963"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Investment Company Act</w:t>
      </w:r>
      <w:r>
        <w:rPr>
          <w:rFonts w:ascii="Arial" w:cs="Arial" w:eastAsia="Arial" w:hAnsi="Arial"/>
          <w:sz w:val="18"/>
          <w:szCs w:val="18"/>
          <w:color w:val="auto"/>
        </w:rPr>
        <w:t>. The Company shall not invest or otherwise use the proceeds received by the Company from its sale of the Shares in such a manner as could require the Company or any of the Subsidiaries to register as an investment company under the Investment Company Act.</w:t>
      </w:r>
    </w:p>
    <w:p>
      <w:pPr>
        <w:spacing w:after="0" w:line="235" w:lineRule="exact"/>
        <w:rPr>
          <w:rFonts w:ascii="Arial" w:cs="Arial" w:eastAsia="Arial" w:hAnsi="Arial"/>
          <w:sz w:val="18"/>
          <w:szCs w:val="18"/>
          <w:color w:val="auto"/>
        </w:rPr>
      </w:pPr>
    </w:p>
    <w:p>
      <w:pPr>
        <w:jc w:val="both"/>
        <w:ind w:firstLine="1467"/>
        <w:spacing w:after="0" w:line="259" w:lineRule="auto"/>
        <w:tabs>
          <w:tab w:leader="none" w:pos="1862"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Rule 462(b) Registration Statement</w:t>
      </w:r>
      <w:r>
        <w:rPr>
          <w:rFonts w:ascii="Arial" w:cs="Arial" w:eastAsia="Arial" w:hAnsi="Arial"/>
          <w:sz w:val="18"/>
          <w:szCs w:val="18"/>
          <w:color w:val="auto"/>
        </w:rPr>
        <w:t>. If the Company elects to rely upon Rule 462(b) of the Securities Act Regulations, the Company will file a Rule 462(b) Registration Statement with the Commission in compliance with Rule 462(b) by 10:00 p.m., New York City time, on the date of this Agreement, and at the time of filing either to pay to the Commission the filing fee for the Rule 462(b) Registration Statement or to give irrevocable instructions for the payment of such fee pursuant to Rule 111 of the Securities Act Regulations.</w:t>
      </w:r>
    </w:p>
    <w:p>
      <w:pPr>
        <w:spacing w:after="0" w:line="240" w:lineRule="exact"/>
        <w:rPr>
          <w:rFonts w:ascii="Arial" w:cs="Arial" w:eastAsia="Arial" w:hAnsi="Arial"/>
          <w:sz w:val="18"/>
          <w:szCs w:val="18"/>
          <w:color w:val="auto"/>
        </w:rPr>
      </w:pPr>
    </w:p>
    <w:p>
      <w:pPr>
        <w:jc w:val="both"/>
        <w:ind w:firstLine="1467"/>
        <w:spacing w:after="0" w:line="287" w:lineRule="auto"/>
        <w:tabs>
          <w:tab w:leader="none" w:pos="1826"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t>Electronic Prospectus</w:t>
      </w:r>
      <w:r>
        <w:rPr>
          <w:rFonts w:ascii="Arial" w:cs="Arial" w:eastAsia="Arial" w:hAnsi="Arial"/>
          <w:sz w:val="16"/>
          <w:szCs w:val="16"/>
          <w:color w:val="auto"/>
        </w:rPr>
        <w:t>. If so requested by an Underwriter, the Company shall cause to be prepared and delivered, at its expense, within one business day from the effective date of this Agreement, to the Underwriter an “electronic Prospectus” to be used by the Underwriters in connection with the offering and sale of the Shares. As used herein, the term “electronic Prospectus” means a form of preliminary prospectus, Pricing Prospectus, any Issuer Free Writing Prospectus or the Prospectus, and any amendment or supplement thereto, that meets each of the following conditions: (A) it shall be encoded in an electronic format, satisfactory to the Underwriter, that may be transmitted electronically by the Underwriter and the other Underwriters to offerees and purchasers of the Shares, (B) it shall disclose the same information as such paper preliminary prospectus, Issuer Free Writing Prospectus or the Prospectus, as the case may be, and (C) it shall be in or convertible into a paper format or an electronic format, satisfactory to the Underwriter, that will allow investors to store and have continuously ready access to such preliminary prospectus, Issuer Free Writing Prospectus or the Prospectus at any future time, without charge to investors (other than any fee charged for subscription to the Internet generally). The Company hereby confirms that, if so requested by a Underwriter, it has included or will include in the Prospectus filed with the Commission an undertaking that, upon receipt of a request by an investor or his or her representative, the Company shall transmit or cause to be transmitted promptly, without charge, a paper copy of such paper preliminary prospectus, Issuer Free Writing Prospectus or the Prospectus to such investor or representative.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18" w:name="page219"/>
    <w:bookmarkEnd w:id="218"/>
    <w:p>
      <w:pPr>
        <w:jc w:val="both"/>
        <w:ind w:firstLine="1467"/>
        <w:spacing w:after="0" w:line="273" w:lineRule="auto"/>
        <w:tabs>
          <w:tab w:leader="none" w:pos="1862" w:val="left"/>
        </w:tabs>
        <w:numPr>
          <w:ilvl w:val="1"/>
          <w:numId w:val="133"/>
        </w:numPr>
        <w:rPr>
          <w:rFonts w:ascii="Arial" w:cs="Arial" w:eastAsia="Arial" w:hAnsi="Arial"/>
          <w:sz w:val="17"/>
          <w:szCs w:val="17"/>
          <w:color w:val="auto"/>
        </w:rPr>
      </w:pPr>
      <w:r>
        <w:rPr>
          <w:rFonts w:ascii="Arial" w:cs="Arial" w:eastAsia="Arial" w:hAnsi="Arial"/>
          <w:sz w:val="17"/>
          <w:szCs w:val="17"/>
          <w:u w:val="single" w:color="auto"/>
          <w:color w:val="auto"/>
        </w:rPr>
        <w:t>Directed Shares</w:t>
      </w:r>
      <w:r>
        <w:rPr>
          <w:rFonts w:ascii="Arial" w:cs="Arial" w:eastAsia="Arial" w:hAnsi="Arial"/>
          <w:sz w:val="17"/>
          <w:szCs w:val="17"/>
          <w:color w:val="auto"/>
        </w:rPr>
        <w:t>. The Company will use its reasonable best efforts to ensure that the Directed Shares will be restricted as required by FINRA or FINRA rules from sale, transfer, assignment, pledge or hypothecation for a period of three months following the date of this Agreement. The Underwriters will notify the Company in writing as to which persons, if any, will need to be so restricted. At the request of the Underwriters, the Company will direct the transfer agent to place a stop transfer restriction upon such securities for such period of time. Should the Company release, or seek to release, from such restrictions any of the Directed Shares, the Company agrees to reimburse the Underwriters for any reasonable expenses (including, without limitation, reasonable legal expenses) they incur in connection with, or as a result of, such release.</w:t>
      </w:r>
    </w:p>
    <w:p>
      <w:pPr>
        <w:spacing w:after="0" w:line="232" w:lineRule="exact"/>
        <w:rPr>
          <w:rFonts w:ascii="Arial" w:cs="Arial" w:eastAsia="Arial" w:hAnsi="Arial"/>
          <w:sz w:val="17"/>
          <w:szCs w:val="17"/>
          <w:color w:val="auto"/>
        </w:rPr>
      </w:pPr>
    </w:p>
    <w:p>
      <w:pPr>
        <w:jc w:val="both"/>
        <w:ind w:firstLine="1467"/>
        <w:spacing w:after="0" w:line="257" w:lineRule="auto"/>
        <w:tabs>
          <w:tab w:leader="none" w:pos="1926" w:val="left"/>
        </w:tabs>
        <w:numPr>
          <w:ilvl w:val="1"/>
          <w:numId w:val="133"/>
        </w:numPr>
        <w:rPr>
          <w:rFonts w:ascii="Arial" w:cs="Arial" w:eastAsia="Arial" w:hAnsi="Arial"/>
          <w:sz w:val="18"/>
          <w:szCs w:val="18"/>
          <w:color w:val="auto"/>
        </w:rPr>
      </w:pPr>
      <w:r>
        <w:rPr>
          <w:rFonts w:ascii="Arial" w:cs="Arial" w:eastAsia="Arial" w:hAnsi="Arial"/>
          <w:sz w:val="18"/>
          <w:szCs w:val="18"/>
          <w:u w:val="single" w:color="auto"/>
          <w:color w:val="auto"/>
        </w:rPr>
        <w:t>Regulation M Compliance</w:t>
      </w:r>
      <w:r>
        <w:rPr>
          <w:rFonts w:ascii="Arial" w:cs="Arial" w:eastAsia="Arial" w:hAnsi="Arial"/>
          <w:sz w:val="18"/>
          <w:szCs w:val="18"/>
          <w:color w:val="auto"/>
        </w:rPr>
        <w:t>. The Company will not take, and will use its reasonable best efforts to prohibit any affiliate of the Company from taking, directly or indirectly, any action designed to cause or result in or which constitutes or might reasonably be expected to constitute stabilization or manipulation of the price of the Shares or any reference security with respect to the Shares, whether to facilitate the sale or resale of the Shares or otherwise, and the Company will, and will use its reasonable best efforts to cause each of its affiliates to, comply with all applicable provisions of Regulation M under the Exchange Act.</w:t>
      </w:r>
    </w:p>
    <w:p>
      <w:pPr>
        <w:spacing w:after="0" w:line="242" w:lineRule="exact"/>
        <w:rPr>
          <w:rFonts w:ascii="Arial" w:cs="Arial" w:eastAsia="Arial" w:hAnsi="Arial"/>
          <w:sz w:val="18"/>
          <w:szCs w:val="18"/>
          <w:color w:val="auto"/>
        </w:rPr>
      </w:pPr>
    </w:p>
    <w:p>
      <w:pPr>
        <w:jc w:val="both"/>
        <w:ind w:firstLine="1467"/>
        <w:spacing w:after="0" w:line="279" w:lineRule="auto"/>
        <w:tabs>
          <w:tab w:leader="none" w:pos="1963" w:val="left"/>
        </w:tabs>
        <w:numPr>
          <w:ilvl w:val="1"/>
          <w:numId w:val="133"/>
        </w:numPr>
        <w:rPr>
          <w:rFonts w:ascii="Arial" w:cs="Arial" w:eastAsia="Arial" w:hAnsi="Arial"/>
          <w:sz w:val="17"/>
          <w:szCs w:val="17"/>
          <w:color w:val="auto"/>
        </w:rPr>
      </w:pPr>
      <w:r>
        <w:rPr>
          <w:rFonts w:ascii="Arial" w:cs="Arial" w:eastAsia="Arial" w:hAnsi="Arial"/>
          <w:sz w:val="17"/>
          <w:szCs w:val="17"/>
          <w:u w:val="single" w:color="auto"/>
          <w:color w:val="auto"/>
        </w:rPr>
        <w:t>Rule 433 Compliance</w:t>
      </w:r>
      <w:r>
        <w:rPr>
          <w:rFonts w:ascii="Arial" w:cs="Arial" w:eastAsia="Arial" w:hAnsi="Arial"/>
          <w:sz w:val="17"/>
          <w:szCs w:val="17"/>
          <w:color w:val="auto"/>
        </w:rPr>
        <w:t>. The Company has complied and will comply with the requirements of Rule 433 under the Securities Act applicable to any Issuer Free Writing Prospectus, including timely filing with the Commission or retention where required and legending; the Company represents that it has satisfied and agrees that it will satisfy the conditions under Rule 433 of the Securities Act Regulations to avoid a requirement to file with the Commission any electronic “road show” (as defined in Rule 433 of the Securities Act Regulations).</w:t>
      </w:r>
    </w:p>
    <w:p>
      <w:pPr>
        <w:spacing w:after="0" w:line="225" w:lineRule="exact"/>
        <w:rPr>
          <w:rFonts w:ascii="Arial" w:cs="Arial" w:eastAsia="Arial" w:hAnsi="Arial"/>
          <w:sz w:val="17"/>
          <w:szCs w:val="17"/>
          <w:color w:val="auto"/>
        </w:rPr>
      </w:pPr>
    </w:p>
    <w:p>
      <w:pPr>
        <w:jc w:val="both"/>
        <w:ind w:firstLine="1467"/>
        <w:spacing w:after="0" w:line="291" w:lineRule="auto"/>
        <w:tabs>
          <w:tab w:leader="none" w:pos="1952" w:val="left"/>
        </w:tabs>
        <w:numPr>
          <w:ilvl w:val="1"/>
          <w:numId w:val="133"/>
        </w:numPr>
        <w:rPr>
          <w:rFonts w:ascii="Arial" w:cs="Arial" w:eastAsia="Arial" w:hAnsi="Arial"/>
          <w:sz w:val="16"/>
          <w:szCs w:val="16"/>
          <w:color w:val="auto"/>
        </w:rPr>
      </w:pPr>
      <w:r>
        <w:rPr>
          <w:rFonts w:ascii="Arial" w:cs="Arial" w:eastAsia="Arial" w:hAnsi="Arial"/>
          <w:sz w:val="16"/>
          <w:szCs w:val="16"/>
          <w:u w:val="single" w:color="auto"/>
          <w:color w:val="auto"/>
        </w:rPr>
        <w:t>Encumbrances on Bank Stock</w:t>
      </w:r>
      <w:r>
        <w:rPr>
          <w:rFonts w:ascii="Arial" w:cs="Arial" w:eastAsia="Arial" w:hAnsi="Arial"/>
          <w:sz w:val="16"/>
          <w:szCs w:val="16"/>
          <w:color w:val="auto"/>
        </w:rPr>
        <w:t>. During the period beginning on the date hereof and ending on the later of the fifth anniversary of the Closing Date or the date on which the Underwriters receive full payment in satisfaction of any claim for indemnification or contribution to which they may be entitled pursuant to Section 8 or Section 9 of this Agreement, neither the Company nor the Bank shall, without the prior written consent of the Underwriters, take or permit to be taken any action that could result in the Bank’s common stock becoming subject to any security interest, mortgage, pledge, lien or encumbrance; provided that this covenant shall be null and void if the Federal Reserve, the FDIC or any federal or state bank regulator or regulatory authority having jurisdiction over the Bank, by regulation, policy statement or interpretive release or by written order or written advice addressed to the Bank and specifically addressing the provisions of Section 8 hereof, permits indemnification of the Underwriters by the Bank as contemplated by such provisions.</w:t>
      </w:r>
    </w:p>
    <w:p>
      <w:pPr>
        <w:spacing w:after="0" w:line="221" w:lineRule="exact"/>
        <w:rPr>
          <w:rFonts w:ascii="Arial" w:cs="Arial" w:eastAsia="Arial" w:hAnsi="Arial"/>
          <w:sz w:val="16"/>
          <w:szCs w:val="16"/>
          <w:color w:val="auto"/>
        </w:rPr>
      </w:pPr>
    </w:p>
    <w:p>
      <w:pPr>
        <w:ind w:right="20" w:firstLine="1467"/>
        <w:spacing w:after="0" w:line="277" w:lineRule="auto"/>
        <w:tabs>
          <w:tab w:leader="none" w:pos="1916" w:val="left"/>
        </w:tabs>
        <w:numPr>
          <w:ilvl w:val="1"/>
          <w:numId w:val="133"/>
        </w:numPr>
        <w:rPr>
          <w:rFonts w:ascii="Arial" w:cs="Arial" w:eastAsia="Arial" w:hAnsi="Arial"/>
          <w:sz w:val="18"/>
          <w:szCs w:val="18"/>
          <w:color w:val="auto"/>
        </w:rPr>
      </w:pPr>
      <w:r>
        <w:rPr>
          <w:rFonts w:ascii="Arial" w:cs="Arial" w:eastAsia="Arial" w:hAnsi="Arial"/>
          <w:sz w:val="18"/>
          <w:szCs w:val="18"/>
          <w:u w:val="single" w:color="auto"/>
          <w:color w:val="auto"/>
        </w:rPr>
        <w:t>Compliance with Sarbanes-Oxley</w:t>
      </w:r>
      <w:r>
        <w:rPr>
          <w:rFonts w:ascii="Arial" w:cs="Arial" w:eastAsia="Arial" w:hAnsi="Arial"/>
          <w:sz w:val="18"/>
          <w:szCs w:val="18"/>
          <w:color w:val="auto"/>
        </w:rPr>
        <w:t>. The Company and its Subsidiaries will comply with all effective applicable provisions of the Sarbanes-Oxley Act of 2002.</w:t>
      </w:r>
    </w:p>
    <w:p>
      <w:pPr>
        <w:spacing w:after="0" w:line="224" w:lineRule="exact"/>
        <w:rPr>
          <w:rFonts w:ascii="Arial" w:cs="Arial" w:eastAsia="Arial" w:hAnsi="Arial"/>
          <w:sz w:val="18"/>
          <w:szCs w:val="18"/>
          <w:color w:val="auto"/>
        </w:rPr>
      </w:pPr>
    </w:p>
    <w:p>
      <w:pPr>
        <w:ind w:firstLine="1142"/>
        <w:spacing w:after="0" w:line="277" w:lineRule="auto"/>
        <w:tabs>
          <w:tab w:leader="none" w:pos="1425" w:val="left"/>
        </w:tabs>
        <w:numPr>
          <w:ilvl w:val="0"/>
          <w:numId w:val="134"/>
        </w:numPr>
        <w:rPr>
          <w:rFonts w:ascii="Arial" w:cs="Arial" w:eastAsia="Arial" w:hAnsi="Arial"/>
          <w:sz w:val="18"/>
          <w:szCs w:val="18"/>
          <w:color w:val="auto"/>
        </w:rPr>
      </w:pPr>
      <w:r>
        <w:rPr>
          <w:rFonts w:ascii="Arial" w:cs="Arial" w:eastAsia="Arial" w:hAnsi="Arial"/>
          <w:sz w:val="18"/>
          <w:szCs w:val="18"/>
          <w:i w:val="1"/>
          <w:iCs w:val="1"/>
          <w:color w:val="auto"/>
        </w:rPr>
        <w:t>Covenants of the Selling Shareholders</w:t>
      </w:r>
      <w:r>
        <w:rPr>
          <w:rFonts w:ascii="Arial" w:cs="Arial" w:eastAsia="Arial" w:hAnsi="Arial"/>
          <w:sz w:val="18"/>
          <w:szCs w:val="18"/>
          <w:color w:val="auto"/>
        </w:rPr>
        <w:t>. Each Selling Shareholder, severally and not jointly, covenants and agrees with each of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Underwriters as follows:</w:t>
      </w:r>
    </w:p>
    <w:p>
      <w:pPr>
        <w:spacing w:after="0" w:line="224" w:lineRule="exact"/>
        <w:rPr>
          <w:rFonts w:ascii="Arial" w:cs="Arial" w:eastAsia="Arial" w:hAnsi="Arial"/>
          <w:sz w:val="18"/>
          <w:szCs w:val="18"/>
          <w:color w:val="auto"/>
        </w:rPr>
      </w:pPr>
    </w:p>
    <w:p>
      <w:pPr>
        <w:jc w:val="both"/>
        <w:ind w:firstLine="1467"/>
        <w:spacing w:after="0" w:line="269" w:lineRule="auto"/>
        <w:tabs>
          <w:tab w:leader="none" w:pos="1682" w:val="left"/>
        </w:tabs>
        <w:numPr>
          <w:ilvl w:val="1"/>
          <w:numId w:val="134"/>
        </w:numPr>
        <w:rPr>
          <w:rFonts w:ascii="Arial" w:cs="Arial" w:eastAsia="Arial" w:hAnsi="Arial"/>
          <w:sz w:val="17"/>
          <w:szCs w:val="17"/>
          <w:color w:val="auto"/>
        </w:rPr>
      </w:pPr>
      <w:r>
        <w:rPr>
          <w:rFonts w:ascii="Arial" w:cs="Arial" w:eastAsia="Arial" w:hAnsi="Arial"/>
          <w:sz w:val="17"/>
          <w:szCs w:val="17"/>
          <w:u w:val="single" w:color="auto"/>
          <w:color w:val="auto"/>
        </w:rPr>
        <w:t>Restricted Transactions in Common Stock</w:t>
      </w:r>
      <w:r>
        <w:rPr>
          <w:rFonts w:ascii="Arial" w:cs="Arial" w:eastAsia="Arial" w:hAnsi="Arial"/>
          <w:sz w:val="17"/>
          <w:szCs w:val="17"/>
          <w:color w:val="auto"/>
        </w:rPr>
        <w:t>. During a period of 180 days from the date of the Prospectus, such Selling Shareholder will not, without the prior written consent of the Underwriters, directly or indirectly, (A) offer, pledge, sell, contract to sell, sell any option or contract to purchase, purchase any option or contract to sell, grant any option, right or warrant for the sale of, hypothecate, establish an open “put equivalent position” within the meaning of Rule 16a-1(h) of the Exchange Act Regulations, or otherwise dispose of or transfer any shares of Common Stock or any securities convertible into or exchangeable or exercisable for Common Stock, whether now owned or hereafter acquired by the Selling Shareholder or with respect to which the Selling Shareholder has or hereafter acquires the power of disposition, or exercise any right with respect to the registration of any of the foregoing, or file or cause to be filed any registration statement in connection therewith under the Securities Act, (B) enter into any swap, hedge or any other agreement or any transaction that transfers, in whole or in part, directly or indirectly, the economic consequence of ownership of the Common Stock, whether any such swap, hedge or transaction is to be settled by delivery of Common Stock or other securities, in cash or otherwise, (C) publicly disclose the intention to make any such offer, pledge, sale or disposition, or to enter into any such swap, hedge, transaction or other arrangement or (D) make any demand for or exercise any right with respect to the registration of any shares of Common Stock or any security convertible into or exchangeable for shares of Common Stock, other than the Shares to be sold hereunder.</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19" w:name="page220"/>
    <w:bookmarkEnd w:id="219"/>
    <w:p>
      <w:pPr>
        <w:jc w:val="both"/>
        <w:ind w:firstLine="1467"/>
        <w:spacing w:after="0" w:line="259" w:lineRule="auto"/>
        <w:tabs>
          <w:tab w:leader="none" w:pos="1733" w:val="left"/>
        </w:tabs>
        <w:numPr>
          <w:ilvl w:val="1"/>
          <w:numId w:val="135"/>
        </w:numPr>
        <w:rPr>
          <w:rFonts w:ascii="Arial" w:cs="Arial" w:eastAsia="Arial" w:hAnsi="Arial"/>
          <w:sz w:val="18"/>
          <w:szCs w:val="18"/>
          <w:color w:val="auto"/>
        </w:rPr>
      </w:pPr>
      <w:r>
        <w:rPr>
          <w:rFonts w:ascii="Arial" w:cs="Arial" w:eastAsia="Arial" w:hAnsi="Arial"/>
          <w:sz w:val="18"/>
          <w:szCs w:val="18"/>
          <w:u w:val="single" w:color="auto"/>
          <w:color w:val="auto"/>
        </w:rPr>
        <w:t>Regulation M Compliance</w:t>
      </w:r>
      <w:r>
        <w:rPr>
          <w:rFonts w:ascii="Arial" w:cs="Arial" w:eastAsia="Arial" w:hAnsi="Arial"/>
          <w:sz w:val="18"/>
          <w:szCs w:val="18"/>
          <w:color w:val="auto"/>
        </w:rPr>
        <w:t>. Such Selling Shareholder will not take, directly or indirectly, any action designed to cause or result in or which constitutes or might reasonably be expected to constitute stabilization or manipulation of the price of the Shares or any reference security with respect to the Shares, whether to facilitate the sale or resale of the Shares or otherwise, and such Selling Shareholder will, and shall cause each of its affiliates to, comply with all applicable provisions of Regulation M under the Exchange Act.</w:t>
      </w:r>
    </w:p>
    <w:p>
      <w:pPr>
        <w:spacing w:after="0" w:line="240" w:lineRule="exact"/>
        <w:rPr>
          <w:rFonts w:ascii="Arial" w:cs="Arial" w:eastAsia="Arial" w:hAnsi="Arial"/>
          <w:sz w:val="18"/>
          <w:szCs w:val="18"/>
          <w:color w:val="auto"/>
        </w:rPr>
      </w:pPr>
    </w:p>
    <w:p>
      <w:pPr>
        <w:jc w:val="both"/>
        <w:ind w:firstLine="1467"/>
        <w:spacing w:after="0" w:line="293" w:lineRule="auto"/>
        <w:tabs>
          <w:tab w:leader="none" w:pos="1783" w:val="left"/>
        </w:tabs>
        <w:numPr>
          <w:ilvl w:val="1"/>
          <w:numId w:val="135"/>
        </w:numPr>
        <w:rPr>
          <w:rFonts w:ascii="Arial" w:cs="Arial" w:eastAsia="Arial" w:hAnsi="Arial"/>
          <w:sz w:val="16"/>
          <w:szCs w:val="16"/>
          <w:color w:val="auto"/>
        </w:rPr>
      </w:pPr>
      <w:r>
        <w:rPr>
          <w:rFonts w:ascii="Arial" w:cs="Arial" w:eastAsia="Arial" w:hAnsi="Arial"/>
          <w:sz w:val="16"/>
          <w:szCs w:val="16"/>
          <w:u w:val="single" w:color="auto"/>
          <w:color w:val="auto"/>
        </w:rPr>
        <w:t>Delivery of Information</w:t>
      </w:r>
      <w:r>
        <w:rPr>
          <w:rFonts w:ascii="Arial" w:cs="Arial" w:eastAsia="Arial" w:hAnsi="Arial"/>
          <w:sz w:val="16"/>
          <w:szCs w:val="16"/>
          <w:color w:val="auto"/>
        </w:rPr>
        <w:t>. Such Selling Shareholder will advise the Underwriters promptly, and if requested by the Underwriters, will confirm such advice in writing, during the period when a prospectus relating to the Shares is required by the Securities Act to be delivered (whether physically or through compliance with Rule 172 of the Securities Act Regulations or any similar rule), of (A) any Material Adverse Effect, (B) any change in information in the Registration Statement, any preliminary prospectus, the Pricing Disclosure Package, the Prospectus or any amendment or supplement thereto relating to such Selling Shareholder, or (C) any new material information relating to the Company or relating to any matter stated in the Registration Statement, any preliminary prospectus, the Pricing Disclosure Package or the Prospectus that comes to the attention of such Selling Shareholder.</w:t>
      </w:r>
    </w:p>
    <w:p>
      <w:pPr>
        <w:spacing w:after="0" w:line="218" w:lineRule="exact"/>
        <w:rPr>
          <w:rFonts w:ascii="Arial" w:cs="Arial" w:eastAsia="Arial" w:hAnsi="Arial"/>
          <w:sz w:val="16"/>
          <w:szCs w:val="16"/>
          <w:color w:val="auto"/>
        </w:rPr>
      </w:pPr>
    </w:p>
    <w:p>
      <w:pPr>
        <w:jc w:val="both"/>
        <w:ind w:firstLine="1467"/>
        <w:spacing w:after="0" w:line="259" w:lineRule="auto"/>
        <w:tabs>
          <w:tab w:leader="none" w:pos="1786" w:val="left"/>
        </w:tabs>
        <w:numPr>
          <w:ilvl w:val="1"/>
          <w:numId w:val="135"/>
        </w:numPr>
        <w:rPr>
          <w:rFonts w:ascii="Arial" w:cs="Arial" w:eastAsia="Arial" w:hAnsi="Arial"/>
          <w:sz w:val="18"/>
          <w:szCs w:val="18"/>
          <w:color w:val="auto"/>
        </w:rPr>
      </w:pPr>
      <w:r>
        <w:rPr>
          <w:rFonts w:ascii="Arial" w:cs="Arial" w:eastAsia="Arial" w:hAnsi="Arial"/>
          <w:sz w:val="18"/>
          <w:szCs w:val="18"/>
          <w:u w:val="single" w:color="auto"/>
          <w:color w:val="auto"/>
        </w:rPr>
        <w:t>Form W-9</w:t>
      </w:r>
      <w:r>
        <w:rPr>
          <w:rFonts w:ascii="Arial" w:cs="Arial" w:eastAsia="Arial" w:hAnsi="Arial"/>
          <w:sz w:val="18"/>
          <w:szCs w:val="18"/>
          <w:color w:val="auto"/>
        </w:rPr>
        <w:t>. Such Selling Shareholder will deliver to the Underwriters, prior to or at the Closing Date, a properly completed and executed United States Treasury Department Form W-9 (or other applicable form or statement specified by the Treasury Department regulations in lieu thereof) in order to facilitate the Underwriters’ documentation of their compliance with the reporting and withholding provisions of the Tax Equity and Fiscal Responsibilities Act of 1982 with respect to the transactions contemplated by this Agreement.</w:t>
      </w:r>
    </w:p>
    <w:p>
      <w:pPr>
        <w:spacing w:after="0" w:line="240" w:lineRule="exact"/>
        <w:rPr>
          <w:rFonts w:ascii="Arial" w:cs="Arial" w:eastAsia="Arial" w:hAnsi="Arial"/>
          <w:sz w:val="18"/>
          <w:szCs w:val="18"/>
          <w:color w:val="auto"/>
        </w:rPr>
      </w:pPr>
    </w:p>
    <w:p>
      <w:pPr>
        <w:ind w:right="20" w:firstLine="1467"/>
        <w:spacing w:after="0" w:line="277" w:lineRule="auto"/>
        <w:tabs>
          <w:tab w:leader="none" w:pos="1722" w:val="left"/>
        </w:tabs>
        <w:numPr>
          <w:ilvl w:val="1"/>
          <w:numId w:val="135"/>
        </w:numPr>
        <w:rPr>
          <w:rFonts w:ascii="Arial" w:cs="Arial" w:eastAsia="Arial" w:hAnsi="Arial"/>
          <w:sz w:val="18"/>
          <w:szCs w:val="18"/>
          <w:color w:val="auto"/>
        </w:rPr>
      </w:pPr>
      <w:r>
        <w:rPr>
          <w:rFonts w:ascii="Arial" w:cs="Arial" w:eastAsia="Arial" w:hAnsi="Arial"/>
          <w:sz w:val="18"/>
          <w:szCs w:val="18"/>
          <w:u w:val="single" w:color="auto"/>
          <w:color w:val="auto"/>
        </w:rPr>
        <w:t>Free Writing Prospectus</w:t>
      </w:r>
      <w:r>
        <w:rPr>
          <w:rFonts w:ascii="Arial" w:cs="Arial" w:eastAsia="Arial" w:hAnsi="Arial"/>
          <w:sz w:val="18"/>
          <w:szCs w:val="18"/>
          <w:color w:val="auto"/>
        </w:rPr>
        <w:t>. Each Selling Shareholder represents and agrees that it has not made and will not make any offer relating to the Shares that could constitute a “free writing prospectus” as defined in Rule 405 of the Securities Act Regulations.</w:t>
      </w:r>
    </w:p>
    <w:p>
      <w:pPr>
        <w:spacing w:after="0" w:line="224" w:lineRule="exact"/>
        <w:rPr>
          <w:rFonts w:ascii="Arial" w:cs="Arial" w:eastAsia="Arial" w:hAnsi="Arial"/>
          <w:sz w:val="18"/>
          <w:szCs w:val="18"/>
          <w:color w:val="auto"/>
        </w:rPr>
      </w:pPr>
    </w:p>
    <w:p>
      <w:pPr>
        <w:jc w:val="both"/>
        <w:ind w:firstLine="1142"/>
        <w:spacing w:after="0" w:line="264" w:lineRule="auto"/>
        <w:tabs>
          <w:tab w:leader="none" w:pos="1402" w:val="left"/>
        </w:tabs>
        <w:numPr>
          <w:ilvl w:val="0"/>
          <w:numId w:val="136"/>
        </w:numPr>
        <w:rPr>
          <w:rFonts w:ascii="Arial" w:cs="Arial" w:eastAsia="Arial" w:hAnsi="Arial"/>
          <w:sz w:val="18"/>
          <w:szCs w:val="18"/>
          <w:color w:val="auto"/>
        </w:rPr>
      </w:pPr>
      <w:r>
        <w:rPr>
          <w:rFonts w:ascii="Arial" w:cs="Arial" w:eastAsia="Arial" w:hAnsi="Arial"/>
          <w:sz w:val="18"/>
          <w:szCs w:val="18"/>
          <w:i w:val="1"/>
          <w:iCs w:val="1"/>
          <w:color w:val="auto"/>
        </w:rPr>
        <w:t>Covenants of the Underwriters</w:t>
      </w:r>
      <w:r>
        <w:rPr>
          <w:rFonts w:ascii="Arial" w:cs="Arial" w:eastAsia="Arial" w:hAnsi="Arial"/>
          <w:sz w:val="18"/>
          <w:szCs w:val="18"/>
          <w:color w:val="auto"/>
        </w:rPr>
        <w:t>. Each Underwriter, severally and not jointly, covenants with the Company not to take any action that</w:t>
      </w:r>
      <w:r>
        <w:rPr>
          <w:rFonts w:ascii="Arial" w:cs="Arial" w:eastAsia="Arial" w:hAnsi="Arial"/>
          <w:sz w:val="18"/>
          <w:szCs w:val="18"/>
          <w:i w:val="1"/>
          <w:iCs w:val="1"/>
          <w:color w:val="auto"/>
        </w:rPr>
        <w:t xml:space="preserve"> </w:t>
      </w:r>
      <w:r>
        <w:rPr>
          <w:rFonts w:ascii="Arial" w:cs="Arial" w:eastAsia="Arial" w:hAnsi="Arial"/>
          <w:sz w:val="18"/>
          <w:szCs w:val="18"/>
          <w:color w:val="auto"/>
        </w:rPr>
        <w:t>would result in the Company being required to file with the Commission pursuant to Rule 433(d) a “free writing prospectus” prepared by or on behalf of such Underwriter that otherwise would not, but for such actions, be required to be filed by the Company under Rule 433(d).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20" w:name="page221"/>
    <w:bookmarkEnd w:id="220"/>
    <w:p>
      <w:pPr>
        <w:ind w:left="660"/>
        <w:spacing w:after="0"/>
        <w:rPr>
          <w:sz w:val="20"/>
          <w:szCs w:val="20"/>
          <w:color w:val="auto"/>
        </w:rPr>
      </w:pPr>
      <w:r>
        <w:rPr>
          <w:rFonts w:ascii="Arial" w:cs="Arial" w:eastAsia="Arial" w:hAnsi="Arial"/>
          <w:sz w:val="18"/>
          <w:szCs w:val="18"/>
          <w:b w:val="1"/>
          <w:bCs w:val="1"/>
          <w:color w:val="auto"/>
        </w:rPr>
        <w:t>Section 5. Payment of Expenses.</w:t>
      </w:r>
    </w:p>
    <w:p>
      <w:pPr>
        <w:spacing w:after="0" w:line="22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The Company and the Selling Shareholders covenant and agree with the several Underwriters that, whether or not the transactions contemplated by this Agreement are consummated, the Company will pay or cause to be paid all expenses incident to the performance of its obligations under this Agreement, including (A) the fees, disbursements and expenses of the Company’s counsel, accountants and other advisors, (B) filing fees and all other expenses in connection with the preparation, printing and filing of the Registration Statement, each preliminary prospectus, the Pricing Prospectus, any Issuer Free Writing Prospectus, any Permitted Testing-the-Waters Communication and the Prospectus and amendments and supplements thereto and the mailing and delivering of copies thereof to the Underwriters and dealers, (C) the cost of printing or producing this Agreement, closing documents (including any compilations thereof) and such other documents as may be required in connection with the offering, purchase, sale and delivery of the Shares, (D) all expenses in connection with the qualification of the Shares for offering and sale under state securities laws as provided in Section 4(a)(iv), including filing fees and the reasonable fees and disbursements of counsel for the Underwriters in connection with such qualification and in connection with the Blue Sky survey, (E) all fees and expenses in connection with listing the Common Stock (including the Shares) on Nasdaq, (F) the costs, fees and expenses incurred by the Underwriters in connection with determining their compliance with the rules and regulations of FINRA related to the Underwriters’ participation in the offering and distribution of the Shares, including any related filing fees and the reasonable fees and disbursements of counsel to the Underwriters, (G) all fees and expenses in connection with the preparation, issuance and delivery of the certificates representing the Shares to the Underwriters, including any stock or other transfer taxes and any stamp or other duties payable upon the sale, issuance or delivery of the Shares to the Underwriters, (H) the cost and charges of any transfer agent or registrar, (I) the transportation and other expenses incurred by the Company in connection with presentations to prospective purchasers of Shares, (J) the costs and expenses of the Company and any Selling Shareholder relating to investor presentations on any Road Show, any Permitted Written Testing-the-Waters Communication or any Testing-the-Waters Communication undertaken in connection with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employees and officers of the Company and any such consultants, and the cost of any aircraft chartered in connection with the Road Show, (K) all fees and expenses of the Underwriters in connection with matters relating to the Directed Shares, including reasonable fees and disbursements of counsel for the Underwriters, (L) all costs and expenses incurred by the Underwriters in connection with the printing (or reproduction) and delivery (including postage, air freight charges and charges for counting and packaging) of copies of information or materials relating to the Directed Shares, and (M) all stamp duties, similar taxes or duties or other taxes, if any, incurred by the Underwriters in connection with the Directed Shares; and all other costs and expenses incident to the performance of its obligations hereunder which are not otherwise specifically provided for in this Section. Notwithstanding the foregoing, in no event shall the aggregate amount payable by the Company and the Selling Shareholders with respect to expenses incurred by the Underwriters under this Section 5 exceed $20,000.</w:t>
      </w:r>
    </w:p>
    <w:p>
      <w:pPr>
        <w:spacing w:after="0" w:line="200" w:lineRule="exact"/>
        <w:rPr>
          <w:sz w:val="20"/>
          <w:szCs w:val="20"/>
          <w:color w:val="auto"/>
        </w:rPr>
      </w:pPr>
    </w:p>
    <w:p>
      <w:pPr>
        <w:spacing w:after="0" w:line="21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Each Selling Shareholder will pay or cause to be paid all expenses incident to the performance of such Selling Shareholders’ obligations under this Agreement which are not otherwise specifically provided for in this Section 5, including (X) all expenses and taxes incident to the sale and delivery of the Shares to be sold by such Selling Shareholder to the Underwriters hereunder, (Y) fees and expenses of the Custodian and the Attorneys-in-Fact, and (Z) the fees, disbursements and expenses of the Selling Shareholders’ counsel and other advisors, if any.</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8" w:right="239" w:bottom="1440" w:gutter="0" w:footer="0" w:header="0"/>
        </w:sectPr>
      </w:pPr>
    </w:p>
    <w:bookmarkStart w:id="221" w:name="page222"/>
    <w:bookmarkEnd w:id="221"/>
    <w:p>
      <w:pPr>
        <w:ind w:left="660"/>
        <w:spacing w:after="0"/>
        <w:rPr>
          <w:sz w:val="20"/>
          <w:szCs w:val="20"/>
          <w:color w:val="auto"/>
        </w:rPr>
      </w:pPr>
      <w:r>
        <w:rPr>
          <w:rFonts w:ascii="Arial" w:cs="Arial" w:eastAsia="Arial" w:hAnsi="Arial"/>
          <w:sz w:val="18"/>
          <w:szCs w:val="18"/>
          <w:b w:val="1"/>
          <w:bCs w:val="1"/>
          <w:color w:val="auto"/>
        </w:rPr>
        <w:t>Section 6. Conditions to Underwriters’ Obligations.</w:t>
      </w:r>
    </w:p>
    <w:p>
      <w:pPr>
        <w:spacing w:after="0" w:line="256" w:lineRule="exact"/>
        <w:rPr>
          <w:sz w:val="20"/>
          <w:szCs w:val="20"/>
          <w:color w:val="auto"/>
        </w:rPr>
      </w:pPr>
    </w:p>
    <w:p>
      <w:pPr>
        <w:jc w:val="both"/>
        <w:ind w:left="80" w:firstLine="567"/>
        <w:spacing w:after="0" w:line="264" w:lineRule="auto"/>
        <w:rPr>
          <w:sz w:val="20"/>
          <w:szCs w:val="20"/>
          <w:color w:val="auto"/>
        </w:rPr>
      </w:pPr>
      <w:r>
        <w:rPr>
          <w:rFonts w:ascii="Arial" w:cs="Arial" w:eastAsia="Arial" w:hAnsi="Arial"/>
          <w:sz w:val="18"/>
          <w:szCs w:val="18"/>
          <w:color w:val="auto"/>
        </w:rPr>
        <w:t>The several obligations of the Underwriters hereunder to purchase the Shares on the Closing Date or each Option Closing Date, as the case may be, are subject to the performance by the Company and each of the Selling Shareholders of their respective obligations hereunder and to the following additional conditions:</w:t>
      </w:r>
    </w:p>
    <w:p>
      <w:pPr>
        <w:spacing w:after="0" w:line="235" w:lineRule="exact"/>
        <w:rPr>
          <w:sz w:val="20"/>
          <w:szCs w:val="20"/>
          <w:color w:val="auto"/>
        </w:rPr>
      </w:pPr>
    </w:p>
    <w:p>
      <w:pPr>
        <w:jc w:val="both"/>
        <w:ind w:firstLine="1142"/>
        <w:spacing w:after="0" w:line="270" w:lineRule="auto"/>
        <w:tabs>
          <w:tab w:leader="none" w:pos="1415" w:val="left"/>
        </w:tabs>
        <w:numPr>
          <w:ilvl w:val="1"/>
          <w:numId w:val="137"/>
        </w:numPr>
        <w:rPr>
          <w:rFonts w:ascii="Arial" w:cs="Arial" w:eastAsia="Arial" w:hAnsi="Arial"/>
          <w:sz w:val="17"/>
          <w:szCs w:val="17"/>
          <w:color w:val="auto"/>
        </w:rPr>
      </w:pPr>
      <w:r>
        <w:rPr>
          <w:rFonts w:ascii="Arial" w:cs="Arial" w:eastAsia="Arial" w:hAnsi="Arial"/>
          <w:sz w:val="17"/>
          <w:szCs w:val="17"/>
          <w:i w:val="1"/>
          <w:iCs w:val="1"/>
          <w:color w:val="auto"/>
        </w:rPr>
        <w:t>Effectiveness of Registration Statement</w:t>
      </w:r>
      <w:r>
        <w:rPr>
          <w:rFonts w:ascii="Arial" w:cs="Arial" w:eastAsia="Arial" w:hAnsi="Arial"/>
          <w:sz w:val="17"/>
          <w:szCs w:val="17"/>
          <w:color w:val="auto"/>
        </w:rPr>
        <w:t>. The Prospectus shall have been filed with the Commission pursuant to Rule 424(b) of the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Act Regulations within the applicable time period prescribed for such filing by the Securities Act and in accordance with Section 4(a)(i) hereof; all material required to be filed by the Company pursuant to Rule 433(d) of the Securities Act Regulations shall have been filed with the Commission within the applicable time period prescribed for such filing by Rule 433 of the Securities Act Regulations; if the Company has elected to rely upon Rule 462(b) of the Securities Act Regulations, the Rule 462(b) Registration Statement shall have become effective by 10:00 p.m., New York City time, on the date of this Agreement; the Registration Statement has become effective and no stop order suspending the effectiveness of the Registration Statement or any part thereof or the Prospectus or any part thereof or any Issuer Free Writing Prospectus shall have been issued and no proceeding for that purpose shall have been initiated or threatened by the Commission or any state securities commission; and all requests for additional information on the part of the Commission shall have been complied with to your reasonable satisfaction.</w:t>
      </w:r>
    </w:p>
    <w:p>
      <w:pPr>
        <w:spacing w:after="0" w:line="235" w:lineRule="exact"/>
        <w:rPr>
          <w:rFonts w:ascii="Arial" w:cs="Arial" w:eastAsia="Arial" w:hAnsi="Arial"/>
          <w:sz w:val="17"/>
          <w:szCs w:val="17"/>
          <w:color w:val="auto"/>
        </w:rPr>
      </w:pPr>
    </w:p>
    <w:p>
      <w:pPr>
        <w:jc w:val="both"/>
        <w:ind w:firstLine="1142"/>
        <w:spacing w:after="0" w:line="302" w:lineRule="auto"/>
        <w:tabs>
          <w:tab w:leader="none" w:pos="1412" w:val="left"/>
        </w:tabs>
        <w:numPr>
          <w:ilvl w:val="1"/>
          <w:numId w:val="137"/>
        </w:numPr>
        <w:rPr>
          <w:rFonts w:ascii="Arial" w:cs="Arial" w:eastAsia="Arial" w:hAnsi="Arial"/>
          <w:sz w:val="16"/>
          <w:szCs w:val="16"/>
          <w:color w:val="auto"/>
        </w:rPr>
      </w:pPr>
      <w:r>
        <w:rPr>
          <w:rFonts w:ascii="Arial" w:cs="Arial" w:eastAsia="Arial" w:hAnsi="Arial"/>
          <w:sz w:val="16"/>
          <w:szCs w:val="16"/>
          <w:i w:val="1"/>
          <w:iCs w:val="1"/>
          <w:color w:val="auto"/>
        </w:rPr>
        <w:t>Representations and Warranties</w:t>
      </w:r>
      <w:r>
        <w:rPr>
          <w:rFonts w:ascii="Arial" w:cs="Arial" w:eastAsia="Arial" w:hAnsi="Arial"/>
          <w:sz w:val="16"/>
          <w:szCs w:val="16"/>
          <w:color w:val="auto"/>
        </w:rPr>
        <w:t>. The respective representations and warranties of the Company and the Selling Shareholders contained</w:t>
      </w:r>
      <w:r>
        <w:rPr>
          <w:rFonts w:ascii="Arial" w:cs="Arial" w:eastAsia="Arial" w:hAnsi="Arial"/>
          <w:sz w:val="16"/>
          <w:szCs w:val="16"/>
          <w:i w:val="1"/>
          <w:iCs w:val="1"/>
          <w:color w:val="auto"/>
        </w:rPr>
        <w:t xml:space="preserve"> </w:t>
      </w:r>
      <w:r>
        <w:rPr>
          <w:rFonts w:ascii="Arial" w:cs="Arial" w:eastAsia="Arial" w:hAnsi="Arial"/>
          <w:sz w:val="16"/>
          <w:szCs w:val="16"/>
          <w:color w:val="auto"/>
        </w:rPr>
        <w:t>herein are true and correct on and as of the Closing Date or the Option Closing Date, as the case may be, as if made on and as of the Closing Date or the Option Closing Date, as the case may be, and each of the Company and the Selling Shareholders shall have complied with all agreements and all conditions on its part to be performed or satisfied hereunder at or prior to the Closing Date or the Option Closing Date, as the case may be.</w:t>
      </w:r>
    </w:p>
    <w:p>
      <w:pPr>
        <w:spacing w:after="0" w:line="208" w:lineRule="exact"/>
        <w:rPr>
          <w:rFonts w:ascii="Arial" w:cs="Arial" w:eastAsia="Arial" w:hAnsi="Arial"/>
          <w:sz w:val="16"/>
          <w:szCs w:val="16"/>
          <w:color w:val="auto"/>
        </w:rPr>
      </w:pPr>
    </w:p>
    <w:p>
      <w:pPr>
        <w:jc w:val="both"/>
        <w:ind w:firstLine="1142"/>
        <w:spacing w:after="0" w:line="257" w:lineRule="auto"/>
        <w:tabs>
          <w:tab w:leader="none" w:pos="1388" w:val="left"/>
        </w:tabs>
        <w:numPr>
          <w:ilvl w:val="1"/>
          <w:numId w:val="137"/>
        </w:numPr>
        <w:rPr>
          <w:rFonts w:ascii="Arial" w:cs="Arial" w:eastAsia="Arial" w:hAnsi="Arial"/>
          <w:sz w:val="18"/>
          <w:szCs w:val="18"/>
          <w:color w:val="auto"/>
        </w:rPr>
      </w:pPr>
      <w:r>
        <w:rPr>
          <w:rFonts w:ascii="Arial" w:cs="Arial" w:eastAsia="Arial" w:hAnsi="Arial"/>
          <w:sz w:val="18"/>
          <w:szCs w:val="18"/>
          <w:i w:val="1"/>
          <w:iCs w:val="1"/>
          <w:color w:val="auto"/>
        </w:rPr>
        <w:t>No Downgrading</w:t>
      </w:r>
      <w:r>
        <w:rPr>
          <w:rFonts w:ascii="Arial" w:cs="Arial" w:eastAsia="Arial" w:hAnsi="Arial"/>
          <w:sz w:val="18"/>
          <w:szCs w:val="18"/>
          <w:color w:val="auto"/>
        </w:rPr>
        <w:t>. Subsequent to the execution and delivery of this Agreement and prior to the Closing Date or the Option Closing Date,</w:t>
      </w:r>
      <w:r>
        <w:rPr>
          <w:rFonts w:ascii="Arial" w:cs="Arial" w:eastAsia="Arial" w:hAnsi="Arial"/>
          <w:sz w:val="18"/>
          <w:szCs w:val="18"/>
          <w:i w:val="1"/>
          <w:iCs w:val="1"/>
          <w:color w:val="auto"/>
        </w:rPr>
        <w:t xml:space="preserve"> </w:t>
      </w:r>
      <w:r>
        <w:rPr>
          <w:rFonts w:ascii="Arial" w:cs="Arial" w:eastAsia="Arial" w:hAnsi="Arial"/>
          <w:sz w:val="18"/>
          <w:szCs w:val="18"/>
          <w:color w:val="auto"/>
        </w:rPr>
        <w:t>as the case may be, there shall not have occurred any downgrading, nor shall any notice have been given of (i) any downgrading, (ii) any intended or potential downgrading, or (iii) any review or possible change that does not indicate an improvement, in the rating accorded any securities of or guaranteed by the Company or any Subsidiary by any “nationally recognized statistical rating organization”, as such term is defined for purposes of Rule 436(g)(2) of the Securities Act Regulations.</w:t>
      </w:r>
    </w:p>
    <w:p>
      <w:pPr>
        <w:spacing w:after="0" w:line="242" w:lineRule="exact"/>
        <w:rPr>
          <w:rFonts w:ascii="Arial" w:cs="Arial" w:eastAsia="Arial" w:hAnsi="Arial"/>
          <w:sz w:val="18"/>
          <w:szCs w:val="18"/>
          <w:color w:val="auto"/>
        </w:rPr>
      </w:pPr>
    </w:p>
    <w:p>
      <w:pPr>
        <w:jc w:val="both"/>
        <w:ind w:firstLine="1142"/>
        <w:spacing w:after="0" w:line="271" w:lineRule="auto"/>
        <w:tabs>
          <w:tab w:leader="none" w:pos="1412" w:val="left"/>
        </w:tabs>
        <w:numPr>
          <w:ilvl w:val="1"/>
          <w:numId w:val="137"/>
        </w:numPr>
        <w:rPr>
          <w:rFonts w:ascii="Arial" w:cs="Arial" w:eastAsia="Arial" w:hAnsi="Arial"/>
          <w:sz w:val="17"/>
          <w:szCs w:val="17"/>
          <w:color w:val="auto"/>
        </w:rPr>
      </w:pPr>
      <w:r>
        <w:rPr>
          <w:rFonts w:ascii="Arial" w:cs="Arial" w:eastAsia="Arial" w:hAnsi="Arial"/>
          <w:sz w:val="17"/>
          <w:szCs w:val="17"/>
          <w:i w:val="1"/>
          <w:iCs w:val="1"/>
          <w:color w:val="auto"/>
        </w:rPr>
        <w:t>No Important Changes</w:t>
      </w:r>
      <w:r>
        <w:rPr>
          <w:rFonts w:ascii="Arial" w:cs="Arial" w:eastAsia="Arial" w:hAnsi="Arial"/>
          <w:sz w:val="17"/>
          <w:szCs w:val="17"/>
          <w:color w:val="auto"/>
        </w:rPr>
        <w:t>. (i) Neither the Company nor any Subsidiary shall have sustained since the date of the latest audited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statements included in the Pricing Prospectus any material loss or interference with its business from fire, explosion, flood or other calamity, whether or not covered by insurance, or from any labor dispute or court or governmental action, order or decree, otherwise than as set forth or contemplated in the Pricing Prospectus, and (ii) since the respective dates as of which information is given in the Registration Statement and the Prospectus, (A) there shall not have been any change in the capital stock or long-term debt of the Company or any Subsidiary, and (B) there shall not have been any Material Adverse Effect, the effect of which, in any such case described in clause (i) or (ii), is in the judgment of the Underwriters so material and adverse as to make it impracticable or inadvisable to proceed with the public offering or the delivery of the Shares being delivered at such Closing Date or Option Closing Date, as the case may be, on the terms and in the manner contemplated in the Pricing Prospectus.</w:t>
      </w:r>
    </w:p>
    <w:p>
      <w:pPr>
        <w:spacing w:after="0" w:line="232" w:lineRule="exact"/>
        <w:rPr>
          <w:rFonts w:ascii="Arial" w:cs="Arial" w:eastAsia="Arial" w:hAnsi="Arial"/>
          <w:sz w:val="17"/>
          <w:szCs w:val="17"/>
          <w:color w:val="auto"/>
        </w:rPr>
      </w:pPr>
    </w:p>
    <w:p>
      <w:pPr>
        <w:ind w:left="1400" w:hanging="258"/>
        <w:spacing w:after="0"/>
        <w:tabs>
          <w:tab w:leader="none" w:pos="1400" w:val="left"/>
        </w:tabs>
        <w:numPr>
          <w:ilvl w:val="1"/>
          <w:numId w:val="137"/>
        </w:numPr>
        <w:rPr>
          <w:rFonts w:ascii="Arial" w:cs="Arial" w:eastAsia="Arial" w:hAnsi="Arial"/>
          <w:sz w:val="16"/>
          <w:szCs w:val="16"/>
          <w:color w:val="auto"/>
        </w:rPr>
      </w:pPr>
      <w:r>
        <w:rPr>
          <w:rFonts w:ascii="Arial" w:cs="Arial" w:eastAsia="Arial" w:hAnsi="Arial"/>
          <w:sz w:val="16"/>
          <w:szCs w:val="16"/>
          <w:i w:val="1"/>
          <w:iCs w:val="1"/>
          <w:color w:val="auto"/>
        </w:rPr>
        <w:t>Officers’ Certificate</w:t>
      </w:r>
      <w:r>
        <w:rPr>
          <w:rFonts w:ascii="Arial" w:cs="Arial" w:eastAsia="Arial" w:hAnsi="Arial"/>
          <w:sz w:val="16"/>
          <w:szCs w:val="16"/>
          <w:color w:val="auto"/>
        </w:rPr>
        <w:t>. The Underwriters shall have received on and as of the Closing Date or the Option Closing Date, as the case may be,</w:t>
      </w:r>
    </w:p>
    <w:p>
      <w:pPr>
        <w:spacing w:after="0" w:line="46" w:lineRule="exact"/>
        <w:rPr>
          <w:rFonts w:ascii="Arial" w:cs="Arial" w:eastAsia="Arial" w:hAnsi="Arial"/>
          <w:sz w:val="16"/>
          <w:szCs w:val="16"/>
          <w:color w:val="auto"/>
        </w:rPr>
      </w:pPr>
    </w:p>
    <w:p>
      <w:pPr>
        <w:jc w:val="both"/>
        <w:ind w:firstLine="8"/>
        <w:spacing w:after="0" w:line="268" w:lineRule="auto"/>
        <w:tabs>
          <w:tab w:leader="none" w:pos="217" w:val="left"/>
        </w:tabs>
        <w:numPr>
          <w:ilvl w:val="0"/>
          <w:numId w:val="138"/>
        </w:numPr>
        <w:rPr>
          <w:rFonts w:ascii="Arial" w:cs="Arial" w:eastAsia="Arial" w:hAnsi="Arial"/>
          <w:sz w:val="17"/>
          <w:szCs w:val="17"/>
          <w:color w:val="auto"/>
        </w:rPr>
      </w:pPr>
      <w:r>
        <w:rPr>
          <w:rFonts w:ascii="Arial" w:cs="Arial" w:eastAsia="Arial" w:hAnsi="Arial"/>
          <w:sz w:val="17"/>
          <w:szCs w:val="17"/>
          <w:color w:val="auto"/>
        </w:rPr>
        <w:t>a certificate of two executive officers of the Company, at least one of whom has specific knowledge about the Company’s financial matters, satisfactory to each Underwriter, to the effect (A) set forth in Section 6(b) (with respect to the respective representations, warranties, agreements and conditions of the Company) and Section 6(c), (B) that none of the situations set forth in clause (i) or (ii) of Section 6(d) shall have occurred, and (C) that no stop order suspending the effectiveness of the Registration Statement has been issued and to the knowledge of the Company, no proceedings for that purpose have been instituted or are pending or contemplated by the Commission, (ii) a certificate of the Selling Shareholders, satisfactory to each Underwriter, to the effect set forth in Section 6(b) (with respect to the respective representations, warranties, agreements and conditions of the Selling Shareholders) and (iii) if any Selling Shareholder is not a U.S. person for U.S. federal income tax purposes, the Company will deliver to each Underwriter (or its agent), on or before the Closing Date, (A) a certificate with respect to the Company’s status as a “United States real property holding corporation,” dated not more than 30 days prior to the Closing Date, as described in Treasury Regulations Sections 1.897-2(h) and 1.1445-2(c)(3), and (B) proof of delivery to the IRS of the required notice, as described in Treasury Regulations 1.897-2(h)(2);</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8" w:right="239" w:bottom="1440" w:gutter="0" w:footer="0" w:header="0"/>
        </w:sectPr>
      </w:pPr>
    </w:p>
    <w:bookmarkStart w:id="222" w:name="page223"/>
    <w:bookmarkEnd w:id="222"/>
    <w:p>
      <w:pPr>
        <w:jc w:val="both"/>
        <w:ind w:firstLine="1142"/>
        <w:spacing w:after="0" w:line="259" w:lineRule="auto"/>
        <w:tabs>
          <w:tab w:leader="none" w:pos="1382" w:val="left"/>
        </w:tabs>
        <w:numPr>
          <w:ilvl w:val="0"/>
          <w:numId w:val="139"/>
        </w:numPr>
        <w:rPr>
          <w:rFonts w:ascii="Arial" w:cs="Arial" w:eastAsia="Arial" w:hAnsi="Arial"/>
          <w:sz w:val="18"/>
          <w:szCs w:val="18"/>
          <w:color w:val="auto"/>
        </w:rPr>
      </w:pPr>
      <w:r>
        <w:rPr>
          <w:rFonts w:ascii="Arial" w:cs="Arial" w:eastAsia="Arial" w:hAnsi="Arial"/>
          <w:sz w:val="18"/>
          <w:szCs w:val="18"/>
          <w:i w:val="1"/>
          <w:iCs w:val="1"/>
          <w:color w:val="auto"/>
        </w:rPr>
        <w:t>Opinion of Counsel for the Company</w:t>
      </w:r>
      <w:r>
        <w:rPr>
          <w:rFonts w:ascii="Arial" w:cs="Arial" w:eastAsia="Arial" w:hAnsi="Arial"/>
          <w:sz w:val="18"/>
          <w:szCs w:val="18"/>
          <w:color w:val="auto"/>
        </w:rPr>
        <w:t>. On the Closing Date or Option Closing Date, as the case may be, Hunton Andrews Kurth LLP,</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counsel for the Company, shall have furnished to the Underwriters their favorable written opinion and negative assurance letter, dated the Closing Date or the Option Closing Date, as the case may be, in form and substance satisfactory to counsel for the Underwriters, to the effect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and to such further effect as counsel for the Underwriters may reasonably request.</w:t>
      </w:r>
    </w:p>
    <w:p>
      <w:pPr>
        <w:spacing w:after="0" w:line="240" w:lineRule="exact"/>
        <w:rPr>
          <w:rFonts w:ascii="Arial" w:cs="Arial" w:eastAsia="Arial" w:hAnsi="Arial"/>
          <w:sz w:val="18"/>
          <w:szCs w:val="18"/>
          <w:color w:val="auto"/>
        </w:rPr>
      </w:pPr>
    </w:p>
    <w:p>
      <w:pPr>
        <w:jc w:val="both"/>
        <w:ind w:firstLine="1142"/>
        <w:spacing w:after="0" w:line="259" w:lineRule="auto"/>
        <w:tabs>
          <w:tab w:leader="none" w:pos="1398" w:val="left"/>
        </w:tabs>
        <w:numPr>
          <w:ilvl w:val="0"/>
          <w:numId w:val="139"/>
        </w:numPr>
        <w:rPr>
          <w:rFonts w:ascii="Arial" w:cs="Arial" w:eastAsia="Arial" w:hAnsi="Arial"/>
          <w:sz w:val="18"/>
          <w:szCs w:val="18"/>
          <w:color w:val="auto"/>
        </w:rPr>
      </w:pPr>
      <w:r>
        <w:rPr>
          <w:rFonts w:ascii="Arial" w:cs="Arial" w:eastAsia="Arial" w:hAnsi="Arial"/>
          <w:sz w:val="18"/>
          <w:szCs w:val="18"/>
          <w:i w:val="1"/>
          <w:iCs w:val="1"/>
          <w:color w:val="auto"/>
        </w:rPr>
        <w:t>Opinion of Counsel for the Selling Shareholders</w:t>
      </w:r>
      <w:r>
        <w:rPr>
          <w:rFonts w:ascii="Arial" w:cs="Arial" w:eastAsia="Arial" w:hAnsi="Arial"/>
          <w:sz w:val="18"/>
          <w:szCs w:val="18"/>
          <w:color w:val="auto"/>
        </w:rPr>
        <w:t>. On the Closing Date or Option Closing Date, as the case may be, Hunton Andrews Kurth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LLP, counsel for the Selling Shareholders, shall have furnished to the Underwriters their favorable written opinion, dated the Closing Date or the Option Closing Date, as the case may be, in form and substance satisfactory to counsel for the Underwriters, to the effect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and to such further effect as counsel for the Underwriters may reasonably request.</w:t>
      </w:r>
    </w:p>
    <w:p>
      <w:pPr>
        <w:spacing w:after="0" w:line="240" w:lineRule="exact"/>
        <w:rPr>
          <w:rFonts w:ascii="Arial" w:cs="Arial" w:eastAsia="Arial" w:hAnsi="Arial"/>
          <w:sz w:val="18"/>
          <w:szCs w:val="18"/>
          <w:color w:val="auto"/>
        </w:rPr>
      </w:pPr>
    </w:p>
    <w:p>
      <w:pPr>
        <w:jc w:val="both"/>
        <w:ind w:firstLine="1142"/>
        <w:spacing w:after="0" w:line="259" w:lineRule="auto"/>
        <w:tabs>
          <w:tab w:leader="none" w:pos="1398" w:val="left"/>
        </w:tabs>
        <w:numPr>
          <w:ilvl w:val="0"/>
          <w:numId w:val="139"/>
        </w:numPr>
        <w:rPr>
          <w:rFonts w:ascii="Arial" w:cs="Arial" w:eastAsia="Arial" w:hAnsi="Arial"/>
          <w:sz w:val="18"/>
          <w:szCs w:val="18"/>
          <w:color w:val="auto"/>
        </w:rPr>
      </w:pPr>
      <w:r>
        <w:rPr>
          <w:rFonts w:ascii="Arial" w:cs="Arial" w:eastAsia="Arial" w:hAnsi="Arial"/>
          <w:sz w:val="18"/>
          <w:szCs w:val="18"/>
          <w:i w:val="1"/>
          <w:iCs w:val="1"/>
          <w:color w:val="auto"/>
        </w:rPr>
        <w:t xml:space="preserve">Auditor’s Comfort Letters. </w:t>
      </w:r>
      <w:r>
        <w:rPr>
          <w:rFonts w:ascii="Arial" w:cs="Arial" w:eastAsia="Arial" w:hAnsi="Arial"/>
          <w:sz w:val="18"/>
          <w:szCs w:val="18"/>
          <w:color w:val="auto"/>
        </w:rPr>
        <w:t>Each of Weaver and Tidwell, L.L.P. and Lam &amp; Company PC shall have furnished to the Underwriters a letter,</w:t>
      </w:r>
      <w:r>
        <w:rPr>
          <w:rFonts w:ascii="Arial" w:cs="Arial" w:eastAsia="Arial" w:hAnsi="Arial"/>
          <w:sz w:val="18"/>
          <w:szCs w:val="18"/>
          <w:i w:val="1"/>
          <w:iCs w:val="1"/>
          <w:color w:val="auto"/>
        </w:rPr>
        <w:t xml:space="preserve"> </w:t>
      </w:r>
      <w:r>
        <w:rPr>
          <w:rFonts w:ascii="Arial" w:cs="Arial" w:eastAsia="Arial" w:hAnsi="Arial"/>
          <w:sz w:val="18"/>
          <w:szCs w:val="18"/>
          <w:color w:val="auto"/>
        </w:rPr>
        <w:t>dated the date of this Agreement, in form and substance satisfactory to the Underwriters, containing statements and information of the type customarily included in accountants’ “comfort letters” to underwriters with respect to the financial statements and certain financial information contained in the Registration Statement, the Pricing Disclosure Package and each Issuer Free Writing Prospectus, if any.</w:t>
      </w:r>
    </w:p>
    <w:p>
      <w:pPr>
        <w:spacing w:after="0" w:line="240" w:lineRule="exact"/>
        <w:rPr>
          <w:rFonts w:ascii="Arial" w:cs="Arial" w:eastAsia="Arial" w:hAnsi="Arial"/>
          <w:sz w:val="18"/>
          <w:szCs w:val="18"/>
          <w:color w:val="auto"/>
        </w:rPr>
      </w:pPr>
    </w:p>
    <w:p>
      <w:pPr>
        <w:jc w:val="both"/>
        <w:ind w:firstLine="1142"/>
        <w:spacing w:after="0" w:line="302" w:lineRule="auto"/>
        <w:tabs>
          <w:tab w:leader="none" w:pos="1358" w:val="left"/>
        </w:tabs>
        <w:numPr>
          <w:ilvl w:val="0"/>
          <w:numId w:val="139"/>
        </w:numPr>
        <w:rPr>
          <w:rFonts w:ascii="Arial" w:cs="Arial" w:eastAsia="Arial" w:hAnsi="Arial"/>
          <w:sz w:val="16"/>
          <w:szCs w:val="16"/>
          <w:color w:val="auto"/>
        </w:rPr>
      </w:pPr>
      <w:r>
        <w:rPr>
          <w:rFonts w:ascii="Arial" w:cs="Arial" w:eastAsia="Arial" w:hAnsi="Arial"/>
          <w:sz w:val="16"/>
          <w:szCs w:val="16"/>
          <w:i w:val="1"/>
          <w:iCs w:val="1"/>
          <w:color w:val="auto"/>
        </w:rPr>
        <w:t>Bring-down Comfort Letters</w:t>
      </w:r>
      <w:r>
        <w:rPr>
          <w:rFonts w:ascii="Arial" w:cs="Arial" w:eastAsia="Arial" w:hAnsi="Arial"/>
          <w:sz w:val="16"/>
          <w:szCs w:val="16"/>
          <w:color w:val="auto"/>
        </w:rPr>
        <w:t>. On the Closing Date or Option Closing Date, as the case may be, the Underwriters shall have received from</w:t>
      </w:r>
      <w:r>
        <w:rPr>
          <w:rFonts w:ascii="Arial" w:cs="Arial" w:eastAsia="Arial" w:hAnsi="Arial"/>
          <w:sz w:val="16"/>
          <w:szCs w:val="16"/>
          <w:i w:val="1"/>
          <w:iCs w:val="1"/>
          <w:color w:val="auto"/>
        </w:rPr>
        <w:t xml:space="preserve"> </w:t>
      </w:r>
      <w:r>
        <w:rPr>
          <w:rFonts w:ascii="Arial" w:cs="Arial" w:eastAsia="Arial" w:hAnsi="Arial"/>
          <w:sz w:val="16"/>
          <w:szCs w:val="16"/>
          <w:color w:val="auto"/>
        </w:rPr>
        <w:t>each of Weaver and Tidwell, L.L.P. and Lam &amp; Company PC a letter, dated the Closing Date or such Option Closing Date, as the case may be, to the effect that it reaffirms the statements made in its letter or letters furnished pursuant to Section 6(h), except that the specified date referred to therein for the carrying out of procedures shall be not more than three business days prior to the Closing Date or such Option Closing Date, as the case may be.</w:t>
      </w:r>
    </w:p>
    <w:p>
      <w:pPr>
        <w:spacing w:after="0" w:line="208" w:lineRule="exact"/>
        <w:rPr>
          <w:rFonts w:ascii="Arial" w:cs="Arial" w:eastAsia="Arial" w:hAnsi="Arial"/>
          <w:sz w:val="16"/>
          <w:szCs w:val="16"/>
          <w:color w:val="auto"/>
        </w:rPr>
      </w:pPr>
    </w:p>
    <w:p>
      <w:pPr>
        <w:jc w:val="both"/>
        <w:ind w:firstLine="1142"/>
        <w:spacing w:after="0" w:line="312" w:lineRule="auto"/>
        <w:tabs>
          <w:tab w:leader="none" w:pos="1358" w:val="left"/>
        </w:tabs>
        <w:numPr>
          <w:ilvl w:val="0"/>
          <w:numId w:val="139"/>
        </w:numPr>
        <w:rPr>
          <w:rFonts w:ascii="Arial" w:cs="Arial" w:eastAsia="Arial" w:hAnsi="Arial"/>
          <w:sz w:val="16"/>
          <w:szCs w:val="16"/>
          <w:color w:val="auto"/>
        </w:rPr>
      </w:pPr>
      <w:r>
        <w:rPr>
          <w:rFonts w:ascii="Arial" w:cs="Arial" w:eastAsia="Arial" w:hAnsi="Arial"/>
          <w:sz w:val="16"/>
          <w:szCs w:val="16"/>
          <w:i w:val="1"/>
          <w:iCs w:val="1"/>
          <w:color w:val="auto"/>
        </w:rPr>
        <w:t>Opinion of Counsel for Underwriters</w:t>
      </w:r>
      <w:r>
        <w:rPr>
          <w:rFonts w:ascii="Arial" w:cs="Arial" w:eastAsia="Arial" w:hAnsi="Arial"/>
          <w:sz w:val="16"/>
          <w:szCs w:val="16"/>
          <w:color w:val="auto"/>
        </w:rPr>
        <w:t>. On each Closing Date and Option Closing Date, the Underwriters shall have received the opinion of</w:t>
      </w:r>
      <w:r>
        <w:rPr>
          <w:rFonts w:ascii="Arial" w:cs="Arial" w:eastAsia="Arial" w:hAnsi="Arial"/>
          <w:sz w:val="16"/>
          <w:szCs w:val="16"/>
          <w:i w:val="1"/>
          <w:iCs w:val="1"/>
          <w:color w:val="auto"/>
        </w:rPr>
        <w:t xml:space="preserve"> </w:t>
      </w:r>
      <w:r>
        <w:rPr>
          <w:rFonts w:ascii="Arial" w:cs="Arial" w:eastAsia="Arial" w:hAnsi="Arial"/>
          <w:sz w:val="16"/>
          <w:szCs w:val="16"/>
          <w:color w:val="auto"/>
        </w:rPr>
        <w:t>Fenimore, Kay, Harrison &amp; Ford, LLP, counsel for the Underwriters in connection with the offer and sale of the Shares, in form and substance satisfactory to the Underwriters, dated as of such date, with executed copies for each of the other Underwriters named on the cover page of the Prospectus.</w:t>
      </w:r>
    </w:p>
    <w:p>
      <w:pPr>
        <w:spacing w:after="0" w:line="200" w:lineRule="exact"/>
        <w:rPr>
          <w:rFonts w:ascii="Arial" w:cs="Arial" w:eastAsia="Arial" w:hAnsi="Arial"/>
          <w:sz w:val="16"/>
          <w:szCs w:val="16"/>
          <w:color w:val="auto"/>
        </w:rPr>
      </w:pPr>
    </w:p>
    <w:p>
      <w:pPr>
        <w:ind w:firstLine="1142"/>
        <w:spacing w:after="0" w:line="277" w:lineRule="auto"/>
        <w:tabs>
          <w:tab w:leader="none" w:pos="1398" w:val="left"/>
        </w:tabs>
        <w:numPr>
          <w:ilvl w:val="0"/>
          <w:numId w:val="139"/>
        </w:numPr>
        <w:rPr>
          <w:rFonts w:ascii="Arial" w:cs="Arial" w:eastAsia="Arial" w:hAnsi="Arial"/>
          <w:sz w:val="18"/>
          <w:szCs w:val="18"/>
          <w:color w:val="auto"/>
        </w:rPr>
      </w:pPr>
      <w:r>
        <w:rPr>
          <w:rFonts w:ascii="Arial" w:cs="Arial" w:eastAsia="Arial" w:hAnsi="Arial"/>
          <w:sz w:val="18"/>
          <w:szCs w:val="18"/>
          <w:i w:val="1"/>
          <w:iCs w:val="1"/>
          <w:color w:val="auto"/>
        </w:rPr>
        <w:t>Approval of Listing</w:t>
      </w:r>
      <w:r>
        <w:rPr>
          <w:rFonts w:ascii="Arial" w:cs="Arial" w:eastAsia="Arial" w:hAnsi="Arial"/>
          <w:sz w:val="18"/>
          <w:szCs w:val="18"/>
          <w:color w:val="auto"/>
        </w:rPr>
        <w:t>. The Shares to be delivered on the Closing Date or Option Closing Date, as the case may be, shall have been approved</w:t>
      </w:r>
      <w:r>
        <w:rPr>
          <w:rFonts w:ascii="Arial" w:cs="Arial" w:eastAsia="Arial" w:hAnsi="Arial"/>
          <w:sz w:val="18"/>
          <w:szCs w:val="18"/>
          <w:i w:val="1"/>
          <w:iCs w:val="1"/>
          <w:color w:val="auto"/>
        </w:rPr>
        <w:t xml:space="preserve"> </w:t>
      </w:r>
      <w:r>
        <w:rPr>
          <w:rFonts w:ascii="Arial" w:cs="Arial" w:eastAsia="Arial" w:hAnsi="Arial"/>
          <w:sz w:val="18"/>
          <w:szCs w:val="18"/>
          <w:color w:val="auto"/>
        </w:rPr>
        <w:t>for listing on Nasdaq, subject to official notice of issuance.</w:t>
      </w:r>
    </w:p>
    <w:p>
      <w:pPr>
        <w:spacing w:after="0" w:line="224" w:lineRule="exact"/>
        <w:rPr>
          <w:rFonts w:ascii="Arial" w:cs="Arial" w:eastAsia="Arial" w:hAnsi="Arial"/>
          <w:sz w:val="18"/>
          <w:szCs w:val="18"/>
          <w:color w:val="auto"/>
        </w:rPr>
      </w:pPr>
    </w:p>
    <w:p>
      <w:pPr>
        <w:ind w:right="20" w:firstLine="1142"/>
        <w:spacing w:after="0" w:line="277" w:lineRule="auto"/>
        <w:tabs>
          <w:tab w:leader="none" w:pos="1372" w:val="left"/>
        </w:tabs>
        <w:numPr>
          <w:ilvl w:val="0"/>
          <w:numId w:val="139"/>
        </w:numPr>
        <w:rPr>
          <w:rFonts w:ascii="Arial" w:cs="Arial" w:eastAsia="Arial" w:hAnsi="Arial"/>
          <w:sz w:val="18"/>
          <w:szCs w:val="18"/>
          <w:color w:val="auto"/>
        </w:rPr>
      </w:pPr>
      <w:r>
        <w:rPr>
          <w:rFonts w:ascii="Arial" w:cs="Arial" w:eastAsia="Arial" w:hAnsi="Arial"/>
          <w:sz w:val="18"/>
          <w:szCs w:val="18"/>
          <w:i w:val="1"/>
          <w:iCs w:val="1"/>
          <w:color w:val="auto"/>
        </w:rPr>
        <w:t>No Objection</w:t>
      </w:r>
      <w:r>
        <w:rPr>
          <w:rFonts w:ascii="Arial" w:cs="Arial" w:eastAsia="Arial" w:hAnsi="Arial"/>
          <w:sz w:val="18"/>
          <w:szCs w:val="18"/>
          <w:color w:val="auto"/>
        </w:rPr>
        <w:t>. FINRA shall have confirmed that it has not raised any objection with respect to the fairness and reasonableness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underwriting terms and conditions.</w:t>
      </w:r>
    </w:p>
    <w:p>
      <w:pPr>
        <w:spacing w:after="0" w:line="224" w:lineRule="exact"/>
        <w:rPr>
          <w:rFonts w:ascii="Arial" w:cs="Arial" w:eastAsia="Arial" w:hAnsi="Arial"/>
          <w:sz w:val="18"/>
          <w:szCs w:val="18"/>
          <w:color w:val="auto"/>
        </w:rPr>
      </w:pPr>
    </w:p>
    <w:p>
      <w:pPr>
        <w:jc w:val="both"/>
        <w:ind w:firstLine="1142"/>
        <w:spacing w:after="0" w:line="264" w:lineRule="auto"/>
        <w:tabs>
          <w:tab w:leader="none" w:pos="1462" w:val="left"/>
        </w:tabs>
        <w:numPr>
          <w:ilvl w:val="0"/>
          <w:numId w:val="139"/>
        </w:numPr>
        <w:rPr>
          <w:rFonts w:ascii="Arial" w:cs="Arial" w:eastAsia="Arial" w:hAnsi="Arial"/>
          <w:sz w:val="18"/>
          <w:szCs w:val="18"/>
          <w:color w:val="auto"/>
        </w:rPr>
      </w:pPr>
      <w:r>
        <w:rPr>
          <w:rFonts w:ascii="Arial" w:cs="Arial" w:eastAsia="Arial" w:hAnsi="Arial"/>
          <w:sz w:val="18"/>
          <w:szCs w:val="18"/>
          <w:i w:val="1"/>
          <w:iCs w:val="1"/>
          <w:color w:val="auto"/>
        </w:rPr>
        <w:t>Lock-Up Agreements</w:t>
      </w:r>
      <w:r>
        <w:rPr>
          <w:rFonts w:ascii="Arial" w:cs="Arial" w:eastAsia="Arial" w:hAnsi="Arial"/>
          <w:sz w:val="18"/>
          <w:szCs w:val="18"/>
          <w:color w:val="auto"/>
        </w:rPr>
        <w:t>. The Underwriters shall have received “lock-up” agreements, each substantially in the form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Exhibit C</w:t>
      </w:r>
      <w:r>
        <w:rPr>
          <w:rFonts w:ascii="Arial" w:cs="Arial" w:eastAsia="Arial" w:hAnsi="Arial"/>
          <w:sz w:val="18"/>
          <w:szCs w:val="18"/>
          <w:i w:val="1"/>
          <w:iCs w:val="1"/>
          <w:color w:val="auto"/>
        </w:rPr>
        <w:t xml:space="preserve"> </w:t>
      </w:r>
      <w:r>
        <w:rPr>
          <w:rFonts w:ascii="Arial" w:cs="Arial" w:eastAsia="Arial" w:hAnsi="Arial"/>
          <w:sz w:val="18"/>
          <w:szCs w:val="18"/>
          <w:color w:val="auto"/>
        </w:rPr>
        <w:t>hereto,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from all the shareholders, officers and directors of the Company listed on </w:t>
      </w:r>
      <w:r>
        <w:rPr>
          <w:rFonts w:ascii="Arial" w:cs="Arial" w:eastAsia="Arial" w:hAnsi="Arial"/>
          <w:sz w:val="18"/>
          <w:szCs w:val="18"/>
          <w:u w:val="single" w:color="auto"/>
          <w:color w:val="auto"/>
        </w:rPr>
        <w:t>Exhibit C-1</w:t>
      </w:r>
      <w:r>
        <w:rPr>
          <w:rFonts w:ascii="Arial" w:cs="Arial" w:eastAsia="Arial" w:hAnsi="Arial"/>
          <w:sz w:val="18"/>
          <w:szCs w:val="18"/>
          <w:color w:val="auto"/>
        </w:rPr>
        <w:t xml:space="preserve"> hereto and such agreements shall be in full force and effect on the Closing Date or Option Closing Date, as the case may be.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23" w:name="page224"/>
    <w:bookmarkEnd w:id="223"/>
    <w:p>
      <w:pPr>
        <w:ind w:firstLine="1142"/>
        <w:spacing w:after="0" w:line="342" w:lineRule="auto"/>
        <w:tabs>
          <w:tab w:leader="none" w:pos="1425" w:val="left"/>
        </w:tabs>
        <w:numPr>
          <w:ilvl w:val="0"/>
          <w:numId w:val="140"/>
        </w:numPr>
        <w:rPr>
          <w:rFonts w:ascii="Arial" w:cs="Arial" w:eastAsia="Arial" w:hAnsi="Arial"/>
          <w:sz w:val="16"/>
          <w:szCs w:val="16"/>
          <w:color w:val="auto"/>
        </w:rPr>
      </w:pPr>
      <w:r>
        <w:rPr>
          <w:rFonts w:ascii="Arial" w:cs="Arial" w:eastAsia="Arial" w:hAnsi="Arial"/>
          <w:sz w:val="16"/>
          <w:szCs w:val="16"/>
          <w:i w:val="1"/>
          <w:iCs w:val="1"/>
          <w:color w:val="auto"/>
        </w:rPr>
        <w:t>Additional Documents</w:t>
      </w:r>
      <w:r>
        <w:rPr>
          <w:rFonts w:ascii="Arial" w:cs="Arial" w:eastAsia="Arial" w:hAnsi="Arial"/>
          <w:sz w:val="16"/>
          <w:szCs w:val="16"/>
          <w:color w:val="auto"/>
        </w:rPr>
        <w:t>. On or prior to the Closing Date or Option Closing Date, as the case may be, the Company and the Selling</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shall have furnished to the Underwriters such further information, certificates and documents as the Underwriters shall reasonably request.</w:t>
      </w:r>
    </w:p>
    <w:p>
      <w:pPr>
        <w:spacing w:after="0" w:line="177" w:lineRule="exact"/>
        <w:rPr>
          <w:rFonts w:ascii="Arial" w:cs="Arial" w:eastAsia="Arial" w:hAnsi="Arial"/>
          <w:sz w:val="16"/>
          <w:szCs w:val="16"/>
          <w:color w:val="auto"/>
        </w:rPr>
      </w:pPr>
    </w:p>
    <w:p>
      <w:pPr>
        <w:jc w:val="both"/>
        <w:ind w:firstLine="1142"/>
        <w:spacing w:after="0" w:line="271" w:lineRule="auto"/>
        <w:tabs>
          <w:tab w:leader="none" w:pos="1398" w:val="left"/>
        </w:tabs>
        <w:numPr>
          <w:ilvl w:val="0"/>
          <w:numId w:val="140"/>
        </w:numPr>
        <w:rPr>
          <w:rFonts w:ascii="Arial" w:cs="Arial" w:eastAsia="Arial" w:hAnsi="Arial"/>
          <w:sz w:val="17"/>
          <w:szCs w:val="17"/>
          <w:color w:val="auto"/>
        </w:rPr>
      </w:pPr>
      <w:r>
        <w:rPr>
          <w:rFonts w:ascii="Arial" w:cs="Arial" w:eastAsia="Arial" w:hAnsi="Arial"/>
          <w:sz w:val="17"/>
          <w:szCs w:val="17"/>
          <w:i w:val="1"/>
          <w:iCs w:val="1"/>
          <w:color w:val="auto"/>
        </w:rPr>
        <w:t>No Termination Events</w:t>
      </w:r>
      <w:r>
        <w:rPr>
          <w:rFonts w:ascii="Arial" w:cs="Arial" w:eastAsia="Arial" w:hAnsi="Arial"/>
          <w:sz w:val="17"/>
          <w:szCs w:val="17"/>
          <w:color w:val="auto"/>
        </w:rPr>
        <w:t>. On or after the Applicable Time there shall not have occurred any of the following: (i) a suspension or material</w:t>
      </w:r>
      <w:r>
        <w:rPr>
          <w:rFonts w:ascii="Arial" w:cs="Arial" w:eastAsia="Arial" w:hAnsi="Arial"/>
          <w:sz w:val="17"/>
          <w:szCs w:val="17"/>
          <w:i w:val="1"/>
          <w:iCs w:val="1"/>
          <w:color w:val="auto"/>
        </w:rPr>
        <w:t xml:space="preserve"> </w:t>
      </w:r>
      <w:r>
        <w:rPr>
          <w:rFonts w:ascii="Arial" w:cs="Arial" w:eastAsia="Arial" w:hAnsi="Arial"/>
          <w:sz w:val="17"/>
          <w:szCs w:val="17"/>
          <w:color w:val="auto"/>
        </w:rPr>
        <w:t>limitation in trading in securities generally on Nasdaq, (ii) a suspension or material limitation in trading in the Company’s securities on Nasdaq, (iii) a general moratorium on commercial banking activities declared by any of Federal or New York State authorities or a material disruption in commercial banking or securities settlement or clearance services in the United States, (iv) the outbreak or escalation of hostilities involving the United States or the declaration by the United States of a national emergency or war, or (v) the occurrence of any other calamity or crisis or any change in financial, political or economic conditions in the United States or elsewhere, if the effect of any such event specified in either of clauses (iv) or (v) in the judgment of the Underwriters makes it impracticable or inadvisable to proceed with the public offering or the delivery of the Shares being delivered at such Closing Date or Option Closing Date, as the case may be, on the terms and in the manner contemplated in the Prospectus.</w:t>
      </w:r>
    </w:p>
    <w:p>
      <w:pPr>
        <w:spacing w:after="0" w:line="232" w:lineRule="exact"/>
        <w:rPr>
          <w:rFonts w:ascii="Arial" w:cs="Arial" w:eastAsia="Arial" w:hAnsi="Arial"/>
          <w:sz w:val="17"/>
          <w:szCs w:val="17"/>
          <w:color w:val="auto"/>
        </w:rPr>
      </w:pPr>
    </w:p>
    <w:p>
      <w:pPr>
        <w:jc w:val="both"/>
        <w:ind w:firstLine="1142"/>
        <w:spacing w:after="0" w:line="259" w:lineRule="auto"/>
        <w:tabs>
          <w:tab w:leader="none" w:pos="1412" w:val="left"/>
        </w:tabs>
        <w:numPr>
          <w:ilvl w:val="0"/>
          <w:numId w:val="140"/>
        </w:numPr>
        <w:rPr>
          <w:rFonts w:ascii="Arial" w:cs="Arial" w:eastAsia="Arial" w:hAnsi="Arial"/>
          <w:sz w:val="18"/>
          <w:szCs w:val="18"/>
          <w:color w:val="auto"/>
        </w:rPr>
      </w:pPr>
      <w:r>
        <w:rPr>
          <w:rFonts w:ascii="Arial" w:cs="Arial" w:eastAsia="Arial" w:hAnsi="Arial"/>
          <w:sz w:val="18"/>
          <w:szCs w:val="18"/>
          <w:i w:val="1"/>
          <w:iCs w:val="1"/>
          <w:color w:val="auto"/>
        </w:rPr>
        <w:t>Trademarks</w:t>
      </w:r>
      <w:r>
        <w:rPr>
          <w:rFonts w:ascii="Arial" w:cs="Arial" w:eastAsia="Arial" w:hAnsi="Arial"/>
          <w:sz w:val="18"/>
          <w:szCs w:val="18"/>
          <w:color w:val="auto"/>
        </w:rPr>
        <w:t>. Upon request of any Underwriter, to furnish, or cause to be furnished, to such Underwriter an electronic version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trademarks, servicemarks and corporate logo for use on the website, if any, operated by such Underwriter for the purpose of facilitating the on-line offering of the Shares (the “</w:t>
      </w:r>
      <w:r>
        <w:rPr>
          <w:rFonts w:ascii="Arial" w:cs="Arial" w:eastAsia="Arial" w:hAnsi="Arial"/>
          <w:sz w:val="18"/>
          <w:szCs w:val="18"/>
          <w:b w:val="1"/>
          <w:bCs w:val="1"/>
          <w:color w:val="auto"/>
        </w:rPr>
        <w:t>License</w:t>
      </w:r>
      <w:r>
        <w:rPr>
          <w:rFonts w:ascii="Arial" w:cs="Arial" w:eastAsia="Arial" w:hAnsi="Arial"/>
          <w:sz w:val="18"/>
          <w:szCs w:val="18"/>
          <w:color w:val="auto"/>
        </w:rPr>
        <w:t>”); provided, however, that the License shall be used solely for the purpose described above, is granted without any fee and may not be assigned or transferred.</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If any condition specified in this Section 6 shall not have been fulfilled when and as required to be fulfilled, this Agreement may be terminated, subject to the provisions of Section 13, by the Underwriters by notice to the Company at any time at or prior to the Closing Date or Option Closing Date, as the case may be, and such termination shall be without liability of any party to any other party, except as provided in Section 5, Section 8 and Section 13.</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7. Effective Time of the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Agreement shall become effective upon the execution and delivery hereof by the parties hereto.</w:t>
      </w:r>
    </w:p>
    <w:p>
      <w:pPr>
        <w:spacing w:after="0" w:line="27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8. Indemnification</w:t>
      </w:r>
      <w:r>
        <w:rPr>
          <w:rFonts w:ascii="Arial" w:cs="Arial" w:eastAsia="Arial" w:hAnsi="Arial"/>
          <w:sz w:val="18"/>
          <w:szCs w:val="18"/>
          <w:color w:val="auto"/>
        </w:rPr>
        <w:t>.</w:t>
      </w:r>
    </w:p>
    <w:p>
      <w:pPr>
        <w:spacing w:after="0" w:line="283" w:lineRule="exact"/>
        <w:rPr>
          <w:sz w:val="20"/>
          <w:szCs w:val="20"/>
          <w:color w:val="auto"/>
        </w:rPr>
      </w:pPr>
    </w:p>
    <w:p>
      <w:pPr>
        <w:jc w:val="both"/>
        <w:ind w:firstLine="656"/>
        <w:spacing w:after="0" w:line="259" w:lineRule="auto"/>
        <w:tabs>
          <w:tab w:leader="none" w:pos="902" w:val="left"/>
        </w:tabs>
        <w:numPr>
          <w:ilvl w:val="0"/>
          <w:numId w:val="141"/>
        </w:numPr>
        <w:rPr>
          <w:rFonts w:ascii="Arial" w:cs="Arial" w:eastAsia="Arial" w:hAnsi="Arial"/>
          <w:sz w:val="18"/>
          <w:szCs w:val="18"/>
          <w:color w:val="auto"/>
        </w:rPr>
      </w:pPr>
      <w:r>
        <w:rPr>
          <w:rFonts w:ascii="Arial" w:cs="Arial" w:eastAsia="Arial" w:hAnsi="Arial"/>
          <w:sz w:val="18"/>
          <w:szCs w:val="18"/>
          <w:i w:val="1"/>
          <w:iCs w:val="1"/>
          <w:color w:val="auto"/>
        </w:rPr>
        <w:t>Indemnification of Underwriters by the Company and the Bank</w:t>
      </w:r>
      <w:r>
        <w:rPr>
          <w:rFonts w:ascii="Arial" w:cs="Arial" w:eastAsia="Arial" w:hAnsi="Arial"/>
          <w:sz w:val="18"/>
          <w:szCs w:val="18"/>
          <w:color w:val="auto"/>
        </w:rPr>
        <w:t>. The Company and the Bank, jointly and severally, agree to indemnify and hold</w:t>
      </w:r>
      <w:r>
        <w:rPr>
          <w:rFonts w:ascii="Arial" w:cs="Arial" w:eastAsia="Arial" w:hAnsi="Arial"/>
          <w:sz w:val="18"/>
          <w:szCs w:val="18"/>
          <w:i w:val="1"/>
          <w:iCs w:val="1"/>
          <w:color w:val="auto"/>
        </w:rPr>
        <w:t xml:space="preserve"> </w:t>
      </w:r>
      <w:r>
        <w:rPr>
          <w:rFonts w:ascii="Arial" w:cs="Arial" w:eastAsia="Arial" w:hAnsi="Arial"/>
          <w:sz w:val="18"/>
          <w:szCs w:val="18"/>
          <w:color w:val="auto"/>
        </w:rPr>
        <w:t>harmless each Underwriter, its affiliates (as such term is defined in Rule 501(b) of the Securities Act Regulations (each, an “</w:t>
      </w:r>
      <w:r>
        <w:rPr>
          <w:rFonts w:ascii="Arial" w:cs="Arial" w:eastAsia="Arial" w:hAnsi="Arial"/>
          <w:sz w:val="18"/>
          <w:szCs w:val="18"/>
          <w:b w:val="1"/>
          <w:bCs w:val="1"/>
          <w:color w:val="auto"/>
        </w:rPr>
        <w:t>Affiliate</w:t>
      </w:r>
      <w:r>
        <w:rPr>
          <w:rFonts w:ascii="Arial" w:cs="Arial" w:eastAsia="Arial" w:hAnsi="Arial"/>
          <w:sz w:val="18"/>
          <w:szCs w:val="18"/>
          <w:color w:val="auto"/>
        </w:rPr>
        <w:t>”)), selling agents, officers, directors and partners and each person, if any, who controls any Underwriter within the meaning of Section 15 of the Securities Act or Section 20 of the Exchange Act as follows:</w:t>
      </w:r>
    </w:p>
    <w:p>
      <w:pPr>
        <w:spacing w:after="0" w:line="240" w:lineRule="exact"/>
        <w:rPr>
          <w:rFonts w:ascii="Arial" w:cs="Arial" w:eastAsia="Arial" w:hAnsi="Arial"/>
          <w:sz w:val="18"/>
          <w:szCs w:val="18"/>
          <w:color w:val="auto"/>
        </w:rPr>
      </w:pPr>
    </w:p>
    <w:p>
      <w:pPr>
        <w:jc w:val="both"/>
        <w:ind w:left="660" w:firstLine="320"/>
        <w:spacing w:after="0" w:line="271" w:lineRule="auto"/>
        <w:tabs>
          <w:tab w:leader="none" w:pos="1208" w:val="left"/>
        </w:tabs>
        <w:numPr>
          <w:ilvl w:val="1"/>
          <w:numId w:val="141"/>
        </w:numPr>
        <w:rPr>
          <w:rFonts w:ascii="Arial" w:cs="Arial" w:eastAsia="Arial" w:hAnsi="Arial"/>
          <w:sz w:val="17"/>
          <w:szCs w:val="17"/>
          <w:color w:val="auto"/>
        </w:rPr>
      </w:pPr>
      <w:r>
        <w:rPr>
          <w:rFonts w:ascii="Arial" w:cs="Arial" w:eastAsia="Arial" w:hAnsi="Arial"/>
          <w:sz w:val="17"/>
          <w:szCs w:val="17"/>
          <w:color w:val="auto"/>
        </w:rPr>
        <w:t>against any and all loss, liability, claim, damage and expense whatsoever, as incurred, arising out of any untrue statement or alleged untrue statement of a material fact contained in the Registration Statement (or any amendment thereto), including any information deemed to be a part thereof pursuant to Rule 430B, or the omission or alleged omission therefrom of a material fact required to be stated therein or necessary to make the statements therein not misleading or arising out of any untrue statement or alleged untrue statement of a material fact included in any preliminary prospectus, any Issuer Free Writing Prospectus, the Pricing Disclosure Package or the Prospectus (or any amendment or supplement thereto), or the omission or alleged omission in any preliminary prospectus, any Issuer Free Writing Prospectus, the Pricing Disclosure Package or the Prospectus (or any amendment or supplement thereto) of a material fact necessary in order to make the statements therein, in the light of the circumstances under which they were made, not misleading;</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3" w:right="239" w:bottom="1440" w:gutter="0" w:footer="0" w:header="0"/>
        </w:sectPr>
      </w:pPr>
    </w:p>
    <w:bookmarkStart w:id="224" w:name="page225"/>
    <w:bookmarkEnd w:id="224"/>
    <w:p>
      <w:pPr>
        <w:jc w:val="both"/>
        <w:ind w:left="660" w:firstLine="320"/>
        <w:spacing w:after="0" w:line="279" w:lineRule="auto"/>
        <w:tabs>
          <w:tab w:leader="none" w:pos="1285" w:val="left"/>
        </w:tabs>
        <w:numPr>
          <w:ilvl w:val="0"/>
          <w:numId w:val="142"/>
        </w:numPr>
        <w:rPr>
          <w:rFonts w:ascii="Arial" w:cs="Arial" w:eastAsia="Arial" w:hAnsi="Arial"/>
          <w:sz w:val="17"/>
          <w:szCs w:val="17"/>
          <w:color w:val="auto"/>
        </w:rPr>
      </w:pPr>
      <w:r>
        <w:rPr>
          <w:rFonts w:ascii="Arial" w:cs="Arial" w:eastAsia="Arial" w:hAnsi="Arial"/>
          <w:sz w:val="17"/>
          <w:szCs w:val="17"/>
          <w:color w:val="auto"/>
        </w:rPr>
        <w:t>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Section 8(e) hereof) any such settlement is effected with the written consent of the Company, not to be unreasonably withheld;</w:t>
      </w:r>
    </w:p>
    <w:p>
      <w:pPr>
        <w:spacing w:after="0" w:line="225" w:lineRule="exact"/>
        <w:rPr>
          <w:rFonts w:ascii="Arial" w:cs="Arial" w:eastAsia="Arial" w:hAnsi="Arial"/>
          <w:sz w:val="17"/>
          <w:szCs w:val="17"/>
          <w:color w:val="auto"/>
        </w:rPr>
      </w:pPr>
    </w:p>
    <w:p>
      <w:pPr>
        <w:jc w:val="both"/>
        <w:ind w:left="660" w:firstLine="320"/>
        <w:spacing w:after="0" w:line="259" w:lineRule="auto"/>
        <w:tabs>
          <w:tab w:leader="none" w:pos="133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against any and all expense whatsoever, as incurred (including the fees and disbursements of counsel chosen by the Underwriters),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w:t>
      </w:r>
    </w:p>
    <w:p>
      <w:pPr>
        <w:spacing w:after="0" w:line="21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provided, that this indemnity agreement shall not apply to any loss, liability, claim, damage or expense to the extent arising out of any untrue statement or omission or alleged untrue statement or omission made in the Registration Statement (or any amendment thereto), including any information deemed to be a part thereof pursuant to Rule 430B, or in any preliminary prospectus, any Issuer Free Writing Prospectus, the Pricing Disclosure Package or the Prospectus (or any amendment or supplement thereto) in reliance upon and in conformity with the Underwriter Information. Notwithstanding the foregoing, the indemnification obligation of the Bank in this Section 8 shall be limited solely with respect to the Bank to the extent necessary if a Governmental Entity having jurisdiction over the Bank by written communication addressed to the Bank or its board of directors, including in connection with any examination of the Bank, informs the Bank or its board of directors that such Governmental Entity has determined that such indemnification violates Sections 23A or 23B of the Federal Reserve Act, as amended, or another law, rule, or regulation applicable to the Bank or the Company.</w:t>
      </w:r>
    </w:p>
    <w:p>
      <w:pPr>
        <w:spacing w:after="0" w:line="233" w:lineRule="exact"/>
        <w:rPr>
          <w:sz w:val="20"/>
          <w:szCs w:val="20"/>
          <w:color w:val="auto"/>
        </w:rPr>
      </w:pPr>
    </w:p>
    <w:p>
      <w:pPr>
        <w:jc w:val="both"/>
        <w:ind w:firstLine="1142"/>
        <w:spacing w:after="0" w:line="264" w:lineRule="auto"/>
        <w:tabs>
          <w:tab w:leader="none" w:pos="1398" w:val="left"/>
        </w:tabs>
        <w:numPr>
          <w:ilvl w:val="0"/>
          <w:numId w:val="143"/>
        </w:numPr>
        <w:rPr>
          <w:rFonts w:ascii="Arial" w:cs="Arial" w:eastAsia="Arial" w:hAnsi="Arial"/>
          <w:sz w:val="18"/>
          <w:szCs w:val="18"/>
          <w:color w:val="auto"/>
        </w:rPr>
      </w:pPr>
      <w:r>
        <w:rPr>
          <w:rFonts w:ascii="Arial" w:cs="Arial" w:eastAsia="Arial" w:hAnsi="Arial"/>
          <w:sz w:val="18"/>
          <w:szCs w:val="18"/>
          <w:i w:val="1"/>
          <w:iCs w:val="1"/>
          <w:color w:val="auto"/>
        </w:rPr>
        <w:t>Indemnification of Underwriters by Selling Shareholders</w:t>
      </w:r>
      <w:r>
        <w:rPr>
          <w:rFonts w:ascii="Arial" w:cs="Arial" w:eastAsia="Arial" w:hAnsi="Arial"/>
          <w:sz w:val="18"/>
          <w:szCs w:val="18"/>
          <w:color w:val="auto"/>
        </w:rPr>
        <w:t>. The Selling Shareholders, severally and not jointly, agree to indemnify and hold</w:t>
      </w:r>
      <w:r>
        <w:rPr>
          <w:rFonts w:ascii="Arial" w:cs="Arial" w:eastAsia="Arial" w:hAnsi="Arial"/>
          <w:sz w:val="18"/>
          <w:szCs w:val="18"/>
          <w:i w:val="1"/>
          <w:iCs w:val="1"/>
          <w:color w:val="auto"/>
        </w:rPr>
        <w:t xml:space="preserve"> </w:t>
      </w:r>
      <w:r>
        <w:rPr>
          <w:rFonts w:ascii="Arial" w:cs="Arial" w:eastAsia="Arial" w:hAnsi="Arial"/>
          <w:sz w:val="18"/>
          <w:szCs w:val="18"/>
          <w:color w:val="auto"/>
        </w:rPr>
        <w:t>harmless each Underwriter, its Affiliates, selling agents, officers, directors and partners and each person, if any, who controls any Underwriter within the meaning of Section 15 of the Securities Act or Section 20 of the Exchange Act as follows:</w:t>
      </w:r>
    </w:p>
    <w:p>
      <w:pPr>
        <w:spacing w:after="0" w:line="235" w:lineRule="exact"/>
        <w:rPr>
          <w:rFonts w:ascii="Arial" w:cs="Arial" w:eastAsia="Arial" w:hAnsi="Arial"/>
          <w:sz w:val="18"/>
          <w:szCs w:val="18"/>
          <w:color w:val="auto"/>
        </w:rPr>
      </w:pPr>
    </w:p>
    <w:p>
      <w:pPr>
        <w:jc w:val="both"/>
        <w:ind w:firstLine="1467"/>
        <w:spacing w:after="0" w:line="288" w:lineRule="auto"/>
        <w:tabs>
          <w:tab w:leader="none" w:pos="1682" w:val="left"/>
        </w:tabs>
        <w:numPr>
          <w:ilvl w:val="1"/>
          <w:numId w:val="143"/>
        </w:numPr>
        <w:rPr>
          <w:rFonts w:ascii="Arial" w:cs="Arial" w:eastAsia="Arial" w:hAnsi="Arial"/>
          <w:sz w:val="16"/>
          <w:szCs w:val="16"/>
          <w:color w:val="auto"/>
        </w:rPr>
      </w:pPr>
      <w:r>
        <w:rPr>
          <w:rFonts w:ascii="Arial" w:cs="Arial" w:eastAsia="Arial" w:hAnsi="Arial"/>
          <w:sz w:val="16"/>
          <w:szCs w:val="16"/>
          <w:color w:val="auto"/>
        </w:rPr>
        <w:t>against any and all loss, liability, claim, damage and expense whatsoever, as incurred, arising out of any untrue statement or alleged untrue statement of a material fact contained in the Registration Statement (or any amendment thereto), including any information deemed to be a part thereof pursuant to Rule 430B, or the omission or alleged omission therefrom of a material fact required to be stated therein or necessary to make the statements therein not misleading or arising out of any untrue statement or alleged untrue statement of a material fact included in any preliminary prospectus, any Issuer Free Writing Prospectus, the Pricing Disclosure Package or the Prospectus (or any amendment or supplement thereto), or the omission or alleged omission in any preliminary prospectus, any Issuer Free Writing Prospectus, the Pricing Disclosure Package or the Prospectus (or any amendment or supplement thereto) of a material fact necessary in order to make the statements therein, in the light of the circumstances under which they were made, not misleading, in each case to the extent, but only to the extent, that such untrue statement or alleged untrue statement or omission or alleged omission was made in the Registration Statement, any Preliminary Prospectus, the Pricing Prospectus or the Prospectus, or any amendment or supplement thereto or any Issuer Free Writing Prospectus, in reliance upon and in conformity with written information furnished to the Company by such Selling Shareholder expressly for use therein;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25" w:name="page226"/>
    <w:bookmarkEnd w:id="225"/>
    <w:p>
      <w:pPr>
        <w:jc w:val="both"/>
        <w:ind w:firstLine="1467"/>
        <w:spacing w:after="0" w:line="273" w:lineRule="auto"/>
        <w:tabs>
          <w:tab w:leader="none" w:pos="1733" w:val="left"/>
        </w:tabs>
        <w:numPr>
          <w:ilvl w:val="0"/>
          <w:numId w:val="144"/>
        </w:numPr>
        <w:rPr>
          <w:rFonts w:ascii="Arial" w:cs="Arial" w:eastAsia="Arial" w:hAnsi="Arial"/>
          <w:sz w:val="17"/>
          <w:szCs w:val="17"/>
          <w:color w:val="auto"/>
        </w:rPr>
      </w:pPr>
      <w:r>
        <w:rPr>
          <w:rFonts w:ascii="Arial" w:cs="Arial" w:eastAsia="Arial" w:hAnsi="Arial"/>
          <w:sz w:val="17"/>
          <w:szCs w:val="17"/>
          <w:color w:val="auto"/>
        </w:rPr>
        <w:t>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in each case to the extent, but only to the extent, that such untrue statement or alleged untrue statement or omission or alleged omission was made in reliance upon and in conformity with written information furnished to the Company by such Selling Shareholder expressly for use therein; provided that (subject to Section 8(d) hereof) any such settlement is effected with the written consent of the Selling Shareholder, not to be unreasonably withheld;</w:t>
      </w:r>
    </w:p>
    <w:p>
      <w:pPr>
        <w:spacing w:after="0" w:line="232" w:lineRule="exact"/>
        <w:rPr>
          <w:rFonts w:ascii="Arial" w:cs="Arial" w:eastAsia="Arial" w:hAnsi="Arial"/>
          <w:sz w:val="17"/>
          <w:szCs w:val="17"/>
          <w:color w:val="auto"/>
        </w:rPr>
      </w:pPr>
    </w:p>
    <w:p>
      <w:pPr>
        <w:jc w:val="both"/>
        <w:ind w:firstLine="1467"/>
        <w:spacing w:after="0" w:line="293" w:lineRule="auto"/>
        <w:tabs>
          <w:tab w:leader="none" w:pos="1783" w:val="left"/>
        </w:tabs>
        <w:numPr>
          <w:ilvl w:val="0"/>
          <w:numId w:val="144"/>
        </w:numPr>
        <w:rPr>
          <w:rFonts w:ascii="Arial" w:cs="Arial" w:eastAsia="Arial" w:hAnsi="Arial"/>
          <w:sz w:val="16"/>
          <w:szCs w:val="16"/>
          <w:color w:val="auto"/>
        </w:rPr>
      </w:pPr>
      <w:r>
        <w:rPr>
          <w:rFonts w:ascii="Arial" w:cs="Arial" w:eastAsia="Arial" w:hAnsi="Arial"/>
          <w:sz w:val="16"/>
          <w:szCs w:val="16"/>
          <w:color w:val="auto"/>
        </w:rPr>
        <w:t>against any and all expense whatsoever, as incurred (including the fees and disbursements of counsel chosen by the Underwriters),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but only to the extent, that such untrue statement or alleged untrue statement or omission or alleged omission was made in reliance upon and in conformity with written information furnished to the Company by such Selling Shareholder expressly for use therein; provided that (subject to Section 8(d) hereof) any such settlement is effected with the written consent of the Selling Shareholder, to the extent that any such expense is not paid under (i) or (ii) above;</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provided, that this indemnity agreement shall not apply to any loss, liability, claim, damage or expense to the extent arising out of any untrue statement or omission or alleged untrue statement or omission made in the Registration Statement (or any amendment thereto), including any information deemed to be a part thereof pursuant to Rule 430B, or in any preliminary prospectus, any Permitted Written Testing-the-Waters Communications, any Issuer Free Writing Prospectus, the Pricing Disclosure Package or the Prospectus (or any amendment or supplement thereto) in reliance upon and in conformity with the Underwriter Information.</w:t>
      </w:r>
    </w:p>
    <w:p>
      <w:pPr>
        <w:spacing w:after="0" w:line="242" w:lineRule="exact"/>
        <w:rPr>
          <w:sz w:val="20"/>
          <w:szCs w:val="20"/>
          <w:color w:val="auto"/>
        </w:rPr>
      </w:pPr>
    </w:p>
    <w:p>
      <w:pPr>
        <w:jc w:val="both"/>
        <w:ind w:firstLine="1142"/>
        <w:spacing w:after="0" w:line="270" w:lineRule="auto"/>
        <w:tabs>
          <w:tab w:leader="none" w:pos="1388" w:val="left"/>
        </w:tabs>
        <w:numPr>
          <w:ilvl w:val="0"/>
          <w:numId w:val="145"/>
        </w:numPr>
        <w:rPr>
          <w:rFonts w:ascii="Arial" w:cs="Arial" w:eastAsia="Arial" w:hAnsi="Arial"/>
          <w:sz w:val="17"/>
          <w:szCs w:val="17"/>
          <w:color w:val="auto"/>
        </w:rPr>
      </w:pPr>
      <w:r>
        <w:rPr>
          <w:rFonts w:ascii="Arial" w:cs="Arial" w:eastAsia="Arial" w:hAnsi="Arial"/>
          <w:sz w:val="17"/>
          <w:szCs w:val="17"/>
          <w:i w:val="1"/>
          <w:iCs w:val="1"/>
          <w:color w:val="auto"/>
        </w:rPr>
        <w:t>Indemnification of Company, Directors and Officers and Selling Shareholders by the Underwriters</w:t>
      </w:r>
      <w:r>
        <w:rPr>
          <w:rFonts w:ascii="Arial" w:cs="Arial" w:eastAsia="Arial" w:hAnsi="Arial"/>
          <w:sz w:val="17"/>
          <w:szCs w:val="17"/>
          <w:color w:val="auto"/>
        </w:rPr>
        <w:t>. Each Underwriter severally agrees to</w:t>
      </w:r>
      <w:r>
        <w:rPr>
          <w:rFonts w:ascii="Arial" w:cs="Arial" w:eastAsia="Arial" w:hAnsi="Arial"/>
          <w:sz w:val="17"/>
          <w:szCs w:val="17"/>
          <w:i w:val="1"/>
          <w:iCs w:val="1"/>
          <w:color w:val="auto"/>
        </w:rPr>
        <w:t xml:space="preserve"> </w:t>
      </w:r>
      <w:r>
        <w:rPr>
          <w:rFonts w:ascii="Arial" w:cs="Arial" w:eastAsia="Arial" w:hAnsi="Arial"/>
          <w:sz w:val="17"/>
          <w:szCs w:val="17"/>
          <w:color w:val="auto"/>
        </w:rPr>
        <w:t>indemnify and hold harmless the Company, its directors, each of its officers who signed the Registration Statement, the Selling Shareholders and each person, if any, who controls the Company or a Selling Shareholder within the meaning of Section 15 of the Securities Act or Section 20 of the Exchange Act against any and all loss, liability, claim, damage and expense described in the indemnity contained in Section 8(a) hereof, as incurred, but only with respect to untrue statements or omissions, or alleged untrue statements or omissions, made in the Registration Statement (or any amendment thereto), including any information deemed to be a part thereof pursuant to Rule 430B, or in any preliminary prospectus, any Permitted Written Testing-the-Waters Communication, and any Issuer Free Writing Prospectus, the Pricing Disclosure Package or the Prospectus (or any amendment or supplement thereto) in reliance upon and in conformity with the Underwriter Information. Notwithstanding the provisions of this Section 8, no Underwriter shall be required to indemnify any amount in excess of the underwriting discount received by such Underwriter in connection with the Shares underwritten by it and distributed to the public, less any amounts previously paid by such Underwriter pursuant to Section 9.</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26" w:name="page227"/>
    <w:bookmarkEnd w:id="226"/>
    <w:p>
      <w:pPr>
        <w:jc w:val="both"/>
        <w:ind w:firstLine="1142"/>
        <w:spacing w:after="0" w:line="285" w:lineRule="auto"/>
        <w:tabs>
          <w:tab w:leader="none" w:pos="1398" w:val="left"/>
        </w:tabs>
        <w:numPr>
          <w:ilvl w:val="0"/>
          <w:numId w:val="146"/>
        </w:numPr>
        <w:rPr>
          <w:rFonts w:ascii="Arial" w:cs="Arial" w:eastAsia="Arial" w:hAnsi="Arial"/>
          <w:sz w:val="16"/>
          <w:szCs w:val="16"/>
          <w:color w:val="auto"/>
        </w:rPr>
      </w:pPr>
      <w:r>
        <w:rPr>
          <w:rFonts w:ascii="Arial" w:cs="Arial" w:eastAsia="Arial" w:hAnsi="Arial"/>
          <w:sz w:val="16"/>
          <w:szCs w:val="16"/>
          <w:i w:val="1"/>
          <w:iCs w:val="1"/>
          <w:color w:val="auto"/>
        </w:rPr>
        <w:t>Actions against Parties; Notification</w:t>
      </w:r>
      <w:r>
        <w:rPr>
          <w:rFonts w:ascii="Arial" w:cs="Arial" w:eastAsia="Arial" w:hAnsi="Arial"/>
          <w:sz w:val="16"/>
          <w:szCs w:val="16"/>
          <w:color w:val="auto"/>
        </w:rPr>
        <w:t>. Each indemnified party shall give notice as promptly as reasonably practicable to each indemnifying</w:t>
      </w:r>
      <w:r>
        <w:rPr>
          <w:rFonts w:ascii="Arial" w:cs="Arial" w:eastAsia="Arial" w:hAnsi="Arial"/>
          <w:sz w:val="16"/>
          <w:szCs w:val="16"/>
          <w:i w:val="1"/>
          <w:iCs w:val="1"/>
          <w:color w:val="auto"/>
        </w:rPr>
        <w:t xml:space="preserve"> </w:t>
      </w:r>
      <w:r>
        <w:rPr>
          <w:rFonts w:ascii="Arial" w:cs="Arial" w:eastAsia="Arial" w:hAnsi="Arial"/>
          <w:sz w:val="16"/>
          <w:szCs w:val="16"/>
          <w:color w:val="auto"/>
        </w:rPr>
        <w:t>party of any 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In the case of parties indemnified pursuant to Section 8(a) or Section 8(b) hereof, counsel to the indemnified parties shall be selected by the Underwriters, and, in the case of parties indemnified pursuant to Section 8(c) hereof, counsel to the indemnified parties shall be selected by the Company. An indemnifying party may participate at its own expense in the defense of any such action; provided, that counsel to the indemnifying party shall not (except with the prior written consent of the indemnified party) also be counsel to the indemnified party. In any action the defense of which is assumed by the indemnifying party pursuant to this Agreement, an indemnified party shall have the right to participate in such action and to retain its own counsel at the expense of such indemnified party, except that the fees and expenses of such counsel shall be borne by the indemnifying party if (i) the indemnifying party and such indemnified party shall have mutually agreed in writing to the retention of such counsel, (ii) the indemnifying party shall have failed in a timely manner to assume the defense and employ counsel reasonably satisfactory to the indemnified party in such action, or (iii) the indemnified party reasonably determines that defenses may be available to the indemnified party which are not available to the indemnifying party or may not be consistent with the best interests of the indemnifying party.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8 or Section 9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spacing w:after="0" w:line="200" w:lineRule="exact"/>
        <w:rPr>
          <w:rFonts w:ascii="Arial" w:cs="Arial" w:eastAsia="Arial" w:hAnsi="Arial"/>
          <w:sz w:val="16"/>
          <w:szCs w:val="16"/>
          <w:color w:val="auto"/>
        </w:rPr>
      </w:pPr>
    </w:p>
    <w:p>
      <w:pPr>
        <w:spacing w:after="0" w:line="238" w:lineRule="exact"/>
        <w:rPr>
          <w:rFonts w:ascii="Arial" w:cs="Arial" w:eastAsia="Arial" w:hAnsi="Arial"/>
          <w:sz w:val="16"/>
          <w:szCs w:val="16"/>
          <w:color w:val="auto"/>
        </w:rPr>
      </w:pPr>
    </w:p>
    <w:p>
      <w:pPr>
        <w:jc w:val="both"/>
        <w:ind w:firstLine="1142"/>
        <w:spacing w:after="0" w:line="255" w:lineRule="auto"/>
        <w:tabs>
          <w:tab w:leader="none" w:pos="1402" w:val="left"/>
        </w:tabs>
        <w:numPr>
          <w:ilvl w:val="0"/>
          <w:numId w:val="146"/>
        </w:numPr>
        <w:rPr>
          <w:rFonts w:ascii="Arial" w:cs="Arial" w:eastAsia="Arial" w:hAnsi="Arial"/>
          <w:sz w:val="18"/>
          <w:szCs w:val="18"/>
          <w:color w:val="auto"/>
        </w:rPr>
      </w:pPr>
      <w:r>
        <w:rPr>
          <w:rFonts w:ascii="Arial" w:cs="Arial" w:eastAsia="Arial" w:hAnsi="Arial"/>
          <w:sz w:val="18"/>
          <w:szCs w:val="18"/>
          <w:i w:val="1"/>
          <w:iCs w:val="1"/>
          <w:color w:val="auto"/>
        </w:rPr>
        <w:t>Settlement without Consent if Failure to Reimburse</w:t>
      </w:r>
      <w:r>
        <w:rPr>
          <w:rFonts w:ascii="Arial" w:cs="Arial" w:eastAsia="Arial" w:hAnsi="Arial"/>
          <w:sz w:val="18"/>
          <w:szCs w:val="18"/>
          <w:color w:val="auto"/>
        </w:rPr>
        <w:t>. If at any time an indemnified party shall have requested an indemnifying party to</w:t>
      </w:r>
      <w:r>
        <w:rPr>
          <w:rFonts w:ascii="Arial" w:cs="Arial" w:eastAsia="Arial" w:hAnsi="Arial"/>
          <w:sz w:val="18"/>
          <w:szCs w:val="18"/>
          <w:i w:val="1"/>
          <w:iCs w:val="1"/>
          <w:color w:val="auto"/>
        </w:rPr>
        <w:t xml:space="preserve"> </w:t>
      </w:r>
      <w:r>
        <w:rPr>
          <w:rFonts w:ascii="Arial" w:cs="Arial" w:eastAsia="Arial" w:hAnsi="Arial"/>
          <w:sz w:val="18"/>
          <w:szCs w:val="18"/>
          <w:color w:val="auto"/>
        </w:rPr>
        <w:t>reimburse the indemnified party for fees and expenses of counsel, such indemnifying party agrees that it shall be liable for any settlement of the nature contemplated by Section 8(a)(ii) effected without its written consent if (i) such settlement is entered into more than 60 days after receipt by such indemnifying party of the aforesaid request, (ii) such indemnifying party shall have received notice of the terms of such settlement at least 45 days prior to such settlement being entered into and (iii) such indemnifying party shall not have reimbursed such indemnified party in accordance with such request prior to the date of such settlement.</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9. Contribution.</w:t>
      </w:r>
    </w:p>
    <w:p>
      <w:pPr>
        <w:spacing w:after="0" w:line="256" w:lineRule="exact"/>
        <w:rPr>
          <w:sz w:val="20"/>
          <w:szCs w:val="20"/>
          <w:color w:val="auto"/>
        </w:rPr>
      </w:pPr>
    </w:p>
    <w:p>
      <w:pPr>
        <w:jc w:val="both"/>
        <w:ind w:left="80" w:firstLine="567"/>
        <w:spacing w:after="0" w:line="271" w:lineRule="auto"/>
        <w:rPr>
          <w:sz w:val="20"/>
          <w:szCs w:val="20"/>
          <w:color w:val="auto"/>
        </w:rPr>
      </w:pPr>
      <w:r>
        <w:rPr>
          <w:rFonts w:ascii="Arial" w:cs="Arial" w:eastAsia="Arial" w:hAnsi="Arial"/>
          <w:sz w:val="17"/>
          <w:szCs w:val="17"/>
          <w:color w:val="auto"/>
        </w:rPr>
        <w:t>If the indemnification provided for in Section 8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the Bank and the Selling Shareholders, on the one hand, and the Underwriters, on the other hand, from the offering of the Shares pursuant to this Agreement or (ii) if the allocation provided by clause (i) is not permitted by applicable law, in such proportion as is appropriate to reflect not only the relative benefits referred to in clause (i) above but also the relative fault of the Company, the Bank and the Selling Shareholders, on the one hand, and the Underwriters, on the other hand, in connection with the statements or omissions which resulted in such losses, liabilities, claims, damages or expenses, as well as any other relevant equitable considerations.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27" w:name="page228"/>
    <w:bookmarkEnd w:id="227"/>
    <w:p>
      <w:pPr>
        <w:jc w:val="both"/>
        <w:ind w:firstLine="648"/>
        <w:spacing w:after="0" w:line="276" w:lineRule="auto"/>
        <w:rPr>
          <w:sz w:val="20"/>
          <w:szCs w:val="20"/>
          <w:color w:val="auto"/>
        </w:rPr>
      </w:pPr>
      <w:r>
        <w:rPr>
          <w:rFonts w:ascii="Arial" w:cs="Arial" w:eastAsia="Arial" w:hAnsi="Arial"/>
          <w:sz w:val="17"/>
          <w:szCs w:val="17"/>
          <w:color w:val="auto"/>
        </w:rPr>
        <w:t>The relative benefits received by the Company, the Bank and the Selling Shareholders, on the one hand, and the Underwriters, on the other hand, in connection with the offering of the Shares pursuant to this Agreement shall be deemed to be in the same respective proportions as the total net proceeds from the offering of the Shares pursuant to this Agreement (before deducting expenses) received by the Company, the Bank and the Selling Shareholders, on the one hand, and the total underwriting discount received by the Underwriters, on the other hand, in each case as set forth on the cover of the Prospectus, bear to the aggregate initial public offering price of the Shares as set forth on the cover of the Prospectus.</w:t>
      </w:r>
    </w:p>
    <w:p>
      <w:pPr>
        <w:spacing w:after="0" w:line="20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relative fault of the Company, the Bank and the Selling Shareholders,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the Bank, and the Selling Shareholders or by the Underwriters and the parties’ relative intent, knowledge, access to information and opportunity to correct or prevent such statement or omission.</w:t>
      </w:r>
    </w:p>
    <w:p>
      <w:pPr>
        <w:spacing w:after="0" w:line="19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the Bank, the Selling Shareholders and the Underwriters agree that it would not be just and equitable if contribution pursuant to this Section 9 were determined by pro rata allocation (even if the Underwriters were treated as one entity for such purpose) or by any other method of allocation which does not take account of the equitable considerations referred to above in this Section 9. The aggregate amount of losses, liabilities, claims, damages and expenses incurred by an indemnified party and referred to above in this Section 9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19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Notwithstanding the provisions of this Section 9, no Underwriter shall be required to contribute any amount in excess of the underwriting discount received by such Underwriter in connection with the Shares underwritten by it and distributed to the public, less any amounts previously paid by such Underwriter pursuant to Section 8(c).</w:t>
      </w:r>
    </w:p>
    <w:p>
      <w:pPr>
        <w:spacing w:after="0" w:line="20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No person guilty of fraudulent misrepresentation (within the meaning of Section 11(f) of the Securities Act) shall be entitled to contribution from any person who was not guilty of such fraudulent misrepresentation. The Underwriters’ respective obligations to contribute pursuant to this Section 9 are several in proportion to the number of Firm Shares set forth opposite their respective names in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 and not joint.</w:t>
      </w:r>
    </w:p>
    <w:p>
      <w:pPr>
        <w:spacing w:after="0" w:line="1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For purposes of this Section 9, each person, if any, who controls an Underwriter within the meaning of Section 15 of the Securities Act or Section 20 of the Exchange Act and each Underwriter’s Affiliates, officers, directors and selling agents shall have the same rights to contribution as such Underwriter, and each director of the Company, each officer of the Company who signed the Registration Statement, and each person, if any, who controls the Company or a Selling Shareholder within the meaning of Section 15 of the Securities Act or Section 20 of the Exchange Act shall have the same rights to contribution as the Company or such Selling Shareholder. Notwithstanding the foregoing, the contribution obligations of the Bank in this Section 9 shall be limited solely with respect to the Bank to the extent necessary if a Governmental Entity having jurisdiction over the Bank by written communication addressed to the Bank or its board of directors, including in connection with any examination of the Bank, informs the Bank or its board of directors that such Governmental Entity has determined that such contribution violates Sections 23A or 23B of the Federal Reserve Act, as amended, or another law, rule, or regulation applicable to the Bank or the Company.</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8" w:name="page229"/>
    <w:bookmarkEnd w:id="228"/>
    <w:p>
      <w:pPr>
        <w:ind w:left="660"/>
        <w:spacing w:after="0"/>
        <w:rPr>
          <w:sz w:val="20"/>
          <w:szCs w:val="20"/>
          <w:color w:val="auto"/>
        </w:rPr>
      </w:pPr>
      <w:r>
        <w:rPr>
          <w:rFonts w:ascii="Arial" w:cs="Arial" w:eastAsia="Arial" w:hAnsi="Arial"/>
          <w:sz w:val="18"/>
          <w:szCs w:val="18"/>
          <w:b w:val="1"/>
          <w:bCs w:val="1"/>
          <w:color w:val="auto"/>
        </w:rPr>
        <w:t>Section 10. Defaulting Underwriter.</w:t>
      </w:r>
    </w:p>
    <w:p>
      <w:pPr>
        <w:spacing w:after="0" w:line="283" w:lineRule="exact"/>
        <w:rPr>
          <w:sz w:val="20"/>
          <w:szCs w:val="20"/>
          <w:color w:val="auto"/>
        </w:rPr>
      </w:pPr>
    </w:p>
    <w:p>
      <w:pPr>
        <w:jc w:val="both"/>
        <w:ind w:left="80" w:firstLine="576"/>
        <w:spacing w:after="0" w:line="287" w:lineRule="auto"/>
        <w:tabs>
          <w:tab w:leader="none" w:pos="914" w:val="left"/>
        </w:tabs>
        <w:numPr>
          <w:ilvl w:val="0"/>
          <w:numId w:val="147"/>
        </w:numPr>
        <w:rPr>
          <w:rFonts w:ascii="Arial" w:cs="Arial" w:eastAsia="Arial" w:hAnsi="Arial"/>
          <w:sz w:val="16"/>
          <w:szCs w:val="16"/>
          <w:color w:val="auto"/>
        </w:rPr>
      </w:pPr>
      <w:r>
        <w:rPr>
          <w:rFonts w:ascii="Arial" w:cs="Arial" w:eastAsia="Arial" w:hAnsi="Arial"/>
          <w:sz w:val="16"/>
          <w:szCs w:val="16"/>
          <w:color w:val="auto"/>
        </w:rPr>
        <w:t>If any Underwriter or Underwriters default in its or their obligations to purchase Shares hereunder on the Closing Date or any Option Closing Date and the aggregate number of Shares that such defaulting Underwriter or Underwriters agreed but failed to purchase does not exceed 10% of the total number of Shares that the Underwriters are obligated to purchase on such Closing Date or Option Closing Date, as the case may be, the Underwriters may make arrangements satisfactory to the Company and the Selling Shareholders for the purchase of such Shares by other persons, including any of the Underwriters, but if no such arrangements are made by such Closing Date or Option Closing Date, as the case may be, the non-defaulting Underwriters shall be obligated severally, in proportion to their respective commitments hereunder, to purchase the Shares that such defaulting Underwriters agreed but failed to purchase on such Closing Date or Option Closing Date, as the case may be. If any Underwriter or Underwriters so default and the aggregate number of Shares with respect to which such default or defaults occur exceeds 10% of the total number of Shares that the Underwriters are obligated to purchase on such Closing Date or Option Closing Date, as the case may be, and arrangements satisfactory to the Underwriters, the Company and the Selling Shareholders for the purchase of such Shares by other persons are not made within 36 hours after such default, this Agreement will terminate, subject to the provisions of Section 13, without liability on the part of any non-defaulting Underwriter, the Company or the Selling Shareholders, except as provided in Section 13. Nothing herein will relieve a defaulting Underwriter from liability for its default.</w:t>
      </w:r>
    </w:p>
    <w:p>
      <w:pPr>
        <w:spacing w:after="0" w:line="222" w:lineRule="exact"/>
        <w:rPr>
          <w:rFonts w:ascii="Arial" w:cs="Arial" w:eastAsia="Arial" w:hAnsi="Arial"/>
          <w:sz w:val="16"/>
          <w:szCs w:val="16"/>
          <w:color w:val="auto"/>
        </w:rPr>
      </w:pPr>
    </w:p>
    <w:p>
      <w:pPr>
        <w:jc w:val="both"/>
        <w:ind w:firstLine="656"/>
        <w:spacing w:after="0" w:line="259" w:lineRule="auto"/>
        <w:tabs>
          <w:tab w:leader="none" w:pos="912"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In the event of any such default which does not result in a termination of this Agreement, either the Underwriters or the Company shall have the right to postpone the Closing Date or the relevant Option Closing Date, as the case may be, for a period not exceeding seven days, in order to effect any required changes to the Registration Statement or Prospectus or any other documents or arrangements. As used in this Agreement, the term “Underwriter” includes any person substituted for an Underwriter under this Section 10.</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11. Defaulting Selling Shareholder.</w:t>
      </w:r>
    </w:p>
    <w:p>
      <w:pPr>
        <w:spacing w:after="0" w:line="256" w:lineRule="exact"/>
        <w:rPr>
          <w:sz w:val="20"/>
          <w:szCs w:val="20"/>
          <w:color w:val="auto"/>
        </w:rPr>
      </w:pPr>
    </w:p>
    <w:p>
      <w:pPr>
        <w:jc w:val="both"/>
        <w:ind w:left="80" w:firstLine="567"/>
        <w:spacing w:after="0" w:line="253" w:lineRule="auto"/>
        <w:rPr>
          <w:sz w:val="20"/>
          <w:szCs w:val="20"/>
          <w:color w:val="auto"/>
        </w:rPr>
      </w:pPr>
      <w:r>
        <w:rPr>
          <w:rFonts w:ascii="Arial" w:cs="Arial" w:eastAsia="Arial" w:hAnsi="Arial"/>
          <w:sz w:val="18"/>
          <w:szCs w:val="18"/>
          <w:color w:val="auto"/>
        </w:rPr>
        <w:t>If one or more of the Selling Shareholders shall fail to sell and deliver to the Underwriters the Shares to be sold and delivered by such Selling Shareholders at the Closing Date pursuant to this Agreement, then the Underwriters may at their option, by written notice from the Underwriters to the Company and the Selling Shareholders, either (a) terminate this Agreement without any liability on the part of any Underwriter or, except as provided in Section 5, Section 8 or Section 13 hereof, the Company, the Bank or the other Selling Shareholders, or (b) purchase the shares which the Company and other Selling Shareholders have agreed to sell and deliver in accordance with the terms hereof. If one or more of the Selling Shareholders shall fail to sell and deliver to the Underwriters the Shares to be sold and delivered by such Selling Shareholders pursuant to this Agreement at the Closing Date, then the Underwriters shall have the right, by written notice from the Underwriters to the Company and the Selling Shareholders, to postpone the Closing Date for a period not exceeding seven days in order to effect any required changes, to the Registration Statement or the Prospectus or any other documents or arrangements may be effected.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8" w:right="239" w:bottom="1440" w:gutter="0" w:footer="0" w:header="0"/>
        </w:sectPr>
      </w:pPr>
    </w:p>
    <w:bookmarkStart w:id="229" w:name="page230"/>
    <w:bookmarkEnd w:id="229"/>
    <w:p>
      <w:pPr>
        <w:ind w:left="660"/>
        <w:spacing w:after="0"/>
        <w:rPr>
          <w:sz w:val="20"/>
          <w:szCs w:val="20"/>
          <w:color w:val="auto"/>
        </w:rPr>
      </w:pPr>
      <w:r>
        <w:rPr>
          <w:rFonts w:ascii="Arial" w:cs="Arial" w:eastAsia="Arial" w:hAnsi="Arial"/>
          <w:sz w:val="18"/>
          <w:szCs w:val="18"/>
          <w:b w:val="1"/>
          <w:bCs w:val="1"/>
          <w:color w:val="auto"/>
        </w:rPr>
        <w:t>Section 12. Termination.</w:t>
      </w:r>
    </w:p>
    <w:p>
      <w:pPr>
        <w:spacing w:after="0" w:line="256" w:lineRule="exact"/>
        <w:rPr>
          <w:sz w:val="20"/>
          <w:szCs w:val="20"/>
          <w:color w:val="auto"/>
        </w:rPr>
      </w:pPr>
    </w:p>
    <w:p>
      <w:pPr>
        <w:jc w:val="both"/>
        <w:ind w:left="80" w:firstLine="567"/>
        <w:spacing w:after="0" w:line="286" w:lineRule="auto"/>
        <w:rPr>
          <w:sz w:val="20"/>
          <w:szCs w:val="20"/>
          <w:color w:val="auto"/>
        </w:rPr>
      </w:pPr>
      <w:r>
        <w:rPr>
          <w:rFonts w:ascii="Arial" w:cs="Arial" w:eastAsia="Arial" w:hAnsi="Arial"/>
          <w:sz w:val="16"/>
          <w:szCs w:val="16"/>
          <w:color w:val="auto"/>
        </w:rPr>
        <w:t>Notwithstanding anything herein contained, this Agreement (or the obligations of the several Underwriters with respect to any Option Shares which have yet to be purchased) may be terminated, subject to the provisions of Section 13, in the absolute discretion of the Underwriters, by notice given to the Company and the Selling Shareholders, if after the execution and delivery of this Agreement and prior to the Closing Date or the Option Closing Date, as the case may be, (a) trading generally on the NYSE or on the Nasdaq shall have been suspended or materially limited, or minimum or maximum prices for trading have been fixed, or maximum ranges for prices have been required, by any of said exchanges or by such system or by order of the Commission, FINRA or any other governmental or regulatory authority, (b) trading of any securities of or guaranteed by the Company or any Subsidiary shall have been suspended on any exchange or in any over-the-counter market, (c) a general moratorium on commercial banking activities in New York shall have been declared by Federal or New York State authorities or a new restriction materially adversely affecting the distribution of the Firm Shares or the Option Shares, as the case may be, shall have become effective, (d)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or (e) there has occurred any other Material Adverse Effect, in each case the effect of which is such as to make it, in the judgment of the Underwriters, impracticable to market the Shares to be delivered on the Closing Date or Option Closing Date, as the case may be, or to enforce contracts for the sale of the Shares.</w:t>
      </w:r>
    </w:p>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this Agreement is terminated pursuant to this Section 12, such termination will be without liability of any party to any other party except as provided in Section 5 and Section 13 hereof; provided, that the provisions of Section 8 and Section 9 shall at all times be effective and shall survive such termination.</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13. Effect of Termination.</w:t>
      </w:r>
    </w:p>
    <w:p>
      <w:pPr>
        <w:spacing w:after="0" w:line="283" w:lineRule="exact"/>
        <w:rPr>
          <w:sz w:val="20"/>
          <w:szCs w:val="20"/>
          <w:color w:val="auto"/>
        </w:rPr>
      </w:pPr>
    </w:p>
    <w:p>
      <w:pPr>
        <w:jc w:val="both"/>
        <w:ind w:firstLine="1142"/>
        <w:spacing w:after="0" w:line="279" w:lineRule="auto"/>
        <w:tabs>
          <w:tab w:leader="none" w:pos="1402" w:val="left"/>
        </w:tabs>
        <w:numPr>
          <w:ilvl w:val="1"/>
          <w:numId w:val="148"/>
        </w:numPr>
        <w:rPr>
          <w:rFonts w:ascii="Arial" w:cs="Arial" w:eastAsia="Arial" w:hAnsi="Arial"/>
          <w:sz w:val="17"/>
          <w:szCs w:val="17"/>
          <w:color w:val="auto"/>
        </w:rPr>
      </w:pPr>
      <w:r>
        <w:rPr>
          <w:rFonts w:ascii="Arial" w:cs="Arial" w:eastAsia="Arial" w:hAnsi="Arial"/>
          <w:sz w:val="17"/>
          <w:szCs w:val="17"/>
          <w:color w:val="auto"/>
        </w:rPr>
        <w:t>The respective indemnities, agreements, representations, warranties and other statements of the Company or its officers, of the Selling Shareholders and of the several Underwriters set forth in or made pursuant to this Agreement will remain in full force and effect, regardless of any investigation, or statement as to the results thereof, made by or on behalf of any Underwriter, the Company, any Selling Shareholder, or any of their respective representatives, officers or directors or any controlling person, and will survive delivery of and payment for the Shares.</w:t>
      </w:r>
    </w:p>
    <w:p>
      <w:pPr>
        <w:spacing w:after="0" w:line="225" w:lineRule="exact"/>
        <w:rPr>
          <w:rFonts w:ascii="Arial" w:cs="Arial" w:eastAsia="Arial" w:hAnsi="Arial"/>
          <w:sz w:val="17"/>
          <w:szCs w:val="17"/>
          <w:color w:val="auto"/>
        </w:rPr>
      </w:pPr>
    </w:p>
    <w:p>
      <w:pPr>
        <w:jc w:val="both"/>
        <w:ind w:firstLine="1142"/>
        <w:spacing w:after="0" w:line="276" w:lineRule="auto"/>
        <w:tabs>
          <w:tab w:leader="none" w:pos="1398" w:val="left"/>
        </w:tabs>
        <w:numPr>
          <w:ilvl w:val="1"/>
          <w:numId w:val="148"/>
        </w:numPr>
        <w:rPr>
          <w:rFonts w:ascii="Arial" w:cs="Arial" w:eastAsia="Arial" w:hAnsi="Arial"/>
          <w:sz w:val="17"/>
          <w:szCs w:val="17"/>
          <w:color w:val="auto"/>
        </w:rPr>
      </w:pPr>
      <w:r>
        <w:rPr>
          <w:rFonts w:ascii="Arial" w:cs="Arial" w:eastAsia="Arial" w:hAnsi="Arial"/>
          <w:sz w:val="17"/>
          <w:szCs w:val="17"/>
          <w:color w:val="auto"/>
        </w:rPr>
        <w:t>If this Agreement is terminated pursuant to Section 6, Section 10 or Section 12 or if for any reason the purchase of any of the Shares by the Underwriters is not consummated, the Company and the Selling Shareholders shall remain responsible for the expenses to be paid or reimbursed by them pursuant to Section 5, the respective obligations of the Company, the Selling Shareholders and the Underwriters pursuant to Section 8 and Section 9 and the provisions of Section 10 and Section 12 shall remain in effect and, if any Shares have been purchased hereunder, the representations and warranties in Section 1 and all obligations under Section 5, Section 6, Section 8 and Section 9 shall also remain in effect.</w:t>
      </w:r>
    </w:p>
    <w:p>
      <w:pPr>
        <w:spacing w:after="0" w:line="226" w:lineRule="exact"/>
        <w:rPr>
          <w:rFonts w:ascii="Arial" w:cs="Arial" w:eastAsia="Arial" w:hAnsi="Arial"/>
          <w:sz w:val="17"/>
          <w:szCs w:val="17"/>
          <w:color w:val="auto"/>
        </w:rPr>
      </w:pPr>
    </w:p>
    <w:p>
      <w:pPr>
        <w:jc w:val="both"/>
        <w:ind w:firstLine="1142"/>
        <w:spacing w:after="0" w:line="273" w:lineRule="auto"/>
        <w:tabs>
          <w:tab w:leader="none" w:pos="1388" w:val="left"/>
        </w:tabs>
        <w:numPr>
          <w:ilvl w:val="1"/>
          <w:numId w:val="148"/>
        </w:numPr>
        <w:rPr>
          <w:rFonts w:ascii="Arial" w:cs="Arial" w:eastAsia="Arial" w:hAnsi="Arial"/>
          <w:sz w:val="17"/>
          <w:szCs w:val="17"/>
          <w:color w:val="auto"/>
        </w:rPr>
      </w:pPr>
      <w:r>
        <w:rPr>
          <w:rFonts w:ascii="Arial" w:cs="Arial" w:eastAsia="Arial" w:hAnsi="Arial"/>
          <w:sz w:val="17"/>
          <w:szCs w:val="17"/>
          <w:color w:val="auto"/>
        </w:rPr>
        <w:t>If this Agreement shall be terminated by the Underwriters, or any of them, under Section 6, Section 11 or Section 12 or otherwise because of any failure or refusal on the part of the Company or the Selling Shareholders to comply with the terms or to fulfill any of the conditions of this Agreement, or if for any reason any of the Company or the Selling Shareholders shall be unable to perform its obligations under this Agreement or any condition of the Underwriters’ obligations cannot be fulfilled, the Company agrees to reimburse the Underwriters or such Underwriters as have so terminated this Agreement with respect to themselves, severally, for all out-of-pocket expenses (including the fees and expenses of their counsel) reasonably incurred by the Underwriters in connection with this Agreement or the offering contemplated hereunder.</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8" w:right="239" w:bottom="1440" w:gutter="0" w:footer="0" w:header="0"/>
        </w:sectPr>
      </w:pPr>
    </w:p>
    <w:bookmarkStart w:id="230" w:name="page231"/>
    <w:bookmarkEnd w:id="230"/>
    <w:p>
      <w:pPr>
        <w:jc w:val="both"/>
        <w:ind w:firstLine="1142"/>
        <w:spacing w:after="0" w:line="312" w:lineRule="auto"/>
        <w:tabs>
          <w:tab w:leader="none" w:pos="1398" w:val="left"/>
        </w:tabs>
        <w:numPr>
          <w:ilvl w:val="0"/>
          <w:numId w:val="149"/>
        </w:numPr>
        <w:rPr>
          <w:rFonts w:ascii="Arial" w:cs="Arial" w:eastAsia="Arial" w:hAnsi="Arial"/>
          <w:sz w:val="16"/>
          <w:szCs w:val="16"/>
          <w:color w:val="auto"/>
        </w:rPr>
      </w:pPr>
      <w:r>
        <w:rPr>
          <w:rFonts w:ascii="Arial" w:cs="Arial" w:eastAsia="Arial" w:hAnsi="Arial"/>
          <w:sz w:val="16"/>
          <w:szCs w:val="16"/>
          <w:color w:val="auto"/>
        </w:rPr>
        <w:t>If the Company is required to make any payments to the Underwriters under this Agreement because of any Selling Shareholder’s refusal, inability or failure to satisfy any condition to the obligations of the Underwriters set forth in Section 6 (each such Shareholder, a “</w:t>
      </w:r>
      <w:r>
        <w:rPr>
          <w:rFonts w:ascii="Arial" w:cs="Arial" w:eastAsia="Arial" w:hAnsi="Arial"/>
          <w:sz w:val="16"/>
          <w:szCs w:val="16"/>
          <w:b w:val="1"/>
          <w:bCs w:val="1"/>
          <w:color w:val="auto"/>
        </w:rPr>
        <w:t>Non-Performing Selling</w:t>
      </w:r>
      <w:r>
        <w:rPr>
          <w:rFonts w:ascii="Arial" w:cs="Arial" w:eastAsia="Arial" w:hAnsi="Arial"/>
          <w:sz w:val="16"/>
          <w:szCs w:val="16"/>
          <w:color w:val="auto"/>
        </w:rPr>
        <w:t xml:space="preserve"> </w:t>
      </w:r>
      <w:r>
        <w:rPr>
          <w:rFonts w:ascii="Arial" w:cs="Arial" w:eastAsia="Arial" w:hAnsi="Arial"/>
          <w:sz w:val="16"/>
          <w:szCs w:val="16"/>
          <w:b w:val="1"/>
          <w:bCs w:val="1"/>
          <w:color w:val="auto"/>
        </w:rPr>
        <w:t>Shareholder</w:t>
      </w:r>
      <w:r>
        <w:rPr>
          <w:rFonts w:ascii="Arial" w:cs="Arial" w:eastAsia="Arial" w:hAnsi="Arial"/>
          <w:sz w:val="16"/>
          <w:szCs w:val="16"/>
          <w:color w:val="auto"/>
        </w:rPr>
        <w:t>”), the Non-Performing Selling Shareholder shall promptly reimburse the Company on demand for all amounts so paid.</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14. Successors; Assigns.</w:t>
      </w:r>
    </w:p>
    <w:p>
      <w:pPr>
        <w:spacing w:after="0" w:line="256" w:lineRule="exact"/>
        <w:rPr>
          <w:sz w:val="20"/>
          <w:szCs w:val="20"/>
          <w:color w:val="auto"/>
        </w:rPr>
      </w:pPr>
    </w:p>
    <w:p>
      <w:pPr>
        <w:jc w:val="both"/>
        <w:ind w:left="80" w:firstLine="567"/>
        <w:spacing w:after="0" w:line="257" w:lineRule="auto"/>
        <w:rPr>
          <w:sz w:val="20"/>
          <w:szCs w:val="20"/>
          <w:color w:val="auto"/>
        </w:rPr>
      </w:pPr>
      <w:r>
        <w:rPr>
          <w:rFonts w:ascii="Arial" w:cs="Arial" w:eastAsia="Arial" w:hAnsi="Arial"/>
          <w:sz w:val="18"/>
          <w:szCs w:val="18"/>
          <w:color w:val="auto"/>
        </w:rPr>
        <w:t>This Agreement shall inure to the benefit of and be binding upon the Company, the Bank and the Selling Shareholders and the Underwriters, the officers and directors of the Company referred to herein, any controlling persons referred to herein and their respective successors and assigns. Nothing expressed or mentioned in this Agreement is intended or shall be construed to give any other person, firm or corporation any legal or equitable right, remedy or claim under or in respect of this Agreement or any provision herein contained. No purchaser of Shares from any Underwriter shall be deemed to be a successor or assign by reason merely of such purchase.</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15. Notices.</w:t>
      </w:r>
    </w:p>
    <w:p>
      <w:pPr>
        <w:spacing w:after="0" w:line="256" w:lineRule="exact"/>
        <w:rPr>
          <w:sz w:val="20"/>
          <w:szCs w:val="20"/>
          <w:color w:val="auto"/>
        </w:rPr>
      </w:pPr>
    </w:p>
    <w:p>
      <w:pPr>
        <w:jc w:val="both"/>
        <w:ind w:left="80" w:firstLine="567"/>
        <w:spacing w:after="0" w:line="255" w:lineRule="auto"/>
        <w:rPr>
          <w:sz w:val="20"/>
          <w:szCs w:val="20"/>
          <w:color w:val="auto"/>
        </w:rPr>
      </w:pPr>
      <w:r>
        <w:rPr>
          <w:rFonts w:ascii="Arial" w:cs="Arial" w:eastAsia="Arial" w:hAnsi="Arial"/>
          <w:sz w:val="18"/>
          <w:szCs w:val="18"/>
          <w:color w:val="auto"/>
        </w:rPr>
        <w:t xml:space="preserve">All notices and other communications hereunder shall be in writing and shall be deemed to have been duly given upon receipt thereof by the recipient if mailed or transmitted by any standard form of telecommunication. Notices to the Underwriters shall be given to the Underwriters, c/o Keefe, Bruyette &amp; Woods, Inc., Attention: Equity Capital Markets, One Montgomery Street, Suite 3700, San Francisco, California 94104 and Sandler O’Neill &amp; Partners, L.P., 1251 Avenue of the Americas, 6th Floor, New York, New York 10020, attention of the General Counsel. Notices to the Company shall be given to it at South Plains Financial, Inc., 5219 City Bank Parkway, Lubbock, Texas 79407; Attention: Curtis C. Griffith. Notices to the Selling Shareholders shall be given to the Custodian at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Attention: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16. Counterparts.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Agreement may be signed in counterparts, each of which shall be an original and all of which together shall constitute one and the same instrument.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17. Governing Law.</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AGREEMENT SHALL BE GOVERNED BY AND CONSTRUED IN ACCORDANCE WITH THE LAWS OF THE STATE OF NEW YORK, WITHOUT REGARD TO SUCH STATE’S PRINCIPLES OF CONFLICTS OF LAWS.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18. Miscellaneous.</w:t>
      </w:r>
    </w:p>
    <w:p>
      <w:pPr>
        <w:spacing w:after="0" w:line="283" w:lineRule="exact"/>
        <w:rPr>
          <w:sz w:val="20"/>
          <w:szCs w:val="20"/>
          <w:color w:val="auto"/>
        </w:rPr>
      </w:pPr>
    </w:p>
    <w:p>
      <w:pPr>
        <w:jc w:val="both"/>
        <w:ind w:firstLine="1142"/>
        <w:spacing w:after="0" w:line="255" w:lineRule="auto"/>
        <w:tabs>
          <w:tab w:leader="none" w:pos="138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parties hereby submit to the jurisdiction of and venue in the state and federal courts located in the City of New York, New York, in connection with any dispute related to this Agreement including, without limitation, any suit or proceeding arising out of or relating to this Agreement, any transaction contemplated hereby, the Pricing Prospectus, the Prospectus, Registration Statement, the offering of the Shares or any other matter contemplated hereby. The Company irrevocably and unconditionally waives any objection to the laying of venue of any such suit or proceeding arising out of or relating to this Agreement, the Pricing Prospectus, the Prospectus, the Registration Statement, the offering of the Shares or any transactions contemplated hereby in a New York Court, and irrevocably and unconditionally waives and agrees not to plead or claim in any such court that any such suit or proceeding in any such court has been brought in an inconvenient forum.</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31" w:name="page232"/>
    <w:bookmarkEnd w:id="231"/>
    <w:p>
      <w:pPr>
        <w:jc w:val="both"/>
        <w:ind w:firstLine="1142"/>
        <w:spacing w:after="0" w:line="284" w:lineRule="auto"/>
        <w:tabs>
          <w:tab w:leader="none" w:pos="1398" w:val="left"/>
        </w:tabs>
        <w:numPr>
          <w:ilvl w:val="1"/>
          <w:numId w:val="151"/>
        </w:numPr>
        <w:rPr>
          <w:rFonts w:ascii="Arial" w:cs="Arial" w:eastAsia="Arial" w:hAnsi="Arial"/>
          <w:sz w:val="16"/>
          <w:szCs w:val="16"/>
          <w:color w:val="auto"/>
        </w:rPr>
      </w:pPr>
      <w:r>
        <w:rPr>
          <w:rFonts w:ascii="Arial" w:cs="Arial" w:eastAsia="Arial" w:hAnsi="Arial"/>
          <w:sz w:val="16"/>
          <w:szCs w:val="16"/>
          <w:color w:val="auto"/>
        </w:rPr>
        <w:t>The Company, the Bank and the Selling Shareholders each acknowledge and agree that (i) the purchase and sale of the Shares pursuant to this Agreement, including the determination of the public offering price of the Shares and any related discounts and commissions, is an arm’s-length commercial transaction between the Company, the Bank and the Selling Shareholders on the one hand, and the several Underwriters, on the other, (ii) in connection therewith and with the process leading to such transaction each Underwriter is acting solely as a principal and not the agent or fiduciary of the Company, the Bank and the Selling Shareholders or their respective shareholders, creditors, employees or any other party, (iii) no Underwriter has assumed an advisory or fiduciary responsibility in favor of the Company, the Bank and the Selling Shareholders with respect to the offering contemplated hereby or the process leading thereto (irrespective of whether such Underwriter has advised or is currently advising the Company, the Bank and the Selling Shareholders on other matters) or any other obligation to the Company, the Bank and the Selling Shareholders except the obligations expressly set forth in this Agreement, and</w:t>
      </w:r>
    </w:p>
    <w:p>
      <w:pPr>
        <w:spacing w:after="0" w:line="1" w:lineRule="exact"/>
        <w:rPr>
          <w:rFonts w:ascii="Arial" w:cs="Arial" w:eastAsia="Arial" w:hAnsi="Arial"/>
          <w:sz w:val="16"/>
          <w:szCs w:val="16"/>
          <w:color w:val="auto"/>
        </w:rPr>
      </w:pPr>
    </w:p>
    <w:p>
      <w:pPr>
        <w:jc w:val="both"/>
        <w:ind w:firstLine="8"/>
        <w:spacing w:after="0" w:line="254" w:lineRule="auto"/>
        <w:tabs>
          <w:tab w:leader="none" w:pos="31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each of the Company, the Bank and the Selling Shareholders has consulted its own legal and financial advisors to the extent it deemed appropriate. The Company, the Bank and the Selling Shareholders severally agree that each will not claim that the Underwriters, or any of them, has rendered advisory services of any nature or respect, or owes a fiduciary or similar duty to the Company, the Bank and the Selling Shareholders, in connection with such transaction or the process leading thereto.</w:t>
      </w:r>
    </w:p>
    <w:p>
      <w:pPr>
        <w:spacing w:after="0" w:line="243" w:lineRule="exact"/>
        <w:rPr>
          <w:rFonts w:ascii="Arial" w:cs="Arial" w:eastAsia="Arial" w:hAnsi="Arial"/>
          <w:sz w:val="18"/>
          <w:szCs w:val="18"/>
          <w:color w:val="auto"/>
        </w:rPr>
      </w:pPr>
    </w:p>
    <w:p>
      <w:pPr>
        <w:jc w:val="both"/>
        <w:ind w:firstLine="1142"/>
        <w:spacing w:after="0" w:line="289" w:lineRule="auto"/>
        <w:tabs>
          <w:tab w:leader="none" w:pos="1388" w:val="left"/>
        </w:tabs>
        <w:numPr>
          <w:ilvl w:val="1"/>
          <w:numId w:val="152"/>
        </w:numPr>
        <w:rPr>
          <w:rFonts w:ascii="Arial" w:cs="Arial" w:eastAsia="Arial" w:hAnsi="Arial"/>
          <w:sz w:val="16"/>
          <w:szCs w:val="16"/>
          <w:color w:val="auto"/>
        </w:rPr>
      </w:pPr>
      <w:r>
        <w:rPr>
          <w:rFonts w:ascii="Arial" w:cs="Arial" w:eastAsia="Arial" w:hAnsi="Arial"/>
          <w:sz w:val="16"/>
          <w:szCs w:val="16"/>
          <w:color w:val="auto"/>
        </w:rPr>
        <w:t>The Company acknowledges that the Underwriters’ research analysts and research departments are required to be independent from their respective investment banking divisions and are subject to certain regulations and internal policies, and that such Underwriters’ research analysts may hold views and make statements or investment recommendations and/or publish research reports with respect to the Company and/or the offering that differ from the views of their respective investment banking divisions. The Company hereby waives and releases, to the fullest extent permitted by law, any claims that the Company may have against the Underwriters with respect to any conflict of interest that may arise from the fact that the views expressed by their independent research analysts and research departments may be different from or inconsistent with the views or advice communicated to the Company by such Underwriters’ investment banking divisions. The Company acknowledges that each of the Underwriters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220" w:lineRule="exact"/>
        <w:rPr>
          <w:rFonts w:ascii="Arial" w:cs="Arial" w:eastAsia="Arial" w:hAnsi="Arial"/>
          <w:sz w:val="16"/>
          <w:szCs w:val="16"/>
          <w:color w:val="auto"/>
        </w:rPr>
      </w:pPr>
    </w:p>
    <w:p>
      <w:pPr>
        <w:jc w:val="both"/>
        <w:ind w:firstLine="1142"/>
        <w:spacing w:after="0" w:line="255" w:lineRule="auto"/>
        <w:tabs>
          <w:tab w:leader="none" w:pos="1398" w:val="left"/>
        </w:tabs>
        <w:numPr>
          <w:ilvl w:val="1"/>
          <w:numId w:val="152"/>
        </w:numPr>
        <w:rPr>
          <w:rFonts w:ascii="Arial" w:cs="Arial" w:eastAsia="Arial" w:hAnsi="Arial"/>
          <w:sz w:val="18"/>
          <w:szCs w:val="18"/>
          <w:color w:val="auto"/>
        </w:rPr>
      </w:pPr>
      <w:r>
        <w:rPr>
          <w:rFonts w:ascii="Arial" w:cs="Arial" w:eastAsia="Arial" w:hAnsi="Arial"/>
          <w:sz w:val="18"/>
          <w:szCs w:val="18"/>
          <w:color w:val="auto"/>
        </w:rPr>
        <w:t>Notwithstanding anything herein to the contrary, the Company and the Selling Shareholders are authorized to disclose to any persons the U.S. federal and state income tax treatment and tax structure of the potential transaction and all materials of any kind (including tax opinions and other tax analyses) provided to the Company and the Selling Shareholders relating to that treatment and structure, without the Underwriters 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w:t>
      </w:r>
    </w:p>
    <w:p>
      <w:pPr>
        <w:spacing w:after="0" w:line="247" w:lineRule="exact"/>
        <w:rPr>
          <w:rFonts w:ascii="Arial" w:cs="Arial" w:eastAsia="Arial" w:hAnsi="Arial"/>
          <w:sz w:val="18"/>
          <w:szCs w:val="18"/>
          <w:color w:val="auto"/>
        </w:rPr>
      </w:pPr>
    </w:p>
    <w:p>
      <w:pPr>
        <w:ind w:firstLine="1142"/>
        <w:spacing w:after="0" w:line="277" w:lineRule="auto"/>
        <w:tabs>
          <w:tab w:leader="none" w:pos="1388" w:val="left"/>
        </w:tabs>
        <w:numPr>
          <w:ilvl w:val="1"/>
          <w:numId w:val="152"/>
        </w:numPr>
        <w:rPr>
          <w:rFonts w:ascii="Arial" w:cs="Arial" w:eastAsia="Arial" w:hAnsi="Arial"/>
          <w:sz w:val="18"/>
          <w:szCs w:val="18"/>
          <w:color w:val="auto"/>
        </w:rPr>
      </w:pPr>
      <w:r>
        <w:rPr>
          <w:rFonts w:ascii="Arial" w:cs="Arial" w:eastAsia="Arial" w:hAnsi="Arial"/>
          <w:sz w:val="18"/>
          <w:szCs w:val="18"/>
          <w:color w:val="auto"/>
        </w:rPr>
        <w:t>This Agreement supersedes all prior agreements and understandings (whether written or oral) between the Company, the Bank, the Selling Shareholders and the Underwriters, or any of them, with respect to the subject matter hereof.</w:t>
      </w:r>
    </w:p>
    <w:p>
      <w:pPr>
        <w:spacing w:after="0" w:line="224" w:lineRule="exact"/>
        <w:rPr>
          <w:rFonts w:ascii="Arial" w:cs="Arial" w:eastAsia="Arial" w:hAnsi="Arial"/>
          <w:sz w:val="18"/>
          <w:szCs w:val="18"/>
          <w:color w:val="auto"/>
        </w:rPr>
      </w:pPr>
    </w:p>
    <w:p>
      <w:pPr>
        <w:jc w:val="both"/>
        <w:ind w:firstLine="1142"/>
        <w:spacing w:after="0" w:line="264" w:lineRule="auto"/>
        <w:tabs>
          <w:tab w:leader="none" w:pos="1395" w:val="left"/>
        </w:tabs>
        <w:numPr>
          <w:ilvl w:val="1"/>
          <w:numId w:val="152"/>
        </w:numPr>
        <w:rPr>
          <w:rFonts w:ascii="Arial" w:cs="Arial" w:eastAsia="Arial" w:hAnsi="Arial"/>
          <w:sz w:val="18"/>
          <w:szCs w:val="18"/>
          <w:color w:val="auto"/>
        </w:rPr>
      </w:pPr>
      <w:r>
        <w:rPr>
          <w:rFonts w:ascii="Arial" w:cs="Arial" w:eastAsia="Arial" w:hAnsi="Arial"/>
          <w:sz w:val="18"/>
          <w:szCs w:val="18"/>
          <w:color w:val="auto"/>
        </w:rPr>
        <w:t>The Company, the Bank and the Selling Shareholders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32" w:name="page233"/>
    <w:bookmarkEnd w:id="232"/>
    <w:p>
      <w:pPr>
        <w:ind w:firstLine="648"/>
        <w:spacing w:after="0" w:line="342" w:lineRule="auto"/>
        <w:rPr>
          <w:sz w:val="20"/>
          <w:szCs w:val="20"/>
          <w:color w:val="auto"/>
        </w:rPr>
      </w:pPr>
      <w:r>
        <w:rPr>
          <w:rFonts w:ascii="Arial" w:cs="Arial" w:eastAsia="Arial" w:hAnsi="Arial"/>
          <w:sz w:val="16"/>
          <w:szCs w:val="16"/>
          <w:color w:val="auto"/>
        </w:rPr>
        <w:t>If the foregoing is in accordance with your understanding of our agreement, please sign and return to the Company a counterpart hereof, whereupon this instrument, along with counterparts will become a binding agreement among the Company, the Bank, the Selling Shareholders and the Underwriters.</w:t>
      </w:r>
    </w:p>
    <w:p>
      <w:pPr>
        <w:spacing w:after="0" w:line="15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SOUTH PLAINS FINANCIAL, INC.</w:t>
      </w:r>
    </w:p>
    <w:p>
      <w:pPr>
        <w:spacing w:after="0" w:line="229"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Curtis C. Griffith</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Chairman and Chief Executive Officer</w:t>
      </w:r>
    </w:p>
    <w:p>
      <w:pPr>
        <w:spacing w:after="0" w:line="23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CITY BANK</w:t>
      </w:r>
    </w:p>
    <w:p>
      <w:pPr>
        <w:spacing w:after="0" w:line="229"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Curtis C. Griffith</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Chairman</w:t>
      </w:r>
    </w:p>
    <w:p>
      <w:pPr>
        <w:spacing w:after="0" w:line="23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CURTIS G. GRIFFITH ON BEHALF OF THE SELLING</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SHAREHOLDERS</w:t>
      </w:r>
    </w:p>
    <w:p>
      <w:pPr>
        <w:spacing w:after="0" w:line="21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Curtis C. Griffith</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As Attorney-in-Fact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33" w:name="page234"/>
    <w:bookmarkEnd w:id="233"/>
    <w:p>
      <w:pPr>
        <w:ind w:left="660"/>
        <w:spacing w:after="0"/>
        <w:rPr>
          <w:sz w:val="20"/>
          <w:szCs w:val="20"/>
          <w:color w:val="auto"/>
        </w:rPr>
      </w:pPr>
      <w:r>
        <w:rPr>
          <w:rFonts w:ascii="Arial" w:cs="Arial" w:eastAsia="Arial" w:hAnsi="Arial"/>
          <w:sz w:val="17"/>
          <w:szCs w:val="17"/>
          <w:color w:val="auto"/>
        </w:rPr>
        <w:t>The foregoing Underwriting Agreement is hereby confirmed and accepted by the Underwriters in New York, New York as of the date first above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Keefe, Bruyette &amp; Woods,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23495</wp:posOffset>
            </wp:positionV>
            <wp:extent cx="340487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Sandler O’Neill &amp; Partners,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23495</wp:posOffset>
            </wp:positionV>
            <wp:extent cx="340487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4" w:name="page235"/>
    <w:bookmarkEnd w:id="234"/>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7660" w:type="dxa"/>
            <w:vAlign w:val="bottom"/>
            <w:gridSpan w:val="3"/>
          </w:tcPr>
          <w:p>
            <w:pPr>
              <w:jc w:val="center"/>
              <w:ind w:right="3760"/>
              <w:spacing w:after="0"/>
              <w:rPr>
                <w:sz w:val="20"/>
                <w:szCs w:val="20"/>
                <w:color w:val="auto"/>
              </w:rPr>
            </w:pPr>
            <w:r>
              <w:rPr>
                <w:rFonts w:ascii="Arial" w:cs="Arial" w:eastAsia="Arial" w:hAnsi="Arial"/>
                <w:sz w:val="18"/>
                <w:szCs w:val="18"/>
                <w:b w:val="1"/>
                <w:bCs w:val="1"/>
                <w:color w:val="auto"/>
              </w:rPr>
              <w:t>SCHEDULE I</w:t>
            </w:r>
          </w:p>
        </w:tc>
      </w:tr>
      <w:tr>
        <w:trPr>
          <w:trHeight w:val="441"/>
        </w:trPr>
        <w:tc>
          <w:tcPr>
            <w:tcW w:w="376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376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Firm Shares</w:t>
            </w:r>
          </w:p>
        </w:tc>
      </w:tr>
      <w:tr>
        <w:trPr>
          <w:trHeight w:val="234"/>
        </w:trPr>
        <w:tc>
          <w:tcPr>
            <w:tcW w:w="3760" w:type="dxa"/>
            <w:vAlign w:val="bottom"/>
          </w:tcPr>
          <w:p>
            <w:pPr>
              <w:spacing w:after="0"/>
              <w:rPr>
                <w:sz w:val="20"/>
                <w:szCs w:val="20"/>
                <w:color w:val="auto"/>
              </w:rPr>
            </w:pPr>
            <w:r>
              <w:rPr>
                <w:rFonts w:ascii="Arial" w:cs="Arial" w:eastAsia="Arial" w:hAnsi="Arial"/>
                <w:sz w:val="18"/>
                <w:szCs w:val="18"/>
                <w:b w:val="1"/>
                <w:bCs w:val="1"/>
                <w:color w:val="auto"/>
              </w:rPr>
              <w:t>Underwriters</w:t>
            </w:r>
          </w:p>
        </w:tc>
        <w:tc>
          <w:tcPr>
            <w:tcW w:w="7660" w:type="dxa"/>
            <w:vAlign w:val="bottom"/>
            <w:gridSpan w:val="3"/>
          </w:tcPr>
          <w:p>
            <w:pPr>
              <w:jc w:val="center"/>
              <w:ind w:left="6156"/>
              <w:spacing w:after="0"/>
              <w:rPr>
                <w:sz w:val="20"/>
                <w:szCs w:val="20"/>
                <w:color w:val="auto"/>
              </w:rPr>
            </w:pPr>
            <w:r>
              <w:rPr>
                <w:rFonts w:ascii="Arial" w:cs="Arial" w:eastAsia="Arial" w:hAnsi="Arial"/>
                <w:sz w:val="18"/>
                <w:szCs w:val="18"/>
                <w:b w:val="1"/>
                <w:bCs w:val="1"/>
                <w:color w:val="auto"/>
                <w:w w:val="87"/>
              </w:rPr>
              <w:t>to be Purchased</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Keefe, Bruyette &amp; Woods, Inc.</w:t>
            </w:r>
          </w:p>
        </w:tc>
        <w:tc>
          <w:tcPr>
            <w:tcW w:w="6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r>
      <w:tr>
        <w:trPr>
          <w:trHeight w:val="223"/>
        </w:trPr>
        <w:tc>
          <w:tcPr>
            <w:tcW w:w="3760" w:type="dxa"/>
            <w:vAlign w:val="bottom"/>
          </w:tcPr>
          <w:p>
            <w:pPr>
              <w:spacing w:after="0"/>
              <w:rPr>
                <w:sz w:val="20"/>
                <w:szCs w:val="20"/>
                <w:color w:val="auto"/>
              </w:rPr>
            </w:pPr>
            <w:r>
              <w:rPr>
                <w:rFonts w:ascii="Arial" w:cs="Arial" w:eastAsia="Arial" w:hAnsi="Arial"/>
                <w:sz w:val="18"/>
                <w:szCs w:val="18"/>
                <w:color w:val="auto"/>
              </w:rPr>
              <w:t>Sandler O’Neill &amp; Partners, L.P.</w:t>
            </w:r>
          </w:p>
        </w:tc>
        <w:tc>
          <w:tcPr>
            <w:tcW w:w="6340" w:type="dxa"/>
            <w:vAlign w:val="bottom"/>
          </w:tcPr>
          <w:p>
            <w:pPr>
              <w:spacing w:after="0"/>
              <w:rPr>
                <w:sz w:val="19"/>
                <w:szCs w:val="19"/>
                <w:color w:val="auto"/>
              </w:rPr>
            </w:pPr>
          </w:p>
        </w:tc>
        <w:tc>
          <w:tcPr>
            <w:tcW w:w="122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3760" w:type="dxa"/>
            <w:vAlign w:val="bottom"/>
            <w:shd w:val="clear" w:color="auto" w:fill="CCEEFF"/>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r>
      <w:tr>
        <w:trPr>
          <w:trHeight w:val="216"/>
        </w:trPr>
        <w:tc>
          <w:tcPr>
            <w:tcW w:w="3760" w:type="dxa"/>
            <w:vAlign w:val="bottom"/>
          </w:tcPr>
          <w:p>
            <w:pPr>
              <w:ind w:left="180"/>
              <w:spacing w:after="0"/>
              <w:rPr>
                <w:sz w:val="20"/>
                <w:szCs w:val="20"/>
                <w:color w:val="auto"/>
              </w:rPr>
            </w:pPr>
            <w:r>
              <w:rPr>
                <w:rFonts w:ascii="Arial" w:cs="Arial" w:eastAsia="Arial" w:hAnsi="Arial"/>
                <w:sz w:val="18"/>
                <w:szCs w:val="18"/>
                <w:color w:val="auto"/>
              </w:rPr>
              <w:t>Total</w:t>
            </w:r>
          </w:p>
        </w:tc>
        <w:tc>
          <w:tcPr>
            <w:tcW w:w="6340" w:type="dxa"/>
            <w:vAlign w:val="bottom"/>
          </w:tcPr>
          <w:p>
            <w:pPr>
              <w:spacing w:after="0"/>
              <w:rPr>
                <w:sz w:val="18"/>
                <w:szCs w:val="18"/>
                <w:color w:val="auto"/>
              </w:rPr>
            </w:pPr>
          </w:p>
        </w:tc>
        <w:tc>
          <w:tcPr>
            <w:tcW w:w="122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
        </w:trPr>
        <w:tc>
          <w:tcPr>
            <w:tcW w:w="37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76"/>
        </w:trPr>
        <w:tc>
          <w:tcPr>
            <w:tcW w:w="3760" w:type="dxa"/>
            <w:vAlign w:val="bottom"/>
          </w:tcPr>
          <w:p>
            <w:pPr>
              <w:spacing w:after="0"/>
              <w:rPr>
                <w:sz w:val="24"/>
                <w:szCs w:val="24"/>
                <w:color w:val="auto"/>
              </w:rPr>
            </w:pPr>
          </w:p>
        </w:tc>
        <w:tc>
          <w:tcPr>
            <w:tcW w:w="7660" w:type="dxa"/>
            <w:vAlign w:val="bottom"/>
            <w:gridSpan w:val="3"/>
          </w:tcPr>
          <w:p>
            <w:pPr>
              <w:jc w:val="center"/>
              <w:ind w:right="3740"/>
              <w:spacing w:after="0"/>
              <w:rPr>
                <w:sz w:val="20"/>
                <w:szCs w:val="20"/>
                <w:color w:val="auto"/>
              </w:rPr>
            </w:pPr>
            <w:r>
              <w:rPr>
                <w:rFonts w:ascii="Arial" w:cs="Arial" w:eastAsia="Arial" w:hAnsi="Arial"/>
                <w:sz w:val="14"/>
                <w:szCs w:val="14"/>
                <w:i w:val="1"/>
                <w:iCs w:val="1"/>
                <w:color w:val="auto"/>
                <w:w w:val="90"/>
              </w:rPr>
              <w:t>Schedule I</w:t>
            </w:r>
          </w:p>
        </w:tc>
      </w:tr>
      <w:tr>
        <w:trPr>
          <w:trHeight w:val="46"/>
        </w:trPr>
        <w:tc>
          <w:tcPr>
            <w:tcW w:w="3760" w:type="dxa"/>
            <w:vAlign w:val="bottom"/>
            <w:tcBorders>
              <w:bottom w:val="single" w:sz="8" w:color="auto"/>
            </w:tcBorders>
          </w:tcPr>
          <w:p>
            <w:pPr>
              <w:spacing w:after="0"/>
              <w:rPr>
                <w:sz w:val="4"/>
                <w:szCs w:val="4"/>
                <w:color w:val="auto"/>
              </w:rPr>
            </w:pPr>
          </w:p>
        </w:tc>
        <w:tc>
          <w:tcPr>
            <w:tcW w:w="63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235" w:name="page236"/>
    <w:bookmarkEnd w:id="2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8060" w:type="dxa"/>
            <w:vAlign w:val="bottom"/>
            <w:gridSpan w:val="3"/>
          </w:tcPr>
          <w:p>
            <w:pPr>
              <w:jc w:val="center"/>
              <w:ind w:right="3360"/>
              <w:spacing w:after="0"/>
              <w:rPr>
                <w:sz w:val="20"/>
                <w:szCs w:val="20"/>
                <w:color w:val="auto"/>
              </w:rPr>
            </w:pPr>
            <w:r>
              <w:rPr>
                <w:rFonts w:ascii="Arial" w:cs="Arial" w:eastAsia="Arial" w:hAnsi="Arial"/>
                <w:sz w:val="18"/>
                <w:szCs w:val="18"/>
                <w:b w:val="1"/>
                <w:bCs w:val="1"/>
                <w:color w:val="auto"/>
              </w:rPr>
              <w:t>SCHEDULE II</w:t>
            </w:r>
          </w:p>
        </w:tc>
      </w:tr>
      <w:tr>
        <w:trPr>
          <w:trHeight w:val="441"/>
        </w:trPr>
        <w:tc>
          <w:tcPr>
            <w:tcW w:w="336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336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Firm Shares</w:t>
            </w:r>
          </w:p>
        </w:tc>
      </w:tr>
      <w:tr>
        <w:trPr>
          <w:trHeight w:val="234"/>
        </w:trPr>
        <w:tc>
          <w:tcPr>
            <w:tcW w:w="3360" w:type="dxa"/>
            <w:vAlign w:val="bottom"/>
          </w:tcPr>
          <w:p>
            <w:pPr>
              <w:spacing w:after="0"/>
              <w:rPr>
                <w:sz w:val="20"/>
                <w:szCs w:val="20"/>
                <w:color w:val="auto"/>
              </w:rPr>
            </w:pPr>
            <w:r>
              <w:rPr>
                <w:rFonts w:ascii="Arial" w:cs="Arial" w:eastAsia="Arial" w:hAnsi="Arial"/>
                <w:sz w:val="18"/>
                <w:szCs w:val="18"/>
                <w:b w:val="1"/>
                <w:bCs w:val="1"/>
                <w:color w:val="auto"/>
              </w:rPr>
              <w:t>Selling Shareholders</w:t>
            </w:r>
          </w:p>
        </w:tc>
        <w:tc>
          <w:tcPr>
            <w:tcW w:w="682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to be Sold</w:t>
            </w:r>
          </w:p>
        </w:tc>
      </w:tr>
      <w:tr>
        <w:trPr>
          <w:trHeight w:val="202"/>
        </w:trPr>
        <w:tc>
          <w:tcPr>
            <w:tcW w:w="3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[Name]</w:t>
            </w:r>
          </w:p>
        </w:tc>
        <w:tc>
          <w:tcPr>
            <w:tcW w:w="68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500"/>
              <w:spacing w:after="0" w:line="201" w:lineRule="exact"/>
              <w:rPr>
                <w:sz w:val="20"/>
                <w:szCs w:val="20"/>
                <w:color w:val="auto"/>
              </w:rPr>
            </w:pPr>
            <w:r>
              <w:rPr>
                <w:rFonts w:ascii="Arial" w:cs="Arial" w:eastAsia="Arial" w:hAnsi="Arial"/>
                <w:sz w:val="18"/>
                <w:szCs w:val="18"/>
                <w:color w:val="auto"/>
              </w:rPr>
              <w:t>[●]</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[Address]</w:t>
            </w:r>
          </w:p>
        </w:tc>
        <w:tc>
          <w:tcPr>
            <w:tcW w:w="68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[Address]</w:t>
            </w:r>
          </w:p>
        </w:tc>
        <w:tc>
          <w:tcPr>
            <w:tcW w:w="68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2"/>
        </w:trPr>
        <w:tc>
          <w:tcPr>
            <w:tcW w:w="33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6820" w:type="dxa"/>
            <w:vAlign w:val="bottom"/>
          </w:tcPr>
          <w:p>
            <w:pPr>
              <w:spacing w:after="0"/>
              <w:rPr>
                <w:sz w:val="17"/>
                <w:szCs w:val="17"/>
                <w:color w:val="auto"/>
              </w:rPr>
            </w:pPr>
          </w:p>
        </w:tc>
        <w:tc>
          <w:tcPr>
            <w:tcW w:w="1240" w:type="dxa"/>
            <w:vAlign w:val="bottom"/>
            <w:gridSpan w:val="2"/>
          </w:tcPr>
          <w:p>
            <w:pPr>
              <w:ind w:left="480"/>
              <w:spacing w:after="0" w:line="201" w:lineRule="exact"/>
              <w:rPr>
                <w:sz w:val="20"/>
                <w:szCs w:val="20"/>
                <w:color w:val="auto"/>
              </w:rPr>
            </w:pPr>
            <w:r>
              <w:rPr>
                <w:rFonts w:ascii="Arial" w:cs="Arial" w:eastAsia="Arial" w:hAnsi="Arial"/>
                <w:sz w:val="18"/>
                <w:szCs w:val="18"/>
                <w:color w:val="auto"/>
              </w:rPr>
              <w:t>[●]</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[Address]</w:t>
            </w:r>
          </w:p>
        </w:tc>
        <w:tc>
          <w:tcPr>
            <w:tcW w:w="6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[Address]</w:t>
            </w:r>
          </w:p>
        </w:tc>
        <w:tc>
          <w:tcPr>
            <w:tcW w:w="6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3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[Name]</w:t>
            </w:r>
          </w:p>
        </w:tc>
        <w:tc>
          <w:tcPr>
            <w:tcW w:w="68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480"/>
              <w:spacing w:after="0" w:line="201" w:lineRule="exact"/>
              <w:rPr>
                <w:sz w:val="20"/>
                <w:szCs w:val="20"/>
                <w:color w:val="auto"/>
              </w:rPr>
            </w:pPr>
            <w:r>
              <w:rPr>
                <w:rFonts w:ascii="Arial" w:cs="Arial" w:eastAsia="Arial" w:hAnsi="Arial"/>
                <w:sz w:val="18"/>
                <w:szCs w:val="18"/>
                <w:color w:val="auto"/>
              </w:rPr>
              <w:t>[●]</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[Address]</w:t>
            </w:r>
          </w:p>
        </w:tc>
        <w:tc>
          <w:tcPr>
            <w:tcW w:w="68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[Address]</w:t>
            </w:r>
          </w:p>
        </w:tc>
        <w:tc>
          <w:tcPr>
            <w:tcW w:w="68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336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r>
      <w:tr>
        <w:trPr>
          <w:trHeight w:val="257"/>
        </w:trPr>
        <w:tc>
          <w:tcPr>
            <w:tcW w:w="3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68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76"/>
        </w:trPr>
        <w:tc>
          <w:tcPr>
            <w:tcW w:w="3360" w:type="dxa"/>
            <w:vAlign w:val="bottom"/>
          </w:tcPr>
          <w:p>
            <w:pPr>
              <w:spacing w:after="0"/>
              <w:rPr>
                <w:sz w:val="24"/>
                <w:szCs w:val="24"/>
                <w:color w:val="auto"/>
              </w:rPr>
            </w:pPr>
          </w:p>
        </w:tc>
        <w:tc>
          <w:tcPr>
            <w:tcW w:w="8060" w:type="dxa"/>
            <w:vAlign w:val="bottom"/>
            <w:gridSpan w:val="3"/>
          </w:tcPr>
          <w:p>
            <w:pPr>
              <w:jc w:val="center"/>
              <w:ind w:right="3360"/>
              <w:spacing w:after="0"/>
              <w:rPr>
                <w:sz w:val="20"/>
                <w:szCs w:val="20"/>
                <w:color w:val="auto"/>
              </w:rPr>
            </w:pPr>
            <w:r>
              <w:rPr>
                <w:rFonts w:ascii="Arial" w:cs="Arial" w:eastAsia="Arial" w:hAnsi="Arial"/>
                <w:sz w:val="14"/>
                <w:szCs w:val="14"/>
                <w:i w:val="1"/>
                <w:iCs w:val="1"/>
                <w:color w:val="auto"/>
                <w:w w:val="94"/>
              </w:rPr>
              <w:t>Schedule II</w:t>
            </w:r>
          </w:p>
        </w:tc>
      </w:tr>
      <w:tr>
        <w:trPr>
          <w:trHeight w:val="46"/>
        </w:trPr>
        <w:tc>
          <w:tcPr>
            <w:tcW w:w="3360" w:type="dxa"/>
            <w:vAlign w:val="bottom"/>
            <w:tcBorders>
              <w:bottom w:val="single" w:sz="8" w:color="auto"/>
            </w:tcBorders>
          </w:tcPr>
          <w:p>
            <w:pPr>
              <w:spacing w:after="0"/>
              <w:rPr>
                <w:sz w:val="4"/>
                <w:szCs w:val="4"/>
                <w:color w:val="auto"/>
              </w:rPr>
            </w:pPr>
          </w:p>
        </w:tc>
        <w:tc>
          <w:tcPr>
            <w:tcW w:w="68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236" w:name="page237"/>
    <w:bookmarkEnd w:id="236"/>
    <w:p>
      <w:pPr>
        <w:jc w:val="center"/>
        <w:ind w:right="-20"/>
        <w:spacing w:after="0"/>
        <w:rPr>
          <w:sz w:val="20"/>
          <w:szCs w:val="20"/>
          <w:color w:val="auto"/>
        </w:rPr>
      </w:pPr>
      <w:r>
        <w:rPr>
          <w:rFonts w:ascii="Arial" w:cs="Arial" w:eastAsia="Arial" w:hAnsi="Arial"/>
          <w:sz w:val="18"/>
          <w:szCs w:val="18"/>
          <w:b w:val="1"/>
          <w:bCs w:val="1"/>
          <w:color w:val="auto"/>
        </w:rPr>
        <w:t>SCHEDULE III</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Issuer Free Writing Prospectuses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 be added]</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Pricing Information Conveyed Orally to Investors</w:t>
      </w: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 be added]</w:t>
      </w: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4"/>
          <w:szCs w:val="14"/>
          <w:i w:val="1"/>
          <w:iCs w:val="1"/>
          <w:color w:val="auto"/>
        </w:rPr>
        <w:t>Schedule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37" w:name="page238"/>
    <w:bookmarkEnd w:id="237"/>
    <w:p>
      <w:pPr>
        <w:jc w:val="center"/>
        <w:ind w:right="-20"/>
        <w:spacing w:after="0"/>
        <w:rPr>
          <w:sz w:val="20"/>
          <w:szCs w:val="20"/>
          <w:color w:val="auto"/>
        </w:rPr>
      </w:pPr>
      <w:r>
        <w:rPr>
          <w:rFonts w:ascii="Arial" w:cs="Arial" w:eastAsia="Arial" w:hAnsi="Arial"/>
          <w:sz w:val="18"/>
          <w:szCs w:val="18"/>
          <w:b w:val="1"/>
          <w:bCs w:val="1"/>
          <w:color w:val="auto"/>
        </w:rPr>
        <w:t>SCHEDULE IV</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Permitted Written Testing-the-Waters Communications</w:t>
      </w: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 be added]</w:t>
      </w: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4"/>
          <w:szCs w:val="14"/>
          <w:i w:val="1"/>
          <w:iCs w:val="1"/>
          <w:color w:val="auto"/>
        </w:rPr>
        <w:t>Schedule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238" w:name="page239"/>
    <w:bookmarkEnd w:id="238"/>
    <w:p>
      <w:pPr>
        <w:jc w:val="center"/>
        <w:spacing w:after="0"/>
        <w:rPr>
          <w:sz w:val="20"/>
          <w:szCs w:val="20"/>
          <w:color w:val="auto"/>
        </w:rPr>
      </w:pPr>
      <w:r>
        <w:rPr>
          <w:rFonts w:ascii="Arial" w:cs="Arial" w:eastAsia="Arial" w:hAnsi="Arial"/>
          <w:sz w:val="18"/>
          <w:szCs w:val="18"/>
          <w:b w:val="1"/>
          <w:bCs w:val="1"/>
          <w:color w:val="auto"/>
        </w:rPr>
        <w:t>EXHIBIT A</w:t>
      </w:r>
    </w:p>
    <w:p>
      <w:pPr>
        <w:spacing w:after="0" w:line="252" w:lineRule="exact"/>
        <w:rPr>
          <w:sz w:val="20"/>
          <w:szCs w:val="20"/>
          <w:color w:val="auto"/>
        </w:rPr>
      </w:pPr>
    </w:p>
    <w:p>
      <w:pPr>
        <w:ind w:left="4020"/>
        <w:spacing w:after="0"/>
        <w:rPr>
          <w:sz w:val="20"/>
          <w:szCs w:val="20"/>
          <w:color w:val="auto"/>
        </w:rPr>
      </w:pPr>
      <w:r>
        <w:rPr>
          <w:rFonts w:ascii="Arial" w:cs="Arial" w:eastAsia="Arial" w:hAnsi="Arial"/>
          <w:sz w:val="18"/>
          <w:szCs w:val="18"/>
          <w:b w:val="1"/>
          <w:bCs w:val="1"/>
          <w:u w:val="single" w:color="auto"/>
          <w:color w:val="auto"/>
        </w:rPr>
        <w:t>Form Opinion Of Counsel To The Company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final opinion in draft form should be attached as Exhibit A at the time this Agreement is executed.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Opinion of counsel for the Company to be delivered pursuant to Section 6 of the Underwriting Agreement.</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References to the Prospectus in this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include any amendments and supplements thereto at the Closing Date. Capitalized terms used in this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without definition shall have the respective meanings ascribed to them in the Underwriting Agreement.</w:t>
      </w:r>
    </w:p>
    <w:p>
      <w:pPr>
        <w:spacing w:after="0" w:line="224" w:lineRule="exact"/>
        <w:rPr>
          <w:sz w:val="20"/>
          <w:szCs w:val="20"/>
          <w:color w:val="auto"/>
        </w:rPr>
      </w:pPr>
    </w:p>
    <w:p>
      <w:pPr>
        <w:jc w:val="both"/>
        <w:ind w:firstLine="1467"/>
        <w:spacing w:after="0" w:line="286" w:lineRule="auto"/>
        <w:tabs>
          <w:tab w:leader="none" w:pos="1696"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Company has been duly incorporated and is validly existing as a corporation in good standing under the laws of the State of Texas, with power and authority (corporate and other) to own, lease and operate its properties and conduct its business as described in the Registration Statement, the Pricing Disclosure Package and the Prospectus and to enter into and perform its obligations under the Underwriting Agreement;</w:t>
      </w:r>
    </w:p>
    <w:p>
      <w:pPr>
        <w:spacing w:after="0" w:line="219" w:lineRule="exact"/>
        <w:rPr>
          <w:rFonts w:ascii="Arial" w:cs="Arial" w:eastAsia="Arial" w:hAnsi="Arial"/>
          <w:sz w:val="17"/>
          <w:szCs w:val="17"/>
          <w:color w:val="auto"/>
        </w:rPr>
      </w:pPr>
    </w:p>
    <w:p>
      <w:pPr>
        <w:jc w:val="both"/>
        <w:ind w:firstLine="1467"/>
        <w:spacing w:after="0" w:line="264" w:lineRule="auto"/>
        <w:tabs>
          <w:tab w:leader="none" w:pos="1746"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Company is duly qualified as a foreign corporation to transact business and is in good standing in each jurisdict6ion in which such qualification is required, whether by reason of ownership or leasing of property or the conduct of business, except where the failure to so qualify or to be in good standing would not result in a Material Adverse Effect;</w:t>
      </w:r>
    </w:p>
    <w:p>
      <w:pPr>
        <w:spacing w:after="0" w:line="235" w:lineRule="exact"/>
        <w:rPr>
          <w:rFonts w:ascii="Arial" w:cs="Arial" w:eastAsia="Arial" w:hAnsi="Arial"/>
          <w:sz w:val="18"/>
          <w:szCs w:val="18"/>
          <w:color w:val="auto"/>
        </w:rPr>
      </w:pPr>
    </w:p>
    <w:p>
      <w:pPr>
        <w:ind w:left="1800" w:hanging="333"/>
        <w:spacing w:after="0"/>
        <w:tabs>
          <w:tab w:leader="none" w:pos="18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Company is a bank holding company registered under the Bank Holding Company Act of 1956, as amended;</w:t>
      </w:r>
    </w:p>
    <w:p>
      <w:pPr>
        <w:spacing w:after="0" w:line="279" w:lineRule="exact"/>
        <w:rPr>
          <w:rFonts w:ascii="Arial" w:cs="Arial" w:eastAsia="Arial" w:hAnsi="Arial"/>
          <w:sz w:val="18"/>
          <w:szCs w:val="18"/>
          <w:color w:val="auto"/>
        </w:rPr>
      </w:pPr>
    </w:p>
    <w:p>
      <w:pPr>
        <w:ind w:firstLine="1467"/>
        <w:spacing w:after="0" w:line="277" w:lineRule="auto"/>
        <w:tabs>
          <w:tab w:leader="none" w:pos="1799" w:val="left"/>
        </w:tabs>
        <w:numPr>
          <w:ilvl w:val="0"/>
          <w:numId w:val="153"/>
        </w:numPr>
        <w:rPr>
          <w:rFonts w:ascii="Arial" w:cs="Arial" w:eastAsia="Arial" w:hAnsi="Arial"/>
          <w:sz w:val="18"/>
          <w:szCs w:val="18"/>
          <w:color w:val="auto"/>
        </w:rPr>
      </w:pPr>
      <w:r>
        <w:rPr>
          <w:rFonts w:ascii="Arial" w:cs="Arial" w:eastAsia="Arial" w:hAnsi="Arial"/>
          <w:sz w:val="18"/>
          <w:szCs w:val="18"/>
          <w:color w:val="auto"/>
        </w:rPr>
        <w:t>From the time of initial confidential submission of the Registration Statement to the Commission through the date hereof, the Company has been and is an “emerging growth company,” as defined in Section 2(a) of the Securities Act;</w:t>
      </w:r>
    </w:p>
    <w:p>
      <w:pPr>
        <w:spacing w:after="0" w:line="224" w:lineRule="exact"/>
        <w:rPr>
          <w:rFonts w:ascii="Arial" w:cs="Arial" w:eastAsia="Arial" w:hAnsi="Arial"/>
          <w:sz w:val="18"/>
          <w:szCs w:val="18"/>
          <w:color w:val="auto"/>
        </w:rPr>
      </w:pPr>
    </w:p>
    <w:p>
      <w:pPr>
        <w:ind w:left="1740" w:hanging="273"/>
        <w:spacing w:after="0"/>
        <w:tabs>
          <w:tab w:leader="none" w:pos="17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Bank is an Texas-chartered non-member bank validly existing under the laws of the State of Texas;</w:t>
      </w:r>
    </w:p>
    <w:p>
      <w:pPr>
        <w:spacing w:after="0" w:line="279" w:lineRule="exact"/>
        <w:rPr>
          <w:rFonts w:ascii="Arial" w:cs="Arial" w:eastAsia="Arial" w:hAnsi="Arial"/>
          <w:sz w:val="18"/>
          <w:szCs w:val="18"/>
          <w:color w:val="auto"/>
        </w:rPr>
      </w:pPr>
    </w:p>
    <w:p>
      <w:pPr>
        <w:ind w:left="1780" w:hanging="313"/>
        <w:spacing w:after="0"/>
        <w:tabs>
          <w:tab w:leader="none" w:pos="17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Bank is an insured depository institution under the Federal Deposit Insurance Act;</w:t>
      </w:r>
    </w:p>
    <w:p>
      <w:pPr>
        <w:spacing w:after="0" w:line="279" w:lineRule="exact"/>
        <w:rPr>
          <w:rFonts w:ascii="Arial" w:cs="Arial" w:eastAsia="Arial" w:hAnsi="Arial"/>
          <w:sz w:val="18"/>
          <w:szCs w:val="18"/>
          <w:color w:val="auto"/>
        </w:rPr>
      </w:pPr>
    </w:p>
    <w:p>
      <w:pPr>
        <w:jc w:val="both"/>
        <w:ind w:firstLine="1467"/>
        <w:spacing w:after="0" w:line="290" w:lineRule="auto"/>
        <w:tabs>
          <w:tab w:leader="none" w:pos="1836" w:val="left"/>
        </w:tabs>
        <w:numPr>
          <w:ilvl w:val="0"/>
          <w:numId w:val="153"/>
        </w:numPr>
        <w:rPr>
          <w:rFonts w:ascii="Arial" w:cs="Arial" w:eastAsia="Arial" w:hAnsi="Arial"/>
          <w:sz w:val="16"/>
          <w:szCs w:val="16"/>
          <w:color w:val="auto"/>
        </w:rPr>
      </w:pPr>
      <w:r>
        <w:rPr>
          <w:rFonts w:ascii="Arial" w:cs="Arial" w:eastAsia="Arial" w:hAnsi="Arial"/>
          <w:sz w:val="16"/>
          <w:szCs w:val="16"/>
          <w:color w:val="auto"/>
        </w:rPr>
        <w:t>Each Subsidiary has been duly incorporated (or organized) and is validly existing as a corporation (or other organization) in good standing under the laws of the jurisdiction of its incorporation (or other organization), with power and authority to own, lease and operate its properties and conduct its business as described in the Registration Statement, the Pricing Disclosure Package and the Prospectus and has been duly qualified as a foreign corporation (or other organization) for the transaction of business and is in good standing under the laws of each other jurisdiction in which its owns or leases properties or conducts any business so as to require such qualification, except where the failure to so qualify or be in good standing could not have a Material Adverse Effect; all of the issued and outstanding capital stock (or other ownership interests) of each Subsidiary has been duly and validly authorized and issued, is fully paid and non-assessable and, except as otherwise described in the Registration Statement, the Pricing Disclosure Package and the Prospectus is owned by the Company, directly or through the Subsidiaries, free and clear of any security interest, mortgage, pledge, lien, encumbrance, claim or equity;</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Schedule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9" w:name="page240"/>
    <w:bookmarkEnd w:id="239"/>
    <w:p>
      <w:pPr>
        <w:jc w:val="both"/>
        <w:ind w:firstLine="1467"/>
        <w:spacing w:after="0" w:line="312" w:lineRule="auto"/>
        <w:tabs>
          <w:tab w:leader="none" w:pos="1886"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Company has an authorized capitalization as set forth in the Registration Statement, the Pricing Disclosure Package and the Prospectus and all of the issued and outstanding shares of capital stock of the Company have been duly and validly authorized and issued, are fully paid and non-assessable and conform to the descriptions thereof contained in the Registration Statement, the Pricing Disclosure Package and the Prospectus;</w:t>
      </w:r>
    </w:p>
    <w:p>
      <w:pPr>
        <w:spacing w:after="0" w:line="200" w:lineRule="exact"/>
        <w:rPr>
          <w:rFonts w:ascii="Arial" w:cs="Arial" w:eastAsia="Arial" w:hAnsi="Arial"/>
          <w:sz w:val="16"/>
          <w:szCs w:val="16"/>
          <w:color w:val="auto"/>
        </w:rPr>
      </w:pPr>
    </w:p>
    <w:p>
      <w:pPr>
        <w:jc w:val="both"/>
        <w:ind w:firstLine="1467"/>
        <w:spacing w:after="0" w:line="259" w:lineRule="auto"/>
        <w:tabs>
          <w:tab w:leader="none" w:pos="1772"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All of the issued and outstanding capital stock (or other ownership interests) of each Subsidiary has been duly and validly authorized and issued, is fully paid and non-assessable and, except as otherwise described in the Registration Statement, the Pricing Disclosure Package and the Prospectus is owned by the Company, directly or through the Subsidiaries, free and clear of any security interest, mortgage, pledge, lien, encumbrance, claim or equity;</w:t>
      </w:r>
    </w:p>
    <w:p>
      <w:pPr>
        <w:spacing w:after="0" w:line="240" w:lineRule="exact"/>
        <w:rPr>
          <w:rFonts w:ascii="Arial" w:cs="Arial" w:eastAsia="Arial" w:hAnsi="Arial"/>
          <w:sz w:val="18"/>
          <w:szCs w:val="18"/>
          <w:color w:val="auto"/>
        </w:rPr>
      </w:pPr>
    </w:p>
    <w:p>
      <w:pPr>
        <w:jc w:val="both"/>
        <w:ind w:firstLine="1467"/>
        <w:spacing w:after="0" w:line="259" w:lineRule="auto"/>
        <w:tabs>
          <w:tab w:leader="none" w:pos="1736"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Shares to be issued and sold by the Company to the Underwriters hereunder have been duly and validly authorized and, when issued and delivered to and paid for by the Underwriters in accordance with the terms of the Underwriting Agreement, will be duly and validly issued and fully paid and non-assessable and will conform to the descriptions thereof contained in the Registration Statement, the Pricing Disclosure Package and the Prospectus; and the issuance of such Shares is not subject to any preemptive or similar rights;</w:t>
      </w:r>
    </w:p>
    <w:p>
      <w:pPr>
        <w:spacing w:after="0" w:line="240" w:lineRule="exact"/>
        <w:rPr>
          <w:rFonts w:ascii="Arial" w:cs="Arial" w:eastAsia="Arial" w:hAnsi="Arial"/>
          <w:sz w:val="18"/>
          <w:szCs w:val="18"/>
          <w:color w:val="auto"/>
        </w:rPr>
      </w:pPr>
    </w:p>
    <w:p>
      <w:pPr>
        <w:jc w:val="both"/>
        <w:ind w:firstLine="1467"/>
        <w:spacing w:after="0" w:line="264" w:lineRule="auto"/>
        <w:tabs>
          <w:tab w:leader="none" w:pos="1772" w:val="left"/>
        </w:tabs>
        <w:numPr>
          <w:ilvl w:val="0"/>
          <w:numId w:val="154"/>
        </w:numPr>
        <w:rPr>
          <w:rFonts w:ascii="Arial" w:cs="Arial" w:eastAsia="Arial" w:hAnsi="Arial"/>
          <w:sz w:val="18"/>
          <w:szCs w:val="18"/>
          <w:color w:val="auto"/>
        </w:rPr>
      </w:pPr>
      <w:r>
        <w:rPr>
          <w:rFonts w:ascii="Arial" w:cs="Arial" w:eastAsia="Arial" w:hAnsi="Arial"/>
          <w:sz w:val="18"/>
          <w:szCs w:val="18"/>
          <w:color w:val="auto"/>
        </w:rPr>
        <w:t>No shareholder of the Company or any other person has any preemptive right, right of first refusal or other similar right to subscribe for or purchase securities of the Company arising (i) by operation of the Company’s Charter or Bylaws or the law of the State of Texas or (ii) to the knowledge of such counsel, otherwise;</w:t>
      </w:r>
    </w:p>
    <w:p>
      <w:pPr>
        <w:spacing w:after="0" w:line="235" w:lineRule="exact"/>
        <w:rPr>
          <w:rFonts w:ascii="Arial" w:cs="Arial" w:eastAsia="Arial" w:hAnsi="Arial"/>
          <w:sz w:val="18"/>
          <w:szCs w:val="18"/>
          <w:color w:val="auto"/>
        </w:rPr>
      </w:pPr>
    </w:p>
    <w:p>
      <w:pPr>
        <w:ind w:left="1840" w:hanging="373"/>
        <w:spacing w:after="0"/>
        <w:tabs>
          <w:tab w:leader="none" w:pos="18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Underwriting Agreement has been duly authorized, executed and delivered by the Company;</w:t>
      </w:r>
    </w:p>
    <w:p>
      <w:pPr>
        <w:spacing w:after="0" w:line="279" w:lineRule="exact"/>
        <w:rPr>
          <w:rFonts w:ascii="Arial" w:cs="Arial" w:eastAsia="Arial" w:hAnsi="Arial"/>
          <w:sz w:val="18"/>
          <w:szCs w:val="18"/>
          <w:color w:val="auto"/>
        </w:rPr>
      </w:pPr>
    </w:p>
    <w:p>
      <w:pPr>
        <w:jc w:val="both"/>
        <w:ind w:firstLine="1467"/>
        <w:spacing w:after="0" w:line="255" w:lineRule="auto"/>
        <w:tabs>
          <w:tab w:leader="none" w:pos="1872"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execution, delivery and performance of the Underwriting Agreement by the Company on the date hereof do not (a) constitute a breach of the Charter or Bylaws, (b) breach or result in a default of any agreement or other instrument filed as an exhibit to the Registration Statement or (c) violate any (i) any law, ordinance, administrative or governmental rule or regulation applicable to the Company or (ii) any judgment, decree or order of any court or any public, governmental or regulatory agency or body having jurisdiction over the Company set forth on Schedule 2 attached hereto; or (d) result in the creation or imposition of any lien, charge or encumbrance upon any property or assets of the Company or the Bank pursuant to any agreement or other instruments filed as an exhibit to the Registration Statement;</w:t>
      </w:r>
    </w:p>
    <w:p>
      <w:pPr>
        <w:spacing w:after="0" w:line="247" w:lineRule="exact"/>
        <w:rPr>
          <w:rFonts w:ascii="Arial" w:cs="Arial" w:eastAsia="Arial" w:hAnsi="Arial"/>
          <w:sz w:val="18"/>
          <w:szCs w:val="18"/>
          <w:color w:val="auto"/>
        </w:rPr>
      </w:pPr>
    </w:p>
    <w:p>
      <w:pPr>
        <w:jc w:val="both"/>
        <w:ind w:firstLine="1467"/>
        <w:spacing w:after="0" w:line="302" w:lineRule="auto"/>
        <w:tabs>
          <w:tab w:leader="none" w:pos="1862" w:val="left"/>
        </w:tabs>
        <w:numPr>
          <w:ilvl w:val="0"/>
          <w:numId w:val="154"/>
        </w:numPr>
        <w:rPr>
          <w:rFonts w:ascii="Arial" w:cs="Arial" w:eastAsia="Arial" w:hAnsi="Arial"/>
          <w:sz w:val="16"/>
          <w:szCs w:val="16"/>
          <w:color w:val="auto"/>
        </w:rPr>
      </w:pPr>
      <w:r>
        <w:rPr>
          <w:rFonts w:ascii="Arial" w:cs="Arial" w:eastAsia="Arial" w:hAnsi="Arial"/>
          <w:sz w:val="16"/>
          <w:szCs w:val="16"/>
          <w:color w:val="auto"/>
        </w:rPr>
        <w:t>No consent, approval, authorization, order, registration or qualification of or with any such court or governmental agency or body is required for the issue and sale of the Shares to be sold by the Company hereunder or the consummation by the Company of the transactions contemplated by the Underwriting Agreement, except the registration under the Securities Act of the Shares and such consents, approvals, authorizations, registrations or qualifications as may be required under state securities or Blue Sky laws in connection with the purchase and distribution of the Shares by the Underwriters;</w:t>
      </w:r>
    </w:p>
    <w:p>
      <w:pPr>
        <w:spacing w:after="0" w:line="208" w:lineRule="exact"/>
        <w:rPr>
          <w:rFonts w:ascii="Arial" w:cs="Arial" w:eastAsia="Arial" w:hAnsi="Arial"/>
          <w:sz w:val="16"/>
          <w:szCs w:val="16"/>
          <w:color w:val="auto"/>
        </w:rPr>
      </w:pPr>
    </w:p>
    <w:p>
      <w:pPr>
        <w:jc w:val="both"/>
        <w:ind w:firstLine="1467"/>
        <w:spacing w:after="0" w:line="272" w:lineRule="auto"/>
        <w:tabs>
          <w:tab w:leader="none" w:pos="1812" w:val="left"/>
        </w:tabs>
        <w:numPr>
          <w:ilvl w:val="0"/>
          <w:numId w:val="154"/>
        </w:numPr>
        <w:rPr>
          <w:rFonts w:ascii="Arial" w:cs="Arial" w:eastAsia="Arial" w:hAnsi="Arial"/>
          <w:sz w:val="17"/>
          <w:szCs w:val="17"/>
          <w:color w:val="auto"/>
        </w:rPr>
      </w:pPr>
      <w:r>
        <w:rPr>
          <w:rFonts w:ascii="Arial" w:cs="Arial" w:eastAsia="Arial" w:hAnsi="Arial"/>
          <w:sz w:val="17"/>
          <w:szCs w:val="17"/>
          <w:color w:val="auto"/>
        </w:rPr>
        <w:t>To such counsel’s knowledge after reasonable investigation, neither the Company nor any of the Subsidiaries is (A) in violation of its certificate formation or bylaws (or other organization documents), (B) in violation of any law, ordinance, administrative or governmental rule or regulation applicable to the Company or any of the Subsidiaries, (C) in violation of any decree of any court or governmental agency or body having jurisdiction over the Company or any of the Subsidiaries, or (D) in default in the performance of any obligation, agreement or condition contained in any bond, debenture, note or any other evidence of indebtedness or in any agreement, indenture, lease or other instrument to which the Company or any of the Subsidiaries is a party or by which any of them or any of their respective properties may be bound, except, in the case of clauses (B), (C) and (D), where any such violation or default, individually or in the aggregate, could not have a Material Adverse Effect;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Schedule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40" w:name="page241"/>
    <w:bookmarkEnd w:id="240"/>
    <w:p>
      <w:pPr>
        <w:jc w:val="both"/>
        <w:ind w:firstLine="1467"/>
        <w:spacing w:after="0" w:line="264" w:lineRule="auto"/>
        <w:tabs>
          <w:tab w:leader="none" w:pos="1862"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Shares as contemplated herein and the application of the net proceeds therefrom as described in the Registration Statement, the Pricing Disclosure Package and the Prospectus, will not be an “investment company”, as such term is defined in the Investment Company Act of 1940;</w:t>
      </w:r>
    </w:p>
    <w:p>
      <w:pPr>
        <w:spacing w:after="0" w:line="235" w:lineRule="exact"/>
        <w:rPr>
          <w:rFonts w:ascii="Arial" w:cs="Arial" w:eastAsia="Arial" w:hAnsi="Arial"/>
          <w:sz w:val="18"/>
          <w:szCs w:val="18"/>
          <w:color w:val="auto"/>
        </w:rPr>
      </w:pPr>
    </w:p>
    <w:p>
      <w:pPr>
        <w:jc w:val="both"/>
        <w:ind w:firstLine="1467"/>
        <w:spacing w:after="0" w:line="302" w:lineRule="auto"/>
        <w:tabs>
          <w:tab w:leader="none" w:pos="1913"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information in the Registration Statement, the Pricing Disclosure Package and the Prospectus under the captions “Business - Litigation”, “Business - Properties”, “Supervision and Regulation”, “Material United States Federal Income Tax Considerations”, “Shares Eligible for Future Sale”, “Description of Capital Stock”, and “Underwriting”, insofar as it constitutes matters of law, summaries of legal matters or documents, summaries of the Company’s certificate of formation and bylaws or legal proceedings, or legal conclusions is correct in all material respects;</w:t>
      </w:r>
    </w:p>
    <w:p>
      <w:pPr>
        <w:spacing w:after="0" w:line="208" w:lineRule="exact"/>
        <w:rPr>
          <w:rFonts w:ascii="Arial" w:cs="Arial" w:eastAsia="Arial" w:hAnsi="Arial"/>
          <w:sz w:val="16"/>
          <w:szCs w:val="16"/>
          <w:color w:val="auto"/>
        </w:rPr>
      </w:pPr>
    </w:p>
    <w:p>
      <w:pPr>
        <w:jc w:val="both"/>
        <w:ind w:firstLine="1467"/>
        <w:spacing w:after="0" w:line="255" w:lineRule="auto"/>
        <w:tabs>
          <w:tab w:leader="none" w:pos="1976"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Registration Statement, including any Rule 462(b) Registration Statement, has been declared effective under the Securities Act; any required filing of the Prospectus pursuant to Rule 424(b) under the Securities Act has been made in the manner and within the time period required by Rule 424(b); all material required to be filed by the Company pursuant to Rule 433(d) under the Securities Act has been filed with the Commission within the applicable time period prescribed for such filing by Rule 433 under the Securities Act; and to such counsel’s knowledge after reasonable investigation, no stop order suspending the effectiveness or use of the Registration Statement, any preliminary prospectus, the Pricing Prospectus, any Issuer Free Writing Prospectus or the Prospectus has been issued under the Securities Act and no proceedings for that purpose have been instituted or are pending or threatened by the Commission;</w:t>
      </w:r>
    </w:p>
    <w:p>
      <w:pPr>
        <w:spacing w:after="0" w:line="243" w:lineRule="exact"/>
        <w:rPr>
          <w:rFonts w:ascii="Arial" w:cs="Arial" w:eastAsia="Arial" w:hAnsi="Arial"/>
          <w:sz w:val="18"/>
          <w:szCs w:val="18"/>
          <w:color w:val="auto"/>
        </w:rPr>
      </w:pPr>
    </w:p>
    <w:p>
      <w:pPr>
        <w:ind w:firstLine="1467"/>
        <w:spacing w:after="0" w:line="277" w:lineRule="auto"/>
        <w:tabs>
          <w:tab w:leader="none" w:pos="1862"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To such counsel’s knowledge after reasonable investigation, there are no statutes or regulations that are required to be described in the Registration Statement, the Pricing Disclosure Package and the Prospectus that are not described as required; and</w:t>
      </w:r>
    </w:p>
    <w:p>
      <w:pPr>
        <w:spacing w:after="0" w:line="224" w:lineRule="exact"/>
        <w:rPr>
          <w:rFonts w:ascii="Arial" w:cs="Arial" w:eastAsia="Arial" w:hAnsi="Arial"/>
          <w:sz w:val="18"/>
          <w:szCs w:val="18"/>
          <w:color w:val="auto"/>
        </w:rPr>
      </w:pPr>
    </w:p>
    <w:p>
      <w:pPr>
        <w:jc w:val="both"/>
        <w:ind w:firstLine="1467"/>
        <w:spacing w:after="0" w:line="293" w:lineRule="auto"/>
        <w:tabs>
          <w:tab w:leader="none" w:pos="1812"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Registration Statement, the Pricing Disclosure Package and the Prospectus and any further amendments and supplements thereto made by the Company prior to such Closing Date or Option Closing Date, as the case may be (other than the financial statements, related schedules and other financial data therein, as to which such counsel need express no opinion), comply as to form in all material respects with the requirements of the Securities Act; and such counsel does not know of any amendment to the Registration Statement, the Pricing Disclosure Package or the Prospectus required to be filed or of any contracts or other documents of a character required to be filed as an exhibit to the Registration Statement or required to be described in the Registration Statement, the Pricing Disclosure Package and the Prospectus which are not filed or described as required.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Schedule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41" w:name="page242"/>
    <w:bookmarkEnd w:id="241"/>
    <w:p>
      <w:pPr>
        <w:jc w:val="both"/>
        <w:ind w:firstLine="648"/>
        <w:spacing w:after="0" w:line="285" w:lineRule="auto"/>
        <w:rPr>
          <w:sz w:val="20"/>
          <w:szCs w:val="20"/>
          <w:color w:val="auto"/>
        </w:rPr>
      </w:pPr>
      <w:r>
        <w:rPr>
          <w:rFonts w:ascii="Arial" w:cs="Arial" w:eastAsia="Arial" w:hAnsi="Arial"/>
          <w:sz w:val="16"/>
          <w:szCs w:val="16"/>
          <w:color w:val="auto"/>
        </w:rPr>
        <w:t>In addition, such counsel shall state that, although they are not passing upon and do not assume any responsibility for nor have they independently verified, the accuracy, completeness or fairness of the statements contained in the Registration Statement, the Pricing Disclosure Package or the Prospectus, except to the extent set forth in opinions (iii), (iv) and (xiv) above, in connection with the preparation of the Registration Statement, the Pricing Disclosure Package and the Prospectus, such counsel has participated in conferences with the Underwriters and counsel of the Underwriters and with certain officers and employees of, and counsel and independent certified public accountants for, the Company, at which conferences the contents of the Registration Statement, the Pricing Disclosure Package and the Prospectus and related matters were discussed, and such counsel advises the Underwriters that nothing has come to such counsel’s attention that would lead such counsel to believe that, as of its effective date, the Registration Statement or any further amendment thereto made by the Company prior to such Closing Date or Option Closing Date, as the case may be (other than the financial statements, related schedules and other financial data therein, as to which such counsel need express no opinion), contained an untrue statement of a material fact required to be stated therein or necessary to make the statements therein not misleading or that, as of its date, the Prospectus or any further amendment or supplement thereto made by the Company prior to such Closing Date or Option Closing Date, as the case may be (other than the financial statements, related schedules and other financial data therein, as to which such counsel need express no opinion) contained an untrue statement of a material fact or omitted to state a material fact necessary to make the statements therein, in the light of the circumstances under which they were made, not misleading or that, as of the Applicable Time, any of the Registration Statement, any preliminary prospectus, the Pricing Prospectus, any Issuer Free Writing Prospectus or the Prospectus (other than the financial statements, related schedules and other financial data therein, as to which such counsel need express no opinion) contains an untrue statement of a material fact or omits to state a material fact necessary to make the statements therein, in the light of the circumstances under which they were made, not misleading.</w:t>
      </w:r>
    </w:p>
    <w:p>
      <w:pPr>
        <w:spacing w:after="0" w:line="20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rendering such opinion, such counsel may (1) rely as to matters governed by the laws of states other than Texas on local counsel in such jurisdictions, provided that in such case such counsel shall state that they believe that they and the Underwriters are justified in relying on such other counsel and (2) rely as to matters of fact (but not as to legal conclusions), to the extent they deem proper on certificates of responsible officers of the Company and public officials. Such opinion shall not state that it is to be governed or qualified by, or that it is otherwise subject to, any treatise, written policy or other document relating to legal opinions, including, without limitation, the Legal Opinion Accord of the ABA Section of Business Law (1991).</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Schedule 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2" w:name="page243"/>
    <w:bookmarkEnd w:id="242"/>
    <w:p>
      <w:pPr>
        <w:jc w:val="center"/>
        <w:spacing w:after="0"/>
        <w:rPr>
          <w:sz w:val="20"/>
          <w:szCs w:val="20"/>
          <w:color w:val="auto"/>
        </w:rPr>
      </w:pPr>
      <w:r>
        <w:rPr>
          <w:rFonts w:ascii="Arial" w:cs="Arial" w:eastAsia="Arial" w:hAnsi="Arial"/>
          <w:sz w:val="18"/>
          <w:szCs w:val="18"/>
          <w:b w:val="1"/>
          <w:bCs w:val="1"/>
          <w:color w:val="auto"/>
        </w:rPr>
        <w:t>EXHIBIT B</w:t>
      </w:r>
    </w:p>
    <w:p>
      <w:pPr>
        <w:spacing w:after="0" w:line="252" w:lineRule="exact"/>
        <w:rPr>
          <w:sz w:val="20"/>
          <w:szCs w:val="20"/>
          <w:color w:val="auto"/>
        </w:rPr>
      </w:pPr>
    </w:p>
    <w:p>
      <w:pPr>
        <w:ind w:left="3780"/>
        <w:spacing w:after="0"/>
        <w:rPr>
          <w:sz w:val="20"/>
          <w:szCs w:val="20"/>
          <w:color w:val="auto"/>
        </w:rPr>
      </w:pPr>
      <w:r>
        <w:rPr>
          <w:rFonts w:ascii="Arial" w:cs="Arial" w:eastAsia="Arial" w:hAnsi="Arial"/>
          <w:sz w:val="18"/>
          <w:szCs w:val="18"/>
          <w:b w:val="1"/>
          <w:bCs w:val="1"/>
          <w:u w:val="single" w:color="auto"/>
          <w:color w:val="auto"/>
        </w:rPr>
        <w:t>Form Opinion Of Counsel To Selling Shareholders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final opinion in draft form should be attached as Exhibit B at the time this Agreement is executed.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Opinion of counsel for the Selling Shareholders to be delivered pursuant to Section 6 of the Underwriting Agreement.</w:t>
      </w:r>
    </w:p>
    <w:p>
      <w:pPr>
        <w:spacing w:after="0" w:line="25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References to the Prospectus in this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include any amendments and supplements thereto at the Closing Date. Capitalized terms used in this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without definition shall have the respective meanings ascribed to them in the Underwriting Agreement.</w:t>
      </w:r>
    </w:p>
    <w:p>
      <w:pPr>
        <w:spacing w:after="0" w:line="224" w:lineRule="exact"/>
        <w:rPr>
          <w:sz w:val="20"/>
          <w:szCs w:val="20"/>
          <w:color w:val="auto"/>
        </w:rPr>
      </w:pPr>
    </w:p>
    <w:p>
      <w:pPr>
        <w:jc w:val="both"/>
        <w:ind w:firstLine="1467"/>
        <w:spacing w:after="0" w:line="302" w:lineRule="auto"/>
        <w:tabs>
          <w:tab w:leader="none" w:pos="171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All consents, approvals, authorizations and orders necessary for the execution and delivery by each Selling Shareholder of the Underwriting Agreement and the Power of Attorney and Custody Agreement and for the sale and delivery of the Shares to be sold by such Selling Shareholder hereunder, have been obtained; and each Selling Shareholder has full right, power and authority to enter into the Underwriting Agreement and the Power of Attorney and Custody Agreement and to sell, assign, transfer and deliver the Shares to be sold by such Selling Shareholder hereunder;</w:t>
      </w:r>
    </w:p>
    <w:p>
      <w:pPr>
        <w:spacing w:after="0" w:line="181" w:lineRule="exact"/>
        <w:rPr>
          <w:rFonts w:ascii="Arial" w:cs="Arial" w:eastAsia="Arial" w:hAnsi="Arial"/>
          <w:sz w:val="16"/>
          <w:szCs w:val="16"/>
          <w:color w:val="auto"/>
        </w:rPr>
      </w:pPr>
    </w:p>
    <w:p>
      <w:pPr>
        <w:jc w:val="both"/>
        <w:ind w:firstLine="1467"/>
        <w:spacing w:after="0" w:line="259" w:lineRule="auto"/>
        <w:tabs>
          <w:tab w:leader="none" w:pos="1749"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Underwriting Agreement and the Power of Attorney and Custody Agreement have each been duly authorized, executed and delivered by each Selling Shareholder; and the Underwriting Agreement constitutes the legal, valid and binding obligation of each Selling Shareholder, enforceable against such Selling Shareholder in accordance with its terms, except as (A) enforcement thereof may be limited by bankruptcy, insolvency or similar laws, and (B) enforcement thereof is subject to general principles of equity;</w:t>
      </w:r>
    </w:p>
    <w:p>
      <w:pPr>
        <w:spacing w:after="0" w:line="240" w:lineRule="exact"/>
        <w:rPr>
          <w:rFonts w:ascii="Arial" w:cs="Arial" w:eastAsia="Arial" w:hAnsi="Arial"/>
          <w:sz w:val="18"/>
          <w:szCs w:val="18"/>
          <w:color w:val="auto"/>
        </w:rPr>
      </w:pPr>
    </w:p>
    <w:p>
      <w:pPr>
        <w:jc w:val="both"/>
        <w:ind w:firstLine="1467"/>
        <w:spacing w:after="0" w:line="270" w:lineRule="auto"/>
        <w:tabs>
          <w:tab w:leader="none" w:pos="1783"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The sale of the Shares to be sold by such Selling Shareholder under the Underwriting Agreement, the execution of the Underwriting Agreement and the Power of Attorney and Custody Agreement by each Selling Shareholder and the compliance by each Selling Shareholder with all of the provisions of the Underwriting Agreement and the Power of Attorney and Custody Agreement and the consummation of the transactions therein contemplated will not conflict with or result in a breach or violation of any of the terms or provisions of, or constitute a default under, any indenture, mortgage, deed of trust, loan agreement or other agreement or instrument known to such counsel after reasonable investigation to which such Selling Shareholder is a party or by which such Selling Shareholder is bound or to which any of the property or assets of such Selling Shareholder is subject, nor will such action result in any violation of the organizational documents of such Selling Shareholder, if such Selling Shareholder is not an individual, or any statute or any order, rule or regulation of any court or governmental agency or body known to such counsel after reasonable investigation having jurisdiction over such Selling Shareholder or any of its properties;</w:t>
      </w:r>
    </w:p>
    <w:p>
      <w:pPr>
        <w:spacing w:after="0" w:line="235" w:lineRule="exact"/>
        <w:rPr>
          <w:rFonts w:ascii="Arial" w:cs="Arial" w:eastAsia="Arial" w:hAnsi="Arial"/>
          <w:sz w:val="17"/>
          <w:szCs w:val="17"/>
          <w:color w:val="auto"/>
        </w:rPr>
      </w:pPr>
    </w:p>
    <w:p>
      <w:pPr>
        <w:jc w:val="both"/>
        <w:ind w:firstLine="1467"/>
        <w:spacing w:after="0" w:line="287" w:lineRule="auto"/>
        <w:tabs>
          <w:tab w:leader="none" w:pos="1772" w:val="left"/>
        </w:tabs>
        <w:numPr>
          <w:ilvl w:val="0"/>
          <w:numId w:val="156"/>
        </w:numPr>
        <w:rPr>
          <w:rFonts w:ascii="Arial" w:cs="Arial" w:eastAsia="Arial" w:hAnsi="Arial"/>
          <w:sz w:val="16"/>
          <w:szCs w:val="16"/>
          <w:color w:val="auto"/>
        </w:rPr>
      </w:pPr>
      <w:r>
        <w:rPr>
          <w:rFonts w:ascii="Arial" w:cs="Arial" w:eastAsia="Arial" w:hAnsi="Arial"/>
          <w:sz w:val="16"/>
          <w:szCs w:val="16"/>
          <w:color w:val="auto"/>
        </w:rPr>
        <w:t>Assuming that each of Underwriters does not have “notice” of any “adverse claim” (each within the meaning of Section 8-105 of the UCC) with respect to the Shares to be purchased from such Selling Shareholder, upon delivery by or on behalf of such Selling Shareholder of the Shares listed on Schedule II hereto (the “Delivered Shares”) to Cede, as nominee for DTC, in the State of New York, registered in the name of Cede and crediting of such Shares on the books of DTC to securities accounts of the Underwriters upon registration of transfer by the issuer thereof, and payment therefor in accordance with the terms of the Underwriting Agreement, (A) DTC will become a “protected purchaser” (as defined in Section 8-303(a) of the UCC) of the Delivered Shares; (B) under Section 8-501 of the UCC, the Underwriters will acquire a valid security entitlement in respect of such Shares and (C) no action based on any “adverse claim”, within the meaning of Section 8-102 of the UCC, to such Shares may be asserted against the Underwriters with respect to such security entitlement; provided, that for purposes of this opinion, we have assumed that when such payment, delivery and crediting occur, (x) such Shares will have been registered in the name of Cede or another nominee designated by DTC, in each case on the Company’s share registry in accordance with its articles of incorporation, bylaws and applicable law, rule or regulation, (y) DTC will be registered as a “clearing corporation” within the meaning of Section 8-102 of the UCC and (z) appropriate entries to the accounts of the several Underwriters on the records of DTC will have been made pursuant to the UCC; and</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3" w:name="page244"/>
    <w:bookmarkEnd w:id="243"/>
    <w:p>
      <w:pPr>
        <w:jc w:val="both"/>
        <w:ind w:firstLine="1467"/>
        <w:spacing w:after="0" w:line="264" w:lineRule="auto"/>
        <w:tabs>
          <w:tab w:leader="none" w:pos="1722"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To the best of such counsel’s knowledge, no consent, approval, authorization or other order of, or registration or filing with, any court or governmental authority or agency, is required for the consummation by such Selling Shareholder of the transactions contemplated in the Underwriting Agreement, except as required by the Securities Act, applicable state securities or Blue Sky laws, and FINRA.</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rendering such opinion, such counsel may rely as to matters of fact (but not as to legal conclusions), to the extent they deem proper on certificates of the Selling Shareholders and public officials. Such opinion shall not state that it is to be governed or qualified by, or that it is otherwise subject to, any treatise, written policy or other document relating to legal opinions, including, without limitation, the Legal Opinion Accord of the ABA Section of Business Law (1991).</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44" w:name="page245"/>
    <w:bookmarkEnd w:id="244"/>
    <w:p>
      <w:pPr>
        <w:jc w:val="center"/>
        <w:spacing w:after="0"/>
        <w:rPr>
          <w:sz w:val="20"/>
          <w:szCs w:val="20"/>
          <w:color w:val="auto"/>
        </w:rPr>
      </w:pPr>
      <w:r>
        <w:rPr>
          <w:rFonts w:ascii="Arial" w:cs="Arial" w:eastAsia="Arial" w:hAnsi="Arial"/>
          <w:sz w:val="18"/>
          <w:szCs w:val="18"/>
          <w:b w:val="1"/>
          <w:bCs w:val="1"/>
          <w:color w:val="auto"/>
        </w:rPr>
        <w:t>EXHIBIT 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Lock-up Agreement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KEEFE, BRUYETTE &amp; WOODS, INC.</w:t>
      </w:r>
    </w:p>
    <w:p>
      <w:pPr>
        <w:spacing w:after="0" w:line="186" w:lineRule="auto"/>
        <w:rPr>
          <w:sz w:val="20"/>
          <w:szCs w:val="20"/>
          <w:color w:val="auto"/>
        </w:rPr>
      </w:pPr>
      <w:r>
        <w:rPr>
          <w:rFonts w:ascii="Arial" w:cs="Arial" w:eastAsia="Arial" w:hAnsi="Arial"/>
          <w:sz w:val="17"/>
          <w:szCs w:val="17"/>
          <w:color w:val="auto"/>
        </w:rPr>
        <w:t>787 Seventh Avenue, 4</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SANDLER O’NEILL &amp; PARTNERS,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1251 Avenue of the Americas, 6th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48"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The undersigned understands that Keefe, Bruyette &amp; Woods, Inc. and Sandler O’Neill &amp; Partners, L.P. (the “</w:t>
      </w:r>
      <w:r>
        <w:rPr>
          <w:rFonts w:ascii="Arial" w:cs="Arial" w:eastAsia="Arial" w:hAnsi="Arial"/>
          <w:sz w:val="17"/>
          <w:szCs w:val="17"/>
          <w:b w:val="1"/>
          <w:bCs w:val="1"/>
          <w:color w:val="auto"/>
        </w:rPr>
        <w:t>Underwriters</w:t>
      </w:r>
      <w:r>
        <w:rPr>
          <w:rFonts w:ascii="Arial" w:cs="Arial" w:eastAsia="Arial" w:hAnsi="Arial"/>
          <w:sz w:val="17"/>
          <w:szCs w:val="17"/>
          <w:color w:val="auto"/>
        </w:rPr>
        <w:t>”), propose to enter into an Underwriting Agreement (the “</w:t>
      </w:r>
      <w:r>
        <w:rPr>
          <w:rFonts w:ascii="Arial" w:cs="Arial" w:eastAsia="Arial" w:hAnsi="Arial"/>
          <w:sz w:val="17"/>
          <w:szCs w:val="17"/>
          <w:b w:val="1"/>
          <w:bCs w:val="1"/>
          <w:color w:val="auto"/>
        </w:rPr>
        <w:t>Underwriting Agreement</w:t>
      </w:r>
      <w:r>
        <w:rPr>
          <w:rFonts w:ascii="Arial" w:cs="Arial" w:eastAsia="Arial" w:hAnsi="Arial"/>
          <w:sz w:val="17"/>
          <w:szCs w:val="17"/>
          <w:color w:val="auto"/>
        </w:rPr>
        <w:t>”) with South Plains Financial Inc., a Texas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certain shareholders of the Company (the “</w:t>
      </w:r>
      <w:r>
        <w:rPr>
          <w:rFonts w:ascii="Arial" w:cs="Arial" w:eastAsia="Arial" w:hAnsi="Arial"/>
          <w:sz w:val="17"/>
          <w:szCs w:val="17"/>
          <w:b w:val="1"/>
          <w:bCs w:val="1"/>
          <w:color w:val="auto"/>
        </w:rPr>
        <w:t>Selling Shareholders</w:t>
      </w:r>
      <w:r>
        <w:rPr>
          <w:rFonts w:ascii="Arial" w:cs="Arial" w:eastAsia="Arial" w:hAnsi="Arial"/>
          <w:sz w:val="17"/>
          <w:szCs w:val="17"/>
          <w:color w:val="auto"/>
        </w:rPr>
        <w:t>”) to be named therein providing for the public offering (the “</w:t>
      </w:r>
      <w:r>
        <w:rPr>
          <w:rFonts w:ascii="Arial" w:cs="Arial" w:eastAsia="Arial" w:hAnsi="Arial"/>
          <w:sz w:val="17"/>
          <w:szCs w:val="17"/>
          <w:b w:val="1"/>
          <w:bCs w:val="1"/>
          <w:color w:val="auto"/>
        </w:rPr>
        <w:t>Public Offering</w:t>
      </w:r>
      <w:r>
        <w:rPr>
          <w:rFonts w:ascii="Arial" w:cs="Arial" w:eastAsia="Arial" w:hAnsi="Arial"/>
          <w:sz w:val="17"/>
          <w:szCs w:val="17"/>
          <w:color w:val="auto"/>
        </w:rPr>
        <w:t>”) by the Company and the Selling Shareholders of shares of the common stock, par value $1.00 per share, of the Company (the “</w:t>
      </w:r>
      <w:r>
        <w:rPr>
          <w:rFonts w:ascii="Arial" w:cs="Arial" w:eastAsia="Arial" w:hAnsi="Arial"/>
          <w:sz w:val="17"/>
          <w:szCs w:val="17"/>
          <w:b w:val="1"/>
          <w:bCs w:val="1"/>
          <w:color w:val="auto"/>
        </w:rPr>
        <w:t>Common Stock</w:t>
      </w:r>
      <w:r>
        <w:rPr>
          <w:rFonts w:ascii="Arial" w:cs="Arial" w:eastAsia="Arial" w:hAnsi="Arial"/>
          <w:sz w:val="17"/>
          <w:szCs w:val="17"/>
          <w:color w:val="auto"/>
        </w:rPr>
        <w:t>”).</w:t>
      </w:r>
    </w:p>
    <w:p>
      <w:pPr>
        <w:spacing w:after="0" w:line="19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To induce the Underwriters that may participate in the Public Offering to continue their efforts in connection with the Public Offering, the undersigned hereby agrees that, without the prior written consent of the Underwriters, it will not, during the period beginning on the date of this letter agreement and ending 180 days after the date of the prospectus relating to the Public Offering (the “</w:t>
      </w:r>
      <w:r>
        <w:rPr>
          <w:rFonts w:ascii="Arial" w:cs="Arial" w:eastAsia="Arial" w:hAnsi="Arial"/>
          <w:sz w:val="16"/>
          <w:szCs w:val="16"/>
          <w:b w:val="1"/>
          <w:bCs w:val="1"/>
          <w:color w:val="auto"/>
        </w:rPr>
        <w:t>Restricted Period</w:t>
      </w:r>
      <w:r>
        <w:rPr>
          <w:rFonts w:ascii="Arial" w:cs="Arial" w:eastAsia="Arial" w:hAnsi="Arial"/>
          <w:sz w:val="16"/>
          <w:szCs w:val="16"/>
          <w:color w:val="auto"/>
        </w:rPr>
        <w:t>”), directly or indirectly, (A) offer, pledge, sell, contract to sell, sell any option or contract to purchase, purchase any option or contract to sell, grant any option, right or warrant for the sale of, hypothecate, establish an open “put equivalent position” within the meaning of Rule 16a-1(h) under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or otherwise dispose of or transfer any shares of Common Stock or any securities convertible into or exchangeable or exercisable for Common Stock, whether now owned or hereafter acquired by the undersigned or with respect to which the undersigned has or hereafter acquires the power of disposition, or exercise any right with respect to the registration of any of the foregoing, or file or cause to be filed any registration statement in connection therewith under the Securities Act of 1933, as amended, (B) enter into any swap, hedge or any other agreement or any transaction that transfers, in whole or in part, directly or indirectly, the economic consequence of ownership of the Common Stock, whether any such swap, hedge or transaction is to be settled by delivery of Common Stock or other securities, in cash or otherwise, (C) publicly disclose the intention to make any such offer, pledge, sale or disposition, or to enter into any such swap, hedge, transaction or other arrangement or (D) make any demand for or exercise any right with respect to the registration of any shares of Common Stock or any security convertible into or exchangeable for shares of Common Stock. For purposes of clarity and avoidance of doubt, the above prohibition shall not apply to any distributions of Common Stock from the South Plains Financial, Inc. Employee Stock Ownership Plan and 401(k) Plan (the “ESOP”), however, to the extent the undersigned receives a distribution from the ESOP in the form of Common Stock, then such Common Stock held by such individual shall be subject to the foregoing lock-up during the Restricted Period.</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5" w:name="page246"/>
    <w:bookmarkEnd w:id="245"/>
    <w:p>
      <w:pPr>
        <w:jc w:val="both"/>
        <w:ind w:firstLine="648"/>
        <w:spacing w:after="0" w:line="282" w:lineRule="auto"/>
        <w:rPr>
          <w:sz w:val="20"/>
          <w:szCs w:val="20"/>
          <w:color w:val="auto"/>
        </w:rPr>
      </w:pPr>
      <w:r>
        <w:rPr>
          <w:rFonts w:ascii="Arial" w:cs="Arial" w:eastAsia="Arial" w:hAnsi="Arial"/>
          <w:sz w:val="16"/>
          <w:szCs w:val="16"/>
          <w:color w:val="auto"/>
        </w:rPr>
        <w:t xml:space="preserve">The foregoing restrictions shall not apply to (a) the sale of the shares of Common Stock in the Public Offering, (b) transfers of shares of Common Stock as a bona fide gift, (c) transfers by will or estate or intestate succession to the undersigned’s family, transfers to a trust or limited partnership, the beneficiaries or limited partners of which are exclusively the undersigned or members of the undersigned’s family, or transfers to a charitable organization, (d) transfers of shares of Common Stock pursuant to a bona fide third-party tender offer, merger, consolidation or other similar transaction made to all holders of the Company’s capital stock involving a change of control of the Company that has been approved by the Company’s board of directors, provided that in the event that such tender offer, merger, consolidation or other such transaction is not completed, the undersigned’s Common Stock shall remain subject to the provisions of this Letter Agreement (for the purposes of this clause (d), a “change of control” being defined as any bona fide third-party tender offer, merger, consolidation or other similar transaction the result of which is that any “person” (as defined in Section 13(d)(3) of the Exchange Act), or group of persons, becomes the beneficial owner (as defined in Rules 13d-3 and 13d-5 of the Exchange Act) of more than 50% of total voting power of the voting stock of the Company), (e) the exercise of any options to purchase shares of Common Stock or the vesting, award, delivery or settlement of shares of Common Stock and the receipt by the undersigned from the Company of shares of Common Stock thereunder, in each case pursuant to the Company’s stock option or equity-based compensation plans that are described in the registration statement and prospectus related to the Public Offering, and surrender, forfeiture or sales of such shares of Common Stock in transactions exempt from Section 16(b) of the Exchange Act that are issued upon exercise of such options or such vesting, award, delivery, settlement or receipt in order to pay or provide for any taxes due on such exercise, vesting, delivery, settlement or receipt or to pay the exercise price therefor or (f) transfers to affiliates (as defined in Rule 405 promulgated under the Securities Act of 1933, as amended) (including correlative terms, “Affiliate”) of the undersigned who remain Affiliates of the undersigned during the entirety of the Restricted Period, provided that, in the case of any transfer pursuant to this clause (f), no filing under Section 16(a) of the Exchange Act will be required or voluntarily made by or on behalf of the undersigned during the Restricted Period in connection with such transfer; </w:t>
      </w:r>
      <w:r>
        <w:rPr>
          <w:rFonts w:ascii="Arial" w:cs="Arial" w:eastAsia="Arial" w:hAnsi="Arial"/>
          <w:sz w:val="16"/>
          <w:szCs w:val="16"/>
          <w:i w:val="1"/>
          <w:iCs w:val="1"/>
          <w:color w:val="auto"/>
        </w:rPr>
        <w:t>provided further</w:t>
      </w:r>
      <w:r>
        <w:rPr>
          <w:rFonts w:ascii="Arial" w:cs="Arial" w:eastAsia="Arial" w:hAnsi="Arial"/>
          <w:sz w:val="16"/>
          <w:szCs w:val="16"/>
          <w:color w:val="auto"/>
        </w:rPr>
        <w:t>, that in the case of any transfer, distribution or issuance pursuant to clause (b),</w:t>
      </w:r>
    </w:p>
    <w:p>
      <w:pPr>
        <w:spacing w:after="0" w:line="13" w:lineRule="exact"/>
        <w:rPr>
          <w:sz w:val="20"/>
          <w:szCs w:val="20"/>
          <w:color w:val="auto"/>
        </w:rPr>
      </w:pPr>
    </w:p>
    <w:p>
      <w:pPr>
        <w:jc w:val="both"/>
        <w:ind w:firstLine="8"/>
        <w:spacing w:after="0" w:line="216" w:lineRule="exact"/>
        <w:tabs>
          <w:tab w:leader="none" w:pos="256" w:val="left"/>
        </w:tabs>
        <w:numPr>
          <w:ilvl w:val="0"/>
          <w:numId w:val="158"/>
        </w:numPr>
        <w:rPr>
          <w:rFonts w:ascii="Arial" w:cs="Arial" w:eastAsia="Arial" w:hAnsi="Arial"/>
          <w:sz w:val="17"/>
          <w:szCs w:val="17"/>
          <w:color w:val="auto"/>
        </w:rPr>
      </w:pPr>
      <w:r>
        <w:rPr>
          <w:rFonts w:ascii="Arial" w:cs="Arial" w:eastAsia="Arial" w:hAnsi="Arial"/>
          <w:sz w:val="17"/>
          <w:szCs w:val="17"/>
          <w:color w:val="auto"/>
        </w:rPr>
        <w:t>or (f), each donee, heir, legatee, trustee, distributee, transferee or recipient shall sign and deliver to the Underwriters a lock</w:t>
      </w:r>
      <w:r>
        <w:rPr>
          <w:rFonts w:ascii="MS PGothic" w:cs="MS PGothic" w:eastAsia="MS PGothic" w:hAnsi="MS PGothic"/>
          <w:sz w:val="17"/>
          <w:szCs w:val="17"/>
          <w:color w:val="auto"/>
        </w:rPr>
        <w:t>‑</w:t>
      </w:r>
      <w:r>
        <w:rPr>
          <w:rFonts w:ascii="Arial" w:cs="Arial" w:eastAsia="Arial" w:hAnsi="Arial"/>
          <w:sz w:val="17"/>
          <w:szCs w:val="17"/>
          <w:color w:val="auto"/>
        </w:rPr>
        <w:t>up letter substantially in the form of this letter for the balance of the Restricted Period. In furtherance of the foregoing, the Company is hereby authorized to decline to make or authorize any transfer of securities if such transfer would constitute a violation of breach of the restrictions contained herein.</w:t>
      </w:r>
    </w:p>
    <w:p>
      <w:pPr>
        <w:spacing w:after="0" w:line="23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undersigned understands that, if the undersigned is an officer or director of the Company, (1) this agreement shall be applicable to any issuer-directed shares that the undersigned may purchase in the Public Offering, (2) the Underwriters will notify the Company at least three business days before the effective date of any release or waiver of the foregoing restrictions, (3) the Company will announce the impending release or waiver by a press release through a major news service announcing such waiver or release, and (4) any release or waiver granted by the Underwriters under this agreement will only be effective two business days after the publication date of such press release.</w:t>
      </w:r>
    </w:p>
    <w:p>
      <w:pPr>
        <w:spacing w:after="0" w:line="2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undersigned understands that the Company and the Underwriters are relying upon this agreement in proceeding toward consummation of the Public Offering. The undersigned further understands that this agreement is irrevocable and shall be binding upon the undersigned’s heirs, legal representatives, successors and assigns.</w:t>
      </w:r>
    </w:p>
    <w:p>
      <w:pPr>
        <w:spacing w:after="0" w:line="20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Whether or not the Public Offering actually occurs depends on a number of factors, including market conditions. Any Public Offering will only be made pursuant to an Underwriting Agreement, the terms of which are subject to negotiation between the Company and the Underwriters.</w:t>
      </w:r>
    </w:p>
    <w:p>
      <w:pPr>
        <w:spacing w:after="0" w:line="1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It is understood that, if the Company notifies the Underwriters in writing that it does not intend to proceed with the Public Offering, if the Underwriting Agreement shall terminate or be terminated prior to the payment for and delivery of the shares of Common Stock to be sold thereunder (other than any shares of Common Stock subject to any over-allotment option) or if the Public Offering is not completed on or before August 13, 2019, this agreement shall be terminated and be of no further force or effect.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6" w:name="page247"/>
    <w:bookmarkEnd w:id="246"/>
    <w:p>
      <w:pPr>
        <w:spacing w:after="0"/>
        <w:rPr>
          <w:sz w:val="20"/>
          <w:szCs w:val="20"/>
          <w:color w:val="auto"/>
        </w:rPr>
      </w:pPr>
      <w:r>
        <w:rPr>
          <w:rFonts w:ascii="Arial" w:cs="Arial" w:eastAsia="Arial" w:hAnsi="Arial"/>
          <w:sz w:val="16"/>
          <w:szCs w:val="16"/>
          <w:color w:val="auto"/>
        </w:rPr>
        <w:t>This agreement is to be governed by and construed in accordance with the laws of the State of New York.</w:t>
      </w:r>
    </w:p>
    <w:p>
      <w:pPr>
        <w:spacing w:after="0" w:line="2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297815</wp:posOffset>
            </wp:positionV>
            <wp:extent cx="217805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598170</wp:posOffset>
            </wp:positionV>
            <wp:extent cx="217805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2178050" cy="17145"/>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297815</wp:posOffset>
            </wp:positionV>
            <wp:extent cx="217805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23" w:lineRule="exact"/>
        <w:rPr>
          <w:sz w:val="20"/>
          <w:szCs w:val="20"/>
          <w:color w:val="auto"/>
        </w:rPr>
      </w:pPr>
    </w:p>
    <w:p>
      <w:pPr>
        <w:ind w:left="4940"/>
        <w:spacing w:after="0"/>
        <w:rPr>
          <w:sz w:val="20"/>
          <w:szCs w:val="20"/>
          <w:color w:val="auto"/>
        </w:rPr>
      </w:pPr>
      <w:r>
        <w:rPr>
          <w:rFonts w:ascii="Arial" w:cs="Arial" w:eastAsia="Arial" w:hAnsi="Arial"/>
          <w:sz w:val="14"/>
          <w:szCs w:val="14"/>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38100</wp:posOffset>
            </wp:positionV>
            <wp:extent cx="72466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559"/>
          </w:cols>
          <w:pgMar w:left="900" w:top="125" w:right="1440" w:bottom="1440" w:gutter="0" w:footer="0" w:header="0"/>
        </w:sectPr>
      </w:pPr>
    </w:p>
    <w:bookmarkStart w:id="247" w:name="page248"/>
    <w:bookmarkEnd w:id="247"/>
    <w:p>
      <w:pPr>
        <w:jc w:val="center"/>
        <w:spacing w:after="0"/>
        <w:rPr>
          <w:sz w:val="20"/>
          <w:szCs w:val="20"/>
          <w:color w:val="auto"/>
        </w:rPr>
      </w:pPr>
      <w:r>
        <w:rPr>
          <w:rFonts w:ascii="Arial" w:cs="Arial" w:eastAsia="Arial" w:hAnsi="Arial"/>
          <w:sz w:val="18"/>
          <w:szCs w:val="18"/>
          <w:b w:val="1"/>
          <w:bCs w:val="1"/>
          <w:color w:val="auto"/>
        </w:rPr>
        <w:t>EXHIBIT C-1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List of Persons and Entities Executing Lock-Up Agreements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come]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48" w:name="page249"/>
    <w:bookmarkEnd w:id="248"/>
    <w:p>
      <w:pPr>
        <w:jc w:val="center"/>
        <w:ind w:right="-19"/>
        <w:spacing w:after="0"/>
        <w:rPr>
          <w:sz w:val="20"/>
          <w:szCs w:val="20"/>
          <w:color w:val="auto"/>
        </w:rPr>
      </w:pPr>
      <w:r>
        <w:rPr>
          <w:rFonts w:ascii="Arial" w:cs="Arial" w:eastAsia="Arial" w:hAnsi="Arial"/>
          <w:sz w:val="18"/>
          <w:szCs w:val="18"/>
          <w:b w:val="1"/>
          <w:bCs w:val="1"/>
          <w:color w:val="auto"/>
        </w:rPr>
        <w:t>EXHIBIT 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Form of Press Release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 Plains Financial,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2019</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South Plains Financial, Inc. (“Company”) announced today that Keefe, Bruyette &amp; Woods, </w:t>
      </w:r>
      <w:r>
        <w:rPr>
          <w:rFonts w:ascii="Arial" w:cs="Arial" w:eastAsia="Arial" w:hAnsi="Arial"/>
          <w:sz w:val="18"/>
          <w:szCs w:val="18"/>
          <w:i w:val="1"/>
          <w:iCs w:val="1"/>
          <w:color w:val="auto"/>
        </w:rPr>
        <w:t>A Stifel Company</w:t>
      </w:r>
      <w:r>
        <w:rPr>
          <w:rFonts w:ascii="Arial" w:cs="Arial" w:eastAsia="Arial" w:hAnsi="Arial"/>
          <w:sz w:val="18"/>
          <w:szCs w:val="18"/>
          <w:color w:val="auto"/>
        </w:rPr>
        <w:t xml:space="preserve">, and Sandler O’Neill &amp; Partners, L.P., the joint book-running underwriters in the Company’s recent public offering of </w:t>
      </w:r>
      <w:r>
        <w:rPr>
          <w:rFonts w:ascii="Arial" w:cs="Arial" w:eastAsia="Arial" w:hAnsi="Arial"/>
          <w:sz w:val="18"/>
          <w:szCs w:val="18"/>
          <w:b w:val="1"/>
          <w:bCs w:val="1"/>
          <w:color w:val="auto"/>
        </w:rPr>
        <w:t>[•]</w:t>
      </w:r>
      <w:r>
        <w:rPr>
          <w:rFonts w:ascii="Arial" w:cs="Arial" w:eastAsia="Arial" w:hAnsi="Arial"/>
          <w:sz w:val="18"/>
          <w:szCs w:val="18"/>
          <w:color w:val="auto"/>
        </w:rPr>
        <w:t xml:space="preserve"> shares of its common stock, is [waiving][releasing] a lock-up restriction with respect to </w:t>
      </w:r>
      <w:r>
        <w:rPr>
          <w:rFonts w:ascii="Arial" w:cs="Arial" w:eastAsia="Arial" w:hAnsi="Arial"/>
          <w:sz w:val="18"/>
          <w:szCs w:val="18"/>
          <w:b w:val="1"/>
          <w:bCs w:val="1"/>
          <w:color w:val="auto"/>
        </w:rPr>
        <w:t>[•]</w:t>
      </w:r>
      <w:r>
        <w:rPr>
          <w:rFonts w:ascii="Arial" w:cs="Arial" w:eastAsia="Arial" w:hAnsi="Arial"/>
          <w:sz w:val="18"/>
          <w:szCs w:val="18"/>
          <w:color w:val="auto"/>
        </w:rPr>
        <w:t xml:space="preserve"> shares of the Company’s common stock held by [certain officers or directors][an officer or director] of the Company. The [waiver][release] will take effect on </w:t>
      </w:r>
      <w:r>
        <w:rPr>
          <w:rFonts w:ascii="Arial" w:cs="Arial" w:eastAsia="Arial" w:hAnsi="Arial"/>
          <w:sz w:val="18"/>
          <w:szCs w:val="18"/>
          <w:b w:val="1"/>
          <w:bCs w:val="1"/>
          <w:color w:val="auto"/>
        </w:rPr>
        <w:t>[•]</w:t>
      </w:r>
      <w:r>
        <w:rPr>
          <w:rFonts w:ascii="Arial" w:cs="Arial" w:eastAsia="Arial" w:hAnsi="Arial"/>
          <w:sz w:val="18"/>
          <w:szCs w:val="18"/>
          <w:color w:val="auto"/>
        </w:rPr>
        <w:t>, and the shares may be sold on or after such date.</w:t>
      </w:r>
    </w:p>
    <w:p>
      <w:pPr>
        <w:spacing w:after="0" w:line="21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This press release is not an offer or sale of the securities in the United States or in any other jurisdiction where such offer or sale is prohibited, and such securities may not be offered or sold in the United States absent registration or an exemption from registration under the United States Securities Act of 1933, as amended.</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9" w:name="page250"/>
    <w:bookmarkEnd w:id="249"/>
    <w:p>
      <w:pPr>
        <w:ind w:left="92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187325</wp:posOffset>
            </wp:positionV>
            <wp:extent cx="7246620" cy="529971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7246620" cy="5299710"/>
                    </a:xfrm>
                    <a:prstGeom prst="rect">
                      <a:avLst/>
                    </a:prstGeom>
                    <a:noFill/>
                  </pic:spPr>
                </pic:pic>
              </a:graphicData>
            </a:graphic>
          </wp:anchor>
        </w:drawing>
      </w:r>
    </w:p>
    <w:p>
      <w:pPr>
        <w:sectPr>
          <w:pgSz w:w="11900" w:h="16838" w:orient="portrait"/>
          <w:cols w:equalWidth="0" w:num="1">
            <w:col w:w="10220"/>
          </w:cols>
          <w:pgMar w:left="1440" w:top="274" w:right="239" w:bottom="1440" w:gutter="0" w:footer="0" w:header="0"/>
        </w:sectPr>
      </w:pPr>
    </w:p>
    <w:bookmarkStart w:id="250" w:name="page251"/>
    <w:bookmarkEnd w:id="2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73887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7246620" cy="87388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1" w:name="page252"/>
    <w:bookmarkEnd w:id="251"/>
    <w:p>
      <w:pPr>
        <w:ind w:left="104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5.1</w:t>
      </w:r>
    </w:p>
    <w:p>
      <w:pPr>
        <w:spacing w:after="0" w:line="181" w:lineRule="exact"/>
        <w:rPr>
          <w:sz w:val="20"/>
          <w:szCs w:val="20"/>
          <w:color w:val="auto"/>
        </w:rPr>
      </w:pPr>
    </w:p>
    <w:p>
      <w:pPr>
        <w:ind w:left="8600"/>
        <w:spacing w:after="0"/>
        <w:rPr>
          <w:sz w:val="20"/>
          <w:szCs w:val="20"/>
          <w:color w:val="auto"/>
        </w:rPr>
      </w:pPr>
      <w:r>
        <w:rPr>
          <w:rFonts w:ascii="Arial" w:cs="Arial" w:eastAsia="Arial" w:hAnsi="Arial"/>
          <w:sz w:val="14"/>
          <w:szCs w:val="14"/>
          <w:color w:val="auto"/>
        </w:rPr>
        <w:t>HUNTON ANDREWS KURTH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2160905" cy="6172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2160905" cy="617220"/>
                    </a:xfrm>
                    <a:prstGeom prst="rect">
                      <a:avLst/>
                    </a:prstGeom>
                    <a:noFill/>
                  </pic:spPr>
                </pic:pic>
              </a:graphicData>
            </a:graphic>
          </wp:anchor>
        </w:drawing>
      </w:r>
    </w:p>
    <w:p>
      <w:pPr>
        <w:ind w:left="8600"/>
        <w:spacing w:after="0" w:line="221" w:lineRule="auto"/>
        <w:rPr>
          <w:sz w:val="20"/>
          <w:szCs w:val="20"/>
          <w:color w:val="auto"/>
        </w:rPr>
      </w:pPr>
      <w:r>
        <w:rPr>
          <w:rFonts w:ascii="Arial" w:cs="Arial" w:eastAsia="Arial" w:hAnsi="Arial"/>
          <w:sz w:val="14"/>
          <w:szCs w:val="14"/>
          <w:color w:val="auto"/>
        </w:rPr>
        <w:t>FOUNTAIN PLACE</w:t>
      </w:r>
    </w:p>
    <w:p>
      <w:pPr>
        <w:ind w:left="8600"/>
        <w:spacing w:after="0" w:line="221" w:lineRule="auto"/>
        <w:rPr>
          <w:sz w:val="20"/>
          <w:szCs w:val="20"/>
          <w:color w:val="auto"/>
        </w:rPr>
      </w:pPr>
      <w:r>
        <w:rPr>
          <w:rFonts w:ascii="Arial" w:cs="Arial" w:eastAsia="Arial" w:hAnsi="Arial"/>
          <w:sz w:val="14"/>
          <w:szCs w:val="14"/>
          <w:color w:val="auto"/>
        </w:rPr>
        <w:t>1445 ROSS AVENUE</w:t>
      </w:r>
    </w:p>
    <w:p>
      <w:pPr>
        <w:ind w:left="8600"/>
        <w:spacing w:after="0" w:line="222" w:lineRule="auto"/>
        <w:rPr>
          <w:sz w:val="20"/>
          <w:szCs w:val="20"/>
          <w:color w:val="auto"/>
        </w:rPr>
      </w:pPr>
      <w:r>
        <w:rPr>
          <w:rFonts w:ascii="Arial" w:cs="Arial" w:eastAsia="Arial" w:hAnsi="Arial"/>
          <w:sz w:val="14"/>
          <w:szCs w:val="14"/>
          <w:color w:val="auto"/>
        </w:rPr>
        <w:t>SUITE 3700</w:t>
      </w:r>
    </w:p>
    <w:p>
      <w:pPr>
        <w:ind w:left="8600"/>
        <w:spacing w:after="0"/>
        <w:rPr>
          <w:sz w:val="20"/>
          <w:szCs w:val="20"/>
          <w:color w:val="auto"/>
        </w:rPr>
      </w:pPr>
      <w:r>
        <w:rPr>
          <w:rFonts w:ascii="Arial" w:cs="Arial" w:eastAsia="Arial" w:hAnsi="Arial"/>
          <w:sz w:val="14"/>
          <w:szCs w:val="14"/>
          <w:color w:val="auto"/>
        </w:rPr>
        <w:t>DALLAS, TEXAS 75202-2799</w:t>
      </w:r>
    </w:p>
    <w:p>
      <w:pPr>
        <w:spacing w:after="0" w:line="260" w:lineRule="exact"/>
        <w:rPr>
          <w:sz w:val="20"/>
          <w:szCs w:val="20"/>
          <w:color w:val="auto"/>
        </w:rPr>
      </w:pPr>
    </w:p>
    <w:tbl>
      <w:tblPr>
        <w:tblLayout w:type="fixed"/>
        <w:tblInd w:w="8600" w:type="dxa"/>
        <w:tblCellMar>
          <w:top w:w="0" w:type="dxa"/>
          <w:left w:w="0" w:type="dxa"/>
          <w:bottom w:w="0" w:type="dxa"/>
          <w:right w:w="0" w:type="dxa"/>
        </w:tblCellMar>
      </w:tblPr>
      <w:tr>
        <w:trPr>
          <w:trHeight w:val="161"/>
        </w:trPr>
        <w:tc>
          <w:tcPr>
            <w:tcW w:w="440" w:type="dxa"/>
            <w:vAlign w:val="bottom"/>
          </w:tcPr>
          <w:p>
            <w:pPr>
              <w:spacing w:after="0"/>
              <w:rPr>
                <w:sz w:val="20"/>
                <w:szCs w:val="20"/>
                <w:color w:val="auto"/>
              </w:rPr>
            </w:pPr>
            <w:r>
              <w:rPr>
                <w:rFonts w:ascii="Arial" w:cs="Arial" w:eastAsia="Arial" w:hAnsi="Arial"/>
                <w:sz w:val="14"/>
                <w:szCs w:val="14"/>
                <w:color w:val="auto"/>
              </w:rPr>
              <w:t>TEL</w:t>
            </w:r>
          </w:p>
        </w:tc>
        <w:tc>
          <w:tcPr>
            <w:tcW w:w="1160" w:type="dxa"/>
            <w:vAlign w:val="bottom"/>
          </w:tcPr>
          <w:p>
            <w:pPr>
              <w:ind w:left="180"/>
              <w:spacing w:after="0"/>
              <w:rPr>
                <w:sz w:val="20"/>
                <w:szCs w:val="20"/>
                <w:color w:val="auto"/>
              </w:rPr>
            </w:pPr>
            <w:r>
              <w:rPr>
                <w:rFonts w:ascii="Arial" w:cs="Arial" w:eastAsia="Arial" w:hAnsi="Arial"/>
                <w:sz w:val="14"/>
                <w:szCs w:val="14"/>
                <w:color w:val="auto"/>
                <w:w w:val="92"/>
              </w:rPr>
              <w:t>214 • 979 • 3000</w:t>
            </w:r>
          </w:p>
        </w:tc>
      </w:tr>
      <w:tr>
        <w:trPr>
          <w:trHeight w:val="182"/>
        </w:trPr>
        <w:tc>
          <w:tcPr>
            <w:tcW w:w="440" w:type="dxa"/>
            <w:vAlign w:val="bottom"/>
          </w:tcPr>
          <w:p>
            <w:pPr>
              <w:spacing w:after="0"/>
              <w:rPr>
                <w:sz w:val="20"/>
                <w:szCs w:val="20"/>
                <w:color w:val="auto"/>
              </w:rPr>
            </w:pPr>
            <w:r>
              <w:rPr>
                <w:rFonts w:ascii="Arial" w:cs="Arial" w:eastAsia="Arial" w:hAnsi="Arial"/>
                <w:sz w:val="14"/>
                <w:szCs w:val="14"/>
                <w:color w:val="auto"/>
              </w:rPr>
              <w:t>FAX</w:t>
            </w:r>
          </w:p>
        </w:tc>
        <w:tc>
          <w:tcPr>
            <w:tcW w:w="1160" w:type="dxa"/>
            <w:vAlign w:val="bottom"/>
          </w:tcPr>
          <w:p>
            <w:pPr>
              <w:ind w:left="200"/>
              <w:spacing w:after="0"/>
              <w:rPr>
                <w:sz w:val="20"/>
                <w:szCs w:val="20"/>
                <w:color w:val="auto"/>
              </w:rPr>
            </w:pPr>
            <w:r>
              <w:rPr>
                <w:rFonts w:ascii="Arial" w:cs="Arial" w:eastAsia="Arial" w:hAnsi="Arial"/>
                <w:sz w:val="14"/>
                <w:szCs w:val="14"/>
                <w:color w:val="auto"/>
                <w:w w:val="91"/>
              </w:rPr>
              <w:t>214 • 880 • 0011</w:t>
            </w:r>
          </w:p>
        </w:tc>
      </w:tr>
    </w:tbl>
    <w:p>
      <w:pPr>
        <w:spacing w:after="0" w:line="200" w:lineRule="exact"/>
        <w:rPr>
          <w:sz w:val="20"/>
          <w:szCs w:val="20"/>
          <w:color w:val="auto"/>
        </w:rPr>
      </w:pPr>
    </w:p>
    <w:p>
      <w:pPr>
        <w:spacing w:after="0" w:line="203"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April 29,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South Plains Financial,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5219 City Bank Parkway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Lubbock, Texas 79407</w:t>
      </w:r>
    </w:p>
    <w:p>
      <w:pPr>
        <w:sectPr>
          <w:pgSz w:w="11900" w:h="16838" w:orient="portrait"/>
          <w:cols w:equalWidth="0" w:num="1">
            <w:col w:w="11420"/>
          </w:cols>
          <w:pgMar w:left="240" w:top="274" w:right="239" w:bottom="1440" w:gutter="0" w:footer="0" w:header="0"/>
        </w:sectPr>
      </w:pPr>
    </w:p>
    <w:p>
      <w:pPr>
        <w:spacing w:after="0" w:line="238" w:lineRule="exact"/>
        <w:rPr>
          <w:sz w:val="20"/>
          <w:szCs w:val="20"/>
          <w:color w:val="auto"/>
        </w:rPr>
      </w:pPr>
    </w:p>
    <w:p>
      <w:pPr>
        <w:ind w:left="660"/>
        <w:spacing w:after="0"/>
        <w:rPr>
          <w:sz w:val="20"/>
          <w:szCs w:val="20"/>
          <w:color w:val="auto"/>
        </w:rPr>
      </w:pPr>
      <w:r>
        <w:rPr>
          <w:rFonts w:ascii="Arial" w:cs="Arial" w:eastAsia="Arial" w:hAnsi="Arial"/>
          <w:sz w:val="15"/>
          <w:szCs w:val="15"/>
          <w:color w:val="auto"/>
        </w:rPr>
        <w:t>Re:</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South Plains Financial,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Registration Statement on Form S-1</w:t>
      </w:r>
    </w:p>
    <w:p>
      <w:pPr>
        <w:spacing w:after="0" w:line="200" w:lineRule="exact"/>
        <w:rPr>
          <w:sz w:val="20"/>
          <w:szCs w:val="20"/>
          <w:color w:val="auto"/>
        </w:rPr>
      </w:pPr>
    </w:p>
    <w:p>
      <w:pPr>
        <w:sectPr>
          <w:pgSz w:w="11900" w:h="16838" w:orient="portrait"/>
          <w:cols w:equalWidth="0" w:num="2">
            <w:col w:w="900" w:space="400"/>
            <w:col w:w="10120"/>
          </w:cols>
          <w:pgMar w:left="240" w:top="274" w:right="239" w:bottom="1440" w:gutter="0" w:footer="0" w:header="0"/>
          <w:type w:val="continuous"/>
        </w:sectPr>
      </w:pP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0"/>
          <w:szCs w:val="20"/>
          <w:color w:val="auto"/>
        </w:rPr>
      </w:pPr>
    </w:p>
    <w:p>
      <w:pPr>
        <w:jc w:val="both"/>
        <w:ind w:firstLine="689"/>
        <w:spacing w:after="0" w:line="254" w:lineRule="auto"/>
        <w:rPr>
          <w:sz w:val="20"/>
          <w:szCs w:val="20"/>
          <w:color w:val="auto"/>
        </w:rPr>
      </w:pPr>
      <w:r>
        <w:rPr>
          <w:rFonts w:ascii="Arial" w:cs="Arial" w:eastAsia="Arial" w:hAnsi="Arial"/>
          <w:sz w:val="18"/>
          <w:szCs w:val="18"/>
          <w:color w:val="auto"/>
        </w:rPr>
        <w:t>We have acted as special counsel to South Plains Financial, Inc., a Texas corporation (“</w:t>
      </w:r>
      <w:r>
        <w:rPr>
          <w:rFonts w:ascii="Arial" w:cs="Arial" w:eastAsia="Arial" w:hAnsi="Arial"/>
          <w:sz w:val="18"/>
          <w:szCs w:val="18"/>
          <w:u w:val="single" w:color="auto"/>
          <w:color w:val="auto"/>
        </w:rPr>
        <w:t>Company</w:t>
      </w:r>
      <w:r>
        <w:rPr>
          <w:rFonts w:ascii="Arial" w:cs="Arial" w:eastAsia="Arial" w:hAnsi="Arial"/>
          <w:sz w:val="18"/>
          <w:szCs w:val="18"/>
          <w:color w:val="auto"/>
        </w:rPr>
        <w:t>”), in connection with the registration under the Securities Act of 1933, as amended (the “</w:t>
      </w:r>
      <w:r>
        <w:rPr>
          <w:rFonts w:ascii="Arial" w:cs="Arial" w:eastAsia="Arial" w:hAnsi="Arial"/>
          <w:sz w:val="18"/>
          <w:szCs w:val="18"/>
          <w:u w:val="single" w:color="auto"/>
          <w:color w:val="auto"/>
        </w:rPr>
        <w:t>Act</w:t>
      </w:r>
      <w:r>
        <w:rPr>
          <w:rFonts w:ascii="Arial" w:cs="Arial" w:eastAsia="Arial" w:hAnsi="Arial"/>
          <w:sz w:val="18"/>
          <w:szCs w:val="18"/>
          <w:color w:val="auto"/>
        </w:rPr>
        <w:t>”), of 3,887,000 shares of the Company’s common stock, par value $0.01 per share, pursuant to a Registration Statement on Form S-1 (Registration No. 333-230851), initially filed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on April 12, 2019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which term does not include any other document or agreement whether or not specifically referred to therein or attached as an exhibit or schedule thereto). The Registration Statement relates to the issuance and sale of up to 2,700,000 shares by the Company (the “</w:t>
      </w:r>
      <w:r>
        <w:rPr>
          <w:rFonts w:ascii="Arial" w:cs="Arial" w:eastAsia="Arial" w:hAnsi="Arial"/>
          <w:sz w:val="18"/>
          <w:szCs w:val="18"/>
          <w:u w:val="single" w:color="auto"/>
          <w:color w:val="auto"/>
        </w:rPr>
        <w:t>Primary Shares</w:t>
      </w:r>
      <w:r>
        <w:rPr>
          <w:rFonts w:ascii="Arial" w:cs="Arial" w:eastAsia="Arial" w:hAnsi="Arial"/>
          <w:sz w:val="18"/>
          <w:szCs w:val="18"/>
          <w:color w:val="auto"/>
        </w:rPr>
        <w:t>”) and up to 680,000 shares by a selling shareholder (the “</w:t>
      </w:r>
      <w:r>
        <w:rPr>
          <w:rFonts w:ascii="Arial" w:cs="Arial" w:eastAsia="Arial" w:hAnsi="Arial"/>
          <w:sz w:val="18"/>
          <w:szCs w:val="18"/>
          <w:u w:val="single" w:color="auto"/>
          <w:color w:val="auto"/>
        </w:rPr>
        <w:t>Secondary Shares</w:t>
      </w:r>
      <w:r>
        <w:rPr>
          <w:rFonts w:ascii="Arial" w:cs="Arial" w:eastAsia="Arial" w:hAnsi="Arial"/>
          <w:sz w:val="18"/>
          <w:szCs w:val="18"/>
          <w:color w:val="auto"/>
        </w:rPr>
        <w:t>”). The Primary Shares and the Secondary Shares are to be sold pursuant to an underwriting agreement to be entered into by and among the Company, City Bank, the selling shareholders and the underwriters named therein (the “</w:t>
      </w:r>
      <w:r>
        <w:rPr>
          <w:rFonts w:ascii="Arial" w:cs="Arial" w:eastAsia="Arial" w:hAnsi="Arial"/>
          <w:sz w:val="18"/>
          <w:szCs w:val="18"/>
          <w:u w:val="single" w:color="auto"/>
          <w:color w:val="auto"/>
        </w:rPr>
        <w:t>Underwriting Agreement</w:t>
      </w:r>
      <w:r>
        <w:rPr>
          <w:rFonts w:ascii="Arial" w:cs="Arial" w:eastAsia="Arial" w:hAnsi="Arial"/>
          <w:sz w:val="18"/>
          <w:szCs w:val="18"/>
          <w:color w:val="auto"/>
        </w:rPr>
        <w:t>”).</w:t>
      </w:r>
    </w:p>
    <w:p>
      <w:pPr>
        <w:spacing w:after="0" w:line="21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For purposes of providing the opinions contained herein, we have reviewed (a) the Registration Statement, (b) the form of Underwriting Agreement in substantially the form filed as Exhibit 1.1 to the Registration Statement, (b) the Amended and Restated Certificate of Formation of the Company, as of March 11, 2019 and currently in effect, (c) the Amended and Restated Bylaws of the Company, as amended and restated to date and currently in effect, and</w:t>
      </w:r>
    </w:p>
    <w:p>
      <w:pPr>
        <w:jc w:val="both"/>
        <w:ind w:firstLine="8"/>
        <w:spacing w:after="0" w:line="254" w:lineRule="auto"/>
        <w:tabs>
          <w:tab w:leader="none" w:pos="277"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certain resolutions of the Board of Directors of the Company pertaining to the opinions set forth herein. 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certificates and records as we have deemed necessary or appropriate as a basis for the opinions contained herein.</w:t>
      </w:r>
    </w:p>
    <w:p>
      <w:pPr>
        <w:spacing w:after="0" w:line="185" w:lineRule="exact"/>
        <w:rPr>
          <w:sz w:val="20"/>
          <w:szCs w:val="20"/>
          <w:color w:val="auto"/>
        </w:rPr>
      </w:pPr>
    </w:p>
    <w:p>
      <w:pPr>
        <w:jc w:val="center"/>
        <w:ind w:left="260" w:right="1360"/>
        <w:spacing w:after="0" w:line="238" w:lineRule="auto"/>
        <w:rPr>
          <w:sz w:val="20"/>
          <w:szCs w:val="20"/>
          <w:color w:val="auto"/>
        </w:rPr>
      </w:pPr>
      <w:r>
        <w:rPr>
          <w:rFonts w:ascii="Arial" w:cs="Arial" w:eastAsia="Arial" w:hAnsi="Arial"/>
          <w:sz w:val="14"/>
          <w:szCs w:val="14"/>
          <w:color w:val="auto"/>
        </w:rPr>
        <w:t>ATLANTA  AUSTIN  BANGKOK  BEIJING  BOSTON  BRUSSELS  CHARLOTTE  DALLAS  DUBAI  HOUSTON  LONDON LOS ANGELES  MIAMI  NEW YORK  NORFOLK  RICHMOND  SAN FRANCISCO  THE WOODLANDS  TYSONS  WASHINGTON, DC www.HuntonAK.com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type w:val="continuous"/>
        </w:sectPr>
      </w:pPr>
    </w:p>
    <w:bookmarkStart w:id="252" w:name="page253"/>
    <w:bookmarkEnd w:id="252"/>
    <w:p>
      <w:pPr>
        <w:spacing w:after="0" w:line="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1646555" cy="45466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clrChange>
                        <a:clrFrom>
                          <a:srgbClr val="FFFFFF"/>
                        </a:clrFrom>
                        <a:clrTo>
                          <a:srgbClr val="FFFFFF">
                            <a:alpha val="0"/>
                          </a:srgbClr>
                        </a:clrTo>
                      </a:clrChange>
                      <a:extLst>
                        <a:ext uri="{28A0092B-C50C-407E-A947-70E740481C1C}"/>
                      </a:extLst>
                    </a:blip>
                    <a:srcRect/>
                    <a:stretch>
                      <a:fillRect/>
                    </a:stretch>
                  </pic:blipFill>
                  <pic:spPr bwMode="auto">
                    <a:xfrm>
                      <a:off x="0" y="0"/>
                      <a:ext cx="1646555" cy="4546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April 29,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our examination, we have assumed, without verification, the genuineness of all signatures, the authenticity of all documents and instruments submitted to us as originals, the conformity to the originals of all documents and instruments submitted to us as certified or conformed copies, and the accuracy and completeness of the corporate records made available to us by the Company.</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opinion is limited solely to the Texas Business Organizations Code and the reported judicial decisions interpreting such law, and we are expressing no opinion as to the effect of the laws of any other jurisdiction.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Based upon and subject to the foregoing, and subject to the qualifications, assumptions and limitations stated herein, it is our opinion that:</w:t>
      </w:r>
    </w:p>
    <w:p>
      <w:pPr>
        <w:spacing w:after="0" w:line="264" w:lineRule="exact"/>
        <w:rPr>
          <w:sz w:val="20"/>
          <w:szCs w:val="20"/>
          <w:color w:val="auto"/>
        </w:rPr>
      </w:pPr>
    </w:p>
    <w:p>
      <w:pPr>
        <w:jc w:val="both"/>
        <w:ind w:firstLine="656"/>
        <w:spacing w:after="0" w:line="259" w:lineRule="auto"/>
        <w:tabs>
          <w:tab w:leader="none" w:pos="1084" w:val="left"/>
        </w:tabs>
        <w:numPr>
          <w:ilvl w:val="0"/>
          <w:numId w:val="160"/>
        </w:numPr>
        <w:rPr>
          <w:rFonts w:ascii="Arial" w:cs="Arial" w:eastAsia="Arial" w:hAnsi="Arial"/>
          <w:sz w:val="18"/>
          <w:szCs w:val="18"/>
          <w:color w:val="auto"/>
        </w:rPr>
      </w:pPr>
      <w:r>
        <w:rPr>
          <w:rFonts w:ascii="Arial" w:cs="Arial" w:eastAsia="Arial" w:hAnsi="Arial"/>
          <w:sz w:val="18"/>
          <w:szCs w:val="18"/>
          <w:color w:val="auto"/>
        </w:rPr>
        <w:t>when the Registration Statement has become effective under the Act, the Board of Directors of the Company or a duly authorized committee thereof has taken all necessary action to set the sale price of the Primary Shares, and the Primary Shares have been issued, delivered and paid for in the manner contemplated by, and upon the terms and conditions set forth in, the Registration Statement and the Underwriting Agreement, the Primary Shares will be validly issued, fully paid and nonassessable; and</w:t>
      </w:r>
    </w:p>
    <w:p>
      <w:pPr>
        <w:spacing w:after="0" w:line="213" w:lineRule="exact"/>
        <w:rPr>
          <w:rFonts w:ascii="Arial" w:cs="Arial" w:eastAsia="Arial" w:hAnsi="Arial"/>
          <w:sz w:val="18"/>
          <w:szCs w:val="18"/>
          <w:color w:val="auto"/>
        </w:rPr>
      </w:pPr>
    </w:p>
    <w:p>
      <w:pPr>
        <w:ind w:left="1100" w:hanging="444"/>
        <w:spacing w:after="0"/>
        <w:tabs>
          <w:tab w:leader="none" w:pos="11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Secondary Shares have been validly issued and are fully paid and nonassessable.</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opinion letter is delivered in accordance with the requirements of Item 601(b)(5) of Regulation S-K promulgated under the Act. We hereby consent to the filing of this opinion as an exhibit to the Registration Statement and to the reference to our firm under the heading “Legal Matters” in the prospectus which is part of the Registration Statement, as such may be amended or supplemented, or incorporated by reference in any Registration Statement covering additional shares of common stock to be issued or sold that is filed pursuant to Rule 462(b) of the Act. In giving such consent, we do not hereby admit that we are experts or are otherwise within the category of persons whose consent is required under Section 7 of the Act or the rules or regulations of the Commission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53" w:name="page254"/>
    <w:bookmarkEnd w:id="253"/>
    <w:p>
      <w:pPr>
        <w:spacing w:after="0"/>
        <w:rPr>
          <w:sz w:val="20"/>
          <w:szCs w:val="20"/>
          <w:color w:val="auto"/>
        </w:rPr>
      </w:pPr>
      <w:r>
        <w:rPr>
          <w:rFonts w:ascii="Arial" w:cs="Arial" w:eastAsia="Arial" w:hAnsi="Arial"/>
          <w:sz w:val="22"/>
          <w:szCs w:val="22"/>
          <w:color w:val="auto"/>
        </w:rPr>
        <w:t>April 29, 2019</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0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opinions expressed in this letter are limited to the matters set forth in this letter, and no other opinions should be inferred beyond the matters expressly stated. The opinions expressed herein are rendered as of the date hereof and constitute statements of our professional legal judgment and do not constitute a warranty or guaranty of any matter. We expressly disclaim any obligation to advise you of any changes of law or facts that may hereafter come or be brought to our attention which would alter the opinions herein set forth.</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Hunton Andrews Kurth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54" w:name="page255"/>
    <w:bookmarkEnd w:id="25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10.1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PLAINS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2019 EQUITY INCENTIVE PLAN</w:t>
      </w:r>
    </w:p>
    <w:p>
      <w:pPr>
        <w:spacing w:after="0" w:line="238" w:lineRule="exact"/>
        <w:rPr>
          <w:sz w:val="20"/>
          <w:szCs w:val="20"/>
          <w:color w:val="auto"/>
        </w:rPr>
      </w:pPr>
    </w:p>
    <w:p>
      <w:pPr>
        <w:jc w:val="both"/>
        <w:ind w:firstLine="656"/>
        <w:spacing w:after="0" w:line="259" w:lineRule="auto"/>
        <w:tabs>
          <w:tab w:leader="none" w:pos="828"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Purpose of this Plan</w:t>
      </w:r>
      <w:r>
        <w:rPr>
          <w:rFonts w:ascii="Arial" w:cs="Arial" w:eastAsia="Arial" w:hAnsi="Arial"/>
          <w:sz w:val="18"/>
          <w:szCs w:val="18"/>
          <w:color w:val="auto"/>
        </w:rPr>
        <w:t>. The purpose of this Plan is to: (i) attract and retain the best available personnel for positions of substantial responsibility, (ii) provide additional incentive to Employees, Directors and Consultants, and (iii) promote the success of the Company’s business. This Plan permits the grant of Incentive Stock Options, Nonstatutory Stock Options, Stock Appreciation Rights, Restricted Stock, Restricted Stock Units, Performance Units, Performance Shares, and Other Stock-Based Awards.</w:t>
      </w:r>
    </w:p>
    <w:p>
      <w:pPr>
        <w:spacing w:after="0" w:line="213" w:lineRule="exact"/>
        <w:rPr>
          <w:rFonts w:ascii="Arial" w:cs="Arial" w:eastAsia="Arial" w:hAnsi="Arial"/>
          <w:sz w:val="18"/>
          <w:szCs w:val="18"/>
          <w:color w:val="auto"/>
        </w:rPr>
      </w:pPr>
    </w:p>
    <w:p>
      <w:pPr>
        <w:ind w:left="840" w:hanging="184"/>
        <w:spacing w:after="0"/>
        <w:tabs>
          <w:tab w:leader="none" w:pos="840"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Plan, the following definitions apply:</w:t>
      </w:r>
    </w:p>
    <w:p>
      <w:pPr>
        <w:spacing w:after="0" w:line="252" w:lineRule="exact"/>
        <w:rPr>
          <w:rFonts w:ascii="Arial" w:cs="Arial" w:eastAsia="Arial" w:hAnsi="Arial"/>
          <w:sz w:val="18"/>
          <w:szCs w:val="18"/>
          <w:color w:val="auto"/>
        </w:rPr>
      </w:pPr>
    </w:p>
    <w:p>
      <w:pPr>
        <w:ind w:left="1060" w:hanging="242"/>
        <w:spacing w:after="0"/>
        <w:tabs>
          <w:tab w:leader="none" w:pos="1060" w:val="left"/>
        </w:tabs>
        <w:numPr>
          <w:ilvl w:val="1"/>
          <w:numId w:val="16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Administrator</w:t>
      </w:r>
      <w:r>
        <w:rPr>
          <w:rFonts w:ascii="Arial" w:cs="Arial" w:eastAsia="Arial" w:hAnsi="Arial"/>
          <w:sz w:val="17"/>
          <w:szCs w:val="17"/>
          <w:color w:val="auto"/>
        </w:rPr>
        <w:t>” means the Board or any of its Committees that are administering this Plan, in accordance with Section 4 of this Plan.</w:t>
      </w:r>
    </w:p>
    <w:p>
      <w:pPr>
        <w:spacing w:after="0" w:line="263" w:lineRule="exact"/>
        <w:rPr>
          <w:rFonts w:ascii="Arial" w:cs="Arial" w:eastAsia="Arial" w:hAnsi="Arial"/>
          <w:sz w:val="17"/>
          <w:szCs w:val="17"/>
          <w:color w:val="auto"/>
        </w:rPr>
      </w:pPr>
    </w:p>
    <w:p>
      <w:pPr>
        <w:jc w:val="both"/>
        <w:ind w:firstLine="818"/>
        <w:spacing w:after="0" w:line="286" w:lineRule="auto"/>
        <w:tabs>
          <w:tab w:leader="none" w:pos="1079" w:val="left"/>
        </w:tabs>
        <w:numPr>
          <w:ilvl w:val="1"/>
          <w:numId w:val="16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Applicable Laws</w:t>
      </w:r>
      <w:r>
        <w:rPr>
          <w:rFonts w:ascii="Arial" w:cs="Arial" w:eastAsia="Arial" w:hAnsi="Arial"/>
          <w:sz w:val="17"/>
          <w:szCs w:val="17"/>
          <w:color w:val="auto"/>
        </w:rPr>
        <w:t>” means the requirements relating to the administration of equity-based awards or equity compensation plans under U.S. federal and state corporate laws, U.S. federal and state securities laws, the Code, any stock exchange or quotation system on which the Common Stock is listed or quoted and the applicable laws of any foreign country or jurisdiction where Awards are, or may be, granted under this Plan.</w:t>
      </w:r>
    </w:p>
    <w:p>
      <w:pPr>
        <w:spacing w:after="0" w:line="219" w:lineRule="exact"/>
        <w:rPr>
          <w:rFonts w:ascii="Arial" w:cs="Arial" w:eastAsia="Arial" w:hAnsi="Arial"/>
          <w:sz w:val="17"/>
          <w:szCs w:val="17"/>
          <w:color w:val="auto"/>
        </w:rPr>
      </w:pPr>
    </w:p>
    <w:p>
      <w:pPr>
        <w:ind w:firstLine="818"/>
        <w:spacing w:after="0" w:line="223" w:lineRule="exact"/>
        <w:tabs>
          <w:tab w:leader="none" w:pos="1064" w:val="left"/>
        </w:tabs>
        <w:numPr>
          <w:ilvl w:val="1"/>
          <w:numId w:val="1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individually or collectively, a grant under this Plan of Options, SARs, Restricted Stock, Restricted Stock Units, Performance Units, Performance Shares or Other Stock</w:t>
      </w:r>
      <w:r>
        <w:rPr>
          <w:rFonts w:ascii="MS PGothic" w:cs="MS PGothic" w:eastAsia="MS PGothic" w:hAnsi="MS PGothic"/>
          <w:sz w:val="18"/>
          <w:szCs w:val="18"/>
          <w:color w:val="auto"/>
        </w:rPr>
        <w:t>‑</w:t>
      </w:r>
      <w:r>
        <w:rPr>
          <w:rFonts w:ascii="Arial" w:cs="Arial" w:eastAsia="Arial" w:hAnsi="Arial"/>
          <w:sz w:val="18"/>
          <w:szCs w:val="18"/>
          <w:color w:val="auto"/>
        </w:rPr>
        <w:t>Based Awards.</w:t>
      </w:r>
    </w:p>
    <w:p>
      <w:pPr>
        <w:spacing w:after="0" w:line="230" w:lineRule="exact"/>
        <w:rPr>
          <w:rFonts w:ascii="Arial" w:cs="Arial" w:eastAsia="Arial" w:hAnsi="Arial"/>
          <w:sz w:val="18"/>
          <w:szCs w:val="18"/>
          <w:color w:val="auto"/>
        </w:rPr>
      </w:pPr>
    </w:p>
    <w:p>
      <w:pPr>
        <w:ind w:firstLine="818"/>
        <w:spacing w:after="0" w:line="277" w:lineRule="auto"/>
        <w:tabs>
          <w:tab w:leader="none" w:pos="1065" w:val="left"/>
        </w:tabs>
        <w:numPr>
          <w:ilvl w:val="1"/>
          <w:numId w:val="1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means the written or electronic agreement setting forth the terms and provisions applicable to each Award granted under this Plan. The Award Agreement is subject to the terms and conditions of this Plan.</w:t>
      </w:r>
    </w:p>
    <w:p>
      <w:pPr>
        <w:spacing w:after="0" w:line="197" w:lineRule="exact"/>
        <w:rPr>
          <w:rFonts w:ascii="Arial" w:cs="Arial" w:eastAsia="Arial" w:hAnsi="Arial"/>
          <w:sz w:val="18"/>
          <w:szCs w:val="18"/>
          <w:color w:val="auto"/>
        </w:rPr>
      </w:pPr>
    </w:p>
    <w:p>
      <w:pPr>
        <w:ind w:left="1060" w:hanging="242"/>
        <w:spacing w:after="0"/>
        <w:tabs>
          <w:tab w:leader="none" w:pos="106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Awarded Stock</w:t>
      </w:r>
      <w:r>
        <w:rPr>
          <w:rFonts w:ascii="Arial" w:cs="Arial" w:eastAsia="Arial" w:hAnsi="Arial"/>
          <w:sz w:val="18"/>
          <w:szCs w:val="18"/>
          <w:color w:val="auto"/>
        </w:rPr>
        <w:t>” means the Common Stock subject to an Award.</w:t>
      </w:r>
    </w:p>
    <w:p>
      <w:pPr>
        <w:spacing w:after="0" w:line="252" w:lineRule="exact"/>
        <w:rPr>
          <w:rFonts w:ascii="Arial" w:cs="Arial" w:eastAsia="Arial" w:hAnsi="Arial"/>
          <w:sz w:val="18"/>
          <w:szCs w:val="18"/>
          <w:color w:val="auto"/>
        </w:rPr>
      </w:pPr>
    </w:p>
    <w:p>
      <w:pPr>
        <w:ind w:left="1040" w:hanging="222"/>
        <w:spacing w:after="0"/>
        <w:tabs>
          <w:tab w:leader="none" w:pos="104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252" w:lineRule="exact"/>
        <w:rPr>
          <w:rFonts w:ascii="Arial" w:cs="Arial" w:eastAsia="Arial" w:hAnsi="Arial"/>
          <w:sz w:val="18"/>
          <w:szCs w:val="18"/>
          <w:color w:val="auto"/>
        </w:rPr>
      </w:pPr>
    </w:p>
    <w:p>
      <w:pPr>
        <w:jc w:val="both"/>
        <w:ind w:firstLine="818"/>
        <w:spacing w:after="0" w:line="269" w:lineRule="auto"/>
        <w:tabs>
          <w:tab w:leader="none" w:pos="1065" w:val="left"/>
        </w:tabs>
        <w:numPr>
          <w:ilvl w:val="1"/>
          <w:numId w:val="16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means, if the Participant is a party to an employment agreement or similar agreement between the Participant and the Company and such agreement provides for a definition of “Cause” (or substantially similar term), the definition contained therein. If no such agreement exists, or if any such agreement exists but “Cause” (or substantially similar term) is not defined therein, then Cause means, as determined by the Committee in its sole and absolute discretion, the occurrence of any one or more of the following events: (1) any act or omission that constitutes a material breach by the Participant of any of his or her obligations under this Plan, the Award Agreement or any other material agreement between the Participant and the Company; (2) the Participant’s conviction of, or plea of nolo contendere to, (A) any felony or (B) another crime involving dishonesty or moral turpitude or which could reflect negatively upon the Company or otherwise impair or impede its operations; (3) the Participant engaging in any misconduct, negligence, dishonesty, violence or threat of violence (including any violation of federal securities laws) that is injurious to the Company or any of its subsidiaries or affiliates; (4) the Participant’s material breach of a written policy of the Company or the rules of any governmental or regulatory body applicable to the Company; (5) the Participant’s refusal to follow the lawful directions of the Participant’s immediate supervisor, the Administrator or the Committee; or (6) any other willful misconduct by the Participant which is or could be materially injurious to the financial condition, operations or business reputation of the Company or any of its subsidiaries or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2466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55" w:name="page256"/>
    <w:bookmarkEnd w:id="255"/>
    <w:p>
      <w:pPr>
        <w:ind w:left="1080" w:hanging="262"/>
        <w:spacing w:after="0"/>
        <w:tabs>
          <w:tab w:leader="none" w:pos="108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Change in Control</w:t>
      </w:r>
      <w:r>
        <w:rPr>
          <w:rFonts w:ascii="Arial" w:cs="Arial" w:eastAsia="Arial" w:hAnsi="Arial"/>
          <w:sz w:val="17"/>
          <w:szCs w:val="17"/>
          <w:color w:val="auto"/>
        </w:rPr>
        <w:t>” means, except as otherwise provided in the Award Agreement, the occurrence of any of the following events:</w:t>
      </w:r>
    </w:p>
    <w:p>
      <w:pPr>
        <w:spacing w:after="0" w:line="263" w:lineRule="exact"/>
        <w:rPr>
          <w:rFonts w:ascii="Arial" w:cs="Arial" w:eastAsia="Arial" w:hAnsi="Arial"/>
          <w:sz w:val="17"/>
          <w:szCs w:val="17"/>
          <w:color w:val="auto"/>
        </w:rPr>
      </w:pPr>
    </w:p>
    <w:p>
      <w:pPr>
        <w:jc w:val="both"/>
        <w:ind w:firstLine="1142"/>
        <w:spacing w:after="0" w:line="257" w:lineRule="auto"/>
        <w:tabs>
          <w:tab w:leader="none" w:pos="1349" w:val="left"/>
        </w:tabs>
        <w:numPr>
          <w:ilvl w:val="1"/>
          <w:numId w:val="162"/>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Exchange Act, other than (A) a trustee or other fiduciary holding securities under an employee benefit plan of the Company or any affiliate, or (B) any corporation owned, directly or indirectly, by the shareholders of the Company in substantially the same proportions as their ownership of the Common Stock) becomes the “beneficial owner” (as defined in Rule 13d-3 of the Exchange Act), directly or indirectly, of securities of the Company representing 50% or more of the total voting power represented by the Company’s then outstanding voting securities;</w:t>
      </w:r>
    </w:p>
    <w:p>
      <w:pPr>
        <w:spacing w:after="0" w:line="215" w:lineRule="exact"/>
        <w:rPr>
          <w:rFonts w:ascii="Arial" w:cs="Arial" w:eastAsia="Arial" w:hAnsi="Arial"/>
          <w:sz w:val="18"/>
          <w:szCs w:val="18"/>
          <w:color w:val="auto"/>
        </w:rPr>
      </w:pPr>
    </w:p>
    <w:p>
      <w:pPr>
        <w:jc w:val="both"/>
        <w:ind w:firstLine="1142"/>
        <w:spacing w:after="0" w:line="259" w:lineRule="auto"/>
        <w:tabs>
          <w:tab w:leader="none" w:pos="1399" w:val="left"/>
        </w:tabs>
        <w:numPr>
          <w:ilvl w:val="1"/>
          <w:numId w:val="162"/>
        </w:numPr>
        <w:rPr>
          <w:rFonts w:ascii="Arial" w:cs="Arial" w:eastAsia="Arial" w:hAnsi="Arial"/>
          <w:sz w:val="18"/>
          <w:szCs w:val="18"/>
          <w:color w:val="auto"/>
        </w:rPr>
      </w:pPr>
      <w:r>
        <w:rPr>
          <w:rFonts w:ascii="Arial" w:cs="Arial" w:eastAsia="Arial" w:hAnsi="Arial"/>
          <w:sz w:val="18"/>
          <w:szCs w:val="18"/>
          <w:color w:val="auto"/>
        </w:rPr>
        <w:t>The sale or disposition by the Company of all or substantially all of the Company’s assets other than (A) the sale or disposition of all or substantially all of the assets of the Company to a person or persons who beneficially own, directly or indirectly, at least 50% or more of the combined voting power of the outstanding voting securities of the Company at the time of the sale or (B) pursuant to a spin-off type transaction, directly or indirectly, of such assets to the Company’s shareholders;</w:t>
      </w:r>
    </w:p>
    <w:p>
      <w:pPr>
        <w:spacing w:after="0" w:line="213" w:lineRule="exact"/>
        <w:rPr>
          <w:rFonts w:ascii="Arial" w:cs="Arial" w:eastAsia="Arial" w:hAnsi="Arial"/>
          <w:sz w:val="18"/>
          <w:szCs w:val="18"/>
          <w:color w:val="auto"/>
        </w:rPr>
      </w:pPr>
    </w:p>
    <w:p>
      <w:pPr>
        <w:jc w:val="both"/>
        <w:ind w:firstLine="1142"/>
        <w:spacing w:after="0" w:line="302" w:lineRule="auto"/>
        <w:tabs>
          <w:tab w:leader="none" w:pos="1463" w:val="left"/>
        </w:tabs>
        <w:numPr>
          <w:ilvl w:val="1"/>
          <w:numId w:val="162"/>
        </w:numPr>
        <w:rPr>
          <w:rFonts w:ascii="Arial" w:cs="Arial" w:eastAsia="Arial" w:hAnsi="Arial"/>
          <w:sz w:val="16"/>
          <w:szCs w:val="16"/>
          <w:color w:val="auto"/>
        </w:rPr>
      </w:pPr>
      <w:r>
        <w:rPr>
          <w:rFonts w:ascii="Arial" w:cs="Arial" w:eastAsia="Arial" w:hAnsi="Arial"/>
          <w:sz w:val="16"/>
          <w:szCs w:val="16"/>
          <w:color w:val="auto"/>
        </w:rPr>
        <w:t>A change in the composition of the Board during any twelve (12) consecutive month period the result of which is that fewer than a majority of the Directors are Incumbent Directors. For this purpose, “Incumbent Directors” are Directors who are elected, or nominated for election, to the Board with the affirmative votes of at least a majority of the Incumbent Directors at the time of such election or nomination (but does not include an individual whose election or nomination is in connection with an actual or threatened proxy contest relating to the election of Directors to the Company); or</w:t>
      </w:r>
    </w:p>
    <w:p>
      <w:pPr>
        <w:spacing w:after="0" w:line="181" w:lineRule="exact"/>
        <w:rPr>
          <w:rFonts w:ascii="Arial" w:cs="Arial" w:eastAsia="Arial" w:hAnsi="Arial"/>
          <w:sz w:val="16"/>
          <w:szCs w:val="16"/>
          <w:color w:val="auto"/>
        </w:rPr>
      </w:pPr>
    </w:p>
    <w:p>
      <w:pPr>
        <w:jc w:val="both"/>
        <w:ind w:firstLine="1142"/>
        <w:spacing w:after="0" w:line="259" w:lineRule="auto"/>
        <w:tabs>
          <w:tab w:leader="none" w:pos="1453" w:val="left"/>
        </w:tabs>
        <w:numPr>
          <w:ilvl w:val="1"/>
          <w:numId w:val="162"/>
        </w:numPr>
        <w:rPr>
          <w:rFonts w:ascii="Arial" w:cs="Arial" w:eastAsia="Arial" w:hAnsi="Arial"/>
          <w:sz w:val="18"/>
          <w:szCs w:val="18"/>
          <w:color w:val="auto"/>
        </w:rPr>
      </w:pPr>
      <w:r>
        <w:rPr>
          <w:rFonts w:ascii="Arial" w:cs="Arial" w:eastAsia="Arial" w:hAnsi="Arial"/>
          <w:sz w:val="18"/>
          <w:szCs w:val="18"/>
          <w:color w:val="auto"/>
        </w:rPr>
        <w:t>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50% of the total voting power represented by the voting securities of the Company or such surviving entity or its parent outstanding immediately after such merger or consolidation.</w:t>
      </w:r>
    </w:p>
    <w:p>
      <w:pPr>
        <w:spacing w:after="0" w:line="213" w:lineRule="exact"/>
        <w:rPr>
          <w:rFonts w:ascii="Arial" w:cs="Arial" w:eastAsia="Arial" w:hAnsi="Arial"/>
          <w:sz w:val="18"/>
          <w:szCs w:val="18"/>
          <w:color w:val="auto"/>
        </w:rPr>
      </w:pPr>
    </w:p>
    <w:p>
      <w:pPr>
        <w:ind w:firstLine="818"/>
        <w:spacing w:after="0" w:line="277" w:lineRule="auto"/>
        <w:tabs>
          <w:tab w:leader="none" w:pos="1039"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and the U.S. Treasury regulations and administrative guidance promulgated thereunder. Any reference to a section of the Code is deemed a reference to any successor or amended section of the Code.</w:t>
      </w:r>
    </w:p>
    <w:p>
      <w:pPr>
        <w:spacing w:after="0" w:line="197" w:lineRule="exact"/>
        <w:rPr>
          <w:rFonts w:ascii="Arial" w:cs="Arial" w:eastAsia="Arial" w:hAnsi="Arial"/>
          <w:sz w:val="18"/>
          <w:szCs w:val="18"/>
          <w:color w:val="auto"/>
        </w:rPr>
      </w:pPr>
    </w:p>
    <w:p>
      <w:pPr>
        <w:ind w:firstLine="818"/>
        <w:spacing w:after="0" w:line="277" w:lineRule="auto"/>
        <w:tabs>
          <w:tab w:leader="none" w:pos="102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a committee of Directors or other individuals that satisfies Applicable Laws and was appointed by the Board in accordance with Section 4 of this Plan.</w:t>
      </w:r>
    </w:p>
    <w:p>
      <w:pPr>
        <w:spacing w:after="0" w:line="197" w:lineRule="exact"/>
        <w:rPr>
          <w:rFonts w:ascii="Arial" w:cs="Arial" w:eastAsia="Arial" w:hAnsi="Arial"/>
          <w:sz w:val="18"/>
          <w:szCs w:val="18"/>
          <w:color w:val="auto"/>
        </w:rPr>
      </w:pPr>
    </w:p>
    <w:p>
      <w:pPr>
        <w:ind w:left="1080" w:hanging="262"/>
        <w:spacing w:after="0"/>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common stock of the Company.</w:t>
      </w:r>
    </w:p>
    <w:p>
      <w:pPr>
        <w:spacing w:after="0" w:line="252" w:lineRule="exact"/>
        <w:rPr>
          <w:rFonts w:ascii="Arial" w:cs="Arial" w:eastAsia="Arial" w:hAnsi="Arial"/>
          <w:sz w:val="18"/>
          <w:szCs w:val="18"/>
          <w:color w:val="auto"/>
        </w:rPr>
      </w:pPr>
    </w:p>
    <w:p>
      <w:pPr>
        <w:ind w:left="1040" w:hanging="222"/>
        <w:spacing w:after="0"/>
        <w:tabs>
          <w:tab w:leader="none" w:pos="10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South Plains Financial, Inc., a Texas corporation, and any successor to thereto.</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6" w:name="page257"/>
    <w:bookmarkEnd w:id="256"/>
    <w:p>
      <w:pPr>
        <w:ind w:left="820"/>
        <w:spacing w:after="0"/>
        <w:rPr>
          <w:sz w:val="20"/>
          <w:szCs w:val="20"/>
          <w:color w:val="auto"/>
        </w:rPr>
      </w:pPr>
      <w:r>
        <w:rPr>
          <w:rFonts w:ascii="Arial" w:cs="Arial" w:eastAsia="Arial" w:hAnsi="Arial"/>
          <w:sz w:val="16"/>
          <w:szCs w:val="16"/>
          <w:color w:val="auto"/>
        </w:rPr>
        <w:t>(m) “</w:t>
      </w:r>
      <w:r>
        <w:rPr>
          <w:rFonts w:ascii="Arial" w:cs="Arial" w:eastAsia="Arial" w:hAnsi="Arial"/>
          <w:sz w:val="16"/>
          <w:szCs w:val="16"/>
          <w:b w:val="1"/>
          <w:bCs w:val="1"/>
          <w:i w:val="1"/>
          <w:iCs w:val="1"/>
          <w:color w:val="auto"/>
        </w:rPr>
        <w:t>Consultant</w:t>
      </w:r>
      <w:r>
        <w:rPr>
          <w:rFonts w:ascii="Arial" w:cs="Arial" w:eastAsia="Arial" w:hAnsi="Arial"/>
          <w:sz w:val="16"/>
          <w:szCs w:val="16"/>
          <w:color w:val="auto"/>
        </w:rPr>
        <w:t>” means any natural person, including an advisor, engaged by the Company or a Parent or Subsidiary to render services to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entity.</w:t>
      </w:r>
    </w:p>
    <w:p>
      <w:pPr>
        <w:spacing w:after="0" w:line="238" w:lineRule="exact"/>
        <w:rPr>
          <w:sz w:val="20"/>
          <w:szCs w:val="20"/>
          <w:color w:val="auto"/>
        </w:rPr>
      </w:pPr>
    </w:p>
    <w:p>
      <w:pPr>
        <w:ind w:left="1080" w:hanging="262"/>
        <w:spacing w:after="0"/>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w:t>
      </w:r>
    </w:p>
    <w:p>
      <w:pPr>
        <w:spacing w:after="0" w:line="252" w:lineRule="exact"/>
        <w:rPr>
          <w:rFonts w:ascii="Arial" w:cs="Arial" w:eastAsia="Arial" w:hAnsi="Arial"/>
          <w:sz w:val="18"/>
          <w:szCs w:val="18"/>
          <w:color w:val="auto"/>
        </w:rPr>
      </w:pPr>
    </w:p>
    <w:p>
      <w:pPr>
        <w:jc w:val="both"/>
        <w:ind w:firstLine="818"/>
        <w:spacing w:after="0" w:line="268" w:lineRule="auto"/>
        <w:tabs>
          <w:tab w:leader="none" w:pos="1065" w:val="left"/>
        </w:tabs>
        <w:numPr>
          <w:ilvl w:val="0"/>
          <w:numId w:val="16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Disability</w:t>
      </w:r>
      <w:r>
        <w:rPr>
          <w:rFonts w:ascii="Arial" w:cs="Arial" w:eastAsia="Arial" w:hAnsi="Arial"/>
          <w:sz w:val="17"/>
          <w:szCs w:val="17"/>
          <w:color w:val="auto"/>
        </w:rPr>
        <w:t>” means, if the Participant is a party to an employment agreement or similar agreement between the Participant and the Company and such agreement provides for a definition of “Disability” (or substantially similar term), the definition contained therein. If no such agreement exists, or if any such agreement exists but “Disability” (or substantially similar term) is not defined therein, then (y) Disability has the meaning given to such term (or substantially similar term) within a disability insurance program that is sponsored by the Company for the benefit of the Participant, or if no such definition exists or the Participant is not covered by such a program, then (z) Disability means Participant: (i) is unable to engage in any substantial gainful activity by reason of any medically determinable physical or mental impairment which can be expected to result in death or can be expected to last for a continuous period of not less than twelve months; (ii) is, by reason of any medically determinable physical or mental impairment which can be expected to result in death or can be expected to last for a continuous period of not less than twelve months, receiving income replacement benefits for a period of not less than three months under an accident and health plan covering employees of the Company; or (iii) is determined by the Social Security Administration to be disabled. Notwithstanding the foregoing to the contrary, the term Disability means a total and permanent disability as defined in Section 22(e)(3) of the Code for all Awards intended to qualify for Incentive Stock Option treatment. For all purposes of this Section 2(o), the Participant will not be considered to have incurred a “disability” unless proof of such impairment, sufficient to satisfy the Administrator in its sole discretion, is provided by or on behalf of such Participant to the Administrator.</w:t>
      </w:r>
    </w:p>
    <w:p>
      <w:pPr>
        <w:spacing w:after="0" w:line="214" w:lineRule="exact"/>
        <w:rPr>
          <w:rFonts w:ascii="Arial" w:cs="Arial" w:eastAsia="Arial" w:hAnsi="Arial"/>
          <w:sz w:val="17"/>
          <w:szCs w:val="17"/>
          <w:color w:val="auto"/>
        </w:rPr>
      </w:pPr>
    </w:p>
    <w:p>
      <w:pPr>
        <w:jc w:val="both"/>
        <w:ind w:firstLine="818"/>
        <w:spacing w:after="0" w:line="279" w:lineRule="auto"/>
        <w:tabs>
          <w:tab w:leader="none" w:pos="1065" w:val="left"/>
        </w:tabs>
        <w:numPr>
          <w:ilvl w:val="0"/>
          <w:numId w:val="16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Dividend Equivalent</w:t>
      </w:r>
      <w:r>
        <w:rPr>
          <w:rFonts w:ascii="Arial" w:cs="Arial" w:eastAsia="Arial" w:hAnsi="Arial"/>
          <w:sz w:val="17"/>
          <w:szCs w:val="17"/>
          <w:color w:val="auto"/>
        </w:rPr>
        <w:t>” means a credit, made at the sole discretion of the Administrator, to the account of a Participant in an amount equal to the value of dividends paid on one Share for each Share represented by an Award held by such Participant. Under no circumstances will the payment of a Dividend Equivalent be made contingent on the exercise of an Option or Stock Appreciation Right. Additionally, Dividend Equivalents will be subject to the same restrictions on transferability and forfeitability as the Award with respect to which they were paid.</w:t>
      </w:r>
    </w:p>
    <w:p>
      <w:pPr>
        <w:spacing w:after="0" w:line="198" w:lineRule="exact"/>
        <w:rPr>
          <w:rFonts w:ascii="Arial" w:cs="Arial" w:eastAsia="Arial" w:hAnsi="Arial"/>
          <w:sz w:val="17"/>
          <w:szCs w:val="17"/>
          <w:color w:val="auto"/>
        </w:rPr>
      </w:pPr>
    </w:p>
    <w:p>
      <w:pPr>
        <w:ind w:right="40" w:firstLine="818"/>
        <w:spacing w:after="0" w:line="308" w:lineRule="auto"/>
        <w:tabs>
          <w:tab w:leader="none" w:pos="1079" w:val="left"/>
        </w:tabs>
        <w:numPr>
          <w:ilvl w:val="0"/>
          <w:numId w:val="16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Employee</w:t>
      </w:r>
      <w:r>
        <w:rPr>
          <w:rFonts w:ascii="Arial" w:cs="Arial" w:eastAsia="Arial" w:hAnsi="Arial"/>
          <w:sz w:val="17"/>
          <w:szCs w:val="17"/>
          <w:color w:val="auto"/>
        </w:rPr>
        <w:t>” means any person, including officers and Directors, employed by the Company or any Parent or Subsidiary of the Company. Neither service as a Director nor payment of a director’s fee by the Company is sufficient to constitute “employment” by the Company.</w:t>
      </w:r>
    </w:p>
    <w:p>
      <w:pPr>
        <w:spacing w:after="0" w:line="173" w:lineRule="exact"/>
        <w:rPr>
          <w:rFonts w:ascii="Arial" w:cs="Arial" w:eastAsia="Arial" w:hAnsi="Arial"/>
          <w:sz w:val="17"/>
          <w:szCs w:val="17"/>
          <w:color w:val="auto"/>
        </w:rPr>
      </w:pPr>
    </w:p>
    <w:p>
      <w:pPr>
        <w:ind w:left="1040" w:hanging="222"/>
        <w:spacing w:after="0"/>
        <w:tabs>
          <w:tab w:leader="none" w:pos="10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w:t>
      </w:r>
    </w:p>
    <w:p>
      <w:pPr>
        <w:spacing w:after="0" w:line="252" w:lineRule="exact"/>
        <w:rPr>
          <w:rFonts w:ascii="Arial" w:cs="Arial" w:eastAsia="Arial" w:hAnsi="Arial"/>
          <w:sz w:val="18"/>
          <w:szCs w:val="18"/>
          <w:color w:val="auto"/>
        </w:rPr>
      </w:pPr>
    </w:p>
    <w:p>
      <w:pPr>
        <w:jc w:val="both"/>
        <w:ind w:right="20" w:firstLine="818"/>
        <w:spacing w:after="0" w:line="286" w:lineRule="auto"/>
        <w:tabs>
          <w:tab w:leader="none" w:pos="1045" w:val="left"/>
        </w:tabs>
        <w:numPr>
          <w:ilvl w:val="0"/>
          <w:numId w:val="16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Program</w:t>
      </w:r>
      <w:r>
        <w:rPr>
          <w:rFonts w:ascii="Arial" w:cs="Arial" w:eastAsia="Arial" w:hAnsi="Arial"/>
          <w:sz w:val="17"/>
          <w:szCs w:val="17"/>
          <w:color w:val="auto"/>
        </w:rPr>
        <w:t>” means a program under which (i) outstanding Awards are surrendered or cancelled in exchange for Awards of the same type (which may have lower exercise prices and different terms), Awards of a different type, and/or cash, and/or (ii) the exercise price of an outstanding Award is reduced. The terms and conditions of any Exchange Program will be determined by the Administrator in its sole discretion.</w:t>
      </w:r>
    </w:p>
    <w:p>
      <w:pPr>
        <w:spacing w:after="0" w:line="192" w:lineRule="exact"/>
        <w:rPr>
          <w:rFonts w:ascii="Arial" w:cs="Arial" w:eastAsia="Arial" w:hAnsi="Arial"/>
          <w:sz w:val="17"/>
          <w:szCs w:val="17"/>
          <w:color w:val="auto"/>
        </w:rPr>
      </w:pPr>
    </w:p>
    <w:p>
      <w:pPr>
        <w:ind w:left="1040" w:hanging="222"/>
        <w:spacing w:after="0"/>
        <w:tabs>
          <w:tab w:leader="none" w:pos="10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the value of Common Stock determined as follows:</w:t>
      </w:r>
    </w:p>
    <w:p>
      <w:pPr>
        <w:spacing w:after="0" w:line="252" w:lineRule="exact"/>
        <w:rPr>
          <w:rFonts w:ascii="Arial" w:cs="Arial" w:eastAsia="Arial" w:hAnsi="Arial"/>
          <w:sz w:val="18"/>
          <w:szCs w:val="18"/>
          <w:color w:val="auto"/>
        </w:rPr>
      </w:pPr>
    </w:p>
    <w:p>
      <w:pPr>
        <w:jc w:val="both"/>
        <w:ind w:firstLine="1142"/>
        <w:spacing w:after="0" w:line="257" w:lineRule="auto"/>
        <w:tabs>
          <w:tab w:leader="none" w:pos="1349" w:val="left"/>
        </w:tabs>
        <w:numPr>
          <w:ilvl w:val="1"/>
          <w:numId w:val="163"/>
        </w:numPr>
        <w:rPr>
          <w:rFonts w:ascii="Arial" w:cs="Arial" w:eastAsia="Arial" w:hAnsi="Arial"/>
          <w:sz w:val="18"/>
          <w:szCs w:val="18"/>
          <w:color w:val="auto"/>
        </w:rPr>
      </w:pPr>
      <w:r>
        <w:rPr>
          <w:rFonts w:ascii="Arial" w:cs="Arial" w:eastAsia="Arial" w:hAnsi="Arial"/>
          <w:sz w:val="18"/>
          <w:szCs w:val="18"/>
          <w:color w:val="auto"/>
        </w:rPr>
        <w:t>If the Common Stock is listed on any established stock exchange or a national market system, including without limitation the NASDAQ Global Select Market, the NASDAQ Global Market (formerly the NASDAQ National Market) or the NASDAQ Capital Market (formerly the NASDAQ SmallCap Market) of the NASDAQ Stock Market, the Fair Market Value is the closing sales price for such stock (or the closing bid, if no sales were reported) as quoted on such exchange or system for the day of determination, as reported in The Wall Street Journal or such other source as the Administrator deems reliable;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7" w:name="page258"/>
    <w:bookmarkEnd w:id="257"/>
    <w:p>
      <w:pPr>
        <w:jc w:val="both"/>
        <w:ind w:firstLine="1142"/>
        <w:spacing w:after="0" w:line="264" w:lineRule="auto"/>
        <w:tabs>
          <w:tab w:leader="none" w:pos="1399"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If the Common Stock is regularly quoted by a recognized securities dealer but selling prices are not reported, the Fair Market Value of a Share of Common Stock is the mean between the high bid and low asked prices for the Common Stock for the day of determination, as reported in The Wall Street Journal or such other source as the Administrator deems reliable; or</w:t>
      </w:r>
    </w:p>
    <w:p>
      <w:pPr>
        <w:spacing w:after="0" w:line="208" w:lineRule="exact"/>
        <w:rPr>
          <w:rFonts w:ascii="Arial" w:cs="Arial" w:eastAsia="Arial" w:hAnsi="Arial"/>
          <w:sz w:val="18"/>
          <w:szCs w:val="18"/>
          <w:color w:val="auto"/>
        </w:rPr>
      </w:pPr>
    </w:p>
    <w:p>
      <w:pPr>
        <w:ind w:left="1480" w:hanging="338"/>
        <w:spacing w:after="0"/>
        <w:tabs>
          <w:tab w:leader="none" w:pos="14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In the absence of an established market for the Common Stock, the Fair Market Value will be determined in good faith by the</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Administrator.</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Notwithstanding the foregoing to the contrary, for federal, state, and local income tax reporting purposes and for such other purposes as the Administrator deems appropriate, the Fair Market Value will be determined by the Administrator in accordance with uniform and nondiscriminatory standards adopted by it from time to time.</w:t>
      </w:r>
    </w:p>
    <w:p>
      <w:pPr>
        <w:spacing w:after="0" w:line="208" w:lineRule="exact"/>
        <w:rPr>
          <w:sz w:val="20"/>
          <w:szCs w:val="20"/>
          <w:color w:val="auto"/>
        </w:rPr>
      </w:pPr>
    </w:p>
    <w:p>
      <w:pPr>
        <w:ind w:firstLine="818"/>
        <w:spacing w:after="0" w:line="277" w:lineRule="auto"/>
        <w:tabs>
          <w:tab w:leader="none" w:pos="1079" w:val="left"/>
        </w:tabs>
        <w:numPr>
          <w:ilvl w:val="0"/>
          <w:numId w:val="1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 Option intended to qualify and receive favorable tax treatment as an incentive stock option within the meaning of Section 422 of the Code, as designated in the applicable Award Agreement.</w:t>
      </w:r>
    </w:p>
    <w:p>
      <w:pPr>
        <w:spacing w:after="0" w:line="197" w:lineRule="exact"/>
        <w:rPr>
          <w:rFonts w:ascii="Arial" w:cs="Arial" w:eastAsia="Arial" w:hAnsi="Arial"/>
          <w:sz w:val="18"/>
          <w:szCs w:val="18"/>
          <w:color w:val="auto"/>
        </w:rPr>
      </w:pPr>
    </w:p>
    <w:p>
      <w:pPr>
        <w:ind w:left="1080" w:hanging="262"/>
        <w:spacing w:after="0"/>
        <w:tabs>
          <w:tab w:leader="none" w:pos="108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Nonstatutory Stock Option</w:t>
      </w:r>
      <w:r>
        <w:rPr>
          <w:rFonts w:ascii="Arial" w:cs="Arial" w:eastAsia="Arial" w:hAnsi="Arial"/>
          <w:sz w:val="16"/>
          <w:szCs w:val="16"/>
          <w:color w:val="auto"/>
        </w:rPr>
        <w:t>” means an Option that by its terms does not qualify or is not intended to qualify as an Incentive Stock Option.</w:t>
      </w:r>
    </w:p>
    <w:p>
      <w:pPr>
        <w:spacing w:after="0" w:line="275" w:lineRule="exact"/>
        <w:rPr>
          <w:rFonts w:ascii="Arial" w:cs="Arial" w:eastAsia="Arial" w:hAnsi="Arial"/>
          <w:sz w:val="16"/>
          <w:szCs w:val="16"/>
          <w:color w:val="auto"/>
        </w:rPr>
      </w:pPr>
    </w:p>
    <w:p>
      <w:pPr>
        <w:ind w:left="1120" w:hanging="302"/>
        <w:spacing w:after="0"/>
        <w:tabs>
          <w:tab w:leader="none" w:pos="112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Option</w:t>
      </w:r>
      <w:r>
        <w:rPr>
          <w:rFonts w:ascii="Arial" w:cs="Arial" w:eastAsia="Arial" w:hAnsi="Arial"/>
          <w:sz w:val="17"/>
          <w:szCs w:val="17"/>
          <w:color w:val="auto"/>
        </w:rPr>
        <w:t>” means an Incentive Stock Option or a Nonstatutory Stock Option to purchase Common Stock granted pursuant to this Plan.</w:t>
      </w:r>
    </w:p>
    <w:p>
      <w:pPr>
        <w:spacing w:after="0" w:line="263" w:lineRule="exact"/>
        <w:rPr>
          <w:rFonts w:ascii="Arial" w:cs="Arial" w:eastAsia="Arial" w:hAnsi="Arial"/>
          <w:sz w:val="17"/>
          <w:szCs w:val="17"/>
          <w:color w:val="auto"/>
        </w:rPr>
      </w:pPr>
    </w:p>
    <w:p>
      <w:pPr>
        <w:ind w:firstLine="818"/>
        <w:spacing w:after="0" w:line="277" w:lineRule="auto"/>
        <w:tabs>
          <w:tab w:leader="none" w:pos="106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Stock-Based Awards</w:t>
      </w:r>
      <w:r>
        <w:rPr>
          <w:rFonts w:ascii="Arial" w:cs="Arial" w:eastAsia="Arial" w:hAnsi="Arial"/>
          <w:sz w:val="18"/>
          <w:szCs w:val="18"/>
          <w:color w:val="auto"/>
        </w:rPr>
        <w:t>” means any other awards not specifically described in this Plan that are valued in whole or in part by reference to, or are otherwise based on, Shares and are created by the Administrator pursuant to Section 12 of this Plan.</w:t>
      </w:r>
    </w:p>
    <w:p>
      <w:pPr>
        <w:spacing w:after="0" w:line="197" w:lineRule="exact"/>
        <w:rPr>
          <w:rFonts w:ascii="Arial" w:cs="Arial" w:eastAsia="Arial" w:hAnsi="Arial"/>
          <w:sz w:val="18"/>
          <w:szCs w:val="18"/>
          <w:color w:val="auto"/>
        </w:rPr>
      </w:pPr>
    </w:p>
    <w:p>
      <w:pPr>
        <w:jc w:val="both"/>
        <w:ind w:firstLine="818"/>
        <w:spacing w:after="0" w:line="264" w:lineRule="auto"/>
        <w:tabs>
          <w:tab w:leader="none" w:pos="106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means either (y) with respect to an Award of Incentive Stock Options, a “parent corporation” with respect to the Company, whether now or hereafter existing, as defined in Section 424(e) of the Code; or (z) with respect to an Award other than an Incentive Stock Option, an entity that is a parent to the Company as determined by the Board.</w:t>
      </w:r>
    </w:p>
    <w:p>
      <w:pPr>
        <w:spacing w:after="0" w:line="208" w:lineRule="exact"/>
        <w:rPr>
          <w:rFonts w:ascii="Arial" w:cs="Arial" w:eastAsia="Arial" w:hAnsi="Arial"/>
          <w:sz w:val="18"/>
          <w:szCs w:val="18"/>
          <w:color w:val="auto"/>
        </w:rPr>
      </w:pPr>
    </w:p>
    <w:p>
      <w:pPr>
        <w:ind w:right="20" w:firstLine="818"/>
        <w:spacing w:after="0" w:line="277" w:lineRule="auto"/>
        <w:tabs>
          <w:tab w:leader="none" w:pos="1068" w:val="left"/>
        </w:tabs>
        <w:numPr>
          <w:ilvl w:val="0"/>
          <w:numId w:val="1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 Service Provider who has been granted an Award under this Plan or, if applicable, such other person who holds an outstanding Award.</w:t>
      </w:r>
    </w:p>
    <w:p>
      <w:pPr>
        <w:spacing w:after="0" w:line="197" w:lineRule="exact"/>
        <w:rPr>
          <w:sz w:val="20"/>
          <w:szCs w:val="20"/>
          <w:color w:val="auto"/>
        </w:rPr>
      </w:pPr>
    </w:p>
    <w:p>
      <w:pPr>
        <w:jc w:val="both"/>
        <w:ind w:firstLine="818"/>
        <w:spacing w:after="0" w:line="286" w:lineRule="auto"/>
        <w:tabs>
          <w:tab w:leader="none" w:pos="1135" w:val="left"/>
        </w:tabs>
        <w:numPr>
          <w:ilvl w:val="0"/>
          <w:numId w:val="16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Goals</w:t>
      </w:r>
      <w:r>
        <w:rPr>
          <w:rFonts w:ascii="Arial" w:cs="Arial" w:eastAsia="Arial" w:hAnsi="Arial"/>
          <w:sz w:val="16"/>
          <w:szCs w:val="16"/>
          <w:color w:val="auto"/>
        </w:rPr>
        <w:t>” means goals which have been established by the Committee in connection with an Award and are based on one or more criteria as established by the Committee in its sole discretion from time to time, including, but not limited to: interest income and expense; net earning or net income; net interest margin; efficiency ratio; reduction in non-accrual loans and non-interest expense; growth in non-interest income and ratios to earnings assets; net revenue growth and ratio to earning assets; capital ratios; asset or liability interest rate sensitivity and gap; effective tax rate; deposit growth and composition; liquidity management; securities portfolio (value, yield, spread, maturity, or duration); asset growth and composition (loans, securities); non-interest income (</w:t>
      </w:r>
      <w:r>
        <w:rPr>
          <w:rFonts w:ascii="Arial" w:cs="Arial" w:eastAsia="Arial" w:hAnsi="Arial"/>
          <w:sz w:val="16"/>
          <w:szCs w:val="16"/>
          <w:i w:val="1"/>
          <w:iCs w:val="1"/>
          <w:color w:val="auto"/>
        </w:rPr>
        <w:t>e.g.</w:t>
      </w:r>
      <w:r>
        <w:rPr>
          <w:rFonts w:ascii="Arial" w:cs="Arial" w:eastAsia="Arial" w:hAnsi="Arial"/>
          <w:sz w:val="16"/>
          <w:szCs w:val="16"/>
          <w:color w:val="auto"/>
        </w:rPr>
        <w:t>, fees, premiums and commissions, loans, wealth management, treasury management, insurance, funds management) and expense; overhead ratios, productivity ratios; credit quality measures; return on assets; return on equity; economic value of equity; compliance and CAMELS or other regulatory ratings; internal controls; enterprise risk measures (</w:t>
      </w:r>
      <w:r>
        <w:rPr>
          <w:rFonts w:ascii="Arial" w:cs="Arial" w:eastAsia="Arial" w:hAnsi="Arial"/>
          <w:sz w:val="16"/>
          <w:szCs w:val="16"/>
          <w:i w:val="1"/>
          <w:iCs w:val="1"/>
          <w:color w:val="auto"/>
        </w:rPr>
        <w:t>e.g.</w:t>
      </w:r>
      <w:r>
        <w:rPr>
          <w:rFonts w:ascii="Arial" w:cs="Arial" w:eastAsia="Arial" w:hAnsi="Arial"/>
          <w:sz w:val="16"/>
          <w:szCs w:val="16"/>
          <w:color w:val="auto"/>
        </w:rPr>
        <w:t>, interest rate, loan concentrations, portfolio composition, credit quality, operational measures, compliance ratings, balance sheet, liquidity, insurance); volume in production or loans; non-performing asset or non-performing loan levels or ratios or loan delinquency levels; provision for loan losses or net charge-offs; cash flow; cost; revenues; sales; ratio of debt to debt plus equity; net borrowing, credit quality or debt ratings; profit before tax; economic profit; earnings before interest and taxes; earnings before interest, taxes, depreciation and amortization; gross margin; profit margin; earnings per Share; operating earnings; capital expenditures; expenses or expense levels; economic value added; ratio of operating earnings to capital spending or any other operating ratios; free cash flow; net profit; net sales; net asset value per Share; the accomplishment of mergers, acquisitions, dispositions, public offerings or similar extraordinary business transactions; sales growth; price of the Company’s Shares; return on investment; equity or shareholder’ equity; market share; inventory levels, inventory turn or shrinkage; customer satisfaction; or total shareholder return.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8" w:name="page259"/>
    <w:bookmarkEnd w:id="258"/>
    <w:p>
      <w:pPr>
        <w:ind w:left="1160" w:hanging="342"/>
        <w:spacing w:after="0"/>
        <w:tabs>
          <w:tab w:leader="none" w:pos="11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Period</w:t>
      </w:r>
      <w:r>
        <w:rPr>
          <w:rFonts w:ascii="Arial" w:cs="Arial" w:eastAsia="Arial" w:hAnsi="Arial"/>
          <w:sz w:val="18"/>
          <w:szCs w:val="18"/>
          <w:color w:val="auto"/>
        </w:rPr>
        <w:t>” means the time period during which the Performance Goals must be met.</w:t>
      </w:r>
    </w:p>
    <w:p>
      <w:pPr>
        <w:spacing w:after="0" w:line="252" w:lineRule="exact"/>
        <w:rPr>
          <w:rFonts w:ascii="Arial" w:cs="Arial" w:eastAsia="Arial" w:hAnsi="Arial"/>
          <w:sz w:val="18"/>
          <w:szCs w:val="18"/>
          <w:color w:val="auto"/>
        </w:rPr>
      </w:pPr>
    </w:p>
    <w:p>
      <w:pPr>
        <w:ind w:left="1140" w:hanging="322"/>
        <w:spacing w:after="0"/>
        <w:tabs>
          <w:tab w:leader="none" w:pos="11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Share</w:t>
      </w:r>
      <w:r>
        <w:rPr>
          <w:rFonts w:ascii="Arial" w:cs="Arial" w:eastAsia="Arial" w:hAnsi="Arial"/>
          <w:sz w:val="18"/>
          <w:szCs w:val="18"/>
          <w:color w:val="auto"/>
        </w:rPr>
        <w:t>” means Shares issued pursuant to a Performance Share Award under Section 10 of this Plan.</w:t>
      </w:r>
    </w:p>
    <w:p>
      <w:pPr>
        <w:spacing w:after="0" w:line="252" w:lineRule="exact"/>
        <w:rPr>
          <w:rFonts w:ascii="Arial" w:cs="Arial" w:eastAsia="Arial" w:hAnsi="Arial"/>
          <w:sz w:val="18"/>
          <w:szCs w:val="18"/>
          <w:color w:val="auto"/>
        </w:rPr>
      </w:pPr>
    </w:p>
    <w:p>
      <w:pPr>
        <w:ind w:right="20" w:firstLine="818"/>
        <w:spacing w:after="0" w:line="277" w:lineRule="auto"/>
        <w:tabs>
          <w:tab w:leader="none" w:pos="1182"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Unit</w:t>
      </w:r>
      <w:r>
        <w:rPr>
          <w:rFonts w:ascii="Arial" w:cs="Arial" w:eastAsia="Arial" w:hAnsi="Arial"/>
          <w:sz w:val="18"/>
          <w:szCs w:val="18"/>
          <w:color w:val="auto"/>
        </w:rPr>
        <w:t>” means, pursuant to Section 10 of this Plan, an unfunded and unsecured promise to deliver Shares, cash or other securities equal to the value set forth in the Award Agreement.</w:t>
      </w:r>
    </w:p>
    <w:p>
      <w:pPr>
        <w:spacing w:after="0" w:line="197" w:lineRule="exact"/>
        <w:rPr>
          <w:rFonts w:ascii="Arial" w:cs="Arial" w:eastAsia="Arial" w:hAnsi="Arial"/>
          <w:sz w:val="18"/>
          <w:szCs w:val="18"/>
          <w:color w:val="auto"/>
        </w:rPr>
      </w:pPr>
    </w:p>
    <w:p>
      <w:pPr>
        <w:ind w:firstLine="818"/>
        <w:spacing w:after="0" w:line="308" w:lineRule="auto"/>
        <w:tabs>
          <w:tab w:leader="none" w:pos="1135" w:val="left"/>
        </w:tabs>
        <w:numPr>
          <w:ilvl w:val="0"/>
          <w:numId w:val="16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Plan</w:t>
      </w:r>
      <w:r>
        <w:rPr>
          <w:rFonts w:ascii="Arial" w:cs="Arial" w:eastAsia="Arial" w:hAnsi="Arial"/>
          <w:sz w:val="17"/>
          <w:szCs w:val="17"/>
          <w:color w:val="auto"/>
        </w:rPr>
        <w:t>” means this 2019 Equity Incentive Plan, effective January 16, 2019. This Plan was approved by the Board on January 16, 2019 and by the Company’s shareholders on March 6, 2019.</w:t>
      </w:r>
    </w:p>
    <w:p>
      <w:pPr>
        <w:spacing w:after="0" w:line="173" w:lineRule="exact"/>
        <w:rPr>
          <w:rFonts w:ascii="Arial" w:cs="Arial" w:eastAsia="Arial" w:hAnsi="Arial"/>
          <w:sz w:val="17"/>
          <w:szCs w:val="17"/>
          <w:color w:val="auto"/>
        </w:rPr>
      </w:pPr>
    </w:p>
    <w:p>
      <w:pPr>
        <w:ind w:firstLine="818"/>
        <w:spacing w:after="0" w:line="277" w:lineRule="auto"/>
        <w:tabs>
          <w:tab w:leader="none" w:pos="110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w:t>
      </w:r>
      <w:r>
        <w:rPr>
          <w:rFonts w:ascii="Arial" w:cs="Arial" w:eastAsia="Arial" w:hAnsi="Arial"/>
          <w:sz w:val="18"/>
          <w:szCs w:val="18"/>
          <w:color w:val="auto"/>
        </w:rPr>
        <w:t>” means Shares issued pursuant to a Restricted Stock Award under Section 8 of this Plan or issued pursuant to the early exercise of an Option.</w:t>
      </w:r>
    </w:p>
    <w:p>
      <w:pPr>
        <w:spacing w:after="0" w:line="197" w:lineRule="exact"/>
        <w:rPr>
          <w:rFonts w:ascii="Arial" w:cs="Arial" w:eastAsia="Arial" w:hAnsi="Arial"/>
          <w:sz w:val="18"/>
          <w:szCs w:val="18"/>
          <w:color w:val="auto"/>
        </w:rPr>
      </w:pPr>
    </w:p>
    <w:p>
      <w:pPr>
        <w:jc w:val="both"/>
        <w:ind w:firstLine="818"/>
        <w:spacing w:after="0" w:line="264" w:lineRule="auto"/>
        <w:tabs>
          <w:tab w:leader="none" w:pos="1169"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Unit</w:t>
      </w:r>
      <w:r>
        <w:rPr>
          <w:rFonts w:ascii="Arial" w:cs="Arial" w:eastAsia="Arial" w:hAnsi="Arial"/>
          <w:sz w:val="18"/>
          <w:szCs w:val="18"/>
          <w:color w:val="auto"/>
        </w:rPr>
        <w:t>” means, pursuant to Section 11 of this Plan, an unfunded and unsecured promise to deliver Shares, cash or other securities equal in value to the Fair Market Value of one Share in the Company on the date of vesting or settlement, or as otherwise set forth in the Award Agreement.</w:t>
      </w:r>
    </w:p>
    <w:p>
      <w:pPr>
        <w:spacing w:after="0" w:line="208" w:lineRule="exact"/>
        <w:rPr>
          <w:rFonts w:ascii="Arial" w:cs="Arial" w:eastAsia="Arial" w:hAnsi="Arial"/>
          <w:sz w:val="18"/>
          <w:szCs w:val="18"/>
          <w:color w:val="auto"/>
        </w:rPr>
      </w:pPr>
    </w:p>
    <w:p>
      <w:pPr>
        <w:ind w:firstLine="818"/>
        <w:spacing w:after="0" w:line="223" w:lineRule="exact"/>
        <w:tabs>
          <w:tab w:leader="none" w:pos="1169"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16b-3</w:t>
      </w:r>
      <w:r>
        <w:rPr>
          <w:rFonts w:ascii="Arial" w:cs="Arial" w:eastAsia="Arial" w:hAnsi="Arial"/>
          <w:sz w:val="18"/>
          <w:szCs w:val="18"/>
          <w:color w:val="auto"/>
        </w:rPr>
        <w:t>” means Rule 16b-3 of the Exchange Act or any successor to Rule 16b</w:t>
      </w:r>
      <w:r>
        <w:rPr>
          <w:rFonts w:ascii="MS PGothic" w:cs="MS PGothic" w:eastAsia="MS PGothic" w:hAnsi="MS PGothic"/>
          <w:sz w:val="18"/>
          <w:szCs w:val="18"/>
          <w:color w:val="auto"/>
        </w:rPr>
        <w:t>‑</w:t>
      </w:r>
      <w:r>
        <w:rPr>
          <w:rFonts w:ascii="Arial" w:cs="Arial" w:eastAsia="Arial" w:hAnsi="Arial"/>
          <w:sz w:val="18"/>
          <w:szCs w:val="18"/>
          <w:color w:val="auto"/>
        </w:rPr>
        <w:t>3, as in effect when discretion is being exercised with respect to this Plan.</w:t>
      </w:r>
    </w:p>
    <w:p>
      <w:pPr>
        <w:spacing w:after="0" w:line="230" w:lineRule="exact"/>
        <w:rPr>
          <w:rFonts w:ascii="Arial" w:cs="Arial" w:eastAsia="Arial" w:hAnsi="Arial"/>
          <w:sz w:val="18"/>
          <w:szCs w:val="18"/>
          <w:color w:val="auto"/>
        </w:rPr>
      </w:pPr>
    </w:p>
    <w:p>
      <w:pPr>
        <w:ind w:left="1080" w:hanging="262"/>
        <w:spacing w:after="0"/>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Section 16(b)</w:t>
      </w:r>
      <w:r>
        <w:rPr>
          <w:rFonts w:ascii="Arial" w:cs="Arial" w:eastAsia="Arial" w:hAnsi="Arial"/>
          <w:sz w:val="18"/>
          <w:szCs w:val="18"/>
          <w:color w:val="auto"/>
        </w:rPr>
        <w:t>” means Section 16(b) of the Exchange Act.</w:t>
      </w:r>
    </w:p>
    <w:p>
      <w:pPr>
        <w:spacing w:after="0" w:line="252" w:lineRule="exact"/>
        <w:rPr>
          <w:rFonts w:ascii="Arial" w:cs="Arial" w:eastAsia="Arial" w:hAnsi="Arial"/>
          <w:sz w:val="18"/>
          <w:szCs w:val="18"/>
          <w:color w:val="auto"/>
        </w:rPr>
      </w:pPr>
    </w:p>
    <w:p>
      <w:pPr>
        <w:ind w:left="1080" w:hanging="262"/>
        <w:spacing w:after="0"/>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252" w:lineRule="exact"/>
        <w:rPr>
          <w:rFonts w:ascii="Arial" w:cs="Arial" w:eastAsia="Arial" w:hAnsi="Arial"/>
          <w:sz w:val="18"/>
          <w:szCs w:val="18"/>
          <w:color w:val="auto"/>
        </w:rPr>
      </w:pPr>
    </w:p>
    <w:p>
      <w:pPr>
        <w:ind w:left="1160" w:hanging="342"/>
        <w:spacing w:after="0"/>
        <w:tabs>
          <w:tab w:leader="none" w:pos="11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Service Provider</w:t>
      </w:r>
      <w:r>
        <w:rPr>
          <w:rFonts w:ascii="Arial" w:cs="Arial" w:eastAsia="Arial" w:hAnsi="Arial"/>
          <w:sz w:val="18"/>
          <w:szCs w:val="18"/>
          <w:color w:val="auto"/>
        </w:rPr>
        <w:t>” means a natural person that is an Employee, Director or Consultant.</w:t>
      </w:r>
    </w:p>
    <w:p>
      <w:pPr>
        <w:spacing w:after="0" w:line="252" w:lineRule="exact"/>
        <w:rPr>
          <w:rFonts w:ascii="Arial" w:cs="Arial" w:eastAsia="Arial" w:hAnsi="Arial"/>
          <w:sz w:val="18"/>
          <w:szCs w:val="18"/>
          <w:color w:val="auto"/>
        </w:rPr>
      </w:pPr>
    </w:p>
    <w:p>
      <w:pPr>
        <w:ind w:left="1080" w:hanging="262"/>
        <w:spacing w:after="0"/>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w:t>
      </w:r>
      <w:r>
        <w:rPr>
          <w:rFonts w:ascii="Arial" w:cs="Arial" w:eastAsia="Arial" w:hAnsi="Arial"/>
          <w:sz w:val="18"/>
          <w:szCs w:val="18"/>
          <w:color w:val="auto"/>
        </w:rPr>
        <w:t>” means a share of Common Stock, as adjusted in accordance with Section 15 of this Plan.</w:t>
      </w:r>
    </w:p>
    <w:p>
      <w:pPr>
        <w:spacing w:after="0" w:line="252" w:lineRule="exact"/>
        <w:rPr>
          <w:rFonts w:ascii="Arial" w:cs="Arial" w:eastAsia="Arial" w:hAnsi="Arial"/>
          <w:sz w:val="18"/>
          <w:szCs w:val="18"/>
          <w:color w:val="auto"/>
        </w:rPr>
      </w:pPr>
    </w:p>
    <w:p>
      <w:pPr>
        <w:jc w:val="both"/>
        <w:ind w:firstLine="818"/>
        <w:spacing w:after="0" w:line="264" w:lineRule="auto"/>
        <w:tabs>
          <w:tab w:leader="none" w:pos="125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or “</w:t>
      </w:r>
      <w:r>
        <w:rPr>
          <w:rFonts w:ascii="Arial" w:cs="Arial" w:eastAsia="Arial" w:hAnsi="Arial"/>
          <w:sz w:val="18"/>
          <w:szCs w:val="18"/>
          <w:b w:val="1"/>
          <w:bCs w:val="1"/>
          <w:i w:val="1"/>
          <w:iCs w:val="1"/>
          <w:color w:val="auto"/>
        </w:rPr>
        <w:t>SAR</w:t>
      </w:r>
      <w:r>
        <w:rPr>
          <w:rFonts w:ascii="Arial" w:cs="Arial" w:eastAsia="Arial" w:hAnsi="Arial"/>
          <w:sz w:val="18"/>
          <w:szCs w:val="18"/>
          <w:color w:val="auto"/>
        </w:rPr>
        <w:t>” means, pursuant to Section 9 of this Plan, an unfunded and unsecured promise to deliver Shares, cash or other securities equal in value to the difference between the Fair Market Value of a Share as of the date such SAR is exercised and the Fair Market Value of a Share as of the date such SAR was granted, or as otherwise set forth in the Award Agreement.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59" w:name="page260"/>
    <w:bookmarkEnd w:id="259"/>
    <w:p>
      <w:pPr>
        <w:jc w:val="both"/>
        <w:ind w:firstLine="818"/>
        <w:spacing w:after="0" w:line="264" w:lineRule="auto"/>
        <w:tabs>
          <w:tab w:leader="none" w:pos="1155" w:val="left"/>
        </w:tabs>
        <w:numPr>
          <w:ilvl w:val="1"/>
          <w:numId w:val="1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either (y) with respect to an Award of Incentive Stock Options, a “subsidiary corporation” with respect to the Company, whether now or hereafter existing, as defined in Section 424(f) of the Code; or (z) with respect to an Award other than an Incentive Stock Option, and for any other purpose herein, an entity that is a subsidiary of the Company as determined by the Board.</w:t>
      </w:r>
    </w:p>
    <w:p>
      <w:pPr>
        <w:spacing w:after="0" w:line="208" w:lineRule="exact"/>
        <w:rPr>
          <w:rFonts w:ascii="Arial" w:cs="Arial" w:eastAsia="Arial" w:hAnsi="Arial"/>
          <w:sz w:val="18"/>
          <w:szCs w:val="18"/>
          <w:color w:val="auto"/>
        </w:rPr>
      </w:pPr>
    </w:p>
    <w:p>
      <w:pPr>
        <w:ind w:left="840" w:hanging="184"/>
        <w:spacing w:after="0"/>
        <w:tabs>
          <w:tab w:leader="none" w:pos="840"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Stock Subject to this Plan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firstLine="818"/>
        <w:spacing w:after="0" w:line="270" w:lineRule="auto"/>
        <w:tabs>
          <w:tab w:leader="none" w:pos="1055" w:val="left"/>
        </w:tabs>
        <w:numPr>
          <w:ilvl w:val="1"/>
          <w:numId w:val="169"/>
        </w:numPr>
        <w:rPr>
          <w:rFonts w:ascii="Arial" w:cs="Arial" w:eastAsia="Arial" w:hAnsi="Arial"/>
          <w:sz w:val="17"/>
          <w:szCs w:val="17"/>
          <w:color w:val="auto"/>
        </w:rPr>
      </w:pPr>
      <w:r>
        <w:rPr>
          <w:rFonts w:ascii="Arial" w:cs="Arial" w:eastAsia="Arial" w:hAnsi="Arial"/>
          <w:sz w:val="17"/>
          <w:szCs w:val="17"/>
          <w:u w:val="single" w:color="auto"/>
          <w:color w:val="auto"/>
        </w:rPr>
        <w:t>Stock Subject to this Plan</w:t>
      </w:r>
      <w:r>
        <w:rPr>
          <w:rFonts w:ascii="Arial" w:cs="Arial" w:eastAsia="Arial" w:hAnsi="Arial"/>
          <w:sz w:val="17"/>
          <w:szCs w:val="17"/>
          <w:color w:val="auto"/>
        </w:rPr>
        <w:t>. Subject to the provisions of Section 15 of this Plan, the maximum aggregate number of Shares that may be issued pursuant to all Awards under this Plan is two million three hundred thousand (2,300,000) Shares, all of which may be subject to Incentive Stock Option treatment. The maximum aggregate number of Shares that may be issued pursuant to all awards under this Plan will increase annually on the first day of each fiscal year after the adoption of this Plan by the number of Shares equal to the lesser of (i) three percent (3%) of the total issued and outstanding common shares of the Company on the first day of such fiscal year, or (ii) such lesser amount determined by the Board. Shares will not be deemed to have been issued pursuant to this Plan with respect to any portion of an Award that is settled in cash. Upon payment in Shares pursuant to the exercise or settlement of an Award, the number of Shares available for issuance under this Plan will be reduced only by the number of Shares actually issued in such exercise or settlement. If a Participant pays the exercise price (or purchase price, if applicable) of an Award through the tender or withholding of Shares as full or partial payment of such exercise price, or if Shares are tendered or withheld to satisfy any withholding obligations of the Company, the number of Shares so tendered or withheld will again be available for issuance pursuant to future Awards under this Plan.</w:t>
      </w:r>
    </w:p>
    <w:p>
      <w:pPr>
        <w:spacing w:after="0" w:line="204" w:lineRule="exact"/>
        <w:rPr>
          <w:rFonts w:ascii="Arial" w:cs="Arial" w:eastAsia="Arial" w:hAnsi="Arial"/>
          <w:sz w:val="17"/>
          <w:szCs w:val="17"/>
          <w:color w:val="auto"/>
        </w:rPr>
      </w:pPr>
    </w:p>
    <w:p>
      <w:pPr>
        <w:jc w:val="both"/>
        <w:ind w:firstLine="818"/>
        <w:spacing w:after="0" w:line="264" w:lineRule="auto"/>
        <w:tabs>
          <w:tab w:leader="none" w:pos="1065" w:val="left"/>
        </w:tabs>
        <w:numPr>
          <w:ilvl w:val="1"/>
          <w:numId w:val="169"/>
        </w:numPr>
        <w:rPr>
          <w:rFonts w:ascii="Arial" w:cs="Arial" w:eastAsia="Arial" w:hAnsi="Arial"/>
          <w:sz w:val="18"/>
          <w:szCs w:val="18"/>
          <w:color w:val="auto"/>
        </w:rPr>
      </w:pPr>
      <w:r>
        <w:rPr>
          <w:rFonts w:ascii="Arial" w:cs="Arial" w:eastAsia="Arial" w:hAnsi="Arial"/>
          <w:sz w:val="18"/>
          <w:szCs w:val="18"/>
          <w:u w:val="single" w:color="auto"/>
          <w:color w:val="auto"/>
        </w:rPr>
        <w:t>Lapsed Awards</w:t>
      </w:r>
      <w:r>
        <w:rPr>
          <w:rFonts w:ascii="Arial" w:cs="Arial" w:eastAsia="Arial" w:hAnsi="Arial"/>
          <w:sz w:val="18"/>
          <w:szCs w:val="18"/>
          <w:color w:val="auto"/>
        </w:rPr>
        <w:t>. If any outstanding Award expires or is terminated or canceled without having been exercised or settled in full, or if Shares acquired pursuant to an Award subject to forfeiture or repurchase are forfeited or repurchased by the Company, the Shares allocable to the terminated portion of the Award or the forfeited or repurchased Shares will again be available for grant under this Plan.</w:t>
      </w:r>
    </w:p>
    <w:p>
      <w:pPr>
        <w:spacing w:after="0" w:line="208" w:lineRule="exact"/>
        <w:rPr>
          <w:rFonts w:ascii="Arial" w:cs="Arial" w:eastAsia="Arial" w:hAnsi="Arial"/>
          <w:sz w:val="18"/>
          <w:szCs w:val="18"/>
          <w:color w:val="auto"/>
        </w:rPr>
      </w:pPr>
    </w:p>
    <w:p>
      <w:pPr>
        <w:ind w:firstLine="818"/>
        <w:spacing w:after="0" w:line="277" w:lineRule="auto"/>
        <w:tabs>
          <w:tab w:leader="none" w:pos="1055" w:val="left"/>
        </w:tabs>
        <w:numPr>
          <w:ilvl w:val="1"/>
          <w:numId w:val="169"/>
        </w:numPr>
        <w:rPr>
          <w:rFonts w:ascii="Arial" w:cs="Arial" w:eastAsia="Arial" w:hAnsi="Arial"/>
          <w:sz w:val="18"/>
          <w:szCs w:val="18"/>
          <w:color w:val="auto"/>
        </w:rPr>
      </w:pPr>
      <w:r>
        <w:rPr>
          <w:rFonts w:ascii="Arial" w:cs="Arial" w:eastAsia="Arial" w:hAnsi="Arial"/>
          <w:sz w:val="18"/>
          <w:szCs w:val="18"/>
          <w:u w:val="single" w:color="auto"/>
          <w:color w:val="auto"/>
        </w:rPr>
        <w:t>Share Reserve</w:t>
      </w:r>
      <w:r>
        <w:rPr>
          <w:rFonts w:ascii="Arial" w:cs="Arial" w:eastAsia="Arial" w:hAnsi="Arial"/>
          <w:sz w:val="18"/>
          <w:szCs w:val="18"/>
          <w:color w:val="auto"/>
        </w:rPr>
        <w:t>. The Company, during the term of this Plan, will at all times reserve and keep available such number of Shares as are sufficient to satisfy the requirements of this Plan.</w:t>
      </w:r>
    </w:p>
    <w:p>
      <w:pPr>
        <w:spacing w:after="0" w:line="197" w:lineRule="exact"/>
        <w:rPr>
          <w:rFonts w:ascii="Arial" w:cs="Arial" w:eastAsia="Arial" w:hAnsi="Arial"/>
          <w:sz w:val="18"/>
          <w:szCs w:val="18"/>
          <w:color w:val="auto"/>
        </w:rPr>
      </w:pPr>
    </w:p>
    <w:p>
      <w:pPr>
        <w:ind w:left="840" w:hanging="184"/>
        <w:spacing w:after="0"/>
        <w:tabs>
          <w:tab w:leader="none" w:pos="840"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Administration of this Plan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060" w:hanging="242"/>
        <w:spacing w:after="0"/>
        <w:tabs>
          <w:tab w:leader="none" w:pos="1060" w:val="left"/>
        </w:tabs>
        <w:numPr>
          <w:ilvl w:val="1"/>
          <w:numId w:val="169"/>
        </w:numPr>
        <w:rPr>
          <w:rFonts w:ascii="Arial" w:cs="Arial" w:eastAsia="Arial" w:hAnsi="Arial"/>
          <w:sz w:val="18"/>
          <w:szCs w:val="18"/>
          <w:color w:val="auto"/>
        </w:rPr>
      </w:pPr>
      <w:r>
        <w:rPr>
          <w:rFonts w:ascii="Arial" w:cs="Arial" w:eastAsia="Arial" w:hAnsi="Arial"/>
          <w:sz w:val="18"/>
          <w:szCs w:val="18"/>
          <w:u w:val="single" w:color="auto"/>
          <w:color w:val="auto"/>
        </w:rPr>
        <w:t>Procedure</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360" w:hanging="218"/>
        <w:spacing w:after="0"/>
        <w:tabs>
          <w:tab w:leader="none" w:pos="1360" w:val="left"/>
        </w:tabs>
        <w:numPr>
          <w:ilvl w:val="2"/>
          <w:numId w:val="169"/>
        </w:numPr>
        <w:rPr>
          <w:rFonts w:ascii="Arial" w:cs="Arial" w:eastAsia="Arial" w:hAnsi="Arial"/>
          <w:sz w:val="17"/>
          <w:szCs w:val="17"/>
          <w:color w:val="auto"/>
        </w:rPr>
      </w:pPr>
      <w:r>
        <w:rPr>
          <w:rFonts w:ascii="Arial" w:cs="Arial" w:eastAsia="Arial" w:hAnsi="Arial"/>
          <w:sz w:val="17"/>
          <w:szCs w:val="17"/>
          <w:u w:val="single" w:color="auto"/>
          <w:color w:val="auto"/>
        </w:rPr>
        <w:t>Multiple Administrative Bodies</w:t>
      </w:r>
      <w:r>
        <w:rPr>
          <w:rFonts w:ascii="Arial" w:cs="Arial" w:eastAsia="Arial" w:hAnsi="Arial"/>
          <w:sz w:val="17"/>
          <w:szCs w:val="17"/>
          <w:color w:val="auto"/>
        </w:rPr>
        <w:t>. Different Committees with respect to different groups of Service Providers may administer this Plan.</w:t>
      </w:r>
    </w:p>
    <w:p>
      <w:pPr>
        <w:spacing w:after="0" w:line="263" w:lineRule="exact"/>
        <w:rPr>
          <w:rFonts w:ascii="Arial" w:cs="Arial" w:eastAsia="Arial" w:hAnsi="Arial"/>
          <w:sz w:val="17"/>
          <w:szCs w:val="17"/>
          <w:color w:val="auto"/>
        </w:rPr>
      </w:pPr>
    </w:p>
    <w:p>
      <w:pPr>
        <w:ind w:left="1400" w:hanging="258"/>
        <w:spacing w:after="0"/>
        <w:tabs>
          <w:tab w:leader="none" w:pos="1400" w:val="left"/>
        </w:tabs>
        <w:numPr>
          <w:ilvl w:val="2"/>
          <w:numId w:val="169"/>
        </w:numPr>
        <w:rPr>
          <w:rFonts w:ascii="Arial" w:cs="Arial" w:eastAsia="Arial" w:hAnsi="Arial"/>
          <w:sz w:val="16"/>
          <w:szCs w:val="16"/>
          <w:color w:val="auto"/>
        </w:rPr>
      </w:pPr>
      <w:r>
        <w:rPr>
          <w:rFonts w:ascii="Arial" w:cs="Arial" w:eastAsia="Arial" w:hAnsi="Arial"/>
          <w:sz w:val="16"/>
          <w:szCs w:val="16"/>
          <w:u w:val="single" w:color="auto"/>
          <w:color w:val="auto"/>
        </w:rPr>
        <w:t>Rule 16b-3</w:t>
      </w:r>
      <w:r>
        <w:rPr>
          <w:rFonts w:ascii="Arial" w:cs="Arial" w:eastAsia="Arial" w:hAnsi="Arial"/>
          <w:sz w:val="16"/>
          <w:szCs w:val="16"/>
          <w:color w:val="auto"/>
        </w:rPr>
        <w:t>. If a transaction is intended to be exempt under Rule 16b-3, then it will be structured to satisfy the requirements for exemption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under Rule 16b-3.</w:t>
      </w:r>
    </w:p>
    <w:p>
      <w:pPr>
        <w:spacing w:after="0" w:line="237" w:lineRule="exact"/>
        <w:rPr>
          <w:rFonts w:ascii="Arial" w:cs="Arial" w:eastAsia="Arial" w:hAnsi="Arial"/>
          <w:sz w:val="16"/>
          <w:szCs w:val="16"/>
          <w:color w:val="auto"/>
        </w:rPr>
      </w:pPr>
    </w:p>
    <w:p>
      <w:pPr>
        <w:ind w:firstLine="1142"/>
        <w:spacing w:after="0" w:line="277" w:lineRule="auto"/>
        <w:tabs>
          <w:tab w:leader="none" w:pos="1449" w:val="left"/>
        </w:tabs>
        <w:numPr>
          <w:ilvl w:val="2"/>
          <w:numId w:val="169"/>
        </w:numPr>
        <w:rPr>
          <w:rFonts w:ascii="Arial" w:cs="Arial" w:eastAsia="Arial" w:hAnsi="Arial"/>
          <w:sz w:val="18"/>
          <w:szCs w:val="18"/>
          <w:color w:val="auto"/>
        </w:rPr>
      </w:pPr>
      <w:r>
        <w:rPr>
          <w:rFonts w:ascii="Arial" w:cs="Arial" w:eastAsia="Arial" w:hAnsi="Arial"/>
          <w:sz w:val="18"/>
          <w:szCs w:val="18"/>
          <w:u w:val="single" w:color="auto"/>
          <w:color w:val="auto"/>
        </w:rPr>
        <w:t>Other Administration</w:t>
      </w:r>
      <w:r>
        <w:rPr>
          <w:rFonts w:ascii="Arial" w:cs="Arial" w:eastAsia="Arial" w:hAnsi="Arial"/>
          <w:sz w:val="18"/>
          <w:szCs w:val="18"/>
          <w:color w:val="auto"/>
        </w:rPr>
        <w:t>. Other than as provided above, this Plan will be administered by (A) the Board or (B) a Committee constituted to satisfy Applicable Laws.</w:t>
      </w:r>
    </w:p>
    <w:p>
      <w:pPr>
        <w:spacing w:after="0" w:line="197" w:lineRule="exact"/>
        <w:rPr>
          <w:rFonts w:ascii="Arial" w:cs="Arial" w:eastAsia="Arial" w:hAnsi="Arial"/>
          <w:sz w:val="18"/>
          <w:szCs w:val="18"/>
          <w:color w:val="auto"/>
        </w:rPr>
      </w:pPr>
    </w:p>
    <w:p>
      <w:pPr>
        <w:jc w:val="both"/>
        <w:ind w:firstLine="1142"/>
        <w:spacing w:after="0" w:line="264" w:lineRule="auto"/>
        <w:tabs>
          <w:tab w:leader="none" w:pos="1453" w:val="left"/>
        </w:tabs>
        <w:numPr>
          <w:ilvl w:val="2"/>
          <w:numId w:val="169"/>
        </w:numPr>
        <w:rPr>
          <w:rFonts w:ascii="Arial" w:cs="Arial" w:eastAsia="Arial" w:hAnsi="Arial"/>
          <w:sz w:val="18"/>
          <w:szCs w:val="18"/>
          <w:color w:val="auto"/>
        </w:rPr>
      </w:pPr>
      <w:r>
        <w:rPr>
          <w:rFonts w:ascii="Arial" w:cs="Arial" w:eastAsia="Arial" w:hAnsi="Arial"/>
          <w:sz w:val="18"/>
          <w:szCs w:val="18"/>
          <w:u w:val="single" w:color="auto"/>
          <w:color w:val="auto"/>
        </w:rPr>
        <w:t>Delegation of Authority for Day-to-Day Administration</w:t>
      </w:r>
      <w:r>
        <w:rPr>
          <w:rFonts w:ascii="Arial" w:cs="Arial" w:eastAsia="Arial" w:hAnsi="Arial"/>
          <w:sz w:val="18"/>
          <w:szCs w:val="18"/>
          <w:color w:val="auto"/>
        </w:rPr>
        <w:t>. Except to the extent prohibited by Applicable Law, the Administrator may delegate to one or more individuals the day-to-day administration of this Plan and any of the functions assigned to it in this Plan. Such delegation may be revoked at any time.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0" w:name="page261"/>
    <w:bookmarkEnd w:id="260"/>
    <w:p>
      <w:pPr>
        <w:ind w:firstLine="818"/>
        <w:spacing w:after="0" w:line="277" w:lineRule="auto"/>
        <w:tabs>
          <w:tab w:leader="none" w:pos="1065"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Powers of the Administrator</w:t>
      </w:r>
      <w:r>
        <w:rPr>
          <w:rFonts w:ascii="Arial" w:cs="Arial" w:eastAsia="Arial" w:hAnsi="Arial"/>
          <w:sz w:val="18"/>
          <w:szCs w:val="18"/>
          <w:color w:val="auto"/>
        </w:rPr>
        <w:t>. Subject to the provisions of this Plan, and in the case of a Committee, subject to the specific duties delegated by the Board to the Committee, the Administrator has the authority, in its discretion to:</w:t>
      </w:r>
    </w:p>
    <w:p>
      <w:pPr>
        <w:spacing w:after="0" w:line="197" w:lineRule="exact"/>
        <w:rPr>
          <w:rFonts w:ascii="Arial" w:cs="Arial" w:eastAsia="Arial" w:hAnsi="Arial"/>
          <w:sz w:val="18"/>
          <w:szCs w:val="18"/>
          <w:color w:val="auto"/>
        </w:rPr>
      </w:pPr>
    </w:p>
    <w:p>
      <w:pPr>
        <w:ind w:left="1360" w:hanging="218"/>
        <w:spacing w:after="0"/>
        <w:tabs>
          <w:tab w:leader="none" w:pos="136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determine the Fair Market Value of Awards;</w:t>
      </w:r>
    </w:p>
    <w:p>
      <w:pPr>
        <w:spacing w:after="0" w:line="252" w:lineRule="exact"/>
        <w:rPr>
          <w:rFonts w:ascii="Arial" w:cs="Arial" w:eastAsia="Arial" w:hAnsi="Arial"/>
          <w:sz w:val="18"/>
          <w:szCs w:val="18"/>
          <w:color w:val="auto"/>
        </w:rPr>
      </w:pPr>
    </w:p>
    <w:p>
      <w:pPr>
        <w:ind w:left="1400" w:hanging="258"/>
        <w:spacing w:after="0"/>
        <w:tabs>
          <w:tab w:leader="none" w:pos="140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select the Service Providers to whom Awards may be granted under this Plan;</w:t>
      </w:r>
    </w:p>
    <w:p>
      <w:pPr>
        <w:spacing w:after="0" w:line="252" w:lineRule="exact"/>
        <w:rPr>
          <w:rFonts w:ascii="Arial" w:cs="Arial" w:eastAsia="Arial" w:hAnsi="Arial"/>
          <w:sz w:val="18"/>
          <w:szCs w:val="18"/>
          <w:color w:val="auto"/>
        </w:rPr>
      </w:pPr>
    </w:p>
    <w:p>
      <w:pPr>
        <w:ind w:left="1460" w:hanging="318"/>
        <w:spacing w:after="0"/>
        <w:tabs>
          <w:tab w:leader="none" w:pos="146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determine the number of Shares to be covered by each Award granted under this Plan;</w:t>
      </w:r>
    </w:p>
    <w:p>
      <w:pPr>
        <w:spacing w:after="0" w:line="252" w:lineRule="exact"/>
        <w:rPr>
          <w:rFonts w:ascii="Arial" w:cs="Arial" w:eastAsia="Arial" w:hAnsi="Arial"/>
          <w:sz w:val="18"/>
          <w:szCs w:val="18"/>
          <w:color w:val="auto"/>
        </w:rPr>
      </w:pPr>
    </w:p>
    <w:p>
      <w:pPr>
        <w:ind w:left="1440" w:hanging="298"/>
        <w:spacing w:after="0"/>
        <w:tabs>
          <w:tab w:leader="none" w:pos="144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determine when Awards are to be granted under this Plan and the applicable date of grant;</w:t>
      </w:r>
    </w:p>
    <w:p>
      <w:pPr>
        <w:spacing w:after="0" w:line="252" w:lineRule="exact"/>
        <w:rPr>
          <w:rFonts w:ascii="Arial" w:cs="Arial" w:eastAsia="Arial" w:hAnsi="Arial"/>
          <w:sz w:val="18"/>
          <w:szCs w:val="18"/>
          <w:color w:val="auto"/>
        </w:rPr>
      </w:pPr>
    </w:p>
    <w:p>
      <w:pPr>
        <w:ind w:left="1400" w:hanging="258"/>
        <w:spacing w:after="0"/>
        <w:tabs>
          <w:tab w:leader="none" w:pos="140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approve forms of Award Agreements for use under this Plan;</w:t>
      </w:r>
    </w:p>
    <w:p>
      <w:pPr>
        <w:spacing w:after="0" w:line="252" w:lineRule="exact"/>
        <w:rPr>
          <w:rFonts w:ascii="Arial" w:cs="Arial" w:eastAsia="Arial" w:hAnsi="Arial"/>
          <w:sz w:val="18"/>
          <w:szCs w:val="18"/>
          <w:color w:val="auto"/>
        </w:rPr>
      </w:pPr>
    </w:p>
    <w:p>
      <w:pPr>
        <w:jc w:val="both"/>
        <w:ind w:firstLine="1142"/>
        <w:spacing w:after="0" w:line="259" w:lineRule="auto"/>
        <w:tabs>
          <w:tab w:leader="none" w:pos="1439" w:val="left"/>
        </w:tabs>
        <w:numPr>
          <w:ilvl w:val="1"/>
          <w:numId w:val="170"/>
        </w:numPr>
        <w:rPr>
          <w:rFonts w:ascii="Arial" w:cs="Arial" w:eastAsia="Arial" w:hAnsi="Arial"/>
          <w:sz w:val="18"/>
          <w:szCs w:val="18"/>
          <w:color w:val="auto"/>
        </w:rPr>
      </w:pPr>
      <w:r>
        <w:rPr>
          <w:rFonts w:ascii="Arial" w:cs="Arial" w:eastAsia="Arial" w:hAnsi="Arial"/>
          <w:sz w:val="18"/>
          <w:szCs w:val="18"/>
          <w:color w:val="auto"/>
        </w:rPr>
        <w:t>determine the terms and conditions, not inconsistent with the terms of this Plan, of any Award granted under this Plan, including but not limited to, the exercise price, the time or times when Awards may be exercised (which may be based on Performance Goals), any acceleration of vesting or waiver of forfeiture or repurchase restrictions, and any restriction or limitation regarding any Award or the Shares relating thereto, based in each case on such factors as the Administrator, in its sole discretion, may determine;</w:t>
      </w:r>
    </w:p>
    <w:p>
      <w:pPr>
        <w:spacing w:after="0" w:line="213" w:lineRule="exact"/>
        <w:rPr>
          <w:rFonts w:ascii="Arial" w:cs="Arial" w:eastAsia="Arial" w:hAnsi="Arial"/>
          <w:sz w:val="18"/>
          <w:szCs w:val="18"/>
          <w:color w:val="auto"/>
        </w:rPr>
      </w:pPr>
    </w:p>
    <w:p>
      <w:pPr>
        <w:ind w:firstLine="1142"/>
        <w:spacing w:after="0" w:line="277" w:lineRule="auto"/>
        <w:tabs>
          <w:tab w:leader="none" w:pos="1489" w:val="left"/>
        </w:tabs>
        <w:numPr>
          <w:ilvl w:val="1"/>
          <w:numId w:val="170"/>
        </w:numPr>
        <w:rPr>
          <w:rFonts w:ascii="Arial" w:cs="Arial" w:eastAsia="Arial" w:hAnsi="Arial"/>
          <w:sz w:val="18"/>
          <w:szCs w:val="18"/>
          <w:color w:val="auto"/>
        </w:rPr>
      </w:pPr>
      <w:r>
        <w:rPr>
          <w:rFonts w:ascii="Arial" w:cs="Arial" w:eastAsia="Arial" w:hAnsi="Arial"/>
          <w:sz w:val="18"/>
          <w:szCs w:val="18"/>
          <w:color w:val="auto"/>
        </w:rPr>
        <w:t>reduce, with or without Participant consent, the exercise price of any Award to the then current Fair Market Value (or a higher value) if the Fair Market Value of the Common Stock covered by such Award has declined since the date the Award was granted;</w:t>
      </w:r>
    </w:p>
    <w:p>
      <w:pPr>
        <w:spacing w:after="0" w:line="197" w:lineRule="exact"/>
        <w:rPr>
          <w:rFonts w:ascii="Arial" w:cs="Arial" w:eastAsia="Arial" w:hAnsi="Arial"/>
          <w:sz w:val="18"/>
          <w:szCs w:val="18"/>
          <w:color w:val="auto"/>
        </w:rPr>
      </w:pPr>
    </w:p>
    <w:p>
      <w:pPr>
        <w:ind w:left="1540" w:hanging="398"/>
        <w:spacing w:after="0"/>
        <w:tabs>
          <w:tab w:leader="none" w:pos="154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institute an Exchange Program;</w:t>
      </w:r>
    </w:p>
    <w:p>
      <w:pPr>
        <w:spacing w:after="0" w:line="252" w:lineRule="exact"/>
        <w:rPr>
          <w:rFonts w:ascii="Arial" w:cs="Arial" w:eastAsia="Arial" w:hAnsi="Arial"/>
          <w:sz w:val="18"/>
          <w:szCs w:val="18"/>
          <w:color w:val="auto"/>
        </w:rPr>
      </w:pPr>
    </w:p>
    <w:p>
      <w:pPr>
        <w:ind w:left="1440" w:hanging="298"/>
        <w:spacing w:after="0"/>
        <w:tabs>
          <w:tab w:leader="none" w:pos="144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construe and interpret the terms of this Plan and Awards granted pursuant to this Plan;</w:t>
      </w:r>
    </w:p>
    <w:p>
      <w:pPr>
        <w:spacing w:after="0" w:line="252" w:lineRule="exact"/>
        <w:rPr>
          <w:rFonts w:ascii="Arial" w:cs="Arial" w:eastAsia="Arial" w:hAnsi="Arial"/>
          <w:sz w:val="18"/>
          <w:szCs w:val="18"/>
          <w:color w:val="auto"/>
        </w:rPr>
      </w:pPr>
    </w:p>
    <w:p>
      <w:pPr>
        <w:ind w:firstLine="1142"/>
        <w:spacing w:after="0" w:line="277" w:lineRule="auto"/>
        <w:tabs>
          <w:tab w:leader="none" w:pos="1416" w:val="left"/>
        </w:tabs>
        <w:numPr>
          <w:ilvl w:val="1"/>
          <w:numId w:val="170"/>
        </w:numPr>
        <w:rPr>
          <w:rFonts w:ascii="Arial" w:cs="Arial" w:eastAsia="Arial" w:hAnsi="Arial"/>
          <w:sz w:val="18"/>
          <w:szCs w:val="18"/>
          <w:color w:val="auto"/>
        </w:rPr>
      </w:pPr>
      <w:r>
        <w:rPr>
          <w:rFonts w:ascii="Arial" w:cs="Arial" w:eastAsia="Arial" w:hAnsi="Arial"/>
          <w:sz w:val="18"/>
          <w:szCs w:val="18"/>
          <w:color w:val="auto"/>
        </w:rPr>
        <w:t>prescribe, amend and rescind rules and regulations relating to this Plan, including rules and regulations relating to the creation and administration of sub-plans;</w:t>
      </w:r>
    </w:p>
    <w:p>
      <w:pPr>
        <w:spacing w:after="0" w:line="197" w:lineRule="exact"/>
        <w:rPr>
          <w:rFonts w:ascii="Arial" w:cs="Arial" w:eastAsia="Arial" w:hAnsi="Arial"/>
          <w:sz w:val="18"/>
          <w:szCs w:val="18"/>
          <w:color w:val="auto"/>
        </w:rPr>
      </w:pPr>
    </w:p>
    <w:p>
      <w:pPr>
        <w:jc w:val="both"/>
        <w:ind w:firstLine="1142"/>
        <w:spacing w:after="0" w:line="219" w:lineRule="exact"/>
        <w:tabs>
          <w:tab w:leader="none" w:pos="1439" w:val="left"/>
        </w:tabs>
        <w:numPr>
          <w:ilvl w:val="1"/>
          <w:numId w:val="170"/>
        </w:numPr>
        <w:rPr>
          <w:rFonts w:ascii="Arial" w:cs="Arial" w:eastAsia="Arial" w:hAnsi="Arial"/>
          <w:sz w:val="16"/>
          <w:szCs w:val="16"/>
          <w:color w:val="auto"/>
        </w:rPr>
      </w:pPr>
      <w:r>
        <w:rPr>
          <w:rFonts w:ascii="Arial" w:cs="Arial" w:eastAsia="Arial" w:hAnsi="Arial"/>
          <w:sz w:val="16"/>
          <w:szCs w:val="16"/>
          <w:color w:val="auto"/>
        </w:rPr>
        <w:t>amend the terms of any outstanding Award, including the discretionary authority to extend the post</w:t>
      </w:r>
      <w:r>
        <w:rPr>
          <w:rFonts w:ascii="MS PGothic" w:cs="MS PGothic" w:eastAsia="MS PGothic" w:hAnsi="MS PGothic"/>
          <w:sz w:val="16"/>
          <w:szCs w:val="16"/>
          <w:color w:val="auto"/>
        </w:rPr>
        <w:t>‑</w:t>
      </w:r>
      <w:r>
        <w:rPr>
          <w:rFonts w:ascii="Arial" w:cs="Arial" w:eastAsia="Arial" w:hAnsi="Arial"/>
          <w:sz w:val="16"/>
          <w:szCs w:val="16"/>
          <w:color w:val="auto"/>
        </w:rPr>
        <w:t>termination exercise period of Awards and accelerate the satisfaction of any vesting criteria or waiver of forfeiture or repurchase restrictions, but any amendment that would adversely affect the Participant’s rights under an outstanding Award will not be made without the Participant’s written consent. Notwithstanding the foregoing, an amendment will not be treated as adversely affecting the rights of the Participant if the amendment causes an Incentive Stock Option to become a Nonstatutory Stock Option or if the amendment is made to the minimum extent necessary to avoid the adverse tax consequences of Section 409A of the Code;</w:t>
      </w:r>
    </w:p>
    <w:p>
      <w:pPr>
        <w:spacing w:after="0" w:line="231" w:lineRule="exact"/>
        <w:rPr>
          <w:rFonts w:ascii="Arial" w:cs="Arial" w:eastAsia="Arial" w:hAnsi="Arial"/>
          <w:sz w:val="16"/>
          <w:szCs w:val="16"/>
          <w:color w:val="auto"/>
        </w:rPr>
      </w:pPr>
    </w:p>
    <w:p>
      <w:pPr>
        <w:jc w:val="both"/>
        <w:ind w:firstLine="1142"/>
        <w:spacing w:after="0" w:line="257" w:lineRule="auto"/>
        <w:tabs>
          <w:tab w:leader="none" w:pos="1489" w:val="left"/>
        </w:tabs>
        <w:numPr>
          <w:ilvl w:val="1"/>
          <w:numId w:val="170"/>
        </w:numPr>
        <w:rPr>
          <w:rFonts w:ascii="Arial" w:cs="Arial" w:eastAsia="Arial" w:hAnsi="Arial"/>
          <w:sz w:val="18"/>
          <w:szCs w:val="18"/>
          <w:color w:val="auto"/>
        </w:rPr>
      </w:pPr>
      <w:r>
        <w:rPr>
          <w:rFonts w:ascii="Arial" w:cs="Arial" w:eastAsia="Arial" w:hAnsi="Arial"/>
          <w:sz w:val="18"/>
          <w:szCs w:val="18"/>
          <w:color w:val="auto"/>
        </w:rPr>
        <w:t>allow Participants to satisfy withholding tax obligations by electing to have the Company withhold from the Shares or cash to be issued upon exercise or vesting of an Award up to the number of Shares or cash having a Fair Market Value equal to the amount required to be withheld up to the maximum individual income tax rate in the applicable jurisdiction. The Fair Market Value of any Shares to be withheld is to be determined on the date that the amount of tax to be withheld is to be determined, and all elections by a Participant to have Shares or cash withheld for this purpose are to be made in such form and under such conditions as the Administrator may deem necessary or advisable;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1" w:name="page262"/>
    <w:bookmarkEnd w:id="261"/>
    <w:p>
      <w:pPr>
        <w:ind w:left="1540" w:hanging="398"/>
        <w:spacing w:after="0"/>
        <w:tabs>
          <w:tab w:leader="none" w:pos="154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authorize any person to execute on behalf of the Company any instrument required to effect the grant of an Award previously granted by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Administrator;</w:t>
      </w:r>
    </w:p>
    <w:p>
      <w:pPr>
        <w:spacing w:after="0" w:line="237" w:lineRule="exact"/>
        <w:rPr>
          <w:rFonts w:ascii="Arial" w:cs="Arial" w:eastAsia="Arial" w:hAnsi="Arial"/>
          <w:sz w:val="16"/>
          <w:szCs w:val="16"/>
          <w:color w:val="auto"/>
        </w:rPr>
      </w:pPr>
    </w:p>
    <w:p>
      <w:pPr>
        <w:ind w:left="1540" w:hanging="398"/>
        <w:spacing w:after="0"/>
        <w:tabs>
          <w:tab w:leader="none" w:pos="154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allow a Participant to defer the receipt of the payment of cash or the delivery of Shares that would otherwise be due to the Participant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under an Award;</w:t>
      </w:r>
    </w:p>
    <w:p>
      <w:pPr>
        <w:spacing w:after="0" w:line="237" w:lineRule="exact"/>
        <w:rPr>
          <w:rFonts w:ascii="Arial" w:cs="Arial" w:eastAsia="Arial" w:hAnsi="Arial"/>
          <w:sz w:val="16"/>
          <w:szCs w:val="16"/>
          <w:color w:val="auto"/>
        </w:rPr>
      </w:pPr>
    </w:p>
    <w:p>
      <w:pPr>
        <w:ind w:left="1480" w:hanging="338"/>
        <w:spacing w:after="0"/>
        <w:tabs>
          <w:tab w:leader="none" w:pos="14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determine whether Awards are to be settled in Shares, cash or in a combination of Shares and cash;</w:t>
      </w:r>
    </w:p>
    <w:p>
      <w:pPr>
        <w:spacing w:after="0" w:line="252" w:lineRule="exact"/>
        <w:rPr>
          <w:rFonts w:ascii="Arial" w:cs="Arial" w:eastAsia="Arial" w:hAnsi="Arial"/>
          <w:sz w:val="18"/>
          <w:szCs w:val="18"/>
          <w:color w:val="auto"/>
        </w:rPr>
      </w:pPr>
    </w:p>
    <w:p>
      <w:pPr>
        <w:ind w:left="1540" w:hanging="398"/>
        <w:spacing w:after="0"/>
        <w:tabs>
          <w:tab w:leader="none" w:pos="15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determine whether Awards are to be adjusted for Dividend Equivalents;</w:t>
      </w:r>
    </w:p>
    <w:p>
      <w:pPr>
        <w:spacing w:after="0" w:line="252" w:lineRule="exact"/>
        <w:rPr>
          <w:rFonts w:ascii="Arial" w:cs="Arial" w:eastAsia="Arial" w:hAnsi="Arial"/>
          <w:sz w:val="18"/>
          <w:szCs w:val="18"/>
          <w:color w:val="auto"/>
        </w:rPr>
      </w:pPr>
    </w:p>
    <w:p>
      <w:pPr>
        <w:ind w:left="1580" w:hanging="438"/>
        <w:spacing w:after="0"/>
        <w:tabs>
          <w:tab w:leader="none" w:pos="15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create Other Stock-Based Awards for issuance under this Plan;</w:t>
      </w:r>
    </w:p>
    <w:p>
      <w:pPr>
        <w:spacing w:after="0" w:line="252" w:lineRule="exact"/>
        <w:rPr>
          <w:rFonts w:ascii="Arial" w:cs="Arial" w:eastAsia="Arial" w:hAnsi="Arial"/>
          <w:sz w:val="18"/>
          <w:szCs w:val="18"/>
          <w:color w:val="auto"/>
        </w:rPr>
      </w:pPr>
    </w:p>
    <w:p>
      <w:pPr>
        <w:ind w:right="20" w:firstLine="1142"/>
        <w:spacing w:after="0" w:line="277" w:lineRule="auto"/>
        <w:tabs>
          <w:tab w:leader="none" w:pos="1629" w:val="left"/>
        </w:tabs>
        <w:numPr>
          <w:ilvl w:val="0"/>
          <w:numId w:val="171"/>
        </w:numPr>
        <w:rPr>
          <w:rFonts w:ascii="Arial" w:cs="Arial" w:eastAsia="Arial" w:hAnsi="Arial"/>
          <w:sz w:val="18"/>
          <w:szCs w:val="18"/>
          <w:color w:val="auto"/>
        </w:rPr>
      </w:pPr>
      <w:r>
        <w:rPr>
          <w:rFonts w:ascii="Arial" w:cs="Arial" w:eastAsia="Arial" w:hAnsi="Arial"/>
          <w:sz w:val="18"/>
          <w:szCs w:val="18"/>
          <w:color w:val="auto"/>
        </w:rPr>
        <w:t>establish a program whereby Service Providers designated by the Administrator can reduce compensation otherwise payable in cash in exchange for Awards under this Plan;</w:t>
      </w:r>
    </w:p>
    <w:p>
      <w:pPr>
        <w:spacing w:after="0" w:line="197" w:lineRule="exact"/>
        <w:rPr>
          <w:rFonts w:ascii="Arial" w:cs="Arial" w:eastAsia="Arial" w:hAnsi="Arial"/>
          <w:sz w:val="18"/>
          <w:szCs w:val="18"/>
          <w:color w:val="auto"/>
        </w:rPr>
      </w:pPr>
    </w:p>
    <w:p>
      <w:pPr>
        <w:jc w:val="both"/>
        <w:ind w:firstLine="1142"/>
        <w:spacing w:after="0" w:line="286" w:lineRule="auto"/>
        <w:tabs>
          <w:tab w:leader="none" w:pos="1556" w:val="left"/>
        </w:tabs>
        <w:numPr>
          <w:ilvl w:val="0"/>
          <w:numId w:val="171"/>
        </w:numPr>
        <w:rPr>
          <w:rFonts w:ascii="Arial" w:cs="Arial" w:eastAsia="Arial" w:hAnsi="Arial"/>
          <w:sz w:val="17"/>
          <w:szCs w:val="17"/>
          <w:color w:val="auto"/>
        </w:rPr>
      </w:pPr>
      <w:r>
        <w:rPr>
          <w:rFonts w:ascii="Arial" w:cs="Arial" w:eastAsia="Arial" w:hAnsi="Arial"/>
          <w:sz w:val="17"/>
          <w:szCs w:val="17"/>
          <w:color w:val="auto"/>
        </w:rPr>
        <w:t>impose such restrictions, conditions or limitations as it determines appropriate as to the timing and manner of any resales by a Participant or other subsequent transfers by the Participant of any Shares issued as a result of or under an Award, including without limitation, (A) restrictions under an insider trading policy, and (B) restrictions as to the use of a specified brokerage firm for such resales or other transfers;</w:t>
      </w:r>
    </w:p>
    <w:p>
      <w:pPr>
        <w:spacing w:after="0" w:line="192" w:lineRule="exact"/>
        <w:rPr>
          <w:rFonts w:ascii="Arial" w:cs="Arial" w:eastAsia="Arial" w:hAnsi="Arial"/>
          <w:sz w:val="17"/>
          <w:szCs w:val="17"/>
          <w:color w:val="auto"/>
        </w:rPr>
      </w:pPr>
    </w:p>
    <w:p>
      <w:pPr>
        <w:jc w:val="both"/>
        <w:ind w:right="20" w:firstLine="1142"/>
        <w:spacing w:after="0" w:line="264" w:lineRule="auto"/>
        <w:tabs>
          <w:tab w:leader="none" w:pos="1479" w:val="left"/>
        </w:tabs>
        <w:numPr>
          <w:ilvl w:val="0"/>
          <w:numId w:val="171"/>
        </w:numPr>
        <w:rPr>
          <w:rFonts w:ascii="Arial" w:cs="Arial" w:eastAsia="Arial" w:hAnsi="Arial"/>
          <w:sz w:val="18"/>
          <w:szCs w:val="18"/>
          <w:color w:val="auto"/>
        </w:rPr>
      </w:pPr>
      <w:r>
        <w:rPr>
          <w:rFonts w:ascii="Arial" w:cs="Arial" w:eastAsia="Arial" w:hAnsi="Arial"/>
          <w:sz w:val="18"/>
          <w:szCs w:val="18"/>
          <w:color w:val="auto"/>
        </w:rPr>
        <w:t>establish one or more programs under this Plan to permit selected Participants the opportunity to elect to defer receipt of consideration upon exercise of an Award, satisfaction of Performance Goals, or other event that absent the election, would entitle the Participant to payment or receipt of Shares or other consideration under an Award;</w:t>
      </w:r>
    </w:p>
    <w:p>
      <w:pPr>
        <w:spacing w:after="0" w:line="208" w:lineRule="exact"/>
        <w:rPr>
          <w:rFonts w:ascii="Arial" w:cs="Arial" w:eastAsia="Arial" w:hAnsi="Arial"/>
          <w:sz w:val="18"/>
          <w:szCs w:val="18"/>
          <w:color w:val="auto"/>
        </w:rPr>
      </w:pPr>
    </w:p>
    <w:p>
      <w:pPr>
        <w:ind w:firstLine="1142"/>
        <w:spacing w:after="0" w:line="277" w:lineRule="auto"/>
        <w:tabs>
          <w:tab w:leader="none" w:pos="1529"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interpret, administer, reconcile any inconsistency in, correct any defect in and/or supply any omission in this Plan and any instrument or agreement relating to an Award; and</w:t>
      </w:r>
    </w:p>
    <w:p>
      <w:pPr>
        <w:spacing w:after="0" w:line="197" w:lineRule="exact"/>
        <w:rPr>
          <w:rFonts w:ascii="Arial" w:cs="Arial" w:eastAsia="Arial" w:hAnsi="Arial"/>
          <w:sz w:val="18"/>
          <w:szCs w:val="18"/>
          <w:color w:val="auto"/>
        </w:rPr>
      </w:pPr>
    </w:p>
    <w:p>
      <w:pPr>
        <w:ind w:left="1580" w:hanging="438"/>
        <w:spacing w:after="0"/>
        <w:tabs>
          <w:tab w:leader="none" w:pos="15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make all other determinations that the Administrator deems necessary or advisable for administering this Plan.</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express grant in this Plan of any specific power to the Administrator will not be construed as limiting any power or authority of the Administrator.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However, the Administrator may not exercise any right or power reserved to the Board.</w:t>
      </w:r>
    </w:p>
    <w:p>
      <w:pPr>
        <w:spacing w:after="0" w:line="238" w:lineRule="exact"/>
        <w:rPr>
          <w:sz w:val="20"/>
          <w:szCs w:val="20"/>
          <w:color w:val="auto"/>
        </w:rPr>
      </w:pPr>
    </w:p>
    <w:p>
      <w:pPr>
        <w:ind w:firstLine="818"/>
        <w:spacing w:after="0" w:line="277" w:lineRule="auto"/>
        <w:tabs>
          <w:tab w:leader="none" w:pos="1068"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Effect of Administrator’s Decision</w:t>
      </w:r>
      <w:r>
        <w:rPr>
          <w:rFonts w:ascii="Arial" w:cs="Arial" w:eastAsia="Arial" w:hAnsi="Arial"/>
          <w:sz w:val="18"/>
          <w:szCs w:val="18"/>
          <w:color w:val="auto"/>
        </w:rPr>
        <w:t>. The Administrator’s decisions, determinations, actions and interpretations will be final, conclusive and binding on all persons having an interest in this Plan.</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2" w:name="page263"/>
    <w:bookmarkEnd w:id="262"/>
    <w:p>
      <w:pPr>
        <w:jc w:val="both"/>
        <w:ind w:firstLine="818"/>
        <w:spacing w:after="0" w:line="269" w:lineRule="auto"/>
        <w:tabs>
          <w:tab w:leader="none" w:pos="1065" w:val="left"/>
        </w:tabs>
        <w:numPr>
          <w:ilvl w:val="1"/>
          <w:numId w:val="173"/>
        </w:numPr>
        <w:rPr>
          <w:rFonts w:ascii="Arial" w:cs="Arial" w:eastAsia="Arial" w:hAnsi="Arial"/>
          <w:sz w:val="17"/>
          <w:szCs w:val="17"/>
          <w:color w:val="auto"/>
        </w:rPr>
      </w:pPr>
      <w:r>
        <w:rPr>
          <w:rFonts w:ascii="Arial" w:cs="Arial" w:eastAsia="Arial" w:hAnsi="Arial"/>
          <w:sz w:val="17"/>
          <w:szCs w:val="17"/>
          <w:u w:val="single" w:color="auto"/>
          <w:color w:val="auto"/>
        </w:rPr>
        <w:t>Indemnification</w:t>
      </w:r>
      <w:r>
        <w:rPr>
          <w:rFonts w:ascii="Arial" w:cs="Arial" w:eastAsia="Arial" w:hAnsi="Arial"/>
          <w:sz w:val="17"/>
          <w:szCs w:val="17"/>
          <w:color w:val="auto"/>
        </w:rPr>
        <w:t>. The Company must defend and indemnify members of the Board, the Committee, the Administrator, officers and Employees of the Company or of a Parent or Subsidiary to whom authority to act for the Board, the Committee, the Administrator or the Company is delegated (“</w:t>
      </w:r>
      <w:r>
        <w:rPr>
          <w:rFonts w:ascii="Arial" w:cs="Arial" w:eastAsia="Arial" w:hAnsi="Arial"/>
          <w:sz w:val="17"/>
          <w:szCs w:val="17"/>
          <w:b w:val="1"/>
          <w:bCs w:val="1"/>
          <w:i w:val="1"/>
          <w:iCs w:val="1"/>
          <w:color w:val="auto"/>
        </w:rPr>
        <w:t>Indemnitees</w:t>
      </w:r>
      <w:r>
        <w:rPr>
          <w:rFonts w:ascii="Arial" w:cs="Arial" w:eastAsia="Arial" w:hAnsi="Arial"/>
          <w:sz w:val="17"/>
          <w:szCs w:val="17"/>
          <w:color w:val="auto"/>
        </w:rPr>
        <w:t>”) to the maximum extent permitted by law against (i) all reasonable expenses, including reasonable attorneys’ fees incurred in connection with the defense of any claim, investigation, action, suit or proceeding, or in connection with any appeal therein (collectively, a “</w:t>
      </w:r>
      <w:r>
        <w:rPr>
          <w:rFonts w:ascii="Arial" w:cs="Arial" w:eastAsia="Arial" w:hAnsi="Arial"/>
          <w:sz w:val="17"/>
          <w:szCs w:val="17"/>
          <w:b w:val="1"/>
          <w:bCs w:val="1"/>
          <w:i w:val="1"/>
          <w:iCs w:val="1"/>
          <w:color w:val="auto"/>
        </w:rPr>
        <w:t>Claim</w:t>
      </w:r>
      <w:r>
        <w:rPr>
          <w:rFonts w:ascii="Arial" w:cs="Arial" w:eastAsia="Arial" w:hAnsi="Arial"/>
          <w:sz w:val="17"/>
          <w:szCs w:val="17"/>
          <w:color w:val="auto"/>
        </w:rPr>
        <w:t>”), to which any of them is a party by reason of any action taken or failure to act in connection with this Plan, or in connection with any Award granted under this Plan; and (ii) all amounts required to be paid by them in settlement of a Claim (provided the settlement is approved by the Company) or required to be paid by them in satisfaction of a judgment in any Claim. However, no person will be entitled to indemnification to the extent it is determined in such Claim that such person did not in good faith and in a manner reasonably believed to be in the best interests of the Company (or in the case of a criminal proceeding, had no reason to believe that the conduct complained of was unlawful). In addition, to be entitled to indemnification, the Indemnitee must, within 30 days after written notice of the Claim, offer the Company, in writing, the opportunity, at the Company’s expense, to defend the Claim. This right to indemnification is in addition to all other rights of indemnification available to the Indemnitee.</w:t>
      </w:r>
    </w:p>
    <w:p>
      <w:pPr>
        <w:spacing w:after="0" w:line="209" w:lineRule="exact"/>
        <w:rPr>
          <w:rFonts w:ascii="Arial" w:cs="Arial" w:eastAsia="Arial" w:hAnsi="Arial"/>
          <w:sz w:val="17"/>
          <w:szCs w:val="17"/>
          <w:color w:val="auto"/>
        </w:rPr>
      </w:pPr>
    </w:p>
    <w:p>
      <w:pPr>
        <w:ind w:right="20" w:firstLine="656"/>
        <w:spacing w:after="0" w:line="277" w:lineRule="auto"/>
        <w:tabs>
          <w:tab w:leader="none" w:pos="842"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With the exception of Incentive Stock Options, Awards may be granted to Employees, Directors, and Consultants. Incentive Stock Options may be granted only to Employees.</w:t>
      </w:r>
    </w:p>
    <w:p>
      <w:pPr>
        <w:spacing w:after="0" w:line="197" w:lineRule="exact"/>
        <w:rPr>
          <w:rFonts w:ascii="Arial" w:cs="Arial" w:eastAsia="Arial" w:hAnsi="Arial"/>
          <w:sz w:val="18"/>
          <w:szCs w:val="18"/>
          <w:color w:val="auto"/>
        </w:rPr>
      </w:pPr>
    </w:p>
    <w:p>
      <w:pPr>
        <w:ind w:left="840" w:hanging="184"/>
        <w:spacing w:after="0"/>
        <w:tabs>
          <w:tab w:leader="none" w:pos="840"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Limitations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firstLine="818"/>
        <w:spacing w:after="0" w:line="255" w:lineRule="auto"/>
        <w:tabs>
          <w:tab w:leader="none" w:pos="1068" w:val="left"/>
        </w:tabs>
        <w:numPr>
          <w:ilvl w:val="1"/>
          <w:numId w:val="174"/>
        </w:numPr>
        <w:rPr>
          <w:rFonts w:ascii="Arial" w:cs="Arial" w:eastAsia="Arial" w:hAnsi="Arial"/>
          <w:sz w:val="18"/>
          <w:szCs w:val="18"/>
          <w:color w:val="auto"/>
        </w:rPr>
      </w:pPr>
      <w:r>
        <w:rPr>
          <w:rFonts w:ascii="Arial" w:cs="Arial" w:eastAsia="Arial" w:hAnsi="Arial"/>
          <w:sz w:val="18"/>
          <w:szCs w:val="18"/>
          <w:u w:val="single" w:color="auto"/>
          <w:color w:val="auto"/>
        </w:rPr>
        <w:t>$100,000 Limitation for Incentive Stock Options</w:t>
      </w:r>
      <w:r>
        <w:rPr>
          <w:rFonts w:ascii="Arial" w:cs="Arial" w:eastAsia="Arial" w:hAnsi="Arial"/>
          <w:sz w:val="18"/>
          <w:szCs w:val="18"/>
          <w:color w:val="auto"/>
        </w:rPr>
        <w:t>. Each Option must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a Participant during any calendar year (under all plans of the Company and any Parent or Subsidiary) exceeds $100,000, such Options will be treated as Nonstatutory Stock Options. For purposes of this Section 6(a), Incentive Stock Options will be taken into account in the order in which they were granted. The Fair Market Value of the Shares will be determined as of the time the Options with respect to such Shares are granted.</w:t>
      </w:r>
    </w:p>
    <w:p>
      <w:pPr>
        <w:spacing w:after="0" w:line="220" w:lineRule="exact"/>
        <w:rPr>
          <w:rFonts w:ascii="Arial" w:cs="Arial" w:eastAsia="Arial" w:hAnsi="Arial"/>
          <w:sz w:val="18"/>
          <w:szCs w:val="18"/>
          <w:color w:val="auto"/>
        </w:rPr>
      </w:pPr>
    </w:p>
    <w:p>
      <w:pPr>
        <w:ind w:left="840" w:hanging="184"/>
        <w:spacing w:after="0"/>
        <w:tabs>
          <w:tab w:leader="none" w:pos="840"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Options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firstLine="818"/>
        <w:spacing w:after="0" w:line="277" w:lineRule="auto"/>
        <w:tabs>
          <w:tab w:leader="none" w:pos="1055" w:val="left"/>
        </w:tabs>
        <w:numPr>
          <w:ilvl w:val="1"/>
          <w:numId w:val="174"/>
        </w:numPr>
        <w:rPr>
          <w:rFonts w:ascii="Arial" w:cs="Arial" w:eastAsia="Arial" w:hAnsi="Arial"/>
          <w:sz w:val="18"/>
          <w:szCs w:val="18"/>
          <w:color w:val="auto"/>
        </w:rPr>
      </w:pPr>
      <w:r>
        <w:rPr>
          <w:rFonts w:ascii="Arial" w:cs="Arial" w:eastAsia="Arial" w:hAnsi="Arial"/>
          <w:sz w:val="18"/>
          <w:szCs w:val="18"/>
          <w:u w:val="single" w:color="auto"/>
          <w:color w:val="auto"/>
        </w:rPr>
        <w:t>Grant of Options</w:t>
      </w:r>
      <w:r>
        <w:rPr>
          <w:rFonts w:ascii="Arial" w:cs="Arial" w:eastAsia="Arial" w:hAnsi="Arial"/>
          <w:sz w:val="18"/>
          <w:szCs w:val="18"/>
          <w:color w:val="auto"/>
        </w:rPr>
        <w:t>. Subject to the terms and provisions of this Plan, the Administrator, at any time and from time to time, may grant Options to Service Providers in such amounts as the Administrator, in its sole discretion, may determine.</w:t>
      </w:r>
    </w:p>
    <w:p>
      <w:pPr>
        <w:spacing w:after="0" w:line="197" w:lineRule="exact"/>
        <w:rPr>
          <w:rFonts w:ascii="Arial" w:cs="Arial" w:eastAsia="Arial" w:hAnsi="Arial"/>
          <w:sz w:val="18"/>
          <w:szCs w:val="18"/>
          <w:color w:val="auto"/>
        </w:rPr>
      </w:pPr>
    </w:p>
    <w:p>
      <w:pPr>
        <w:jc w:val="both"/>
        <w:ind w:firstLine="818"/>
        <w:spacing w:after="0" w:line="264" w:lineRule="auto"/>
        <w:tabs>
          <w:tab w:leader="none" w:pos="1079" w:val="left"/>
        </w:tabs>
        <w:numPr>
          <w:ilvl w:val="1"/>
          <w:numId w:val="174"/>
        </w:numPr>
        <w:rPr>
          <w:rFonts w:ascii="Arial" w:cs="Arial" w:eastAsia="Arial" w:hAnsi="Arial"/>
          <w:sz w:val="18"/>
          <w:szCs w:val="18"/>
          <w:color w:val="auto"/>
        </w:rPr>
      </w:pPr>
      <w:r>
        <w:rPr>
          <w:rFonts w:ascii="Arial" w:cs="Arial" w:eastAsia="Arial" w:hAnsi="Arial"/>
          <w:sz w:val="18"/>
          <w:szCs w:val="18"/>
          <w:u w:val="single" w:color="auto"/>
          <w:color w:val="auto"/>
        </w:rPr>
        <w:t>Option Agreement</w:t>
      </w:r>
      <w:r>
        <w:rPr>
          <w:rFonts w:ascii="Arial" w:cs="Arial" w:eastAsia="Arial" w:hAnsi="Arial"/>
          <w:sz w:val="18"/>
          <w:szCs w:val="18"/>
          <w:color w:val="auto"/>
        </w:rPr>
        <w:t>. Each Award of an Option must be evidenced by an Award Agreement that specifies the exercise price, the term of the Option, the number of Shares subject to the Option, the exercise restrictions (if any) applicable to the Option, and such other terms and conditions as the Administrator, in its sole discretion, may determine.</w:t>
      </w:r>
    </w:p>
    <w:p>
      <w:pPr>
        <w:spacing w:after="0" w:line="208" w:lineRule="exact"/>
        <w:rPr>
          <w:rFonts w:ascii="Arial" w:cs="Arial" w:eastAsia="Arial" w:hAnsi="Arial"/>
          <w:sz w:val="18"/>
          <w:szCs w:val="18"/>
          <w:color w:val="auto"/>
        </w:rPr>
      </w:pPr>
    </w:p>
    <w:p>
      <w:pPr>
        <w:jc w:val="both"/>
        <w:ind w:firstLine="818"/>
        <w:spacing w:after="0" w:line="257" w:lineRule="auto"/>
        <w:tabs>
          <w:tab w:leader="none" w:pos="1055" w:val="left"/>
        </w:tabs>
        <w:numPr>
          <w:ilvl w:val="1"/>
          <w:numId w:val="174"/>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The term of each Option must be stated in the Award Agreement. In the case of an Incentive Stock Option, the term must be 10 years from the date of grant or such shorter term as may be provided in the Award Agreement. Moreover, in the case of an Incentive Stock Option granted to a Participant who, at the time the Incentive Stock Option is granted, owns stock representing more than 10% of the total combined voting power of all classes of stock of the Company or any Parent or Subsidiary, the term of the Incentive Stock Option must be five years from the date of grant or such shorter term as may be provided in the Award Agreement.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3" w:name="page264"/>
    <w:bookmarkEnd w:id="263"/>
    <w:p>
      <w:pPr>
        <w:ind w:left="1080" w:hanging="262"/>
        <w:spacing w:after="0"/>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Option Exercise Price and Consideration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firstLine="1142"/>
        <w:spacing w:after="0" w:line="277" w:lineRule="auto"/>
        <w:tabs>
          <w:tab w:leader="none" w:pos="1349" w:val="left"/>
        </w:tabs>
        <w:numPr>
          <w:ilvl w:val="1"/>
          <w:numId w:val="175"/>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per Share exercise price for the Shares to be issued pursuant to the exercise of an Option is to be determined by the Administrator, subject to the following:</w:t>
      </w:r>
    </w:p>
    <w:p>
      <w:pPr>
        <w:spacing w:after="0" w:line="197" w:lineRule="exact"/>
        <w:rPr>
          <w:rFonts w:ascii="Arial" w:cs="Arial" w:eastAsia="Arial" w:hAnsi="Arial"/>
          <w:sz w:val="18"/>
          <w:szCs w:val="18"/>
          <w:color w:val="auto"/>
        </w:rPr>
      </w:pPr>
    </w:p>
    <w:p>
      <w:pPr>
        <w:ind w:left="1720" w:hanging="253"/>
        <w:spacing w:after="0"/>
        <w:tabs>
          <w:tab w:leader="none" w:pos="1720" w:val="left"/>
        </w:tabs>
        <w:numPr>
          <w:ilvl w:val="2"/>
          <w:numId w:val="175"/>
        </w:numPr>
        <w:rPr>
          <w:rFonts w:ascii="Arial" w:cs="Arial" w:eastAsia="Arial" w:hAnsi="Arial"/>
          <w:sz w:val="18"/>
          <w:szCs w:val="18"/>
          <w:color w:val="auto"/>
        </w:rPr>
      </w:pPr>
      <w:r>
        <w:rPr>
          <w:rFonts w:ascii="Arial" w:cs="Arial" w:eastAsia="Arial" w:hAnsi="Arial"/>
          <w:sz w:val="18"/>
          <w:szCs w:val="18"/>
          <w:color w:val="auto"/>
        </w:rPr>
        <w:t>In the case of an Incentive Stock Option</w:t>
      </w:r>
    </w:p>
    <w:p>
      <w:pPr>
        <w:spacing w:after="0" w:line="252" w:lineRule="exact"/>
        <w:rPr>
          <w:rFonts w:ascii="Arial" w:cs="Arial" w:eastAsia="Arial" w:hAnsi="Arial"/>
          <w:sz w:val="18"/>
          <w:szCs w:val="18"/>
          <w:color w:val="auto"/>
        </w:rPr>
      </w:pPr>
    </w:p>
    <w:p>
      <w:pPr>
        <w:jc w:val="both"/>
        <w:ind w:firstLine="1791"/>
        <w:spacing w:after="0" w:line="264" w:lineRule="auto"/>
        <w:tabs>
          <w:tab w:leader="none" w:pos="2078" w:val="left"/>
        </w:tabs>
        <w:numPr>
          <w:ilvl w:val="3"/>
          <w:numId w:val="175"/>
        </w:numPr>
        <w:rPr>
          <w:rFonts w:ascii="Arial" w:cs="Arial" w:eastAsia="Arial" w:hAnsi="Arial"/>
          <w:sz w:val="18"/>
          <w:szCs w:val="18"/>
          <w:color w:val="auto"/>
        </w:rPr>
      </w:pPr>
      <w:r>
        <w:rPr>
          <w:rFonts w:ascii="Arial" w:cs="Arial" w:eastAsia="Arial" w:hAnsi="Arial"/>
          <w:sz w:val="18"/>
          <w:szCs w:val="18"/>
          <w:color w:val="auto"/>
        </w:rPr>
        <w:t>granted to an Employee who, at the time the Incentive Stock Option is granted, owns stock representing more than 10% of the total combined voting power of all classes of stock of the Company or any Parent or Subsidiary, the per Share exercise price must be no less than 110% of the Fair Market Value per Share on the date of grant.</w:t>
      </w:r>
    </w:p>
    <w:p>
      <w:pPr>
        <w:spacing w:after="0" w:line="208" w:lineRule="exact"/>
        <w:rPr>
          <w:rFonts w:ascii="Arial" w:cs="Arial" w:eastAsia="Arial" w:hAnsi="Arial"/>
          <w:sz w:val="18"/>
          <w:szCs w:val="18"/>
          <w:color w:val="auto"/>
        </w:rPr>
      </w:pPr>
    </w:p>
    <w:p>
      <w:pPr>
        <w:ind w:firstLine="1791"/>
        <w:spacing w:after="0" w:line="277" w:lineRule="auto"/>
        <w:tabs>
          <w:tab w:leader="none" w:pos="2081" w:val="left"/>
        </w:tabs>
        <w:numPr>
          <w:ilvl w:val="3"/>
          <w:numId w:val="175"/>
        </w:numPr>
        <w:rPr>
          <w:rFonts w:ascii="Arial" w:cs="Arial" w:eastAsia="Arial" w:hAnsi="Arial"/>
          <w:sz w:val="18"/>
          <w:szCs w:val="18"/>
          <w:color w:val="auto"/>
        </w:rPr>
      </w:pPr>
      <w:r>
        <w:rPr>
          <w:rFonts w:ascii="Arial" w:cs="Arial" w:eastAsia="Arial" w:hAnsi="Arial"/>
          <w:sz w:val="18"/>
          <w:szCs w:val="18"/>
          <w:color w:val="auto"/>
        </w:rPr>
        <w:t>granted to any Employee other than an Employee described in paragraph (A) immediately above, the per Share exercise price must be not less than 100% of the Fair Market Value per Share on the date of grant.</w:t>
      </w:r>
    </w:p>
    <w:p>
      <w:pPr>
        <w:spacing w:after="0" w:line="197" w:lineRule="exact"/>
        <w:rPr>
          <w:rFonts w:ascii="Arial" w:cs="Arial" w:eastAsia="Arial" w:hAnsi="Arial"/>
          <w:sz w:val="18"/>
          <w:szCs w:val="18"/>
          <w:color w:val="auto"/>
        </w:rPr>
      </w:pPr>
    </w:p>
    <w:p>
      <w:pPr>
        <w:ind w:right="20" w:firstLine="1467"/>
        <w:spacing w:after="0" w:line="342" w:lineRule="auto"/>
        <w:tabs>
          <w:tab w:leader="none" w:pos="1713" w:val="left"/>
        </w:tabs>
        <w:numPr>
          <w:ilvl w:val="2"/>
          <w:numId w:val="175"/>
        </w:numPr>
        <w:rPr>
          <w:rFonts w:ascii="Arial" w:cs="Arial" w:eastAsia="Arial" w:hAnsi="Arial"/>
          <w:sz w:val="16"/>
          <w:szCs w:val="16"/>
          <w:color w:val="auto"/>
        </w:rPr>
      </w:pPr>
      <w:r>
        <w:rPr>
          <w:rFonts w:ascii="Arial" w:cs="Arial" w:eastAsia="Arial" w:hAnsi="Arial"/>
          <w:sz w:val="16"/>
          <w:szCs w:val="16"/>
          <w:color w:val="auto"/>
        </w:rPr>
        <w:t>In the case of a Nonstatutory Stock Option, the per Share exercise price will be determined by the Administrator, but must not be less than the Fair Market Value per Share on the date of grant unless the terms of such Nonstatutory Stock Option comply with Section 409A of the Code.</w:t>
      </w:r>
    </w:p>
    <w:p>
      <w:pPr>
        <w:spacing w:after="0" w:line="150" w:lineRule="exact"/>
        <w:rPr>
          <w:rFonts w:ascii="Arial" w:cs="Arial" w:eastAsia="Arial" w:hAnsi="Arial"/>
          <w:sz w:val="16"/>
          <w:szCs w:val="16"/>
          <w:color w:val="auto"/>
        </w:rPr>
      </w:pPr>
    </w:p>
    <w:p>
      <w:pPr>
        <w:ind w:firstLine="1467"/>
        <w:spacing w:after="0" w:line="308" w:lineRule="auto"/>
        <w:tabs>
          <w:tab w:leader="none" w:pos="1713" w:val="left"/>
        </w:tabs>
        <w:numPr>
          <w:ilvl w:val="2"/>
          <w:numId w:val="175"/>
        </w:numPr>
        <w:rPr>
          <w:rFonts w:ascii="Arial" w:cs="Arial" w:eastAsia="Arial" w:hAnsi="Arial"/>
          <w:sz w:val="17"/>
          <w:szCs w:val="17"/>
          <w:color w:val="auto"/>
        </w:rPr>
      </w:pPr>
      <w:r>
        <w:rPr>
          <w:rFonts w:ascii="Arial" w:cs="Arial" w:eastAsia="Arial" w:hAnsi="Arial"/>
          <w:sz w:val="17"/>
          <w:szCs w:val="17"/>
          <w:color w:val="auto"/>
        </w:rPr>
        <w:t>Notwithstanding the foregoing, Options may be granted with a per Share exercise price of less than 100% of the Fair Market Value per Share on the date of grant pursuant to a transaction described in, and in a manner consistent with, Section 424(a) of the Code.</w:t>
      </w:r>
    </w:p>
    <w:p>
      <w:pPr>
        <w:spacing w:after="0" w:line="173" w:lineRule="exact"/>
        <w:rPr>
          <w:rFonts w:ascii="Arial" w:cs="Arial" w:eastAsia="Arial" w:hAnsi="Arial"/>
          <w:sz w:val="17"/>
          <w:szCs w:val="17"/>
          <w:color w:val="auto"/>
        </w:rPr>
      </w:pPr>
    </w:p>
    <w:p>
      <w:pPr>
        <w:jc w:val="both"/>
        <w:ind w:firstLine="1142"/>
        <w:spacing w:after="0" w:line="264" w:lineRule="auto"/>
        <w:tabs>
          <w:tab w:leader="none" w:pos="1399" w:val="left"/>
        </w:tabs>
        <w:numPr>
          <w:ilvl w:val="1"/>
          <w:numId w:val="175"/>
        </w:numPr>
        <w:rPr>
          <w:rFonts w:ascii="Arial" w:cs="Arial" w:eastAsia="Arial" w:hAnsi="Arial"/>
          <w:sz w:val="18"/>
          <w:szCs w:val="18"/>
          <w:color w:val="auto"/>
        </w:rPr>
      </w:pPr>
      <w:r>
        <w:rPr>
          <w:rFonts w:ascii="Arial" w:cs="Arial" w:eastAsia="Arial" w:hAnsi="Arial"/>
          <w:sz w:val="18"/>
          <w:szCs w:val="18"/>
          <w:u w:val="single" w:color="auto"/>
          <w:color w:val="auto"/>
        </w:rPr>
        <w:t>Waiting Period and Exercise Dates</w:t>
      </w:r>
      <w:r>
        <w:rPr>
          <w:rFonts w:ascii="Arial" w:cs="Arial" w:eastAsia="Arial" w:hAnsi="Arial"/>
          <w:sz w:val="18"/>
          <w:szCs w:val="18"/>
          <w:color w:val="auto"/>
        </w:rPr>
        <w:t>. At the time an Option is granted, the Administrator will fix the period within which the Option may be exercised and will determine any conditions that must be satisfied before the Option may be exercised. The Administrator may, in its sole discretion, accelerate the satisfaction of such conditions at any time.</w:t>
      </w:r>
    </w:p>
    <w:p>
      <w:pPr>
        <w:spacing w:after="0" w:line="208" w:lineRule="exact"/>
        <w:rPr>
          <w:rFonts w:ascii="Arial" w:cs="Arial" w:eastAsia="Arial" w:hAnsi="Arial"/>
          <w:sz w:val="18"/>
          <w:szCs w:val="18"/>
          <w:color w:val="auto"/>
        </w:rPr>
      </w:pPr>
    </w:p>
    <w:p>
      <w:pPr>
        <w:jc w:val="both"/>
        <w:ind w:firstLine="818"/>
        <w:spacing w:after="0" w:line="264" w:lineRule="auto"/>
        <w:tabs>
          <w:tab w:leader="none" w:pos="1055"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Form of Consideration</w:t>
      </w:r>
      <w:r>
        <w:rPr>
          <w:rFonts w:ascii="Arial" w:cs="Arial" w:eastAsia="Arial" w:hAnsi="Arial"/>
          <w:sz w:val="18"/>
          <w:szCs w:val="18"/>
          <w:color w:val="auto"/>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to the extent permitted by Applicable Laws, may consist entirely of:</w:t>
      </w:r>
    </w:p>
    <w:p>
      <w:pPr>
        <w:spacing w:after="0" w:line="208" w:lineRule="exact"/>
        <w:rPr>
          <w:rFonts w:ascii="Arial" w:cs="Arial" w:eastAsia="Arial" w:hAnsi="Arial"/>
          <w:sz w:val="18"/>
          <w:szCs w:val="18"/>
          <w:color w:val="auto"/>
        </w:rPr>
      </w:pPr>
    </w:p>
    <w:p>
      <w:pPr>
        <w:ind w:left="1360" w:hanging="218"/>
        <w:spacing w:after="0"/>
        <w:tabs>
          <w:tab w:leader="none" w:pos="136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cash;</w:t>
      </w:r>
    </w:p>
    <w:p>
      <w:pPr>
        <w:spacing w:after="0" w:line="252" w:lineRule="exact"/>
        <w:rPr>
          <w:rFonts w:ascii="Arial" w:cs="Arial" w:eastAsia="Arial" w:hAnsi="Arial"/>
          <w:sz w:val="18"/>
          <w:szCs w:val="18"/>
          <w:color w:val="auto"/>
        </w:rPr>
      </w:pPr>
    </w:p>
    <w:p>
      <w:pPr>
        <w:ind w:left="1400" w:hanging="258"/>
        <w:spacing w:after="0"/>
        <w:tabs>
          <w:tab w:leader="none" w:pos="140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check;</w:t>
      </w:r>
    </w:p>
    <w:p>
      <w:pPr>
        <w:spacing w:after="0" w:line="252" w:lineRule="exact"/>
        <w:rPr>
          <w:rFonts w:ascii="Arial" w:cs="Arial" w:eastAsia="Arial" w:hAnsi="Arial"/>
          <w:sz w:val="18"/>
          <w:szCs w:val="18"/>
          <w:color w:val="auto"/>
        </w:rPr>
      </w:pPr>
    </w:p>
    <w:p>
      <w:pPr>
        <w:ind w:firstLine="1142"/>
        <w:spacing w:after="0" w:line="277" w:lineRule="auto"/>
        <w:tabs>
          <w:tab w:leader="none" w:pos="1476" w:val="left"/>
        </w:tabs>
        <w:numPr>
          <w:ilvl w:val="1"/>
          <w:numId w:val="175"/>
        </w:numPr>
        <w:rPr>
          <w:rFonts w:ascii="Arial" w:cs="Arial" w:eastAsia="Arial" w:hAnsi="Arial"/>
          <w:sz w:val="18"/>
          <w:szCs w:val="18"/>
          <w:color w:val="auto"/>
        </w:rPr>
      </w:pPr>
      <w:r>
        <w:rPr>
          <w:rFonts w:ascii="Arial" w:cs="Arial" w:eastAsia="Arial" w:hAnsi="Arial"/>
          <w:sz w:val="18"/>
          <w:szCs w:val="18"/>
          <w:color w:val="auto"/>
        </w:rPr>
        <w:t>in the discretion of the Administrator, other Shares which meet the conditions established by the Administrator to avoid adverse accounting consequences;</w:t>
      </w:r>
    </w:p>
    <w:p>
      <w:pPr>
        <w:spacing w:after="0" w:line="197" w:lineRule="exact"/>
        <w:rPr>
          <w:rFonts w:ascii="Arial" w:cs="Arial" w:eastAsia="Arial" w:hAnsi="Arial"/>
          <w:sz w:val="18"/>
          <w:szCs w:val="18"/>
          <w:color w:val="auto"/>
        </w:rPr>
      </w:pPr>
    </w:p>
    <w:p>
      <w:pPr>
        <w:ind w:firstLine="1142"/>
        <w:spacing w:after="0" w:line="277" w:lineRule="auto"/>
        <w:tabs>
          <w:tab w:leader="none" w:pos="1466" w:val="left"/>
        </w:tabs>
        <w:numPr>
          <w:ilvl w:val="1"/>
          <w:numId w:val="175"/>
        </w:numPr>
        <w:rPr>
          <w:rFonts w:ascii="Arial" w:cs="Arial" w:eastAsia="Arial" w:hAnsi="Arial"/>
          <w:sz w:val="18"/>
          <w:szCs w:val="18"/>
          <w:color w:val="auto"/>
        </w:rPr>
      </w:pPr>
      <w:r>
        <w:rPr>
          <w:rFonts w:ascii="Arial" w:cs="Arial" w:eastAsia="Arial" w:hAnsi="Arial"/>
          <w:sz w:val="18"/>
          <w:szCs w:val="18"/>
          <w:color w:val="auto"/>
        </w:rPr>
        <w:t>in the discretion of the Administrator, consideration received by the Company under a cashless exercise or net exercise program implemented by the Company in connection with this Plan;</w:t>
      </w:r>
    </w:p>
    <w:p>
      <w:pPr>
        <w:spacing w:after="0" w:line="197" w:lineRule="exact"/>
        <w:rPr>
          <w:rFonts w:ascii="Arial" w:cs="Arial" w:eastAsia="Arial" w:hAnsi="Arial"/>
          <w:sz w:val="18"/>
          <w:szCs w:val="18"/>
          <w:color w:val="auto"/>
        </w:rPr>
      </w:pPr>
    </w:p>
    <w:p>
      <w:pPr>
        <w:ind w:firstLine="1142"/>
        <w:spacing w:after="0" w:line="277" w:lineRule="auto"/>
        <w:tabs>
          <w:tab w:leader="none" w:pos="1416" w:val="left"/>
        </w:tabs>
        <w:numPr>
          <w:ilvl w:val="1"/>
          <w:numId w:val="175"/>
        </w:numPr>
        <w:rPr>
          <w:rFonts w:ascii="Arial" w:cs="Arial" w:eastAsia="Arial" w:hAnsi="Arial"/>
          <w:sz w:val="18"/>
          <w:szCs w:val="18"/>
          <w:color w:val="auto"/>
        </w:rPr>
      </w:pPr>
      <w:r>
        <w:rPr>
          <w:rFonts w:ascii="Arial" w:cs="Arial" w:eastAsia="Arial" w:hAnsi="Arial"/>
          <w:sz w:val="18"/>
          <w:szCs w:val="18"/>
          <w:color w:val="auto"/>
        </w:rPr>
        <w:t>in the discretion of the Administrator, a reduction in the amount of any Company liability to the Participant, including any liability attributable to the Participant’s participation in any Company-sponsored deferred compensation program or arrangement;</w:t>
      </w:r>
    </w:p>
    <w:p>
      <w:pPr>
        <w:spacing w:after="0" w:line="197" w:lineRule="exact"/>
        <w:rPr>
          <w:rFonts w:ascii="Arial" w:cs="Arial" w:eastAsia="Arial" w:hAnsi="Arial"/>
          <w:sz w:val="18"/>
          <w:szCs w:val="18"/>
          <w:color w:val="auto"/>
        </w:rPr>
      </w:pPr>
    </w:p>
    <w:p>
      <w:pPr>
        <w:ind w:left="1440" w:hanging="298"/>
        <w:spacing w:after="0"/>
        <w:tabs>
          <w:tab w:leader="none" w:pos="144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in the discretion of the Administrator, any combination of the foregoing methods of payment; or</w:t>
      </w:r>
    </w:p>
    <w:p>
      <w:pPr>
        <w:spacing w:after="0" w:line="252" w:lineRule="exact"/>
        <w:rPr>
          <w:rFonts w:ascii="Arial" w:cs="Arial" w:eastAsia="Arial" w:hAnsi="Arial"/>
          <w:sz w:val="18"/>
          <w:szCs w:val="18"/>
          <w:color w:val="auto"/>
        </w:rPr>
      </w:pPr>
    </w:p>
    <w:p>
      <w:pPr>
        <w:ind w:left="1500" w:hanging="358"/>
        <w:spacing w:after="0"/>
        <w:tabs>
          <w:tab w:leader="none" w:pos="1500" w:val="left"/>
        </w:tabs>
        <w:numPr>
          <w:ilvl w:val="1"/>
          <w:numId w:val="175"/>
        </w:numPr>
        <w:rPr>
          <w:rFonts w:ascii="Arial" w:cs="Arial" w:eastAsia="Arial" w:hAnsi="Arial"/>
          <w:sz w:val="16"/>
          <w:szCs w:val="16"/>
          <w:color w:val="auto"/>
        </w:rPr>
      </w:pPr>
      <w:r>
        <w:rPr>
          <w:rFonts w:ascii="Arial" w:cs="Arial" w:eastAsia="Arial" w:hAnsi="Arial"/>
          <w:sz w:val="16"/>
          <w:szCs w:val="16"/>
          <w:color w:val="auto"/>
        </w:rPr>
        <w:t>in the discretion of the Administrator, any other consideration and method of payment for the issuance of Shares permitted by Applicable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Laws.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4" w:name="page265"/>
    <w:bookmarkEnd w:id="264"/>
    <w:p>
      <w:pPr>
        <w:ind w:left="1040" w:hanging="222"/>
        <w:spacing w:after="0"/>
        <w:tabs>
          <w:tab w:leader="none" w:pos="1040"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firstLine="1142"/>
        <w:spacing w:after="0" w:line="269" w:lineRule="auto"/>
        <w:tabs>
          <w:tab w:leader="none" w:pos="1349" w:val="left"/>
        </w:tabs>
        <w:numPr>
          <w:ilvl w:val="1"/>
          <w:numId w:val="176"/>
        </w:numPr>
        <w:rPr>
          <w:rFonts w:ascii="Arial" w:cs="Arial" w:eastAsia="Arial" w:hAnsi="Arial"/>
          <w:sz w:val="17"/>
          <w:szCs w:val="17"/>
          <w:color w:val="auto"/>
        </w:rPr>
      </w:pPr>
      <w:r>
        <w:rPr>
          <w:rFonts w:ascii="Arial" w:cs="Arial" w:eastAsia="Arial" w:hAnsi="Arial"/>
          <w:sz w:val="17"/>
          <w:szCs w:val="17"/>
          <w:u w:val="single" w:color="auto"/>
          <w:color w:val="auto"/>
        </w:rPr>
        <w:t>Procedure for Exercise; Rights as a Shareholder</w:t>
      </w:r>
      <w:r>
        <w:rPr>
          <w:rFonts w:ascii="Arial" w:cs="Arial" w:eastAsia="Arial" w:hAnsi="Arial"/>
          <w:sz w:val="17"/>
          <w:szCs w:val="17"/>
          <w:color w:val="auto"/>
        </w:rPr>
        <w:t>. Any Option granted under this Plan will be exercisable according to the terms of this Plan and at such times and under such conditions as determined by the Administrator and set forth in the Award Agreement. An Option will be deemed exercised when the Company receives: (x) written or electronic notice of exercise (in accordance with the Award Agreement) from the person entitled to exercise the Option, and (y) full payment for the Shares with respect to which the Option is exercised (including provision for any applicable tax withholding). Full payment may consist of any consideration and method of payment authorized by the Administrator and permitted by the Award Agreement and this Plan. Shares issued upon exercise of an Option must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shareholder will exist with respect to the Awarded Stock, notwithstanding the exercise of the Option. The Company will issue (or cause to be issued) such Shares promptly after the Option is exercised. No adjustment is to be made for a dividend or other right for which the record date is prior to the date the Shares are issued, except as provided in Section 15 or the applicable Award Agreement. Exercising an Option in any manner will decrease the number of Shares thereafter available for sale under the Option, by the number of Shares as to which the Option is exercised.</w:t>
      </w:r>
    </w:p>
    <w:p>
      <w:pPr>
        <w:spacing w:after="0" w:line="206" w:lineRule="exact"/>
        <w:rPr>
          <w:rFonts w:ascii="Arial" w:cs="Arial" w:eastAsia="Arial" w:hAnsi="Arial"/>
          <w:sz w:val="17"/>
          <w:szCs w:val="17"/>
          <w:color w:val="auto"/>
        </w:rPr>
      </w:pPr>
    </w:p>
    <w:p>
      <w:pPr>
        <w:jc w:val="both"/>
        <w:ind w:firstLine="1142"/>
        <w:spacing w:after="0" w:line="270" w:lineRule="auto"/>
        <w:tabs>
          <w:tab w:leader="none" w:pos="1399" w:val="left"/>
        </w:tabs>
        <w:numPr>
          <w:ilvl w:val="1"/>
          <w:numId w:val="176"/>
        </w:numPr>
        <w:rPr>
          <w:rFonts w:ascii="Arial" w:cs="Arial" w:eastAsia="Arial" w:hAnsi="Arial"/>
          <w:sz w:val="17"/>
          <w:szCs w:val="17"/>
          <w:color w:val="auto"/>
        </w:rPr>
      </w:pPr>
      <w:r>
        <w:rPr>
          <w:rFonts w:ascii="Arial" w:cs="Arial" w:eastAsia="Arial" w:hAnsi="Arial"/>
          <w:sz w:val="17"/>
          <w:szCs w:val="17"/>
          <w:u w:val="single" w:color="auto"/>
          <w:color w:val="auto"/>
        </w:rPr>
        <w:t>Termination of Relationship as a Service Provider (Other than Death or Disability)</w:t>
      </w:r>
      <w:r>
        <w:rPr>
          <w:rFonts w:ascii="Arial" w:cs="Arial" w:eastAsia="Arial" w:hAnsi="Arial"/>
          <w:sz w:val="17"/>
          <w:szCs w:val="17"/>
          <w:color w:val="auto"/>
        </w:rPr>
        <w:t>. If a Participant ceases to be a Service Provider, other than upon the Participant’s death or Disability, the Participant may exercise the vested portion of his or her Option within the time period specified in the Award Agreement (but in no event later than the expiration of the term of such Option as set forth in the Award Agreement). If the Award Agreement does not specify a time period within which the vested portion of such Option must be exercised after the Participant ceasing to be a Service Provider, the vested portion of such Option will be exercisable for 3 months after the Participant ceases to be a Service Provider (other than upon the Participant’s death or Disability). Unless otherwise provided by the Administrator, if the Participant is not vested as to his or her entire Option on the date the Participant ceases to be a Service Provider (other than upon the Participant’s death or Disability), then immediately thereafter, the Shares covered by the unvested portion of the Option will again be available for grant under this Plan as set forth in Section 3. Additionally, if the Participant does not exercise his or her Option as to all of the vested Shares within the time period specified herein, then immediately thereafter, the Option will terminate and the Shares covered by the unexercised portion of the Option will again be available for grant under this Plan as set forth in Section 3.</w:t>
      </w:r>
    </w:p>
    <w:p>
      <w:pPr>
        <w:spacing w:after="0" w:line="204" w:lineRule="exact"/>
        <w:rPr>
          <w:rFonts w:ascii="Arial" w:cs="Arial" w:eastAsia="Arial" w:hAnsi="Arial"/>
          <w:sz w:val="17"/>
          <w:szCs w:val="17"/>
          <w:color w:val="auto"/>
        </w:rPr>
      </w:pPr>
    </w:p>
    <w:p>
      <w:pPr>
        <w:jc w:val="both"/>
        <w:ind w:firstLine="1142"/>
        <w:spacing w:after="0" w:line="253" w:lineRule="auto"/>
        <w:tabs>
          <w:tab w:leader="none" w:pos="1449" w:val="left"/>
        </w:tabs>
        <w:numPr>
          <w:ilvl w:val="1"/>
          <w:numId w:val="176"/>
        </w:numPr>
        <w:rPr>
          <w:rFonts w:ascii="Arial" w:cs="Arial" w:eastAsia="Arial" w:hAnsi="Arial"/>
          <w:sz w:val="18"/>
          <w:szCs w:val="18"/>
          <w:color w:val="auto"/>
        </w:rPr>
      </w:pPr>
      <w:r>
        <w:rPr>
          <w:rFonts w:ascii="Arial" w:cs="Arial" w:eastAsia="Arial" w:hAnsi="Arial"/>
          <w:sz w:val="18"/>
          <w:szCs w:val="18"/>
          <w:u w:val="single" w:color="auto"/>
          <w:color w:val="auto"/>
        </w:rPr>
        <w:t>Disability of Participant</w:t>
      </w:r>
      <w:r>
        <w:rPr>
          <w:rFonts w:ascii="Arial" w:cs="Arial" w:eastAsia="Arial" w:hAnsi="Arial"/>
          <w:sz w:val="18"/>
          <w:szCs w:val="18"/>
          <w:color w:val="auto"/>
        </w:rPr>
        <w:t>. If a Participant ceases to be a Service Provider as a result of his or her Disability, the Participant may exercise the vested portion of his or her Option within the time period specified in the Award Agreement (but in no event later than the expiration of the term of the Option as set forth in the Award Agreement). If the Award Agreement does not specify a time period within which the vested portion of such Option must be exercised after the Participant ceasing to be a Service Provider as a result of his or her Disability, the vested portion of such Option will be exercisable for 12 months after the Participant ceasing to be a Service Provider as a result of his or her Disability. Unless otherwise provided by the Administrator, if the Participant is not vested as to the Participant’s entire Option on the date he or she ceases to be a Service Provider as a result of his or her Disability, then immediately thereafter, the Shares covered by the unvested portion of the Option will again be available for grant under this Plan as set forth in Section 3. Additionally, if the Participant does not exercise his or her Option as to all of the vested Shares within the time period specified herein, then immediately thereafter, the Option will terminate and the Shares covered by the unexercised portion of the Option will again be available for grant under this Plan as set forth in Section 3.</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5" w:name="page266"/>
    <w:bookmarkEnd w:id="265"/>
    <w:p>
      <w:pPr>
        <w:jc w:val="both"/>
        <w:ind w:firstLine="1142"/>
        <w:spacing w:after="0" w:line="269" w:lineRule="auto"/>
        <w:tabs>
          <w:tab w:leader="none" w:pos="1453" w:val="left"/>
        </w:tabs>
        <w:numPr>
          <w:ilvl w:val="2"/>
          <w:numId w:val="177"/>
        </w:numPr>
        <w:rPr>
          <w:rFonts w:ascii="Arial" w:cs="Arial" w:eastAsia="Arial" w:hAnsi="Arial"/>
          <w:sz w:val="17"/>
          <w:szCs w:val="17"/>
          <w:color w:val="auto"/>
        </w:rPr>
      </w:pPr>
      <w:r>
        <w:rPr>
          <w:rFonts w:ascii="Arial" w:cs="Arial" w:eastAsia="Arial" w:hAnsi="Arial"/>
          <w:sz w:val="17"/>
          <w:szCs w:val="17"/>
          <w:u w:val="single" w:color="auto"/>
          <w:color w:val="auto"/>
        </w:rPr>
        <w:t>Death of Participant</w:t>
      </w:r>
      <w:r>
        <w:rPr>
          <w:rFonts w:ascii="Arial" w:cs="Arial" w:eastAsia="Arial" w:hAnsi="Arial"/>
          <w:sz w:val="17"/>
          <w:szCs w:val="17"/>
          <w:color w:val="auto"/>
        </w:rPr>
        <w:t>. If a Participant dies while a Service Provider, the vested portion of the Option may be exercised within the time period specified in the Award Agreement (but in no event later than the expiration of the term of the Option as set forth in the Award Agreement), by the beneficiary designated by the Participant prior to his or her death; provided that such designation must be acceptable to the Administrator. If no beneficiary has been designated by the Participant, then the vested portion of the Option may be exercised by the personal representative of the Participant’s estate, or by the persons to whom the Option is transferred pursuant to the Participant’s will or in accordance with the laws of descent and distribution. If the Award Agreement does not specify a time period within which the vested portion of such Option must be exercised after a Participant’s death, the vested portion of such Option will be exercisable for 12 months after his or her death. Unless otherwise provided by the Administrator, if the Participant is not vested as to his or her entire Option on the date he or she ceases to be a Service Provider as a result of the Participant’s death, then immediately thereafter, the Shares covered by the unvested portion of the Option will again be available for grant under this Plan as set forth in Section 3. Additionally, if the Participant’s beneficiary, personal representative or permitted transferee does not exercise the Option as to all of the vested Shares within the time period specified herein, then immediately thereafter, the Option will terminate and the Shares covered by the unexercised portion of the Option will again be available for grant under this Plan as set forth in Section 3.</w:t>
      </w:r>
    </w:p>
    <w:p>
      <w:pPr>
        <w:spacing w:after="0" w:line="206" w:lineRule="exact"/>
        <w:rPr>
          <w:rFonts w:ascii="Arial" w:cs="Arial" w:eastAsia="Arial" w:hAnsi="Arial"/>
          <w:sz w:val="17"/>
          <w:szCs w:val="17"/>
          <w:color w:val="auto"/>
        </w:rPr>
      </w:pPr>
    </w:p>
    <w:p>
      <w:pPr>
        <w:ind w:left="840" w:hanging="184"/>
        <w:spacing w:after="0"/>
        <w:tabs>
          <w:tab w:leader="none" w:pos="840"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Restricted Stock</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firstLine="818"/>
        <w:spacing w:after="0" w:line="277" w:lineRule="auto"/>
        <w:tabs>
          <w:tab w:leader="none" w:pos="1055" w:val="left"/>
        </w:tabs>
        <w:numPr>
          <w:ilvl w:val="1"/>
          <w:numId w:val="178"/>
        </w:numPr>
        <w:rPr>
          <w:rFonts w:ascii="Arial" w:cs="Arial" w:eastAsia="Arial" w:hAnsi="Arial"/>
          <w:sz w:val="18"/>
          <w:szCs w:val="18"/>
          <w:color w:val="auto"/>
        </w:rPr>
      </w:pPr>
      <w:r>
        <w:rPr>
          <w:rFonts w:ascii="Arial" w:cs="Arial" w:eastAsia="Arial" w:hAnsi="Arial"/>
          <w:sz w:val="18"/>
          <w:szCs w:val="18"/>
          <w:u w:val="single" w:color="auto"/>
          <w:color w:val="auto"/>
        </w:rPr>
        <w:t>Grant of Restricted Stock</w:t>
      </w:r>
      <w:r>
        <w:rPr>
          <w:rFonts w:ascii="Arial" w:cs="Arial" w:eastAsia="Arial" w:hAnsi="Arial"/>
          <w:sz w:val="18"/>
          <w:szCs w:val="18"/>
          <w:color w:val="auto"/>
        </w:rPr>
        <w:t>. Subject to the terms and provisions of this Plan, the Administrator, at any time and from time to time, may grant Shares of Restricted Stock to Service Providers in such amounts as the Administrator, in its sole discretion, determines.</w:t>
      </w:r>
    </w:p>
    <w:p>
      <w:pPr>
        <w:spacing w:after="0" w:line="197" w:lineRule="exact"/>
        <w:rPr>
          <w:rFonts w:ascii="Arial" w:cs="Arial" w:eastAsia="Arial" w:hAnsi="Arial"/>
          <w:sz w:val="18"/>
          <w:szCs w:val="18"/>
          <w:color w:val="auto"/>
        </w:rPr>
      </w:pPr>
    </w:p>
    <w:p>
      <w:pPr>
        <w:ind w:firstLine="818"/>
        <w:spacing w:after="0" w:line="277" w:lineRule="auto"/>
        <w:tabs>
          <w:tab w:leader="none" w:pos="1065" w:val="left"/>
        </w:tabs>
        <w:numPr>
          <w:ilvl w:val="1"/>
          <w:numId w:val="178"/>
        </w:numPr>
        <w:rPr>
          <w:rFonts w:ascii="Arial" w:cs="Arial" w:eastAsia="Arial" w:hAnsi="Arial"/>
          <w:sz w:val="18"/>
          <w:szCs w:val="18"/>
          <w:color w:val="auto"/>
        </w:rPr>
      </w:pPr>
      <w:r>
        <w:rPr>
          <w:rFonts w:ascii="Arial" w:cs="Arial" w:eastAsia="Arial" w:hAnsi="Arial"/>
          <w:sz w:val="18"/>
          <w:szCs w:val="18"/>
          <w:u w:val="single" w:color="auto"/>
          <w:color w:val="auto"/>
        </w:rPr>
        <w:t>Restricted Stock Agreement</w:t>
      </w:r>
      <w:r>
        <w:rPr>
          <w:rFonts w:ascii="Arial" w:cs="Arial" w:eastAsia="Arial" w:hAnsi="Arial"/>
          <w:sz w:val="18"/>
          <w:szCs w:val="18"/>
          <w:color w:val="auto"/>
        </w:rPr>
        <w:t>. Each Award of Restricted Stock must be evidenced by an Award Agreement that specifies the number of Shares granted, and such other terms and conditions as the Administrator, in its sole discretion, may determine.</w:t>
      </w:r>
    </w:p>
    <w:p>
      <w:pPr>
        <w:spacing w:after="0" w:line="197" w:lineRule="exact"/>
        <w:rPr>
          <w:rFonts w:ascii="Arial" w:cs="Arial" w:eastAsia="Arial" w:hAnsi="Arial"/>
          <w:sz w:val="18"/>
          <w:szCs w:val="18"/>
          <w:color w:val="auto"/>
        </w:rPr>
      </w:pPr>
    </w:p>
    <w:p>
      <w:pPr>
        <w:ind w:left="1060" w:hanging="242"/>
        <w:spacing w:after="0"/>
        <w:tabs>
          <w:tab w:leader="none" w:pos="1060" w:val="left"/>
        </w:tabs>
        <w:numPr>
          <w:ilvl w:val="1"/>
          <w:numId w:val="178"/>
        </w:numPr>
        <w:rPr>
          <w:rFonts w:ascii="Arial" w:cs="Arial" w:eastAsia="Arial" w:hAnsi="Arial"/>
          <w:sz w:val="16"/>
          <w:szCs w:val="16"/>
          <w:color w:val="auto"/>
        </w:rPr>
      </w:pPr>
      <w:r>
        <w:rPr>
          <w:rFonts w:ascii="Arial" w:cs="Arial" w:eastAsia="Arial" w:hAnsi="Arial"/>
          <w:sz w:val="16"/>
          <w:szCs w:val="16"/>
          <w:u w:val="single" w:color="auto"/>
          <w:color w:val="auto"/>
        </w:rPr>
        <w:t>Removal of Restrictions</w:t>
      </w:r>
      <w:r>
        <w:rPr>
          <w:rFonts w:ascii="Arial" w:cs="Arial" w:eastAsia="Arial" w:hAnsi="Arial"/>
          <w:sz w:val="16"/>
          <w:szCs w:val="16"/>
          <w:color w:val="auto"/>
        </w:rPr>
        <w:t>. The Administrator may, in its sole discretion, accelerate the time at which any restrictions will lapse or be removed.</w:t>
      </w:r>
    </w:p>
    <w:p>
      <w:pPr>
        <w:spacing w:after="0" w:line="275" w:lineRule="exact"/>
        <w:rPr>
          <w:rFonts w:ascii="Arial" w:cs="Arial" w:eastAsia="Arial" w:hAnsi="Arial"/>
          <w:sz w:val="16"/>
          <w:szCs w:val="16"/>
          <w:color w:val="auto"/>
        </w:rPr>
      </w:pPr>
    </w:p>
    <w:p>
      <w:pPr>
        <w:ind w:firstLine="818"/>
        <w:spacing w:after="0" w:line="277" w:lineRule="auto"/>
        <w:tabs>
          <w:tab w:leader="none" w:pos="1079" w:val="left"/>
        </w:tabs>
        <w:numPr>
          <w:ilvl w:val="1"/>
          <w:numId w:val="178"/>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Service Providers holding Shares of Restricted Stock may exercise full voting rights with respect to those Shares, unless the Administrator determines otherwise.</w:t>
      </w:r>
    </w:p>
    <w:p>
      <w:pPr>
        <w:spacing w:after="0" w:line="197" w:lineRule="exact"/>
        <w:rPr>
          <w:rFonts w:ascii="Arial" w:cs="Arial" w:eastAsia="Arial" w:hAnsi="Arial"/>
          <w:sz w:val="18"/>
          <w:szCs w:val="18"/>
          <w:color w:val="auto"/>
        </w:rPr>
      </w:pPr>
    </w:p>
    <w:p>
      <w:pPr>
        <w:jc w:val="both"/>
        <w:ind w:firstLine="818"/>
        <w:spacing w:after="0" w:line="264" w:lineRule="auto"/>
        <w:tabs>
          <w:tab w:leader="none" w:pos="1055" w:val="left"/>
        </w:tabs>
        <w:numPr>
          <w:ilvl w:val="1"/>
          <w:numId w:val="178"/>
        </w:numPr>
        <w:rPr>
          <w:rFonts w:ascii="Arial" w:cs="Arial" w:eastAsia="Arial" w:hAnsi="Arial"/>
          <w:sz w:val="18"/>
          <w:szCs w:val="18"/>
          <w:color w:val="auto"/>
        </w:rPr>
      </w:pPr>
      <w:r>
        <w:rPr>
          <w:rFonts w:ascii="Arial" w:cs="Arial" w:eastAsia="Arial" w:hAnsi="Arial"/>
          <w:sz w:val="18"/>
          <w:szCs w:val="18"/>
          <w:u w:val="single" w:color="auto"/>
          <w:color w:val="auto"/>
        </w:rPr>
        <w:t>Dividends and Other Distributions</w:t>
      </w:r>
      <w:r>
        <w:rPr>
          <w:rFonts w:ascii="Arial" w:cs="Arial" w:eastAsia="Arial" w:hAnsi="Arial"/>
          <w:sz w:val="18"/>
          <w:szCs w:val="18"/>
          <w:color w:val="auto"/>
        </w:rPr>
        <w:t>. Shares of Restricted Stock will be entitled to receive all dividends and other distributions paid with respect to such Shares. All such dividends and distributions will be subject to the same restrictions on transferability and forfeitability as the Shares of Restricted Stock with respect to which they were paid.</w:t>
      </w:r>
    </w:p>
    <w:p>
      <w:pPr>
        <w:spacing w:after="0" w:line="208" w:lineRule="exact"/>
        <w:rPr>
          <w:rFonts w:ascii="Arial" w:cs="Arial" w:eastAsia="Arial" w:hAnsi="Arial"/>
          <w:sz w:val="18"/>
          <w:szCs w:val="18"/>
          <w:color w:val="auto"/>
        </w:rPr>
      </w:pPr>
    </w:p>
    <w:p>
      <w:pPr>
        <w:ind w:firstLine="818"/>
        <w:spacing w:after="0" w:line="277" w:lineRule="auto"/>
        <w:tabs>
          <w:tab w:leader="none" w:pos="1049" w:val="left"/>
        </w:tabs>
        <w:numPr>
          <w:ilvl w:val="1"/>
          <w:numId w:val="178"/>
        </w:numPr>
        <w:rPr>
          <w:rFonts w:ascii="Arial" w:cs="Arial" w:eastAsia="Arial" w:hAnsi="Arial"/>
          <w:sz w:val="18"/>
          <w:szCs w:val="18"/>
          <w:color w:val="auto"/>
        </w:rPr>
      </w:pPr>
      <w:r>
        <w:rPr>
          <w:rFonts w:ascii="Arial" w:cs="Arial" w:eastAsia="Arial" w:hAnsi="Arial"/>
          <w:sz w:val="18"/>
          <w:szCs w:val="18"/>
          <w:u w:val="single" w:color="auto"/>
          <w:color w:val="auto"/>
        </w:rPr>
        <w:t>Return of Restricted Stock to Company</w:t>
      </w:r>
      <w:r>
        <w:rPr>
          <w:rFonts w:ascii="Arial" w:cs="Arial" w:eastAsia="Arial" w:hAnsi="Arial"/>
          <w:sz w:val="18"/>
          <w:szCs w:val="18"/>
          <w:color w:val="auto"/>
        </w:rPr>
        <w:t>. On the date set forth in the Award Agreement, the Restricted Stock for which restrictions have not lapsed will again be available for grant under this Plan as set forth in Section 3.</w:t>
      </w:r>
    </w:p>
    <w:p>
      <w:pPr>
        <w:spacing w:after="0" w:line="197" w:lineRule="exact"/>
        <w:rPr>
          <w:rFonts w:ascii="Arial" w:cs="Arial" w:eastAsia="Arial" w:hAnsi="Arial"/>
          <w:sz w:val="18"/>
          <w:szCs w:val="18"/>
          <w:color w:val="auto"/>
        </w:rPr>
      </w:pPr>
    </w:p>
    <w:p>
      <w:pPr>
        <w:ind w:left="840" w:hanging="184"/>
        <w:spacing w:after="0"/>
        <w:tabs>
          <w:tab w:leader="none" w:pos="840"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Stock Appreciation Rights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firstLine="818"/>
        <w:spacing w:after="0" w:line="297" w:lineRule="auto"/>
        <w:tabs>
          <w:tab w:leader="none" w:pos="1055" w:val="left"/>
        </w:tabs>
        <w:numPr>
          <w:ilvl w:val="1"/>
          <w:numId w:val="178"/>
        </w:numPr>
        <w:rPr>
          <w:rFonts w:ascii="Arial" w:cs="Arial" w:eastAsia="Arial" w:hAnsi="Arial"/>
          <w:sz w:val="16"/>
          <w:szCs w:val="16"/>
          <w:color w:val="auto"/>
        </w:rPr>
      </w:pPr>
      <w:r>
        <w:rPr>
          <w:rFonts w:ascii="Arial" w:cs="Arial" w:eastAsia="Arial" w:hAnsi="Arial"/>
          <w:sz w:val="16"/>
          <w:szCs w:val="16"/>
          <w:u w:val="single" w:color="auto"/>
          <w:color w:val="auto"/>
        </w:rPr>
        <w:t>Grant of SARs</w:t>
      </w:r>
      <w:r>
        <w:rPr>
          <w:rFonts w:ascii="Arial" w:cs="Arial" w:eastAsia="Arial" w:hAnsi="Arial"/>
          <w:sz w:val="16"/>
          <w:szCs w:val="16"/>
          <w:color w:val="auto"/>
        </w:rPr>
        <w:t>. Subject to the terms and conditions of this Plan, a SAR may be granted to a Service Provider at any time and from time to time as may be determined by the Administrator, in its sole discretion. The Administrator has complete discretion to determine the number of SARs granted to any Service Provider. Subject to the provisions of Section 6(b), the Administrator has complete discretion to determine the terms and conditions of SARs granted under this Plan, including the sole discretion to accelerate exercisability at any time, but the per Share exercise price that will determine the amount of the payment the Company receives upon exercise of a SAR will not be less than the Fair Market Value per Share on the date of grant.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6" w:name="page267"/>
    <w:bookmarkEnd w:id="266"/>
    <w:p>
      <w:pPr>
        <w:ind w:firstLine="818"/>
        <w:spacing w:after="0" w:line="277" w:lineRule="auto"/>
        <w:tabs>
          <w:tab w:leader="none" w:pos="1079"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SAR Agreement</w:t>
      </w:r>
      <w:r>
        <w:rPr>
          <w:rFonts w:ascii="Arial" w:cs="Arial" w:eastAsia="Arial" w:hAnsi="Arial"/>
          <w:sz w:val="18"/>
          <w:szCs w:val="18"/>
          <w:color w:val="auto"/>
        </w:rPr>
        <w:t>. Each SAR grant must be evidenced by an Award Agreement that specifies the exercise price, the term, the conditions of exercise, and such other terms and conditions as the Administrator, in its sole discretion, may determine.</w:t>
      </w:r>
    </w:p>
    <w:p>
      <w:pPr>
        <w:spacing w:after="0" w:line="197" w:lineRule="exact"/>
        <w:rPr>
          <w:rFonts w:ascii="Arial" w:cs="Arial" w:eastAsia="Arial" w:hAnsi="Arial"/>
          <w:sz w:val="18"/>
          <w:szCs w:val="18"/>
          <w:color w:val="auto"/>
        </w:rPr>
      </w:pPr>
    </w:p>
    <w:p>
      <w:pPr>
        <w:jc w:val="both"/>
        <w:ind w:firstLine="818"/>
        <w:spacing w:after="0" w:line="264" w:lineRule="auto"/>
        <w:tabs>
          <w:tab w:leader="none" w:pos="1055"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Expiration of SARs</w:t>
      </w:r>
      <w:r>
        <w:rPr>
          <w:rFonts w:ascii="Arial" w:cs="Arial" w:eastAsia="Arial" w:hAnsi="Arial"/>
          <w:sz w:val="18"/>
          <w:szCs w:val="18"/>
          <w:color w:val="auto"/>
        </w:rPr>
        <w:t>. A SAR granted under this Plan will expire upon the date determined by the Administrator, in its sole discretion, as set forth in the Award Agreement; but no SAR may be exercisable later than 10 years after the date of grant. Notwithstanding the foregoing, Sections 7(f)(ii), 7(f)(iii) and 7(f)(iv) also apply to SARs.</w:t>
      </w:r>
    </w:p>
    <w:p>
      <w:pPr>
        <w:spacing w:after="0" w:line="208" w:lineRule="exact"/>
        <w:rPr>
          <w:rFonts w:ascii="Arial" w:cs="Arial" w:eastAsia="Arial" w:hAnsi="Arial"/>
          <w:sz w:val="18"/>
          <w:szCs w:val="18"/>
          <w:color w:val="auto"/>
        </w:rPr>
      </w:pPr>
    </w:p>
    <w:p>
      <w:pPr>
        <w:ind w:firstLine="818"/>
        <w:spacing w:after="0" w:line="277" w:lineRule="auto"/>
        <w:tabs>
          <w:tab w:leader="none" w:pos="1092"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Payment of SAR Amount</w:t>
      </w:r>
      <w:r>
        <w:rPr>
          <w:rFonts w:ascii="Arial" w:cs="Arial" w:eastAsia="Arial" w:hAnsi="Arial"/>
          <w:sz w:val="18"/>
          <w:szCs w:val="18"/>
          <w:color w:val="auto"/>
        </w:rPr>
        <w:t>. Upon exercise of a SAR, a Participant will be entitled to receive payment from the Company in an amount determined by multiplying:</w:t>
      </w:r>
    </w:p>
    <w:p>
      <w:pPr>
        <w:spacing w:after="0" w:line="224" w:lineRule="exact"/>
        <w:rPr>
          <w:rFonts w:ascii="Arial" w:cs="Arial" w:eastAsia="Arial" w:hAnsi="Arial"/>
          <w:sz w:val="18"/>
          <w:szCs w:val="18"/>
          <w:color w:val="auto"/>
        </w:rPr>
      </w:pPr>
    </w:p>
    <w:p>
      <w:pPr>
        <w:ind w:left="1360" w:hanging="218"/>
        <w:spacing w:after="0"/>
        <w:tabs>
          <w:tab w:leader="none" w:pos="136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The difference between the Fair Market Value of a Share on the date of exercise and the exercise price; times</w:t>
      </w:r>
    </w:p>
    <w:p>
      <w:pPr>
        <w:spacing w:after="0" w:line="252" w:lineRule="exact"/>
        <w:rPr>
          <w:rFonts w:ascii="Arial" w:cs="Arial" w:eastAsia="Arial" w:hAnsi="Arial"/>
          <w:sz w:val="18"/>
          <w:szCs w:val="18"/>
          <w:color w:val="auto"/>
        </w:rPr>
      </w:pPr>
    </w:p>
    <w:p>
      <w:pPr>
        <w:ind w:left="1400" w:hanging="258"/>
        <w:spacing w:after="0"/>
        <w:tabs>
          <w:tab w:leader="none" w:pos="140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The number of Shares with respect to which the SAR is exercised.</w:t>
      </w:r>
    </w:p>
    <w:p>
      <w:pPr>
        <w:spacing w:after="0" w:line="25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At the sole discretion of the Administrator, the payment upon the exercise of a SAR may be in cash, in Shares of equivalent value, or in some combination thereof.</w:t>
      </w:r>
    </w:p>
    <w:p>
      <w:pPr>
        <w:spacing w:after="0" w:line="224" w:lineRule="exact"/>
        <w:rPr>
          <w:sz w:val="20"/>
          <w:szCs w:val="20"/>
          <w:color w:val="auto"/>
        </w:rPr>
      </w:pPr>
    </w:p>
    <w:p>
      <w:pPr>
        <w:ind w:left="940" w:hanging="284"/>
        <w:spacing w:after="0"/>
        <w:tabs>
          <w:tab w:leader="none" w:pos="940"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Performance Units and Performance Shares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right="20" w:firstLine="818"/>
        <w:spacing w:after="0" w:line="312" w:lineRule="auto"/>
        <w:tabs>
          <w:tab w:leader="none" w:pos="1068" w:val="left"/>
        </w:tabs>
        <w:numPr>
          <w:ilvl w:val="1"/>
          <w:numId w:val="180"/>
        </w:numPr>
        <w:rPr>
          <w:rFonts w:ascii="Arial" w:cs="Arial" w:eastAsia="Arial" w:hAnsi="Arial"/>
          <w:sz w:val="16"/>
          <w:szCs w:val="16"/>
          <w:color w:val="auto"/>
        </w:rPr>
      </w:pPr>
      <w:r>
        <w:rPr>
          <w:rFonts w:ascii="Arial" w:cs="Arial" w:eastAsia="Arial" w:hAnsi="Arial"/>
          <w:sz w:val="16"/>
          <w:szCs w:val="16"/>
          <w:u w:val="single" w:color="auto"/>
          <w:color w:val="auto"/>
        </w:rPr>
        <w:t>Grant of Performance Units and Performance Shares</w:t>
      </w:r>
      <w:r>
        <w:rPr>
          <w:rFonts w:ascii="Arial" w:cs="Arial" w:eastAsia="Arial" w:hAnsi="Arial"/>
          <w:sz w:val="16"/>
          <w:szCs w:val="16"/>
          <w:color w:val="auto"/>
        </w:rPr>
        <w:t>. Subject to the terms and conditions of this Plan, Performance Units and Performance Shares may be granted to Service Providers at any time and from time to time, as may be determined by the Administrator in its sole discretion. The Administrator has complete discretion in determining the number of Performance Units and Performance Shares granted to each Service Provider.</w:t>
      </w:r>
    </w:p>
    <w:p>
      <w:pPr>
        <w:spacing w:after="0" w:line="173" w:lineRule="exact"/>
        <w:rPr>
          <w:rFonts w:ascii="Arial" w:cs="Arial" w:eastAsia="Arial" w:hAnsi="Arial"/>
          <w:sz w:val="16"/>
          <w:szCs w:val="16"/>
          <w:color w:val="auto"/>
        </w:rPr>
      </w:pPr>
    </w:p>
    <w:p>
      <w:pPr>
        <w:jc w:val="both"/>
        <w:ind w:firstLine="818"/>
        <w:spacing w:after="0" w:line="264" w:lineRule="auto"/>
        <w:tabs>
          <w:tab w:leader="none" w:pos="1065" w:val="left"/>
        </w:tabs>
        <w:numPr>
          <w:ilvl w:val="1"/>
          <w:numId w:val="180"/>
        </w:numPr>
        <w:rPr>
          <w:rFonts w:ascii="Arial" w:cs="Arial" w:eastAsia="Arial" w:hAnsi="Arial"/>
          <w:sz w:val="18"/>
          <w:szCs w:val="18"/>
          <w:color w:val="auto"/>
        </w:rPr>
      </w:pPr>
      <w:r>
        <w:rPr>
          <w:rFonts w:ascii="Arial" w:cs="Arial" w:eastAsia="Arial" w:hAnsi="Arial"/>
          <w:sz w:val="18"/>
          <w:szCs w:val="18"/>
          <w:u w:val="single" w:color="auto"/>
          <w:color w:val="auto"/>
        </w:rPr>
        <w:t>Value of Performance Units and Performance Shares</w:t>
      </w:r>
      <w:r>
        <w:rPr>
          <w:rFonts w:ascii="Arial" w:cs="Arial" w:eastAsia="Arial" w:hAnsi="Arial"/>
          <w:sz w:val="18"/>
          <w:szCs w:val="18"/>
          <w:color w:val="auto"/>
        </w:rPr>
        <w:t>. Each Performance Unit and Performance Share must have an initial value established by the Administrator on or before the date of grant. Each Performance Share must have an initial value equal to the Fair Market Value of a Share on the date of grant.</w:t>
      </w:r>
    </w:p>
    <w:p>
      <w:pPr>
        <w:spacing w:after="0" w:line="208" w:lineRule="exact"/>
        <w:rPr>
          <w:rFonts w:ascii="Arial" w:cs="Arial" w:eastAsia="Arial" w:hAnsi="Arial"/>
          <w:sz w:val="18"/>
          <w:szCs w:val="18"/>
          <w:color w:val="auto"/>
        </w:rPr>
      </w:pPr>
    </w:p>
    <w:p>
      <w:pPr>
        <w:jc w:val="both"/>
        <w:ind w:firstLine="818"/>
        <w:spacing w:after="0" w:line="219" w:lineRule="exact"/>
        <w:tabs>
          <w:tab w:leader="none" w:pos="1055" w:val="left"/>
        </w:tabs>
        <w:numPr>
          <w:ilvl w:val="1"/>
          <w:numId w:val="180"/>
        </w:numPr>
        <w:rPr>
          <w:rFonts w:ascii="Arial" w:cs="Arial" w:eastAsia="Arial" w:hAnsi="Arial"/>
          <w:sz w:val="16"/>
          <w:szCs w:val="16"/>
          <w:color w:val="auto"/>
        </w:rPr>
      </w:pPr>
      <w:r>
        <w:rPr>
          <w:rFonts w:ascii="Arial" w:cs="Arial" w:eastAsia="Arial" w:hAnsi="Arial"/>
          <w:sz w:val="16"/>
          <w:szCs w:val="16"/>
          <w:u w:val="single" w:color="auto"/>
          <w:color w:val="auto"/>
        </w:rPr>
        <w:t>Performance Goals and Other Terms</w:t>
      </w:r>
      <w:r>
        <w:rPr>
          <w:rFonts w:ascii="Arial" w:cs="Arial" w:eastAsia="Arial" w:hAnsi="Arial"/>
          <w:sz w:val="16"/>
          <w:szCs w:val="16"/>
          <w:color w:val="auto"/>
        </w:rPr>
        <w:t>. The Administrator may set Performance Goals in its sole discretion which, depending on the extent to which they are met, will determine the number or value of Performance Units and Performance Shares that will be paid out to the Participant. Each award of Performance Units or Performance Shares must be evidenced by an Award Agreement that specifies the Performance Period and such other terms and conditions as the Administrator in its sole discretion may determine. The Administrator may set Performance Goals based upon the achievement of Company</w:t>
      </w:r>
      <w:r>
        <w:rPr>
          <w:rFonts w:ascii="MS PGothic" w:cs="MS PGothic" w:eastAsia="MS PGothic" w:hAnsi="MS PGothic"/>
          <w:sz w:val="16"/>
          <w:szCs w:val="16"/>
          <w:color w:val="auto"/>
        </w:rPr>
        <w:t>‑</w:t>
      </w:r>
      <w:r>
        <w:rPr>
          <w:rFonts w:ascii="Arial" w:cs="Arial" w:eastAsia="Arial" w:hAnsi="Arial"/>
          <w:sz w:val="16"/>
          <w:szCs w:val="16"/>
          <w:color w:val="auto"/>
        </w:rPr>
        <w:t>wide, divisional, or individual goals (including solely continued service), or any other basis determined by the Administrator in its sole discretion.</w:t>
      </w:r>
    </w:p>
    <w:p>
      <w:pPr>
        <w:spacing w:after="0" w:line="231" w:lineRule="exact"/>
        <w:rPr>
          <w:rFonts w:ascii="Arial" w:cs="Arial" w:eastAsia="Arial" w:hAnsi="Arial"/>
          <w:sz w:val="16"/>
          <w:szCs w:val="16"/>
          <w:color w:val="auto"/>
        </w:rPr>
      </w:pPr>
    </w:p>
    <w:p>
      <w:pPr>
        <w:jc w:val="both"/>
        <w:ind w:firstLine="818"/>
        <w:spacing w:after="0" w:line="257" w:lineRule="auto"/>
        <w:tabs>
          <w:tab w:leader="none" w:pos="1065" w:val="left"/>
        </w:tabs>
        <w:numPr>
          <w:ilvl w:val="1"/>
          <w:numId w:val="180"/>
        </w:numPr>
        <w:rPr>
          <w:rFonts w:ascii="Arial" w:cs="Arial" w:eastAsia="Arial" w:hAnsi="Arial"/>
          <w:sz w:val="18"/>
          <w:szCs w:val="18"/>
          <w:color w:val="auto"/>
        </w:rPr>
      </w:pPr>
      <w:r>
        <w:rPr>
          <w:rFonts w:ascii="Arial" w:cs="Arial" w:eastAsia="Arial" w:hAnsi="Arial"/>
          <w:sz w:val="18"/>
          <w:szCs w:val="18"/>
          <w:u w:val="single" w:color="auto"/>
          <w:color w:val="auto"/>
        </w:rPr>
        <w:t>Earning of Performance Units and Performance Shares</w:t>
      </w:r>
      <w:r>
        <w:rPr>
          <w:rFonts w:ascii="Arial" w:cs="Arial" w:eastAsia="Arial" w:hAnsi="Arial"/>
          <w:sz w:val="18"/>
          <w:szCs w:val="18"/>
          <w:color w:val="auto"/>
        </w:rPr>
        <w:t>. After the applicable Performance Period has ended, the holder of Performance Units or Performance Shares will be entitled to receive a payout of the number of Performance Units or Performance Shares earned by the Participant over the Performance Period, to be determined as a function of the extent to which the corresponding Performance Goals have been achieved. After the grant of Performance Units or Performance Shares, the Administrator may, in its sole discretion, reduce or waive any performance objectives for the Performance Units or Performance Shares.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7" w:name="page268"/>
    <w:bookmarkEnd w:id="267"/>
    <w:p>
      <w:pPr>
        <w:jc w:val="both"/>
        <w:ind w:firstLine="818"/>
        <w:spacing w:after="0" w:line="257" w:lineRule="auto"/>
        <w:tabs>
          <w:tab w:leader="none" w:pos="1055" w:val="left"/>
        </w:tabs>
        <w:numPr>
          <w:ilvl w:val="1"/>
          <w:numId w:val="181"/>
        </w:numPr>
        <w:rPr>
          <w:rFonts w:ascii="Arial" w:cs="Arial" w:eastAsia="Arial" w:hAnsi="Arial"/>
          <w:sz w:val="18"/>
          <w:szCs w:val="18"/>
          <w:color w:val="auto"/>
        </w:rPr>
      </w:pPr>
      <w:r>
        <w:rPr>
          <w:rFonts w:ascii="Arial" w:cs="Arial" w:eastAsia="Arial" w:hAnsi="Arial"/>
          <w:sz w:val="18"/>
          <w:szCs w:val="18"/>
          <w:u w:val="single" w:color="auto"/>
          <w:color w:val="auto"/>
        </w:rPr>
        <w:t>Form and Timing of Payment of Performance Units and Performance Shares</w:t>
      </w:r>
      <w:r>
        <w:rPr>
          <w:rFonts w:ascii="Arial" w:cs="Arial" w:eastAsia="Arial" w:hAnsi="Arial"/>
          <w:sz w:val="18"/>
          <w:szCs w:val="18"/>
          <w:color w:val="auto"/>
        </w:rPr>
        <w:t>. Payment of earned Performance Units and earned Performance Shares, if any, will be made after the expiration of the applicable Performance Period at the time determined by the Administrator. The Administrator, in its sole discretion, may pay earned Performance Units and earned Performance Shares in the form of cash, in Shares (which have an aggregate Fair Market Value equal to the value of the earned Performance Units or earned Performance Shares, as applicable, at the close of the applicable Performance Period) or in a combination of cash and Shares.</w:t>
      </w:r>
    </w:p>
    <w:p>
      <w:pPr>
        <w:spacing w:after="0" w:line="215" w:lineRule="exact"/>
        <w:rPr>
          <w:rFonts w:ascii="Arial" w:cs="Arial" w:eastAsia="Arial" w:hAnsi="Arial"/>
          <w:sz w:val="18"/>
          <w:szCs w:val="18"/>
          <w:color w:val="auto"/>
        </w:rPr>
      </w:pPr>
    </w:p>
    <w:p>
      <w:pPr>
        <w:jc w:val="both"/>
        <w:ind w:firstLine="818"/>
        <w:spacing w:after="0" w:line="264" w:lineRule="auto"/>
        <w:tabs>
          <w:tab w:leader="none" w:pos="1076" w:val="left"/>
        </w:tabs>
        <w:numPr>
          <w:ilvl w:val="1"/>
          <w:numId w:val="181"/>
        </w:numPr>
        <w:rPr>
          <w:rFonts w:ascii="Arial" w:cs="Arial" w:eastAsia="Arial" w:hAnsi="Arial"/>
          <w:sz w:val="18"/>
          <w:szCs w:val="18"/>
          <w:color w:val="auto"/>
        </w:rPr>
      </w:pPr>
      <w:r>
        <w:rPr>
          <w:rFonts w:ascii="Arial" w:cs="Arial" w:eastAsia="Arial" w:hAnsi="Arial"/>
          <w:sz w:val="18"/>
          <w:szCs w:val="18"/>
          <w:u w:val="single" w:color="auto"/>
          <w:color w:val="auto"/>
        </w:rPr>
        <w:t>Cancellation of Performance Units or Performance Shares</w:t>
      </w:r>
      <w:r>
        <w:rPr>
          <w:rFonts w:ascii="Arial" w:cs="Arial" w:eastAsia="Arial" w:hAnsi="Arial"/>
          <w:sz w:val="18"/>
          <w:szCs w:val="18"/>
          <w:color w:val="auto"/>
        </w:rPr>
        <w:t>. On the date set forth in the Award Agreement, all unearned or unvested Performance Units and Performance Shares will be forfeited to the Company, and the Shares subject to such Awards (if any) will again be available for grant under this Plan as set forth in Section 3.</w:t>
      </w:r>
    </w:p>
    <w:p>
      <w:pPr>
        <w:spacing w:after="0" w:line="208" w:lineRule="exact"/>
        <w:rPr>
          <w:rFonts w:ascii="Arial" w:cs="Arial" w:eastAsia="Arial" w:hAnsi="Arial"/>
          <w:sz w:val="18"/>
          <w:szCs w:val="18"/>
          <w:color w:val="auto"/>
        </w:rPr>
      </w:pPr>
    </w:p>
    <w:p>
      <w:pPr>
        <w:jc w:val="both"/>
        <w:ind w:firstLine="656"/>
        <w:spacing w:after="0" w:line="264" w:lineRule="auto"/>
        <w:tabs>
          <w:tab w:leader="none" w:pos="911"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Restricted Stock Units</w:t>
      </w:r>
      <w:r>
        <w:rPr>
          <w:rFonts w:ascii="Arial" w:cs="Arial" w:eastAsia="Arial" w:hAnsi="Arial"/>
          <w:sz w:val="18"/>
          <w:szCs w:val="18"/>
          <w:color w:val="auto"/>
        </w:rPr>
        <w:t>. Restricted Stock Units may consist of Shares of Restricted Stock, Performance Shares or Performance Unit Awards that the Administrator, in its sole discretion permits to be paid out in a lump sum, installments or on a deferred basis, in accordance with rules and procedures established by the Administrator.</w:t>
      </w:r>
    </w:p>
    <w:p>
      <w:pPr>
        <w:spacing w:after="0" w:line="208" w:lineRule="exact"/>
        <w:rPr>
          <w:rFonts w:ascii="Arial" w:cs="Arial" w:eastAsia="Arial" w:hAnsi="Arial"/>
          <w:sz w:val="18"/>
          <w:szCs w:val="18"/>
          <w:color w:val="auto"/>
        </w:rPr>
      </w:pPr>
    </w:p>
    <w:p>
      <w:pPr>
        <w:jc w:val="both"/>
        <w:ind w:firstLine="656"/>
        <w:spacing w:after="0" w:line="259" w:lineRule="auto"/>
        <w:tabs>
          <w:tab w:leader="none" w:pos="932"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Other Stock-Based Awards</w:t>
      </w:r>
      <w:r>
        <w:rPr>
          <w:rFonts w:ascii="Arial" w:cs="Arial" w:eastAsia="Arial" w:hAnsi="Arial"/>
          <w:sz w:val="18"/>
          <w:szCs w:val="18"/>
          <w:color w:val="auto"/>
        </w:rPr>
        <w:t>. Other Stock-Based Awards may be granted either alone, in addition to, or in tandem with, other Awards granted under this Plan and/or cash awards made outside of this Plan. The Administrator has authority to determine the Service Providers to whom and the time or times at which Other Stock-Based Awards are to be made, the amount of such Other Stock-Based Awards, and all other conditions of the Other Stock-Based Awards, including any dividend or voting rights and whether the Award should be paid in cash.</w:t>
      </w:r>
    </w:p>
    <w:p>
      <w:pPr>
        <w:spacing w:after="0" w:line="213" w:lineRule="exact"/>
        <w:rPr>
          <w:rFonts w:ascii="Arial" w:cs="Arial" w:eastAsia="Arial" w:hAnsi="Arial"/>
          <w:sz w:val="18"/>
          <w:szCs w:val="18"/>
          <w:color w:val="auto"/>
        </w:rPr>
      </w:pPr>
    </w:p>
    <w:p>
      <w:pPr>
        <w:jc w:val="both"/>
        <w:ind w:firstLine="656"/>
        <w:spacing w:after="0" w:line="271" w:lineRule="auto"/>
        <w:tabs>
          <w:tab w:leader="none" w:pos="932" w:val="left"/>
        </w:tabs>
        <w:numPr>
          <w:ilvl w:val="0"/>
          <w:numId w:val="182"/>
        </w:numPr>
        <w:rPr>
          <w:rFonts w:ascii="Arial" w:cs="Arial" w:eastAsia="Arial" w:hAnsi="Arial"/>
          <w:sz w:val="17"/>
          <w:szCs w:val="17"/>
          <w:color w:val="auto"/>
        </w:rPr>
      </w:pPr>
      <w:r>
        <w:rPr>
          <w:rFonts w:ascii="Arial" w:cs="Arial" w:eastAsia="Arial" w:hAnsi="Arial"/>
          <w:sz w:val="17"/>
          <w:szCs w:val="17"/>
          <w:u w:val="single" w:color="auto"/>
          <w:color w:val="auto"/>
        </w:rPr>
        <w:t>Leaves of Absence</w:t>
      </w:r>
      <w:r>
        <w:rPr>
          <w:rFonts w:ascii="Arial" w:cs="Arial" w:eastAsia="Arial" w:hAnsi="Arial"/>
          <w:sz w:val="17"/>
          <w:szCs w:val="17"/>
          <w:color w:val="auto"/>
        </w:rPr>
        <w:t>. Unless the Administrator provides otherwise, vesting of Awards granted under this Plan will be suspended during any unpaid leave of absence and will resume on the date the Participant returns to work on a regular schedule as determined by the Company; provided, but no vesting credit will be awarded for the time vesting has been suspended during such leave of absence. A Service Provider will not cease to be an Employee in the case of (i) any leave of absence approved by the Company or (ii) transfers between locations of the Company or between the Company, its Parent, or any Subsidiary. For purposes of Incentive Stock Options, no leave of absence may exceed 90 days, unless reemployment upon expiration of such leave is guaranteed by statute or contract. If reemployment upon expiration of a leave of absence approved by the Company is not guaranteed by statute or contract, then at the end of three months after the expiration of the leave of absence, any Incentive Stock Option held by the Participant will cease to be treated as an Incentive Stock Option and will be treated for tax purposes as a Nonstatutory Stock Option.</w:t>
      </w:r>
    </w:p>
    <w:p>
      <w:pPr>
        <w:spacing w:after="0" w:line="205" w:lineRule="exact"/>
        <w:rPr>
          <w:rFonts w:ascii="Arial" w:cs="Arial" w:eastAsia="Arial" w:hAnsi="Arial"/>
          <w:sz w:val="17"/>
          <w:szCs w:val="17"/>
          <w:color w:val="auto"/>
        </w:rPr>
      </w:pPr>
    </w:p>
    <w:p>
      <w:pPr>
        <w:jc w:val="both"/>
        <w:ind w:firstLine="656"/>
        <w:spacing w:after="0" w:line="259" w:lineRule="auto"/>
        <w:tabs>
          <w:tab w:leader="none" w:pos="918"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Non-Transferability of Awards</w:t>
      </w:r>
      <w:r>
        <w:rPr>
          <w:rFonts w:ascii="Arial" w:cs="Arial" w:eastAsia="Arial" w:hAnsi="Arial"/>
          <w:sz w:val="18"/>
          <w:szCs w:val="18"/>
          <w:color w:val="auto"/>
        </w:rPr>
        <w:t>. Unless determined otherwise by the Administrator,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such Award may contain such additional terms and conditions as the Administrator deems appropriate.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8" w:name="page269"/>
    <w:bookmarkEnd w:id="268"/>
    <w:p>
      <w:pPr>
        <w:ind w:left="920" w:hanging="264"/>
        <w:spacing w:after="0"/>
        <w:tabs>
          <w:tab w:leader="none" w:pos="920"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Adjustments; Dissolution or Liquidation; Change in Control</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firstLine="818"/>
        <w:spacing w:after="0" w:line="218" w:lineRule="exact"/>
        <w:tabs>
          <w:tab w:leader="none" w:pos="1068" w:val="left"/>
        </w:tabs>
        <w:numPr>
          <w:ilvl w:val="1"/>
          <w:numId w:val="183"/>
        </w:numPr>
        <w:rPr>
          <w:rFonts w:ascii="Arial" w:cs="Arial" w:eastAsia="Arial" w:hAnsi="Arial"/>
          <w:sz w:val="17"/>
          <w:szCs w:val="17"/>
          <w:color w:val="auto"/>
        </w:rPr>
      </w:pPr>
      <w:r>
        <w:rPr>
          <w:rFonts w:ascii="Arial" w:cs="Arial" w:eastAsia="Arial" w:hAnsi="Arial"/>
          <w:sz w:val="17"/>
          <w:szCs w:val="17"/>
          <w:u w:val="single" w:color="auto"/>
          <w:color w:val="auto"/>
        </w:rPr>
        <w:t>Adjustments</w:t>
      </w:r>
      <w:r>
        <w:rPr>
          <w:rFonts w:ascii="Arial" w:cs="Arial" w:eastAsia="Arial" w:hAnsi="Arial"/>
          <w:sz w:val="17"/>
          <w:szCs w:val="17"/>
          <w:color w:val="auto"/>
        </w:rPr>
        <w:t>. In the event of any change in the outstanding Shares of Common Stock by reason of any stock split, stock dividend or other non</w:t>
      </w:r>
      <w:r>
        <w:rPr>
          <w:rFonts w:ascii="MS PGothic" w:cs="MS PGothic" w:eastAsia="MS PGothic" w:hAnsi="MS PGothic"/>
          <w:sz w:val="17"/>
          <w:szCs w:val="17"/>
          <w:color w:val="auto"/>
        </w:rPr>
        <w:t>‑</w:t>
      </w:r>
      <w:r>
        <w:rPr>
          <w:rFonts w:ascii="Arial" w:cs="Arial" w:eastAsia="Arial" w:hAnsi="Arial"/>
          <w:sz w:val="17"/>
          <w:szCs w:val="17"/>
          <w:color w:val="auto"/>
        </w:rPr>
        <w:t>recurring dividends or distributions, recapitalization, merger, consolidation, spin</w:t>
      </w:r>
      <w:r>
        <w:rPr>
          <w:rFonts w:ascii="MS PGothic" w:cs="MS PGothic" w:eastAsia="MS PGothic" w:hAnsi="MS PGothic"/>
          <w:sz w:val="17"/>
          <w:szCs w:val="17"/>
          <w:color w:val="auto"/>
        </w:rPr>
        <w:t>‑</w:t>
      </w:r>
      <w:r>
        <w:rPr>
          <w:rFonts w:ascii="Arial" w:cs="Arial" w:eastAsia="Arial" w:hAnsi="Arial"/>
          <w:sz w:val="17"/>
          <w:szCs w:val="17"/>
          <w:color w:val="auto"/>
        </w:rPr>
        <w:t>off, combination, repurchase or exchange of stock, reorganization, liquidation, dissolution or other similar corporate transaction that affects the Common Stock, an adjustment may be made, as the Administrator deems necessary or appropriate, in order to prevent dilution or enlargement of the benefits or potential benefits intended to be made available under this Plan. Such adjustment may include an adjustment to the number and class of Shares which may be delivered under this Plan, the number, class and price of Shares subject to outstanding Awards, the number and class of Shares issuable pursuant to Options, and the numerical limits contained in Sections 3 and 6(b). Notwithstanding the preceding sentence, the number of Shares subject to any Award always will be a whole number.</w:t>
      </w:r>
    </w:p>
    <w:p>
      <w:pPr>
        <w:spacing w:after="0" w:line="233" w:lineRule="exact"/>
        <w:rPr>
          <w:rFonts w:ascii="Arial" w:cs="Arial" w:eastAsia="Arial" w:hAnsi="Arial"/>
          <w:sz w:val="17"/>
          <w:szCs w:val="17"/>
          <w:color w:val="auto"/>
        </w:rPr>
      </w:pPr>
    </w:p>
    <w:p>
      <w:pPr>
        <w:jc w:val="both"/>
        <w:ind w:firstLine="818"/>
        <w:spacing w:after="0" w:line="272" w:lineRule="auto"/>
        <w:tabs>
          <w:tab w:leader="none" w:pos="1092" w:val="left"/>
        </w:tabs>
        <w:numPr>
          <w:ilvl w:val="1"/>
          <w:numId w:val="183"/>
        </w:numPr>
        <w:rPr>
          <w:rFonts w:ascii="Arial" w:cs="Arial" w:eastAsia="Arial" w:hAnsi="Arial"/>
          <w:sz w:val="17"/>
          <w:szCs w:val="17"/>
          <w:color w:val="auto"/>
        </w:rPr>
      </w:pPr>
      <w:r>
        <w:rPr>
          <w:rFonts w:ascii="Arial" w:cs="Arial" w:eastAsia="Arial" w:hAnsi="Arial"/>
          <w:sz w:val="17"/>
          <w:szCs w:val="17"/>
          <w:u w:val="single" w:color="auto"/>
          <w:color w:val="auto"/>
        </w:rPr>
        <w:t>Dissolution or Liquidation</w:t>
      </w:r>
      <w:r>
        <w:rPr>
          <w:rFonts w:ascii="Arial" w:cs="Arial" w:eastAsia="Arial" w:hAnsi="Arial"/>
          <w:sz w:val="17"/>
          <w:szCs w:val="17"/>
          <w:color w:val="auto"/>
        </w:rPr>
        <w:t>. In the event of the proposed dissolution or liquidation of the Company, the Administrator will notify each Participant as soon as practical prior to the effective date of the proposed transaction. The Administrator, in its sole discretion, may provide for a Participant to have the right to exercise his or her Award, to the extent applicable, until 10 days prior to the transaction as to all of the Awarded Stock covered thereby, including Shares as to which the Award would not otherwise be exercisable. In addition, the Administrator may provide that any Company repurchase option or forfeiture rights applicable to any Award will lapse with respect to 100% of the Shares underlying such Award, and that any Award vesting will accelerate in full, provided the proposed dissolution or liquidation takes place at the time and in the manner contemplated. To the extent it has not been previously exercised or vested, an Award will terminate immediately prior to the consummation of such liquidation or dissolution.</w:t>
      </w:r>
    </w:p>
    <w:p>
      <w:pPr>
        <w:spacing w:after="0" w:line="204" w:lineRule="exact"/>
        <w:rPr>
          <w:rFonts w:ascii="Arial" w:cs="Arial" w:eastAsia="Arial" w:hAnsi="Arial"/>
          <w:sz w:val="17"/>
          <w:szCs w:val="17"/>
          <w:color w:val="auto"/>
        </w:rPr>
      </w:pPr>
    </w:p>
    <w:p>
      <w:pPr>
        <w:ind w:left="1060" w:hanging="242"/>
        <w:spacing w:after="0"/>
        <w:tabs>
          <w:tab w:leader="none" w:pos="1060" w:val="left"/>
        </w:tabs>
        <w:numPr>
          <w:ilvl w:val="1"/>
          <w:numId w:val="183"/>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This Section 15(c) will apply except to the extent otherwise provided in the Award Agreement.</w:t>
      </w:r>
    </w:p>
    <w:p>
      <w:pPr>
        <w:spacing w:after="0" w:line="279" w:lineRule="exact"/>
        <w:rPr>
          <w:rFonts w:ascii="Arial" w:cs="Arial" w:eastAsia="Arial" w:hAnsi="Arial"/>
          <w:sz w:val="18"/>
          <w:szCs w:val="18"/>
          <w:color w:val="auto"/>
        </w:rPr>
      </w:pPr>
    </w:p>
    <w:p>
      <w:pPr>
        <w:jc w:val="both"/>
        <w:ind w:firstLine="1142"/>
        <w:spacing w:after="0" w:line="217" w:lineRule="exact"/>
        <w:tabs>
          <w:tab w:leader="none" w:pos="1358" w:val="left"/>
        </w:tabs>
        <w:numPr>
          <w:ilvl w:val="2"/>
          <w:numId w:val="183"/>
        </w:numPr>
        <w:rPr>
          <w:rFonts w:ascii="Arial" w:cs="Arial" w:eastAsia="Arial" w:hAnsi="Arial"/>
          <w:sz w:val="16"/>
          <w:szCs w:val="16"/>
          <w:color w:val="auto"/>
        </w:rPr>
      </w:pPr>
      <w:r>
        <w:rPr>
          <w:rFonts w:ascii="Arial" w:cs="Arial" w:eastAsia="Arial" w:hAnsi="Arial"/>
          <w:sz w:val="16"/>
          <w:szCs w:val="16"/>
          <w:u w:val="single" w:color="auto"/>
          <w:color w:val="auto"/>
        </w:rPr>
        <w:t>Stock Options and SARs</w:t>
      </w:r>
      <w:r>
        <w:rPr>
          <w:rFonts w:ascii="Arial" w:cs="Arial" w:eastAsia="Arial" w:hAnsi="Arial"/>
          <w:sz w:val="16"/>
          <w:szCs w:val="16"/>
          <w:color w:val="auto"/>
        </w:rPr>
        <w:t>. In the event of a Change in Control, each outstanding Option and SAR must be assumed or an equivalent option or SAR substituted by the successor corporation or a Parent or Subsidiary of the successor corporation (collectively, a “</w:t>
      </w:r>
      <w:r>
        <w:rPr>
          <w:rFonts w:ascii="Arial" w:cs="Arial" w:eastAsia="Arial" w:hAnsi="Arial"/>
          <w:sz w:val="16"/>
          <w:szCs w:val="16"/>
          <w:b w:val="1"/>
          <w:bCs w:val="1"/>
          <w:i w:val="1"/>
          <w:iCs w:val="1"/>
          <w:color w:val="auto"/>
        </w:rPr>
        <w:t>Successor Corporation</w:t>
      </w:r>
      <w:r>
        <w:rPr>
          <w:rFonts w:ascii="Arial" w:cs="Arial" w:eastAsia="Arial" w:hAnsi="Arial"/>
          <w:sz w:val="16"/>
          <w:szCs w:val="16"/>
          <w:color w:val="auto"/>
        </w:rPr>
        <w:t>”). Unless determined otherwise by the Administrator, if the Successor Corporation refuses to assume or substitute for the Option or SAR upon a Change in Control, the Participant will fully vest in and have the right to exercise the Option or SAR as to all of the Awarded Stock, including Shares as to which it would not otherwise be vested or exercisable. If an Option or SAR is not assumed or substituted on the Change in Control, the Administrator will notify the Participant in writing or electronically that the Option or SAR will be exercisable, for a period of up to 15 days from the date of such notice, and the Option or SAR will terminate upon the expiration of such period. For the purposes of this Section 15(c)(i), the Option or SAR will be considered assumed if, following the Change in Control, the option or SAR confers the right to purchase or receive, for each Share of Awarded Stock subject to the Option or SAR immediately prior to the Change in Control, the consideration (whether securities, cash, or property) received in the Change in Control by holders of Common Stock for each Share held on the effective date of the transaction (and if holders were offered a choice of consideration, the type of consideration chosen by the holders of a majority of the outstanding Shares). However, if the consideration received in the Change in Control is not solely common stock of the Successor Corporation, the Administrator may, with the consent of the successor corporation, provide for the consideration to be received upon the exercise of the Option or SAR, for each share of Awarded Stock subject to the Option or SAR, to be solely common stock of the Successor Corporation or its Parent equal in Fair Market Value to the per share consideration received by holders of Common Stock in the Change in Control. Notwithstanding anything in this Plan to the contrary, an Award that vests, is earned, or is paid out upon the satisfaction of one or more performance objectives will not be considered assumed if the Company or its successor modifies any of the performance objectives without the Participant’s consent; but a modification to performance objectives only to reflect the Successor Corporation’s post</w:t>
      </w:r>
      <w:r>
        <w:rPr>
          <w:rFonts w:ascii="MS PGothic" w:cs="MS PGothic" w:eastAsia="MS PGothic" w:hAnsi="MS PGothic"/>
          <w:sz w:val="16"/>
          <w:szCs w:val="16"/>
          <w:color w:val="auto"/>
        </w:rPr>
        <w:t>‑</w:t>
      </w:r>
      <w:r>
        <w:rPr>
          <w:rFonts w:ascii="Arial" w:cs="Arial" w:eastAsia="Arial" w:hAnsi="Arial"/>
          <w:sz w:val="16"/>
          <w:szCs w:val="16"/>
          <w:color w:val="auto"/>
        </w:rPr>
        <w:t>Change in Control corporate structure will not be deemed to invalidate an otherwise valid Award assumption.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9" w:name="page270"/>
    <w:bookmarkEnd w:id="269"/>
    <w:p>
      <w:pPr>
        <w:jc w:val="both"/>
        <w:ind w:firstLine="1142"/>
        <w:spacing w:after="0" w:line="217" w:lineRule="exact"/>
        <w:tabs>
          <w:tab w:leader="none" w:pos="1426" w:val="left"/>
        </w:tabs>
        <w:numPr>
          <w:ilvl w:val="1"/>
          <w:numId w:val="184"/>
        </w:numPr>
        <w:rPr>
          <w:rFonts w:ascii="Arial" w:cs="Arial" w:eastAsia="Arial" w:hAnsi="Arial"/>
          <w:sz w:val="17"/>
          <w:szCs w:val="17"/>
          <w:color w:val="auto"/>
        </w:rPr>
      </w:pPr>
      <w:r>
        <w:rPr>
          <w:rFonts w:ascii="Arial" w:cs="Arial" w:eastAsia="Arial" w:hAnsi="Arial"/>
          <w:sz w:val="17"/>
          <w:szCs w:val="17"/>
          <w:u w:val="single" w:color="auto"/>
          <w:color w:val="auto"/>
        </w:rPr>
        <w:t>Restricted Stock, Performance Shares, Performance Units, Restricted Stock Units and Other Stock Based Awards</w:t>
      </w:r>
      <w:r>
        <w:rPr>
          <w:rFonts w:ascii="Arial" w:cs="Arial" w:eastAsia="Arial" w:hAnsi="Arial"/>
          <w:sz w:val="17"/>
          <w:szCs w:val="17"/>
          <w:color w:val="auto"/>
        </w:rPr>
        <w:t>. In the event of a Change in Control, each outstanding Award of Restricted Stock, Restricted Stock Unit, Performance Share, Performance Unit, and Other Stock Based Award must be assumed or an equivalent Restricted Stock, Restricted Stock Unit, Performance Share, Performance Unit, and Other Stock Based Award must be substituted by the Successor Corporation. Unless determined otherwise by the Administrator, if the Successor Corporation refuses to assume or substitute for the Award upon the Change in Control, the Participant will fully vest in the Award, including as to Shares or Units that would not otherwise be vested, all applicable restrictions will lapse, and all performance objectives and other vesting criteria will be deemed achieved at targeted levels. For the purposes of this Section 15(c)(ii), an Award of Restricted Stock, Restricted Stock Units, Performance Shares, Performance Units, and Other Stock Based Awards will be considered assumed if, following the Change in Control, the award confers the right to purchase or receive, for each Share subject to the Award immediately prior to the Change in Control (and if a Restricted Stock Unit or Performance Unit, for each Share as determined based on the then current value of the unit),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However, if the consideration received in the Change in Control is not solely common stock of the Successor Corporation or its Parent, the Administrator may, with the consent of the Successor Corporation, provide that the consideration to be received for each Share (and if a Restricted Stock Unit or Performance Unit, for each Share as determined based on the then current value of the unit) be solely common stock of the Successor Corporation or its Parent equal in fair market value to the per share consideration received by holders of Common Stock in the Change in Control. Notwithstanding anything in this Plan to the contrary, an Award that vests, is earned, or is paid</w:t>
      </w:r>
      <w:r>
        <w:rPr>
          <w:rFonts w:ascii="MS PGothic" w:cs="MS PGothic" w:eastAsia="MS PGothic" w:hAnsi="MS PGothic"/>
          <w:sz w:val="17"/>
          <w:szCs w:val="17"/>
          <w:color w:val="auto"/>
        </w:rPr>
        <w:t>‑</w:t>
      </w:r>
      <w:r>
        <w:rPr>
          <w:rFonts w:ascii="Arial" w:cs="Arial" w:eastAsia="Arial" w:hAnsi="Arial"/>
          <w:sz w:val="17"/>
          <w:szCs w:val="17"/>
          <w:color w:val="auto"/>
        </w:rPr>
        <w:t>out upon the satisfaction of one or more performance objectives will not be considered assumed if the Company or its successor modifies any of the performance objectives without the Participant’s consent; but a modification to the performance objectives only to reflect the Successor Corporation’s post</w:t>
      </w:r>
      <w:r>
        <w:rPr>
          <w:rFonts w:ascii="MS PGothic" w:cs="MS PGothic" w:eastAsia="MS PGothic" w:hAnsi="MS PGothic"/>
          <w:sz w:val="17"/>
          <w:szCs w:val="17"/>
          <w:color w:val="auto"/>
        </w:rPr>
        <w:t>‑</w:t>
      </w:r>
      <w:r>
        <w:rPr>
          <w:rFonts w:ascii="Arial" w:cs="Arial" w:eastAsia="Arial" w:hAnsi="Arial"/>
          <w:sz w:val="17"/>
          <w:szCs w:val="17"/>
          <w:color w:val="auto"/>
        </w:rPr>
        <w:t>Change in Control corporate structure will not be deemed to invalidate an otherwise valid Award assumption.</w:t>
      </w:r>
    </w:p>
    <w:p>
      <w:pPr>
        <w:spacing w:after="0" w:line="232" w:lineRule="exact"/>
        <w:rPr>
          <w:rFonts w:ascii="Arial" w:cs="Arial" w:eastAsia="Arial" w:hAnsi="Arial"/>
          <w:sz w:val="17"/>
          <w:szCs w:val="17"/>
          <w:color w:val="auto"/>
        </w:rPr>
      </w:pPr>
    </w:p>
    <w:p>
      <w:pPr>
        <w:jc w:val="both"/>
        <w:ind w:firstLine="1142"/>
        <w:spacing w:after="0" w:line="255" w:lineRule="auto"/>
        <w:tabs>
          <w:tab w:leader="none" w:pos="1449" w:val="left"/>
        </w:tabs>
        <w:numPr>
          <w:ilvl w:val="1"/>
          <w:numId w:val="184"/>
        </w:numPr>
        <w:rPr>
          <w:rFonts w:ascii="Arial" w:cs="Arial" w:eastAsia="Arial" w:hAnsi="Arial"/>
          <w:sz w:val="18"/>
          <w:szCs w:val="18"/>
          <w:color w:val="auto"/>
        </w:rPr>
      </w:pPr>
      <w:r>
        <w:rPr>
          <w:rFonts w:ascii="Arial" w:cs="Arial" w:eastAsia="Arial" w:hAnsi="Arial"/>
          <w:sz w:val="18"/>
          <w:szCs w:val="18"/>
          <w:u w:val="single" w:color="auto"/>
          <w:color w:val="auto"/>
        </w:rPr>
        <w:t>Non-Employee Director Awards</w:t>
      </w:r>
      <w:r>
        <w:rPr>
          <w:rFonts w:ascii="Arial" w:cs="Arial" w:eastAsia="Arial" w:hAnsi="Arial"/>
          <w:sz w:val="18"/>
          <w:szCs w:val="18"/>
          <w:color w:val="auto"/>
        </w:rPr>
        <w:t>. Notwithstanding any provision of Sections 15(c)(i) or 15(c)(ii) to the contrary, with respect to Awards granted to a non-Employee Director that are assumed or substituted, if on the date of or following the assumption or substitution, the Participant’s status as a Director or a director of the Successor corporation, as applicable, is terminated other than upon a voluntary resignation by the Participant, then the Participant will fully vest in and have the right to exercise his or her Options and Stock Appreciation Rights as to all of the Award, including Shares as to which such Awards would not otherwise be vested or exercisable, and all restrictions on Restricted Stock and Restricted Stock Units, as applicable, will lapse, and, with respect to Performance Shares, Performance Units, and Other Stock Based Awards, all performance goals and other vesting criteria will be deemed achieved at target levels and all other terms and conditions met.</w:t>
      </w:r>
    </w:p>
    <w:p>
      <w:pPr>
        <w:spacing w:after="0" w:line="216" w:lineRule="exact"/>
        <w:rPr>
          <w:rFonts w:ascii="Arial" w:cs="Arial" w:eastAsia="Arial" w:hAnsi="Arial"/>
          <w:sz w:val="18"/>
          <w:szCs w:val="18"/>
          <w:color w:val="auto"/>
        </w:rPr>
      </w:pPr>
    </w:p>
    <w:p>
      <w:pPr>
        <w:jc w:val="both"/>
        <w:ind w:firstLine="656"/>
        <w:spacing w:after="0" w:line="264" w:lineRule="auto"/>
        <w:tabs>
          <w:tab w:leader="none" w:pos="918"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Date of Grant</w:t>
      </w:r>
      <w:r>
        <w:rPr>
          <w:rFonts w:ascii="Arial" w:cs="Arial" w:eastAsia="Arial" w:hAnsi="Arial"/>
          <w:sz w:val="18"/>
          <w:szCs w:val="18"/>
          <w:color w:val="auto"/>
        </w:rPr>
        <w:t>. The date of grant of an Award will be, for all purposes, the date on which the Administrator makes the determination granting such Award, or a later date as is determined by the Administrator. The Administrator will provide a notice of the determination to each Participant within a reasonable time after the date of such grant.</w:t>
      </w:r>
    </w:p>
    <w:p>
      <w:pPr>
        <w:spacing w:after="0" w:line="208" w:lineRule="exact"/>
        <w:rPr>
          <w:rFonts w:ascii="Arial" w:cs="Arial" w:eastAsia="Arial" w:hAnsi="Arial"/>
          <w:sz w:val="18"/>
          <w:szCs w:val="18"/>
          <w:color w:val="auto"/>
        </w:rPr>
      </w:pPr>
    </w:p>
    <w:p>
      <w:pPr>
        <w:jc w:val="both"/>
        <w:ind w:firstLine="656"/>
        <w:spacing w:after="0" w:line="264" w:lineRule="auto"/>
        <w:tabs>
          <w:tab w:leader="none" w:pos="918"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Board and Shareholder Approval; Term of Plan</w:t>
      </w:r>
      <w:r>
        <w:rPr>
          <w:rFonts w:ascii="Arial" w:cs="Arial" w:eastAsia="Arial" w:hAnsi="Arial"/>
          <w:sz w:val="18"/>
          <w:szCs w:val="18"/>
          <w:color w:val="auto"/>
        </w:rPr>
        <w:t>. The Board approved this Plan on January 16, 2019 and the Company’s shareholders approved this Plan on March 6, 2019, to be effective on January 16, 2019. From its effectiveness, this Plan will continue in effect for a term of ten years unless terminated earlier under Section 18.</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0" w:name="page271"/>
    <w:bookmarkEnd w:id="270"/>
    <w:p>
      <w:pPr>
        <w:ind w:left="920" w:hanging="264"/>
        <w:spacing w:after="0"/>
        <w:tabs>
          <w:tab w:leader="none" w:pos="920"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 of this Plan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060" w:hanging="242"/>
        <w:spacing w:after="0"/>
        <w:tabs>
          <w:tab w:leader="none" w:pos="1060" w:val="left"/>
        </w:tabs>
        <w:numPr>
          <w:ilvl w:val="1"/>
          <w:numId w:val="186"/>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w:t>
      </w:r>
      <w:r>
        <w:rPr>
          <w:rFonts w:ascii="Arial" w:cs="Arial" w:eastAsia="Arial" w:hAnsi="Arial"/>
          <w:sz w:val="18"/>
          <w:szCs w:val="18"/>
          <w:color w:val="auto"/>
        </w:rPr>
        <w:t>. The Board may at any time amend, alter, suspend or terminate this Plan.</w:t>
      </w:r>
    </w:p>
    <w:p>
      <w:pPr>
        <w:spacing w:after="0" w:line="252" w:lineRule="exact"/>
        <w:rPr>
          <w:rFonts w:ascii="Arial" w:cs="Arial" w:eastAsia="Arial" w:hAnsi="Arial"/>
          <w:sz w:val="18"/>
          <w:szCs w:val="18"/>
          <w:color w:val="auto"/>
        </w:rPr>
      </w:pPr>
    </w:p>
    <w:p>
      <w:pPr>
        <w:ind w:firstLine="818"/>
        <w:spacing w:after="0" w:line="277" w:lineRule="auto"/>
        <w:tabs>
          <w:tab w:leader="none" w:pos="1092" w:val="left"/>
        </w:tabs>
        <w:numPr>
          <w:ilvl w:val="1"/>
          <w:numId w:val="186"/>
        </w:numPr>
        <w:rPr>
          <w:rFonts w:ascii="Arial" w:cs="Arial" w:eastAsia="Arial" w:hAnsi="Arial"/>
          <w:sz w:val="18"/>
          <w:szCs w:val="18"/>
          <w:color w:val="auto"/>
        </w:rPr>
      </w:pPr>
      <w:r>
        <w:rPr>
          <w:rFonts w:ascii="Arial" w:cs="Arial" w:eastAsia="Arial" w:hAnsi="Arial"/>
          <w:sz w:val="18"/>
          <w:szCs w:val="18"/>
          <w:u w:val="single" w:color="auto"/>
          <w:color w:val="auto"/>
        </w:rPr>
        <w:t>Shareholder Approval</w:t>
      </w:r>
      <w:r>
        <w:rPr>
          <w:rFonts w:ascii="Arial" w:cs="Arial" w:eastAsia="Arial" w:hAnsi="Arial"/>
          <w:sz w:val="18"/>
          <w:szCs w:val="18"/>
          <w:color w:val="auto"/>
        </w:rPr>
        <w:t>. The Company will obtain shareholder approval of any Plan amendment to the extent necessary to comply with Applicable Laws.</w:t>
      </w:r>
    </w:p>
    <w:p>
      <w:pPr>
        <w:spacing w:after="0" w:line="197" w:lineRule="exact"/>
        <w:rPr>
          <w:rFonts w:ascii="Arial" w:cs="Arial" w:eastAsia="Arial" w:hAnsi="Arial"/>
          <w:sz w:val="18"/>
          <w:szCs w:val="18"/>
          <w:color w:val="auto"/>
        </w:rPr>
      </w:pPr>
    </w:p>
    <w:p>
      <w:pPr>
        <w:jc w:val="both"/>
        <w:ind w:firstLine="818"/>
        <w:spacing w:after="0" w:line="259" w:lineRule="auto"/>
        <w:tabs>
          <w:tab w:leader="none" w:pos="1055" w:val="left"/>
        </w:tabs>
        <w:numPr>
          <w:ilvl w:val="1"/>
          <w:numId w:val="186"/>
        </w:numPr>
        <w:rPr>
          <w:rFonts w:ascii="Arial" w:cs="Arial" w:eastAsia="Arial" w:hAnsi="Arial"/>
          <w:sz w:val="18"/>
          <w:szCs w:val="18"/>
          <w:color w:val="auto"/>
        </w:rPr>
      </w:pPr>
      <w:r>
        <w:rPr>
          <w:rFonts w:ascii="Arial" w:cs="Arial" w:eastAsia="Arial" w:hAnsi="Arial"/>
          <w:sz w:val="18"/>
          <w:szCs w:val="18"/>
          <w:u w:val="single" w:color="auto"/>
          <w:color w:val="auto"/>
        </w:rPr>
        <w:t>Effect of Amendment or Termination</w:t>
      </w:r>
      <w:r>
        <w:rPr>
          <w:rFonts w:ascii="Arial" w:cs="Arial" w:eastAsia="Arial" w:hAnsi="Arial"/>
          <w:sz w:val="18"/>
          <w:szCs w:val="18"/>
          <w:color w:val="auto"/>
        </w:rPr>
        <w:t>. No amendment, alteration, suspension, or termination of this Plan will materially or adversely impair the rights of any Participant, unless otherwise mutually agreed upon by the Participant and the Administrator, which agreement must be in writing and signed by the Participant and the Company. Termination of this Plan will not affect the Administrator’s ability to exercise the powers granted to it under this Plan with respect to Awards granted under this Plan prior to the date of termination.</w:t>
      </w:r>
    </w:p>
    <w:p>
      <w:pPr>
        <w:spacing w:after="0" w:line="213" w:lineRule="exact"/>
        <w:rPr>
          <w:rFonts w:ascii="Arial" w:cs="Arial" w:eastAsia="Arial" w:hAnsi="Arial"/>
          <w:sz w:val="18"/>
          <w:szCs w:val="18"/>
          <w:color w:val="auto"/>
        </w:rPr>
      </w:pPr>
    </w:p>
    <w:p>
      <w:pPr>
        <w:ind w:left="920" w:hanging="264"/>
        <w:spacing w:after="0"/>
        <w:tabs>
          <w:tab w:leader="none" w:pos="920"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Conditions upon Issuance of Shares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firstLine="818"/>
        <w:spacing w:after="0" w:line="342" w:lineRule="auto"/>
        <w:tabs>
          <w:tab w:leader="none" w:pos="1068" w:val="left"/>
        </w:tabs>
        <w:numPr>
          <w:ilvl w:val="1"/>
          <w:numId w:val="186"/>
        </w:numPr>
        <w:rPr>
          <w:rFonts w:ascii="Arial" w:cs="Arial" w:eastAsia="Arial" w:hAnsi="Arial"/>
          <w:sz w:val="16"/>
          <w:szCs w:val="16"/>
          <w:color w:val="auto"/>
        </w:rPr>
      </w:pPr>
      <w:r>
        <w:rPr>
          <w:rFonts w:ascii="Arial" w:cs="Arial" w:eastAsia="Arial" w:hAnsi="Arial"/>
          <w:sz w:val="16"/>
          <w:szCs w:val="16"/>
          <w:u w:val="single" w:color="auto"/>
          <w:color w:val="auto"/>
        </w:rPr>
        <w:t>Legal Compliance</w:t>
      </w:r>
      <w:r>
        <w:rPr>
          <w:rFonts w:ascii="Arial" w:cs="Arial" w:eastAsia="Arial" w:hAnsi="Arial"/>
          <w:sz w:val="16"/>
          <w:szCs w:val="16"/>
          <w:color w:val="auto"/>
        </w:rPr>
        <w:t>. Shares will not be issued pursuant to the exercise of an Award unless the exercise of the Award and the issuance and delivery of such Shares will comply with Applicable Laws and will be subject to the approval of counsel for the Company with respect to such compliance.</w:t>
      </w:r>
    </w:p>
    <w:p>
      <w:pPr>
        <w:spacing w:after="0" w:line="150" w:lineRule="exact"/>
        <w:rPr>
          <w:rFonts w:ascii="Arial" w:cs="Arial" w:eastAsia="Arial" w:hAnsi="Arial"/>
          <w:sz w:val="16"/>
          <w:szCs w:val="16"/>
          <w:color w:val="auto"/>
        </w:rPr>
      </w:pPr>
    </w:p>
    <w:p>
      <w:pPr>
        <w:jc w:val="both"/>
        <w:ind w:firstLine="818"/>
        <w:spacing w:after="0" w:line="286" w:lineRule="auto"/>
        <w:tabs>
          <w:tab w:leader="none" w:pos="1092" w:val="left"/>
        </w:tabs>
        <w:numPr>
          <w:ilvl w:val="1"/>
          <w:numId w:val="186"/>
        </w:numPr>
        <w:rPr>
          <w:rFonts w:ascii="Arial" w:cs="Arial" w:eastAsia="Arial" w:hAnsi="Arial"/>
          <w:sz w:val="17"/>
          <w:szCs w:val="17"/>
          <w:color w:val="auto"/>
        </w:rPr>
      </w:pPr>
      <w:r>
        <w:rPr>
          <w:rFonts w:ascii="Arial" w:cs="Arial" w:eastAsia="Arial" w:hAnsi="Arial"/>
          <w:sz w:val="17"/>
          <w:szCs w:val="17"/>
          <w:u w:val="single" w:color="auto"/>
          <w:color w:val="auto"/>
        </w:rPr>
        <w:t>Investment Representations</w:t>
      </w:r>
      <w:r>
        <w:rPr>
          <w:rFonts w:ascii="Arial" w:cs="Arial" w:eastAsia="Arial" w:hAnsi="Arial"/>
          <w:sz w:val="17"/>
          <w:szCs w:val="17"/>
          <w:color w:val="auto"/>
        </w:rPr>
        <w:t>. As a condition to the exercise or receipt of an Award, the Company may require the person exercising or receiving the Award to represent and warrant at the time of any such exercise or receipt that the Shares are being purchased only for investment and without any present intention to sell or distribute the Shares if, in the opinion of counsel for the Company, such a representation is required.</w:t>
      </w:r>
    </w:p>
    <w:p>
      <w:pPr>
        <w:spacing w:after="0" w:line="192" w:lineRule="exact"/>
        <w:rPr>
          <w:rFonts w:ascii="Arial" w:cs="Arial" w:eastAsia="Arial" w:hAnsi="Arial"/>
          <w:sz w:val="17"/>
          <w:szCs w:val="17"/>
          <w:color w:val="auto"/>
        </w:rPr>
      </w:pPr>
    </w:p>
    <w:p>
      <w:pPr>
        <w:jc w:val="both"/>
        <w:ind w:firstLine="818"/>
        <w:spacing w:after="0" w:line="255" w:lineRule="auto"/>
        <w:tabs>
          <w:tab w:leader="none" w:pos="1082" w:val="left"/>
        </w:tabs>
        <w:numPr>
          <w:ilvl w:val="1"/>
          <w:numId w:val="186"/>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No Shares will be delivered under this Plan to any Participant or other person until the Participant or other person has made arrangements acceptable to the Administrator for the satisfaction of any non-U.S., U.S.-federal, U.S.-state, or local income and employment tax withholding obligations, including, without limitation, obligations incident to the receipt of Shares. Upon exercise or vesting of an Award, the Company will withhold or collect from the Participant an amount sufficient to satisfy such tax obligations, including, but not limited to, by surrender of up to the whole number of Shares covered by the Award sufficient to satisfy the withholding obligations incident to the exercise or vesting of an Award based on the maximum individual income tax rate in the applicable jurisdiction.</w:t>
      </w:r>
    </w:p>
    <w:p>
      <w:pPr>
        <w:spacing w:after="0" w:line="220" w:lineRule="exact"/>
        <w:rPr>
          <w:rFonts w:ascii="Arial" w:cs="Arial" w:eastAsia="Arial" w:hAnsi="Arial"/>
          <w:sz w:val="18"/>
          <w:szCs w:val="18"/>
          <w:color w:val="auto"/>
        </w:rPr>
      </w:pPr>
    </w:p>
    <w:p>
      <w:pPr>
        <w:jc w:val="both"/>
        <w:ind w:firstLine="656"/>
        <w:spacing w:after="0" w:line="259" w:lineRule="auto"/>
        <w:tabs>
          <w:tab w:leader="none" w:pos="918"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Notwithstanding any contrary provision of this Plan or an Award to the contrary, if any one or more of the provisions (or any part thereof) of this Plan or any Award Agreement are invalid, illegal, or unenforceable in any respect, such provision will be modified so as to make it valid, legal, and enforceable, and the validity, legality, and enforceability of the remaining provisions (or any part thereof) of this Plan or Award, as applicable, will not in any way be affected or impaired thereby.</w:t>
      </w:r>
    </w:p>
    <w:p>
      <w:pPr>
        <w:spacing w:after="0" w:line="213" w:lineRule="exact"/>
        <w:rPr>
          <w:rFonts w:ascii="Arial" w:cs="Arial" w:eastAsia="Arial" w:hAnsi="Arial"/>
          <w:sz w:val="18"/>
          <w:szCs w:val="18"/>
          <w:color w:val="auto"/>
        </w:rPr>
      </w:pPr>
    </w:p>
    <w:p>
      <w:pPr>
        <w:jc w:val="both"/>
        <w:ind w:firstLine="656"/>
        <w:spacing w:after="0" w:line="264" w:lineRule="auto"/>
        <w:tabs>
          <w:tab w:leader="none" w:pos="918"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Inability to Obtain Authority</w:t>
      </w:r>
      <w:r>
        <w:rPr>
          <w:rFonts w:ascii="Arial" w:cs="Arial" w:eastAsia="Arial" w:hAnsi="Arial"/>
          <w:sz w:val="18"/>
          <w:szCs w:val="18"/>
          <w:color w:val="auto"/>
        </w:rPr>
        <w:t>. The inability of the Company to obtain authority from any regulatory body having jurisdiction, which authority is deemed by the Company’s counsel to be necessary to the lawful issuance and sale of any Shares hereunder, will relieve the Company of any liability in respect of the failure to issue or sell such Shares as to which such requisite authority has not been obtained.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1" w:name="page272"/>
    <w:bookmarkEnd w:id="271"/>
    <w:p>
      <w:pPr>
        <w:ind w:right="20" w:firstLine="656"/>
        <w:spacing w:after="0" w:line="277" w:lineRule="auto"/>
        <w:tabs>
          <w:tab w:leader="none" w:pos="932"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No Rights to Awards</w:t>
      </w:r>
      <w:r>
        <w:rPr>
          <w:rFonts w:ascii="Arial" w:cs="Arial" w:eastAsia="Arial" w:hAnsi="Arial"/>
          <w:sz w:val="18"/>
          <w:szCs w:val="18"/>
          <w:color w:val="auto"/>
        </w:rPr>
        <w:t>. No eligible Service Provider or other person will have any claim to be granted any Award pursuant to this Plan, and neither the Company nor the Administrator will be obligated to treat Participants or any other person uniformly.</w:t>
      </w:r>
    </w:p>
    <w:p>
      <w:pPr>
        <w:spacing w:after="0" w:line="197" w:lineRule="exact"/>
        <w:rPr>
          <w:rFonts w:ascii="Arial" w:cs="Arial" w:eastAsia="Arial" w:hAnsi="Arial"/>
          <w:sz w:val="18"/>
          <w:szCs w:val="18"/>
          <w:color w:val="auto"/>
        </w:rPr>
      </w:pPr>
    </w:p>
    <w:p>
      <w:pPr>
        <w:ind w:firstLine="656"/>
        <w:spacing w:after="0" w:line="277" w:lineRule="auto"/>
        <w:tabs>
          <w:tab w:leader="none" w:pos="918"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No Shareholder Rights</w:t>
      </w:r>
      <w:r>
        <w:rPr>
          <w:rFonts w:ascii="Arial" w:cs="Arial" w:eastAsia="Arial" w:hAnsi="Arial"/>
          <w:sz w:val="18"/>
          <w:szCs w:val="18"/>
          <w:color w:val="auto"/>
        </w:rPr>
        <w:t>. Except as otherwise provided in an Award Agreement, a Participant has none of the rights of a shareholder with respect to Shares covered by an Award until the Participant becomes the record owner of the Shares.</w:t>
      </w:r>
    </w:p>
    <w:p>
      <w:pPr>
        <w:spacing w:after="0" w:line="224" w:lineRule="exact"/>
        <w:rPr>
          <w:rFonts w:ascii="Arial" w:cs="Arial" w:eastAsia="Arial" w:hAnsi="Arial"/>
          <w:sz w:val="18"/>
          <w:szCs w:val="18"/>
          <w:color w:val="auto"/>
        </w:rPr>
      </w:pPr>
    </w:p>
    <w:p>
      <w:pPr>
        <w:ind w:firstLine="656"/>
        <w:spacing w:after="0" w:line="277" w:lineRule="auto"/>
        <w:tabs>
          <w:tab w:leader="none" w:pos="927"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Fractional Shares</w:t>
      </w:r>
      <w:r>
        <w:rPr>
          <w:rFonts w:ascii="Arial" w:cs="Arial" w:eastAsia="Arial" w:hAnsi="Arial"/>
          <w:sz w:val="18"/>
          <w:szCs w:val="18"/>
          <w:color w:val="auto"/>
        </w:rPr>
        <w:t>. No fractional Shares will be issued and the Administrator will determine, in its sole discretion, whether cash will be paid in lieu of fractional Shares or whether such fractional Shares will be eliminated by rounding up or down as appropriate.</w:t>
      </w:r>
    </w:p>
    <w:p>
      <w:pPr>
        <w:spacing w:after="0" w:line="197" w:lineRule="exact"/>
        <w:rPr>
          <w:rFonts w:ascii="Arial" w:cs="Arial" w:eastAsia="Arial" w:hAnsi="Arial"/>
          <w:sz w:val="18"/>
          <w:szCs w:val="18"/>
          <w:color w:val="auto"/>
        </w:rPr>
      </w:pPr>
    </w:p>
    <w:p>
      <w:pPr>
        <w:ind w:right="20" w:firstLine="656"/>
        <w:spacing w:after="0" w:line="277" w:lineRule="auto"/>
        <w:tabs>
          <w:tab w:leader="none" w:pos="918"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Plan, all Award Agreements, and all related matters, are to be governed by the laws of the State of Texas, without regard to choice of law principles that direct the application of the laws of another state.</w:t>
      </w:r>
    </w:p>
    <w:p>
      <w:pPr>
        <w:spacing w:after="0" w:line="197" w:lineRule="exact"/>
        <w:rPr>
          <w:rFonts w:ascii="Arial" w:cs="Arial" w:eastAsia="Arial" w:hAnsi="Arial"/>
          <w:sz w:val="18"/>
          <w:szCs w:val="18"/>
          <w:color w:val="auto"/>
        </w:rPr>
      </w:pPr>
    </w:p>
    <w:p>
      <w:pPr>
        <w:jc w:val="both"/>
        <w:ind w:firstLine="656"/>
        <w:spacing w:after="0" w:line="264" w:lineRule="auto"/>
        <w:tabs>
          <w:tab w:leader="none" w:pos="918"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No Effect on Terms of Employment or Consulting Relationship</w:t>
      </w:r>
      <w:r>
        <w:rPr>
          <w:rFonts w:ascii="Arial" w:cs="Arial" w:eastAsia="Arial" w:hAnsi="Arial"/>
          <w:sz w:val="18"/>
          <w:szCs w:val="18"/>
          <w:color w:val="auto"/>
        </w:rPr>
        <w:t>. This Plan does not confer upon any Participant any right as a Service Provider, nor does it interfere in any way with his or her right or the right of the Company or a Parent or Subsidiary to terminate the Participant’s service at any time, with or without cause, and with or without notice.</w:t>
      </w:r>
    </w:p>
    <w:p>
      <w:pPr>
        <w:spacing w:after="0" w:line="208" w:lineRule="exact"/>
        <w:rPr>
          <w:rFonts w:ascii="Arial" w:cs="Arial" w:eastAsia="Arial" w:hAnsi="Arial"/>
          <w:sz w:val="18"/>
          <w:szCs w:val="18"/>
          <w:color w:val="auto"/>
        </w:rPr>
      </w:pPr>
    </w:p>
    <w:p>
      <w:pPr>
        <w:jc w:val="both"/>
        <w:ind w:firstLine="656"/>
        <w:spacing w:after="0" w:line="289" w:lineRule="auto"/>
        <w:tabs>
          <w:tab w:leader="none" w:pos="918" w:val="left"/>
        </w:tabs>
        <w:numPr>
          <w:ilvl w:val="0"/>
          <w:numId w:val="187"/>
        </w:numPr>
        <w:rPr>
          <w:rFonts w:ascii="Arial" w:cs="Arial" w:eastAsia="Arial" w:hAnsi="Arial"/>
          <w:sz w:val="16"/>
          <w:szCs w:val="16"/>
          <w:color w:val="auto"/>
        </w:rPr>
      </w:pPr>
      <w:r>
        <w:rPr>
          <w:rFonts w:ascii="Arial" w:cs="Arial" w:eastAsia="Arial" w:hAnsi="Arial"/>
          <w:sz w:val="16"/>
          <w:szCs w:val="16"/>
          <w:u w:val="single" w:color="auto"/>
          <w:color w:val="auto"/>
        </w:rPr>
        <w:t>Unfunded Obligation</w:t>
      </w:r>
      <w:r>
        <w:rPr>
          <w:rFonts w:ascii="Arial" w:cs="Arial" w:eastAsia="Arial" w:hAnsi="Arial"/>
          <w:sz w:val="16"/>
          <w:szCs w:val="16"/>
          <w:color w:val="auto"/>
        </w:rPr>
        <w:t>. This Section 27 applies only to Awards that are not settled in Shares. Participants have the status of general unsecured creditors of the Company. Any amounts payable to Participants pursuant to this Plan are unfunded and unsecured obligations for all purposes, including, without limitation, Title I of the Employee Retirement Income Security Act of 1974, as amended. Neither the Company nor any Parent or Subsidiary are required to segregate any monies from its general funds, or to create any trusts, or establish any special accounts with respect to such obligations. The Company will retain at all times beneficial ownership of any investments, including trust investments, which the Company may make to fulfill its payment obligations under this Plan. Any investments or the creation or maintenance of any trust for any Participant account will not create or constitute a trust or fiduciary relationship between the Administrator, the Company or any Parent or Subsidiary and Participant, or otherwise create any vested or beneficial interest in any Participant or the Participant’s creditors in any assets of the Company or Parent or Subsidiary. The Participants have no claim against the Company or any Parent or Subsidiary for any changes in the value of any assets that may be invested or reinvested by the Company with respect to this Plan.</w:t>
      </w:r>
    </w:p>
    <w:p>
      <w:pPr>
        <w:spacing w:after="0" w:line="193" w:lineRule="exact"/>
        <w:rPr>
          <w:rFonts w:ascii="Arial" w:cs="Arial" w:eastAsia="Arial" w:hAnsi="Arial"/>
          <w:sz w:val="16"/>
          <w:szCs w:val="16"/>
          <w:color w:val="auto"/>
        </w:rPr>
      </w:pPr>
    </w:p>
    <w:p>
      <w:pPr>
        <w:jc w:val="both"/>
        <w:ind w:firstLine="656"/>
        <w:spacing w:after="0" w:line="264" w:lineRule="auto"/>
        <w:tabs>
          <w:tab w:leader="none" w:pos="918"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It is the intention of the Company that no Award be “deferred compensation” subject to Section 409A of the Code, unless and to the extent that the Administrator specifically determines otherwise, and this Plan and the terms and conditions of all Awards are to be interpreted accordingly. The following rules will apply to Awards intended to be subject to Section 409A of the Code (“409A Awards”):</w:t>
      </w:r>
    </w:p>
    <w:p>
      <w:pPr>
        <w:spacing w:after="0" w:line="208" w:lineRule="exact"/>
        <w:rPr>
          <w:rFonts w:ascii="Arial" w:cs="Arial" w:eastAsia="Arial" w:hAnsi="Arial"/>
          <w:sz w:val="18"/>
          <w:szCs w:val="18"/>
          <w:color w:val="auto"/>
        </w:rPr>
      </w:pPr>
    </w:p>
    <w:p>
      <w:pPr>
        <w:jc w:val="both"/>
        <w:ind w:firstLine="818"/>
        <w:spacing w:after="0" w:line="221" w:lineRule="exact"/>
        <w:tabs>
          <w:tab w:leader="none" w:pos="1068"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Any distribution of a 409A Award following a separation from service that would be subject to Section 409A(a)(2)(A)(i) of the Code as a distribution following a separation from service of a “specified employee” (as defined under Section 409A(a)(2)(B)(i) of the Code) will occur no earlier than the expiration of the six</w:t>
      </w:r>
      <w:r>
        <w:rPr>
          <w:rFonts w:ascii="MS PGothic" w:cs="MS PGothic" w:eastAsia="MS PGothic" w:hAnsi="MS PGothic"/>
          <w:sz w:val="18"/>
          <w:szCs w:val="18"/>
          <w:color w:val="auto"/>
        </w:rPr>
        <w:t>‑</w:t>
      </w:r>
      <w:r>
        <w:rPr>
          <w:rFonts w:ascii="Arial" w:cs="Arial" w:eastAsia="Arial" w:hAnsi="Arial"/>
          <w:sz w:val="18"/>
          <w:szCs w:val="18"/>
          <w:color w:val="auto"/>
        </w:rPr>
        <w:t>month period following such separation from service.</w:t>
      </w:r>
    </w:p>
    <w:p>
      <w:pPr>
        <w:spacing w:after="0" w:line="228" w:lineRule="exact"/>
        <w:rPr>
          <w:rFonts w:ascii="Arial" w:cs="Arial" w:eastAsia="Arial" w:hAnsi="Arial"/>
          <w:sz w:val="18"/>
          <w:szCs w:val="18"/>
          <w:color w:val="auto"/>
        </w:rPr>
      </w:pPr>
    </w:p>
    <w:p>
      <w:pPr>
        <w:jc w:val="both"/>
        <w:ind w:firstLine="818"/>
        <w:spacing w:after="0" w:line="286" w:lineRule="auto"/>
        <w:tabs>
          <w:tab w:leader="none" w:pos="1065" w:val="left"/>
        </w:tabs>
        <w:numPr>
          <w:ilvl w:val="1"/>
          <w:numId w:val="187"/>
        </w:numPr>
        <w:rPr>
          <w:rFonts w:ascii="Arial" w:cs="Arial" w:eastAsia="Arial" w:hAnsi="Arial"/>
          <w:sz w:val="17"/>
          <w:szCs w:val="17"/>
          <w:color w:val="auto"/>
        </w:rPr>
      </w:pPr>
      <w:r>
        <w:rPr>
          <w:rFonts w:ascii="Arial" w:cs="Arial" w:eastAsia="Arial" w:hAnsi="Arial"/>
          <w:sz w:val="17"/>
          <w:szCs w:val="17"/>
          <w:color w:val="auto"/>
        </w:rPr>
        <w:t>In the case of a 409A Award providing for distribution or settlement upon vesting or lapse of a risk of forfeiture, if the time of such distribution or settlement is not otherwise specified in this Plan or Award Agreement or other governing document, the distribution or settlement will be made no later than March 15 of the calendar year following the calendar year in which such 409A Award vested or the risk of forfeiture lapsed.</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2" w:name="page273"/>
    <w:bookmarkEnd w:id="272"/>
    <w:p>
      <w:pPr>
        <w:jc w:val="both"/>
        <w:ind w:firstLine="818"/>
        <w:spacing w:after="0" w:line="264" w:lineRule="auto"/>
        <w:tabs>
          <w:tab w:leader="none" w:pos="1068" w:val="left"/>
        </w:tabs>
        <w:numPr>
          <w:ilvl w:val="1"/>
          <w:numId w:val="188"/>
        </w:numPr>
        <w:rPr>
          <w:rFonts w:ascii="Arial" w:cs="Arial" w:eastAsia="Arial" w:hAnsi="Arial"/>
          <w:sz w:val="18"/>
          <w:szCs w:val="18"/>
          <w:color w:val="auto"/>
        </w:rPr>
      </w:pPr>
      <w:r>
        <w:rPr>
          <w:rFonts w:ascii="Arial" w:cs="Arial" w:eastAsia="Arial" w:hAnsi="Arial"/>
          <w:sz w:val="18"/>
          <w:szCs w:val="18"/>
          <w:color w:val="auto"/>
        </w:rPr>
        <w:t>In the case of any distribution of any other 409A Award, if the timing of such distribution is not otherwise specified in this Plan or Award Agreement or other governing document, the distribution will be made not later than the end of the calendar year during which the settlement of the 409A Award is specified to occur.</w:t>
      </w:r>
    </w:p>
    <w:p>
      <w:pPr>
        <w:spacing w:after="0" w:line="208" w:lineRule="exact"/>
        <w:rPr>
          <w:rFonts w:ascii="Arial" w:cs="Arial" w:eastAsia="Arial" w:hAnsi="Arial"/>
          <w:sz w:val="18"/>
          <w:szCs w:val="18"/>
          <w:color w:val="auto"/>
        </w:rPr>
      </w:pPr>
    </w:p>
    <w:p>
      <w:pPr>
        <w:ind w:firstLine="818"/>
        <w:spacing w:after="0" w:line="277" w:lineRule="auto"/>
        <w:tabs>
          <w:tab w:leader="none" w:pos="1079" w:val="left"/>
        </w:tabs>
        <w:numPr>
          <w:ilvl w:val="1"/>
          <w:numId w:val="188"/>
        </w:numPr>
        <w:rPr>
          <w:rFonts w:ascii="Arial" w:cs="Arial" w:eastAsia="Arial" w:hAnsi="Arial"/>
          <w:sz w:val="18"/>
          <w:szCs w:val="18"/>
          <w:color w:val="auto"/>
        </w:rPr>
      </w:pPr>
      <w:r>
        <w:rPr>
          <w:rFonts w:ascii="Arial" w:cs="Arial" w:eastAsia="Arial" w:hAnsi="Arial"/>
          <w:sz w:val="18"/>
          <w:szCs w:val="18"/>
          <w:color w:val="auto"/>
        </w:rPr>
        <w:t>Each payment that a Participant may receive with respect to a 409A Award will be treated as a “separate payment” for purposes of Section 409A of the Code.</w:t>
      </w:r>
    </w:p>
    <w:p>
      <w:pPr>
        <w:spacing w:after="0" w:line="197" w:lineRule="exact"/>
        <w:rPr>
          <w:rFonts w:ascii="Arial" w:cs="Arial" w:eastAsia="Arial" w:hAnsi="Arial"/>
          <w:sz w:val="18"/>
          <w:szCs w:val="18"/>
          <w:color w:val="auto"/>
        </w:rPr>
      </w:pPr>
    </w:p>
    <w:p>
      <w:pPr>
        <w:jc w:val="both"/>
        <w:ind w:firstLine="656"/>
        <w:spacing w:after="0" w:line="286" w:lineRule="auto"/>
        <w:tabs>
          <w:tab w:leader="none" w:pos="918" w:val="left"/>
        </w:tabs>
        <w:numPr>
          <w:ilvl w:val="0"/>
          <w:numId w:val="189"/>
        </w:numPr>
        <w:rPr>
          <w:rFonts w:ascii="Arial" w:cs="Arial" w:eastAsia="Arial" w:hAnsi="Arial"/>
          <w:sz w:val="17"/>
          <w:szCs w:val="17"/>
          <w:color w:val="auto"/>
        </w:rPr>
      </w:pPr>
      <w:r>
        <w:rPr>
          <w:rFonts w:ascii="Arial" w:cs="Arial" w:eastAsia="Arial" w:hAnsi="Arial"/>
          <w:sz w:val="17"/>
          <w:szCs w:val="17"/>
          <w:u w:val="single" w:color="auto"/>
          <w:color w:val="auto"/>
        </w:rPr>
        <w:t>Construction</w:t>
      </w:r>
      <w:r>
        <w:rPr>
          <w:rFonts w:ascii="Arial" w:cs="Arial" w:eastAsia="Arial" w:hAnsi="Arial"/>
          <w:sz w:val="17"/>
          <w:szCs w:val="17"/>
          <w:color w:val="auto"/>
        </w:rPr>
        <w:t>. Headings in this Plan are included for convenience and are not to be considered in the interpretation of this Plan. References to sections are to Sections of this Plan unless otherwise indicated. Pronouns include the masculine, feminine, neutral, singular or plural as the identity of the antecedent may require. This Plan is to be construed according to its fair meaning and is not to be strictly construed against the Company.</w:t>
      </w:r>
    </w:p>
    <w:p>
      <w:pPr>
        <w:spacing w:after="0" w:line="192" w:lineRule="exact"/>
        <w:rPr>
          <w:rFonts w:ascii="Arial" w:cs="Arial" w:eastAsia="Arial" w:hAnsi="Arial"/>
          <w:sz w:val="17"/>
          <w:szCs w:val="17"/>
          <w:color w:val="auto"/>
        </w:rPr>
      </w:pPr>
    </w:p>
    <w:p>
      <w:pPr>
        <w:jc w:val="both"/>
        <w:ind w:firstLine="656"/>
        <w:spacing w:after="0" w:line="259" w:lineRule="auto"/>
        <w:tabs>
          <w:tab w:leader="none" w:pos="918"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Compensation Recoupment</w:t>
      </w:r>
      <w:r>
        <w:rPr>
          <w:rFonts w:ascii="Arial" w:cs="Arial" w:eastAsia="Arial" w:hAnsi="Arial"/>
          <w:sz w:val="18"/>
          <w:szCs w:val="18"/>
          <w:color w:val="auto"/>
        </w:rPr>
        <w:t>. All compensation and Awards payable or paid under this Plan and any sub-plans will be subject to the Company’s ability to recover incentive-based compensation from executive officers, as is or may be required by the provisions of the Dodd-Frank Wall Street Reform and Consumer Protection Act, any regulations or rules promulgated thereunder, or any other “clawback” provision required by applicable law or the listing standards of any applicable stock exchange or national market system.</w:t>
      </w:r>
    </w:p>
    <w:p>
      <w:pPr>
        <w:spacing w:after="0" w:line="213" w:lineRule="exact"/>
        <w:rPr>
          <w:rFonts w:ascii="Arial" w:cs="Arial" w:eastAsia="Arial" w:hAnsi="Arial"/>
          <w:sz w:val="18"/>
          <w:szCs w:val="18"/>
          <w:color w:val="auto"/>
        </w:rPr>
      </w:pPr>
    </w:p>
    <w:p>
      <w:pPr>
        <w:jc w:val="both"/>
        <w:ind w:firstLine="656"/>
        <w:spacing w:after="0" w:line="290" w:lineRule="auto"/>
        <w:tabs>
          <w:tab w:leader="none" w:pos="918" w:val="left"/>
        </w:tabs>
        <w:numPr>
          <w:ilvl w:val="0"/>
          <w:numId w:val="189"/>
        </w:numPr>
        <w:rPr>
          <w:rFonts w:ascii="Arial" w:cs="Arial" w:eastAsia="Arial" w:hAnsi="Arial"/>
          <w:sz w:val="16"/>
          <w:szCs w:val="16"/>
          <w:color w:val="auto"/>
        </w:rPr>
      </w:pPr>
      <w:r>
        <w:rPr>
          <w:rFonts w:ascii="Arial" w:cs="Arial" w:eastAsia="Arial" w:hAnsi="Arial"/>
          <w:sz w:val="16"/>
          <w:szCs w:val="16"/>
          <w:u w:val="single" w:color="auto"/>
          <w:color w:val="auto"/>
        </w:rPr>
        <w:t>Minimum Regulatory Capital Requirements</w:t>
      </w:r>
      <w:r>
        <w:rPr>
          <w:rFonts w:ascii="Arial" w:cs="Arial" w:eastAsia="Arial" w:hAnsi="Arial"/>
          <w:sz w:val="16"/>
          <w:szCs w:val="16"/>
          <w:color w:val="auto"/>
        </w:rPr>
        <w:t>. Notwithstanding any provision of this Plan or any agreement to the contrary, all Awards granted under this Plan will expire, to the extent not exercised or settled (as applicable), within 45 days following the receipt of notice from the Company’s primary federal or state regulator (“</w:t>
      </w:r>
      <w:r>
        <w:rPr>
          <w:rFonts w:ascii="Arial" w:cs="Arial" w:eastAsia="Arial" w:hAnsi="Arial"/>
          <w:sz w:val="16"/>
          <w:szCs w:val="16"/>
          <w:b w:val="1"/>
          <w:bCs w:val="1"/>
          <w:i w:val="1"/>
          <w:iCs w:val="1"/>
          <w:color w:val="auto"/>
        </w:rPr>
        <w:t>Regulator</w:t>
      </w:r>
      <w:r>
        <w:rPr>
          <w:rFonts w:ascii="Arial" w:cs="Arial" w:eastAsia="Arial" w:hAnsi="Arial"/>
          <w:sz w:val="16"/>
          <w:szCs w:val="16"/>
          <w:color w:val="auto"/>
        </w:rPr>
        <w:t>”) that (i) the Company has not maintained its minimum capital requirements (as determined by the Regulator); and (ii) the Regulator is requiring termination or forfeiture of Awards. Upon receipt of such notice from the Regulator, the Company will promptly notify each Participant that all Awards issued under this Plan have become fully vested to the full extent of the grant and that the Awards must be settled prior to the end of the 45-day period or such earlier period as may be specified by the Regulator or such Awards will be forfeited. In case of forfeiture, no Participant will have a cause of action, of any kind or nature, with respect to the forfeiture against the Company or any Parent or Subsidiary. Neither the Company, nor any Parent or Subsidiary will be liable to any Participant due to the failure or inability of the Company to provide adequate notice to the Participant.</w:t>
      </w:r>
    </w:p>
    <w:p>
      <w:pPr>
        <w:spacing w:after="0" w:line="193" w:lineRule="exact"/>
        <w:rPr>
          <w:sz w:val="20"/>
          <w:szCs w:val="20"/>
          <w:color w:val="auto"/>
        </w:rPr>
      </w:pPr>
    </w:p>
    <w:p>
      <w:pPr>
        <w:jc w:val="center"/>
        <w:spacing w:after="0"/>
        <w:tabs>
          <w:tab w:leader="none" w:pos="220" w:val="left"/>
          <w:tab w:leader="none" w:pos="200" w:val="left"/>
          <w:tab w:leader="none" w:pos="200" w:val="left"/>
          <w:tab w:leader="none" w:pos="200" w:val="left"/>
        </w:tabs>
        <w:rPr>
          <w:sz w:val="20"/>
          <w:szCs w:val="20"/>
          <w:color w:val="auto"/>
        </w:rPr>
      </w:pPr>
      <w:r>
        <w:rPr>
          <w:rFonts w:ascii="Arial" w:cs="Arial" w:eastAsia="Arial" w:hAnsi="Arial"/>
          <w:sz w:val="18"/>
          <w:szCs w:val="18"/>
          <w:color w:val="auto"/>
        </w:rPr>
        <w:t>*</w:t>
        <w:tab/>
        <w:t>*</w:t>
        <w:tab/>
        <w:t>*</w:t>
        <w:tab/>
        <w:t>*</w:t>
        <w:tab/>
        <w: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73" w:name="page274"/>
    <w:bookmarkEnd w:id="27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PLAINS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2019 EQUITY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STOCK OPTION AWARD</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Subject to the terms and conditions of this Notice of Stock Option Award (this "</w:t>
      </w:r>
      <w:r>
        <w:rPr>
          <w:rFonts w:ascii="Arial" w:cs="Arial" w:eastAsia="Arial" w:hAnsi="Arial"/>
          <w:sz w:val="17"/>
          <w:szCs w:val="17"/>
          <w:b w:val="1"/>
          <w:bCs w:val="1"/>
          <w:i w:val="1"/>
          <w:iCs w:val="1"/>
          <w:color w:val="auto"/>
        </w:rPr>
        <w:t>Notice</w:t>
      </w:r>
      <w:r>
        <w:rPr>
          <w:rFonts w:ascii="Arial" w:cs="Arial" w:eastAsia="Arial" w:hAnsi="Arial"/>
          <w:sz w:val="17"/>
          <w:szCs w:val="17"/>
          <w:color w:val="auto"/>
        </w:rPr>
        <w:t>"), the Stock Option Award Agreement attached hereto (the "</w:t>
      </w:r>
      <w:r>
        <w:rPr>
          <w:rFonts w:ascii="Arial" w:cs="Arial" w:eastAsia="Arial" w:hAnsi="Arial"/>
          <w:sz w:val="17"/>
          <w:szCs w:val="17"/>
          <w:b w:val="1"/>
          <w:bCs w:val="1"/>
          <w:i w:val="1"/>
          <w:iCs w:val="1"/>
          <w:color w:val="auto"/>
        </w:rPr>
        <w:t>Award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and the South Plains Financial, Inc. 2019 Equity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the below individual (the "</w:t>
      </w:r>
      <w:r>
        <w:rPr>
          <w:rFonts w:ascii="Arial" w:cs="Arial" w:eastAsia="Arial" w:hAnsi="Arial"/>
          <w:sz w:val="17"/>
          <w:szCs w:val="17"/>
          <w:b w:val="1"/>
          <w:bCs w:val="1"/>
          <w:i w:val="1"/>
          <w:iCs w:val="1"/>
          <w:color w:val="auto"/>
        </w:rPr>
        <w:t>Participant</w:t>
      </w:r>
      <w:r>
        <w:rPr>
          <w:rFonts w:ascii="Arial" w:cs="Arial" w:eastAsia="Arial" w:hAnsi="Arial"/>
          <w:sz w:val="17"/>
          <w:szCs w:val="17"/>
          <w:color w:val="auto"/>
        </w:rPr>
        <w:t>") is hereby granted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option (the "</w:t>
      </w:r>
      <w:r>
        <w:rPr>
          <w:rFonts w:ascii="Arial" w:cs="Arial" w:eastAsia="Arial" w:hAnsi="Arial"/>
          <w:sz w:val="17"/>
          <w:szCs w:val="17"/>
          <w:b w:val="1"/>
          <w:bCs w:val="1"/>
          <w:i w:val="1"/>
          <w:iCs w:val="1"/>
          <w:color w:val="auto"/>
        </w:rPr>
        <w:t>Option</w:t>
      </w:r>
      <w:r>
        <w:rPr>
          <w:rFonts w:ascii="Arial" w:cs="Arial" w:eastAsia="Arial" w:hAnsi="Arial"/>
          <w:sz w:val="17"/>
          <w:szCs w:val="17"/>
          <w:color w:val="auto"/>
        </w:rPr>
        <w:t>") to purchase the below number of Shares of Common Stock in South Plains Financial, Inc., a Texas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Unless otherwise specifically indicated, all terms used in this Notice have the meanings set forth in the Award Agreement or the Plan.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jc w:val="right"/>
              <w:ind w:right="890"/>
              <w:spacing w:after="0"/>
              <w:rPr>
                <w:sz w:val="20"/>
                <w:szCs w:val="20"/>
                <w:color w:val="auto"/>
              </w:rPr>
            </w:pPr>
            <w:r>
              <w:rPr>
                <w:rFonts w:ascii="Arial" w:cs="Arial" w:eastAsia="Arial" w:hAnsi="Arial"/>
                <w:sz w:val="18"/>
                <w:szCs w:val="18"/>
                <w:b w:val="1"/>
                <w:bCs w:val="1"/>
                <w:color w:val="auto"/>
                <w:w w:val="93"/>
              </w:rPr>
              <w:t>Identifying Information:</w:t>
            </w:r>
          </w:p>
        </w:tc>
        <w:tc>
          <w:tcPr>
            <w:tcW w:w="28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880" w:type="dxa"/>
            <w:vAlign w:val="bottom"/>
          </w:tcPr>
          <w:p>
            <w:pPr>
              <w:jc w:val="right"/>
              <w:ind w:right="50"/>
              <w:spacing w:after="0"/>
              <w:rPr>
                <w:sz w:val="20"/>
                <w:szCs w:val="20"/>
                <w:color w:val="auto"/>
              </w:rPr>
            </w:pPr>
            <w:r>
              <w:rPr>
                <w:rFonts w:ascii="Arial" w:cs="Arial" w:eastAsia="Arial" w:hAnsi="Arial"/>
                <w:sz w:val="18"/>
                <w:szCs w:val="18"/>
                <w:color w:val="auto"/>
              </w:rPr>
              <w:t>Participant Name</w:t>
            </w:r>
          </w:p>
        </w:tc>
        <w:tc>
          <w:tcPr>
            <w:tcW w:w="2860" w:type="dxa"/>
            <w:vAlign w:val="bottom"/>
            <w:tcBorders>
              <w:bottom w:val="single" w:sz="8" w:color="auto"/>
            </w:tcBorders>
          </w:tcPr>
          <w:p>
            <w:pPr>
              <w:spacing w:after="0"/>
              <w:rPr>
                <w:sz w:val="24"/>
                <w:szCs w:val="24"/>
                <w:color w:val="auto"/>
              </w:rPr>
            </w:pPr>
          </w:p>
        </w:tc>
        <w:tc>
          <w:tcPr>
            <w:tcW w:w="2720" w:type="dxa"/>
            <w:vAlign w:val="bottom"/>
          </w:tcPr>
          <w:p>
            <w:pPr>
              <w:jc w:val="right"/>
              <w:spacing w:after="0"/>
              <w:rPr>
                <w:sz w:val="20"/>
                <w:szCs w:val="20"/>
                <w:color w:val="auto"/>
              </w:rPr>
            </w:pPr>
            <w:r>
              <w:rPr>
                <w:rFonts w:ascii="Arial" w:cs="Arial" w:eastAsia="Arial" w:hAnsi="Arial"/>
                <w:sz w:val="18"/>
                <w:szCs w:val="18"/>
                <w:color w:val="auto"/>
              </w:rPr>
              <w:t>Date of Grant:</w:t>
            </w:r>
          </w:p>
        </w:tc>
        <w:tc>
          <w:tcPr>
            <w:tcW w:w="0" w:type="dxa"/>
            <w:vAlign w:val="bottom"/>
          </w:tcPr>
          <w:p>
            <w:pPr>
              <w:spacing w:after="0"/>
              <w:rPr>
                <w:sz w:val="1"/>
                <w:szCs w:val="1"/>
                <w:color w:val="auto"/>
              </w:rPr>
            </w:pPr>
          </w:p>
        </w:tc>
      </w:tr>
      <w:tr>
        <w:trPr>
          <w:trHeight w:val="223"/>
        </w:trPr>
        <w:tc>
          <w:tcPr>
            <w:tcW w:w="2880" w:type="dxa"/>
            <w:vAlign w:val="bottom"/>
          </w:tcPr>
          <w:p>
            <w:pPr>
              <w:jc w:val="right"/>
              <w:ind w:right="50"/>
              <w:spacing w:after="0"/>
              <w:rPr>
                <w:sz w:val="20"/>
                <w:szCs w:val="20"/>
                <w:color w:val="auto"/>
              </w:rPr>
            </w:pPr>
            <w:r>
              <w:rPr>
                <w:rFonts w:ascii="Arial" w:cs="Arial" w:eastAsia="Arial" w:hAnsi="Arial"/>
                <w:sz w:val="18"/>
                <w:szCs w:val="18"/>
                <w:color w:val="auto"/>
              </w:rPr>
              <w:t>and Address:</w:t>
            </w:r>
          </w:p>
        </w:tc>
        <w:tc>
          <w:tcPr>
            <w:tcW w:w="2860" w:type="dxa"/>
            <w:vAlign w:val="bottom"/>
            <w:tcBorders>
              <w:bottom w:val="single" w:sz="8" w:color="auto"/>
            </w:tcBorders>
          </w:tcPr>
          <w:p>
            <w:pPr>
              <w:spacing w:after="0"/>
              <w:rPr>
                <w:sz w:val="19"/>
                <w:szCs w:val="19"/>
                <w:color w:val="auto"/>
              </w:rPr>
            </w:pPr>
          </w:p>
        </w:tc>
        <w:tc>
          <w:tcPr>
            <w:tcW w:w="2720" w:type="dxa"/>
            <w:vAlign w:val="bottom"/>
          </w:tcPr>
          <w:p>
            <w:pPr>
              <w:jc w:val="right"/>
              <w:spacing w:after="0"/>
              <w:rPr>
                <w:sz w:val="20"/>
                <w:szCs w:val="20"/>
                <w:color w:val="auto"/>
              </w:rPr>
            </w:pPr>
            <w:r>
              <w:rPr>
                <w:rFonts w:ascii="Arial" w:cs="Arial" w:eastAsia="Arial" w:hAnsi="Arial"/>
                <w:sz w:val="18"/>
                <w:szCs w:val="18"/>
                <w:color w:val="auto"/>
              </w:rPr>
              <w:t>Vesting Commencement Date:</w:t>
            </w:r>
          </w:p>
        </w:tc>
        <w:tc>
          <w:tcPr>
            <w:tcW w:w="0" w:type="dxa"/>
            <w:vAlign w:val="bottom"/>
          </w:tcPr>
          <w:p>
            <w:pPr>
              <w:spacing w:after="0"/>
              <w:rPr>
                <w:sz w:val="1"/>
                <w:szCs w:val="1"/>
                <w:color w:val="auto"/>
              </w:rPr>
            </w:pPr>
          </w:p>
        </w:tc>
      </w:tr>
      <w:tr>
        <w:trPr>
          <w:trHeight w:val="223"/>
        </w:trPr>
        <w:tc>
          <w:tcPr>
            <w:tcW w:w="2880" w:type="dxa"/>
            <w:vAlign w:val="bottom"/>
          </w:tcPr>
          <w:p>
            <w:pPr>
              <w:spacing w:after="0"/>
              <w:rPr>
                <w:sz w:val="19"/>
                <w:szCs w:val="19"/>
                <w:color w:val="auto"/>
              </w:rPr>
            </w:pPr>
          </w:p>
        </w:tc>
        <w:tc>
          <w:tcPr>
            <w:tcW w:w="2860" w:type="dxa"/>
            <w:vAlign w:val="bottom"/>
            <w:tcBorders>
              <w:bottom w:val="single" w:sz="8" w:color="auto"/>
            </w:tcBorders>
          </w:tcPr>
          <w:p>
            <w:pPr>
              <w:spacing w:after="0"/>
              <w:rPr>
                <w:sz w:val="19"/>
                <w:szCs w:val="19"/>
                <w:color w:val="auto"/>
              </w:rPr>
            </w:pPr>
          </w:p>
        </w:tc>
        <w:tc>
          <w:tcPr>
            <w:tcW w:w="2720" w:type="dxa"/>
            <w:vAlign w:val="bottom"/>
          </w:tcPr>
          <w:p>
            <w:pPr>
              <w:jc w:val="right"/>
              <w:spacing w:after="0"/>
              <w:rPr>
                <w:sz w:val="20"/>
                <w:szCs w:val="20"/>
                <w:color w:val="auto"/>
              </w:rPr>
            </w:pPr>
            <w:r>
              <w:rPr>
                <w:rFonts w:ascii="Arial" w:cs="Arial" w:eastAsia="Arial" w:hAnsi="Arial"/>
                <w:sz w:val="18"/>
                <w:szCs w:val="18"/>
                <w:color w:val="auto"/>
              </w:rPr>
              <w:t>Exercise Price per Share:</w:t>
            </w:r>
          </w:p>
        </w:tc>
        <w:tc>
          <w:tcPr>
            <w:tcW w:w="0" w:type="dxa"/>
            <w:vAlign w:val="bottom"/>
          </w:tcPr>
          <w:p>
            <w:pPr>
              <w:spacing w:after="0"/>
              <w:rPr>
                <w:sz w:val="1"/>
                <w:szCs w:val="1"/>
                <w:color w:val="auto"/>
              </w:rPr>
            </w:pPr>
          </w:p>
        </w:tc>
      </w:tr>
      <w:tr>
        <w:trPr>
          <w:trHeight w:val="169"/>
        </w:trPr>
        <w:tc>
          <w:tcPr>
            <w:tcW w:w="2880" w:type="dxa"/>
            <w:vAlign w:val="bottom"/>
          </w:tcPr>
          <w:p>
            <w:pPr>
              <w:jc w:val="right"/>
              <w:ind w:right="50"/>
              <w:spacing w:after="0" w:line="170" w:lineRule="exact"/>
              <w:rPr>
                <w:sz w:val="20"/>
                <w:szCs w:val="20"/>
                <w:color w:val="auto"/>
              </w:rPr>
            </w:pPr>
            <w:r>
              <w:rPr>
                <w:rFonts w:ascii="Arial" w:cs="Arial" w:eastAsia="Arial" w:hAnsi="Arial"/>
                <w:sz w:val="18"/>
                <w:szCs w:val="18"/>
                <w:color w:val="auto"/>
              </w:rPr>
              <w:t>Type of Option:</w:t>
            </w:r>
          </w:p>
        </w:tc>
        <w:tc>
          <w:tcPr>
            <w:tcW w:w="2860" w:type="dxa"/>
            <w:vAlign w:val="bottom"/>
          </w:tcPr>
          <w:p>
            <w:pPr>
              <w:ind w:left="80"/>
              <w:spacing w:after="0" w:line="170"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Nonstatutory Stock Option</w:t>
            </w:r>
          </w:p>
        </w:tc>
        <w:tc>
          <w:tcPr>
            <w:tcW w:w="2720" w:type="dxa"/>
            <w:vAlign w:val="bottom"/>
          </w:tcPr>
          <w:p>
            <w:pPr>
              <w:jc w:val="right"/>
              <w:spacing w:after="0" w:line="170" w:lineRule="exact"/>
              <w:rPr>
                <w:sz w:val="20"/>
                <w:szCs w:val="20"/>
                <w:color w:val="auto"/>
              </w:rPr>
            </w:pPr>
            <w:r>
              <w:rPr>
                <w:rFonts w:ascii="Arial" w:cs="Arial" w:eastAsia="Arial" w:hAnsi="Arial"/>
                <w:sz w:val="18"/>
                <w:szCs w:val="18"/>
                <w:color w:val="auto"/>
              </w:rPr>
              <w:t>Total Number of Shares</w:t>
            </w:r>
          </w:p>
        </w:tc>
        <w:tc>
          <w:tcPr>
            <w:tcW w:w="0" w:type="dxa"/>
            <w:vAlign w:val="bottom"/>
          </w:tcPr>
          <w:p>
            <w:pPr>
              <w:spacing w:after="0"/>
              <w:rPr>
                <w:sz w:val="1"/>
                <w:szCs w:val="1"/>
                <w:color w:val="auto"/>
              </w:rPr>
            </w:pPr>
          </w:p>
        </w:tc>
      </w:tr>
      <w:tr>
        <w:trPr>
          <w:trHeight w:val="270"/>
        </w:trPr>
        <w:tc>
          <w:tcPr>
            <w:tcW w:w="2880" w:type="dxa"/>
            <w:vAlign w:val="bottom"/>
            <w:vMerge w:val="restart"/>
          </w:tcPr>
          <w:p>
            <w:pPr>
              <w:jc w:val="right"/>
              <w:ind w:right="50"/>
              <w:spacing w:after="0"/>
              <w:rPr>
                <w:sz w:val="20"/>
                <w:szCs w:val="20"/>
                <w:color w:val="auto"/>
              </w:rPr>
            </w:pPr>
            <w:r>
              <w:rPr>
                <w:rFonts w:ascii="Arial" w:cs="Arial" w:eastAsia="Arial" w:hAnsi="Arial"/>
                <w:sz w:val="18"/>
                <w:szCs w:val="18"/>
                <w:color w:val="auto"/>
              </w:rPr>
              <w:t>Expiration Date:</w:t>
            </w:r>
          </w:p>
        </w:tc>
        <w:tc>
          <w:tcPr>
            <w:tcW w:w="2860" w:type="dxa"/>
            <w:vAlign w:val="bottom"/>
            <w:tcBorders>
              <w:bottom w:val="single" w:sz="8" w:color="auto"/>
            </w:tcBorders>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Incentive Stock Option</w:t>
            </w:r>
          </w:p>
        </w:tc>
        <w:tc>
          <w:tcPr>
            <w:tcW w:w="272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Optioned Shares</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880" w:type="dxa"/>
            <w:vAlign w:val="bottom"/>
            <w:vMerge w:val="continue"/>
          </w:tcPr>
          <w:p>
            <w:pPr>
              <w:spacing w:after="0"/>
              <w:rPr>
                <w:sz w:val="19"/>
                <w:szCs w:val="19"/>
                <w:color w:val="auto"/>
              </w:rPr>
            </w:pPr>
          </w:p>
        </w:tc>
        <w:tc>
          <w:tcPr>
            <w:tcW w:w="2860" w:type="dxa"/>
            <w:vAlign w:val="bottom"/>
            <w:tcBorders>
              <w:bottom w:val="single" w:sz="8" w:color="auto"/>
            </w:tcBorders>
          </w:tcPr>
          <w:p>
            <w:pPr>
              <w:spacing w:after="0"/>
              <w:rPr>
                <w:sz w:val="19"/>
                <w:szCs w:val="19"/>
                <w:color w:val="auto"/>
              </w:rPr>
            </w:pP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-770890</wp:posOffset>
            </wp:positionV>
            <wp:extent cx="180975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1809750" cy="1714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-616585</wp:posOffset>
            </wp:positionV>
            <wp:extent cx="180975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1809750" cy="1714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-462280</wp:posOffset>
            </wp:positionV>
            <wp:extent cx="180975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1809750" cy="1714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-170815</wp:posOffset>
            </wp:positionV>
            <wp:extent cx="180975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Schedule:</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Subject to the Participant's continuous status as a Service Provider and the terms of the Plan, this Notice and the Award Agreement, the Optioned Shares vest over a [__]-year period in accordance with the following vesting schedule (the "</w:t>
      </w:r>
      <w:r>
        <w:rPr>
          <w:rFonts w:ascii="Arial" w:cs="Arial" w:eastAsia="Arial" w:hAnsi="Arial"/>
          <w:sz w:val="17"/>
          <w:szCs w:val="17"/>
          <w:b w:val="1"/>
          <w:bCs w:val="1"/>
          <w:i w:val="1"/>
          <w:iCs w:val="1"/>
          <w:color w:val="auto"/>
        </w:rPr>
        <w:t>Vesting Schedule</w:t>
      </w:r>
      <w:r>
        <w:rPr>
          <w:rFonts w:ascii="Arial" w:cs="Arial" w:eastAsia="Arial" w:hAnsi="Arial"/>
          <w:sz w:val="17"/>
          <w:szCs w:val="17"/>
          <w:color w:val="auto"/>
        </w:rPr>
        <w:t>"): [__]% of the Optioned Shares shall vest upon the [__] anniversary of the Vesting Commencement Date, and thereafter, the remaining [__]% of the Optioned Shares shall vest pro rata on a monthly basis over the next [__] months. Notwithstanding the foregoing, the Optioned Shares will automatically become fully vested upon the earlier of: (i) the Participant's Disability, (ii) the Participant's death, (iii) immediately prior to a Change in Control, (iv) the Participant terminating his status as a Service Provider for Good Reason and (v) the Company terminating the Participant’s employment without Cause. For purposes of the foregoing, the terms Cause and Good Reason shall mean as set forth in the employment agreement between the Company and the Participant.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Maximum Exercise Period: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Pursuant to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of the Award Agreement and </w:t>
      </w:r>
      <w:r>
        <w:rPr>
          <w:rFonts w:ascii="Arial" w:cs="Arial" w:eastAsia="Arial" w:hAnsi="Arial"/>
          <w:sz w:val="18"/>
          <w:szCs w:val="18"/>
          <w:u w:val="single" w:color="auto"/>
          <w:color w:val="auto"/>
        </w:rPr>
        <w:t>Section 7(d)</w:t>
      </w:r>
      <w:r>
        <w:rPr>
          <w:rFonts w:ascii="Arial" w:cs="Arial" w:eastAsia="Arial" w:hAnsi="Arial"/>
          <w:sz w:val="18"/>
          <w:szCs w:val="18"/>
          <w:color w:val="auto"/>
        </w:rPr>
        <w:t xml:space="preserve"> of the Plan, the post-termination exercise period will be: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560" w:type="dxa"/>
            <w:vAlign w:val="bottom"/>
            <w:gridSpan w:val="2"/>
          </w:tcPr>
          <w:p>
            <w:pPr>
              <w:jc w:val="center"/>
              <w:ind w:right="560"/>
              <w:spacing w:after="0"/>
              <w:rPr>
                <w:sz w:val="20"/>
                <w:szCs w:val="20"/>
                <w:color w:val="auto"/>
              </w:rPr>
            </w:pPr>
            <w:r>
              <w:rPr>
                <w:rFonts w:ascii="Arial" w:cs="Arial" w:eastAsia="Arial" w:hAnsi="Arial"/>
                <w:sz w:val="18"/>
                <w:szCs w:val="18"/>
                <w:color w:val="auto"/>
                <w:w w:val="92"/>
              </w:rPr>
              <w:t>Max Time to Exercise</w:t>
            </w:r>
          </w:p>
        </w:tc>
      </w:tr>
      <w:tr>
        <w:trPr>
          <w:trHeight w:val="190"/>
        </w:trPr>
        <w:tc>
          <w:tcPr>
            <w:tcW w:w="2560" w:type="dxa"/>
            <w:vAlign w:val="bottom"/>
          </w:tcPr>
          <w:p>
            <w:pPr>
              <w:spacing w:after="0"/>
              <w:rPr>
                <w:sz w:val="16"/>
                <w:szCs w:val="16"/>
                <w:color w:val="auto"/>
              </w:rPr>
            </w:pPr>
          </w:p>
        </w:tc>
        <w:tc>
          <w:tcPr>
            <w:tcW w:w="5460" w:type="dxa"/>
            <w:vAlign w:val="bottom"/>
            <w:gridSpan w:val="2"/>
          </w:tcPr>
          <w:p>
            <w:pPr>
              <w:jc w:val="center"/>
              <w:ind w:right="2560"/>
              <w:spacing w:after="0" w:line="190" w:lineRule="exact"/>
              <w:rPr>
                <w:sz w:val="20"/>
                <w:szCs w:val="20"/>
                <w:color w:val="auto"/>
              </w:rPr>
            </w:pPr>
            <w:r>
              <w:rPr>
                <w:rFonts w:ascii="Arial" w:cs="Arial" w:eastAsia="Arial" w:hAnsi="Arial"/>
                <w:sz w:val="18"/>
                <w:szCs w:val="18"/>
                <w:color w:val="auto"/>
                <w:w w:val="93"/>
              </w:rPr>
              <w:t>Event Triggering Termination of Option</w:t>
            </w:r>
          </w:p>
        </w:tc>
        <w:tc>
          <w:tcPr>
            <w:tcW w:w="3400" w:type="dxa"/>
            <w:vAlign w:val="bottom"/>
            <w:gridSpan w:val="3"/>
          </w:tcPr>
          <w:p>
            <w:pPr>
              <w:jc w:val="center"/>
              <w:ind w:left="190"/>
              <w:spacing w:after="0" w:line="190" w:lineRule="exact"/>
              <w:rPr>
                <w:sz w:val="20"/>
                <w:szCs w:val="20"/>
                <w:color w:val="auto"/>
              </w:rPr>
            </w:pPr>
            <w:r>
              <w:rPr>
                <w:rFonts w:ascii="Arial" w:cs="Arial" w:eastAsia="Arial" w:hAnsi="Arial"/>
                <w:sz w:val="18"/>
                <w:szCs w:val="18"/>
                <w:color w:val="auto"/>
                <w:w w:val="93"/>
              </w:rPr>
              <w:t>Following Triggering Event</w:t>
            </w:r>
          </w:p>
        </w:tc>
      </w:tr>
      <w:tr>
        <w:trPr>
          <w:trHeight w:val="21"/>
        </w:trPr>
        <w:tc>
          <w:tcPr>
            <w:tcW w:w="2560" w:type="dxa"/>
            <w:vAlign w:val="bottom"/>
          </w:tcPr>
          <w:p>
            <w:pPr>
              <w:spacing w:after="0" w:line="20" w:lineRule="exact"/>
              <w:rPr>
                <w:sz w:val="1"/>
                <w:szCs w:val="1"/>
                <w:color w:val="auto"/>
              </w:rPr>
            </w:pPr>
          </w:p>
        </w:tc>
        <w:tc>
          <w:tcPr>
            <w:tcW w:w="2900" w:type="dxa"/>
            <w:vAlign w:val="bottom"/>
            <w:tcBorders>
              <w:top w:val="single" w:sz="8" w:color="auto"/>
            </w:tcBorders>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6"/>
        </w:trPr>
        <w:tc>
          <w:tcPr>
            <w:tcW w:w="80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Termination of Service Provider status (except as provided below)</w:t>
            </w:r>
          </w:p>
        </w:tc>
        <w:tc>
          <w:tcPr>
            <w:tcW w:w="84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1"/>
              </w:rPr>
              <w:t>3 months</w:t>
            </w:r>
          </w:p>
        </w:tc>
      </w:tr>
      <w:tr>
        <w:trPr>
          <w:trHeight w:val="216"/>
        </w:trPr>
        <w:tc>
          <w:tcPr>
            <w:tcW w:w="8020" w:type="dxa"/>
            <w:vAlign w:val="bottom"/>
            <w:gridSpan w:val="3"/>
          </w:tcPr>
          <w:p>
            <w:pPr>
              <w:jc w:val="center"/>
              <w:spacing w:after="0"/>
              <w:rPr>
                <w:sz w:val="20"/>
                <w:szCs w:val="20"/>
                <w:color w:val="auto"/>
              </w:rPr>
            </w:pPr>
            <w:r>
              <w:rPr>
                <w:rFonts w:ascii="Arial" w:cs="Arial" w:eastAsia="Arial" w:hAnsi="Arial"/>
                <w:sz w:val="18"/>
                <w:szCs w:val="18"/>
                <w:color w:val="auto"/>
                <w:w w:val="91"/>
              </w:rPr>
              <w:t>Termination of Service Provider status due to Disability</w:t>
            </w:r>
          </w:p>
        </w:tc>
        <w:tc>
          <w:tcPr>
            <w:tcW w:w="840" w:type="dxa"/>
            <w:vAlign w:val="bottom"/>
          </w:tcPr>
          <w:p>
            <w:pPr>
              <w:spacing w:after="0"/>
              <w:rPr>
                <w:sz w:val="18"/>
                <w:szCs w:val="18"/>
                <w:color w:val="auto"/>
              </w:rPr>
            </w:pPr>
          </w:p>
        </w:tc>
        <w:tc>
          <w:tcPr>
            <w:tcW w:w="2560" w:type="dxa"/>
            <w:vAlign w:val="bottom"/>
            <w:gridSpan w:val="2"/>
          </w:tcPr>
          <w:p>
            <w:pPr>
              <w:jc w:val="center"/>
              <w:ind w:right="560"/>
              <w:spacing w:after="0"/>
              <w:rPr>
                <w:sz w:val="20"/>
                <w:szCs w:val="20"/>
                <w:color w:val="auto"/>
              </w:rPr>
            </w:pPr>
            <w:r>
              <w:rPr>
                <w:rFonts w:ascii="Arial" w:cs="Arial" w:eastAsia="Arial" w:hAnsi="Arial"/>
                <w:sz w:val="18"/>
                <w:szCs w:val="18"/>
                <w:color w:val="auto"/>
                <w:w w:val="90"/>
              </w:rPr>
              <w:t>12 months</w:t>
            </w:r>
          </w:p>
        </w:tc>
      </w:tr>
      <w:tr>
        <w:trPr>
          <w:trHeight w:val="216"/>
        </w:trPr>
        <w:tc>
          <w:tcPr>
            <w:tcW w:w="80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Termination of Service Provider status due to death</w:t>
            </w:r>
          </w:p>
        </w:tc>
        <w:tc>
          <w:tcPr>
            <w:tcW w:w="84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0"/>
              </w:rPr>
              <w:t>12 months</w:t>
            </w:r>
          </w:p>
        </w:tc>
      </w:tr>
      <w:tr>
        <w:trPr>
          <w:trHeight w:val="459"/>
        </w:trPr>
        <w:tc>
          <w:tcPr>
            <w:tcW w:w="2560" w:type="dxa"/>
            <w:vAlign w:val="bottom"/>
          </w:tcPr>
          <w:p>
            <w:pPr>
              <w:spacing w:after="0"/>
              <w:rPr>
                <w:sz w:val="24"/>
                <w:szCs w:val="24"/>
                <w:color w:val="auto"/>
              </w:rPr>
            </w:pPr>
          </w:p>
        </w:tc>
        <w:tc>
          <w:tcPr>
            <w:tcW w:w="5460" w:type="dxa"/>
            <w:vAlign w:val="bottom"/>
            <w:gridSpan w:val="2"/>
          </w:tcPr>
          <w:p>
            <w:pPr>
              <w:ind w:left="1680"/>
              <w:spacing w:after="0"/>
              <w:rPr>
                <w:sz w:val="20"/>
                <w:szCs w:val="20"/>
                <w:color w:val="auto"/>
              </w:rPr>
            </w:pPr>
            <w:r>
              <w:rPr>
                <w:rFonts w:ascii="Arial" w:cs="Arial" w:eastAsia="Arial" w:hAnsi="Arial"/>
                <w:sz w:val="18"/>
                <w:szCs w:val="18"/>
                <w:color w:val="auto"/>
              </w:rPr>
              <w:t>[SIGNATURES ON THE NEXT PAGE]</w:t>
            </w:r>
          </w:p>
        </w:tc>
        <w:tc>
          <w:tcPr>
            <w:tcW w:w="8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99"/>
        </w:trPr>
        <w:tc>
          <w:tcPr>
            <w:tcW w:w="25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83" w:right="239" w:bottom="1440" w:gutter="0" w:footer="0" w:header="0"/>
        </w:sectPr>
      </w:pPr>
    </w:p>
    <w:bookmarkStart w:id="274" w:name="page275"/>
    <w:bookmarkEnd w:id="274"/>
    <w:p>
      <w:pPr>
        <w:spacing w:after="0"/>
        <w:rPr>
          <w:sz w:val="20"/>
          <w:szCs w:val="20"/>
          <w:color w:val="auto"/>
        </w:rPr>
      </w:pPr>
      <w:r>
        <w:rPr>
          <w:rFonts w:ascii="Arial" w:cs="Arial" w:eastAsia="Arial" w:hAnsi="Arial"/>
          <w:sz w:val="18"/>
          <w:szCs w:val="18"/>
          <w:b w:val="1"/>
          <w:bCs w:val="1"/>
          <w:color w:val="auto"/>
        </w:rPr>
        <w:t>Representations and Agreements of the Participant:</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Participant has reviewed this Notice, the Award Agreement and the Plan in their entirety, has had an opportunity to have them reviewed by his or her legal and tax advisers, and hereby represents that he or she is relying solely on such advisors and not on any statements or representations of the Company or any of its agents or affiliates. The Participant represents to the Company that he or she is familiar with the terms of this Notice, the Award Agreement and the Plan, and hereby accepts the Optioned Shares subject to all of their terms. The Participant hereby agrees that all questions of interpretation and administration relating to this Notice, the Award Agreement and the Plan will be resolved solely by the Committee.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Signature:</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Notice may be executed by the Participant and the Company by means of electronic or digital signatures, which have the same force and effect as manual signatures. The Participant agrees that clicking "I Accept" (or a tab of similar intent) in connection with or response to any electronic communication or other medium has the effect of affixing the Participant's electronic signature to this Notice. If required to be executed by electronic or digital signature, this Award of Optioned Shares will be forfeited by the Participant if it is not duly executed by electronic signature by the Participant prior to the deadline set forth in the electronic transmission of this Award Agreement.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gridSpan w:val="4"/>
          </w:tcPr>
          <w:p>
            <w:pPr>
              <w:spacing w:after="0"/>
              <w:rPr>
                <w:sz w:val="20"/>
                <w:szCs w:val="20"/>
                <w:color w:val="auto"/>
              </w:rPr>
            </w:pPr>
            <w:r>
              <w:rPr>
                <w:rFonts w:ascii="Arial" w:cs="Arial" w:eastAsia="Arial" w:hAnsi="Arial"/>
                <w:sz w:val="18"/>
                <w:szCs w:val="18"/>
                <w:b w:val="1"/>
                <w:bCs w:val="1"/>
                <w:color w:val="auto"/>
              </w:rPr>
              <w:t>SOUTH PLAINS FINANCIAL, INC.:</w:t>
            </w:r>
          </w:p>
        </w:tc>
        <w:tc>
          <w:tcPr>
            <w:tcW w:w="6180" w:type="dxa"/>
            <w:vAlign w:val="bottom"/>
            <w:gridSpan w:val="3"/>
          </w:tcPr>
          <w:p>
            <w:pPr>
              <w:ind w:left="2200"/>
              <w:spacing w:after="0"/>
              <w:rPr>
                <w:sz w:val="20"/>
                <w:szCs w:val="20"/>
                <w:color w:val="auto"/>
              </w:rPr>
            </w:pPr>
            <w:r>
              <w:rPr>
                <w:rFonts w:ascii="Arial" w:cs="Arial" w:eastAsia="Arial" w:hAnsi="Arial"/>
                <w:sz w:val="18"/>
                <w:szCs w:val="18"/>
                <w:b w:val="1"/>
                <w:bCs w:val="1"/>
                <w:color w:val="auto"/>
              </w:rPr>
              <w:t>PARTICIPANT:</w:t>
            </w:r>
          </w:p>
        </w:tc>
      </w:tr>
      <w:tr>
        <w:trPr>
          <w:trHeight w:val="439"/>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3660" w:type="dxa"/>
            <w:vAlign w:val="bottom"/>
            <w:tcBorders>
              <w:bottom w:val="single" w:sz="8" w:color="auto"/>
            </w:tcBorders>
            <w:gridSpan w:val="2"/>
          </w:tcPr>
          <w:p>
            <w:pPr>
              <w:spacing w:after="0"/>
              <w:rPr>
                <w:sz w:val="24"/>
                <w:szCs w:val="24"/>
                <w:color w:val="auto"/>
              </w:rPr>
            </w:pPr>
          </w:p>
        </w:tc>
        <w:tc>
          <w:tcPr>
            <w:tcW w:w="1220" w:type="dxa"/>
            <w:vAlign w:val="bottom"/>
          </w:tcPr>
          <w:p>
            <w:pPr>
              <w:spacing w:after="0"/>
              <w:rPr>
                <w:sz w:val="24"/>
                <w:szCs w:val="24"/>
                <w:color w:val="auto"/>
              </w:rPr>
            </w:pPr>
          </w:p>
        </w:tc>
        <w:tc>
          <w:tcPr>
            <w:tcW w:w="3100" w:type="dxa"/>
            <w:vAlign w:val="bottom"/>
            <w:gridSpan w:val="2"/>
          </w:tcPr>
          <w:p>
            <w:pPr>
              <w:ind w:left="2200"/>
              <w:spacing w:after="0"/>
              <w:rPr>
                <w:sz w:val="20"/>
                <w:szCs w:val="20"/>
                <w:color w:val="auto"/>
              </w:rPr>
            </w:pPr>
            <w:r>
              <w:rPr>
                <w:rFonts w:ascii="Arial" w:cs="Arial" w:eastAsia="Arial" w:hAnsi="Arial"/>
                <w:sz w:val="18"/>
                <w:szCs w:val="18"/>
                <w:color w:val="auto"/>
              </w:rPr>
              <w:t>Signature:</w:t>
            </w:r>
          </w:p>
        </w:tc>
        <w:tc>
          <w:tcPr>
            <w:tcW w:w="3080" w:type="dxa"/>
            <w:vAlign w:val="bottom"/>
            <w:tcBorders>
              <w:bottom w:val="single" w:sz="8" w:color="auto"/>
            </w:tcBorders>
          </w:tcPr>
          <w:p>
            <w:pPr>
              <w:spacing w:after="0"/>
              <w:rPr>
                <w:sz w:val="24"/>
                <w:szCs w:val="24"/>
                <w:color w:val="auto"/>
              </w:rPr>
            </w:pPr>
          </w:p>
        </w:tc>
      </w:tr>
      <w:tr>
        <w:trPr>
          <w:trHeight w:val="466"/>
        </w:trPr>
        <w:tc>
          <w:tcPr>
            <w:tcW w:w="360" w:type="dxa"/>
            <w:vAlign w:val="bottom"/>
          </w:tcPr>
          <w:p>
            <w:pPr>
              <w:spacing w:after="0"/>
              <w:rPr>
                <w:sz w:val="20"/>
                <w:szCs w:val="20"/>
                <w:color w:val="auto"/>
              </w:rPr>
            </w:pPr>
            <w:r>
              <w:rPr>
                <w:rFonts w:ascii="Arial" w:cs="Arial" w:eastAsia="Arial" w:hAnsi="Arial"/>
                <w:sz w:val="18"/>
                <w:szCs w:val="18"/>
                <w:color w:val="auto"/>
              </w:rPr>
              <w:t>Its:</w:t>
            </w:r>
          </w:p>
        </w:tc>
        <w:tc>
          <w:tcPr>
            <w:tcW w:w="3660" w:type="dxa"/>
            <w:vAlign w:val="bottom"/>
            <w:tcBorders>
              <w:bottom w:val="single" w:sz="8" w:color="auto"/>
            </w:tcBorders>
            <w:gridSpan w:val="2"/>
          </w:tcPr>
          <w:p>
            <w:pPr>
              <w:spacing w:after="0"/>
              <w:rPr>
                <w:sz w:val="24"/>
                <w:szCs w:val="24"/>
                <w:color w:val="auto"/>
              </w:rPr>
            </w:pPr>
          </w:p>
        </w:tc>
        <w:tc>
          <w:tcPr>
            <w:tcW w:w="1220" w:type="dxa"/>
            <w:vAlign w:val="bottom"/>
          </w:tcPr>
          <w:p>
            <w:pPr>
              <w:spacing w:after="0"/>
              <w:rPr>
                <w:sz w:val="24"/>
                <w:szCs w:val="24"/>
                <w:color w:val="auto"/>
              </w:rPr>
            </w:pPr>
          </w:p>
        </w:tc>
        <w:tc>
          <w:tcPr>
            <w:tcW w:w="3100" w:type="dxa"/>
            <w:vAlign w:val="bottom"/>
            <w:gridSpan w:val="2"/>
          </w:tcPr>
          <w:p>
            <w:pPr>
              <w:ind w:left="2200"/>
              <w:spacing w:after="0"/>
              <w:rPr>
                <w:sz w:val="20"/>
                <w:szCs w:val="20"/>
                <w:color w:val="auto"/>
              </w:rPr>
            </w:pPr>
            <w:r>
              <w:rPr>
                <w:rFonts w:ascii="Arial" w:cs="Arial" w:eastAsia="Arial" w:hAnsi="Arial"/>
                <w:sz w:val="18"/>
                <w:szCs w:val="18"/>
                <w:color w:val="auto"/>
                <w:w w:val="92"/>
              </w:rPr>
              <w:t>Print Name:</w:t>
            </w:r>
          </w:p>
        </w:tc>
        <w:tc>
          <w:tcPr>
            <w:tcW w:w="3080" w:type="dxa"/>
            <w:vAlign w:val="bottom"/>
            <w:tcBorders>
              <w:bottom w:val="single" w:sz="8" w:color="auto"/>
            </w:tcBorders>
          </w:tcPr>
          <w:p>
            <w:pPr>
              <w:spacing w:after="0"/>
              <w:rPr>
                <w:sz w:val="24"/>
                <w:szCs w:val="24"/>
                <w:color w:val="auto"/>
              </w:rPr>
            </w:pPr>
          </w:p>
        </w:tc>
      </w:tr>
      <w:tr>
        <w:trPr>
          <w:trHeight w:val="466"/>
        </w:trPr>
        <w:tc>
          <w:tcPr>
            <w:tcW w:w="580" w:type="dxa"/>
            <w:vAlign w:val="bottom"/>
            <w:gridSpan w:val="2"/>
          </w:tcPr>
          <w:p>
            <w:pPr>
              <w:spacing w:after="0"/>
              <w:rPr>
                <w:sz w:val="20"/>
                <w:szCs w:val="20"/>
                <w:color w:val="auto"/>
              </w:rPr>
            </w:pPr>
            <w:r>
              <w:rPr>
                <w:rFonts w:ascii="Arial" w:cs="Arial" w:eastAsia="Arial" w:hAnsi="Arial"/>
                <w:sz w:val="18"/>
                <w:szCs w:val="18"/>
                <w:color w:val="auto"/>
              </w:rPr>
              <w:t>Dated:</w:t>
            </w:r>
          </w:p>
        </w:tc>
        <w:tc>
          <w:tcPr>
            <w:tcW w:w="3440" w:type="dxa"/>
            <w:vAlign w:val="bottom"/>
            <w:tcBorders>
              <w:bottom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2760" w:type="dxa"/>
            <w:vAlign w:val="bottom"/>
          </w:tcPr>
          <w:p>
            <w:pPr>
              <w:ind w:left="2200"/>
              <w:spacing w:after="0"/>
              <w:rPr>
                <w:sz w:val="20"/>
                <w:szCs w:val="20"/>
                <w:color w:val="auto"/>
              </w:rPr>
            </w:pPr>
            <w:r>
              <w:rPr>
                <w:rFonts w:ascii="Arial" w:cs="Arial" w:eastAsia="Arial" w:hAnsi="Arial"/>
                <w:sz w:val="18"/>
                <w:szCs w:val="18"/>
                <w:color w:val="auto"/>
              </w:rPr>
              <w:t>Dated:</w:t>
            </w:r>
          </w:p>
        </w:tc>
        <w:tc>
          <w:tcPr>
            <w:tcW w:w="3420" w:type="dxa"/>
            <w:vAlign w:val="bottom"/>
            <w:tcBorders>
              <w:bottom w:val="single" w:sz="8" w:color="auto"/>
            </w:tcBorders>
            <w:gridSpan w:val="2"/>
          </w:tcPr>
          <w:p>
            <w:pPr>
              <w:spacing w:after="0"/>
              <w:rPr>
                <w:sz w:val="24"/>
                <w:szCs w:val="24"/>
                <w:color w:val="auto"/>
              </w:rPr>
            </w:pPr>
          </w:p>
        </w:tc>
      </w:tr>
      <w:tr>
        <w:trPr>
          <w:trHeight w:val="459"/>
        </w:trPr>
        <w:tc>
          <w:tcPr>
            <w:tcW w:w="5240" w:type="dxa"/>
            <w:vAlign w:val="bottom"/>
            <w:gridSpan w:val="4"/>
          </w:tcPr>
          <w:p>
            <w:pPr>
              <w:ind w:left="5040"/>
              <w:spacing w:after="0"/>
              <w:rPr>
                <w:sz w:val="20"/>
                <w:szCs w:val="20"/>
                <w:color w:val="auto"/>
              </w:rPr>
            </w:pPr>
            <w:r>
              <w:rPr>
                <w:rFonts w:ascii="Arial" w:cs="Arial" w:eastAsia="Arial" w:hAnsi="Arial"/>
                <w:sz w:val="18"/>
                <w:szCs w:val="18"/>
                <w:color w:val="auto"/>
              </w:rPr>
              <w:t>*</w:t>
            </w:r>
          </w:p>
        </w:tc>
        <w:tc>
          <w:tcPr>
            <w:tcW w:w="2760" w:type="dxa"/>
            <w:vAlign w:val="bottom"/>
          </w:tcPr>
          <w:p>
            <w:pPr>
              <w:ind w:left="120"/>
              <w:spacing w:after="0"/>
              <w:rPr>
                <w:sz w:val="20"/>
                <w:szCs w:val="20"/>
                <w:color w:val="auto"/>
              </w:rPr>
            </w:pPr>
            <w:r>
              <w:rPr>
                <w:rFonts w:ascii="Arial" w:cs="Arial" w:eastAsia="Arial" w:hAnsi="Arial"/>
                <w:sz w:val="18"/>
                <w:szCs w:val="18"/>
                <w:color w:val="auto"/>
              </w:rPr>
              <w:t>*   *   *   *</w:t>
            </w:r>
          </w:p>
        </w:tc>
        <w:tc>
          <w:tcPr>
            <w:tcW w:w="34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555"/>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760" w:type="dxa"/>
            <w:vAlign w:val="bottom"/>
          </w:tcPr>
          <w:p>
            <w:pPr>
              <w:ind w:left="400"/>
              <w:spacing w:after="0"/>
              <w:rPr>
                <w:sz w:val="20"/>
                <w:szCs w:val="20"/>
                <w:color w:val="auto"/>
              </w:rPr>
            </w:pPr>
            <w:r>
              <w:rPr>
                <w:rFonts w:ascii="Arial" w:cs="Arial" w:eastAsia="Arial" w:hAnsi="Arial"/>
                <w:sz w:val="14"/>
                <w:szCs w:val="14"/>
                <w:color w:val="auto"/>
              </w:rPr>
              <w:t>-2-</w:t>
            </w:r>
          </w:p>
        </w:tc>
        <w:tc>
          <w:tcPr>
            <w:tcW w:w="34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46"/>
        </w:trPr>
        <w:tc>
          <w:tcPr>
            <w:tcW w:w="3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4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7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0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275" w:name="page276"/>
    <w:bookmarkEnd w:id="275"/>
    <w:p>
      <w:pPr>
        <w:jc w:val="center"/>
        <w:spacing w:after="0"/>
        <w:rPr>
          <w:sz w:val="20"/>
          <w:szCs w:val="20"/>
          <w:color w:val="auto"/>
        </w:rPr>
      </w:pPr>
      <w:r>
        <w:rPr>
          <w:rFonts w:ascii="Arial" w:cs="Arial" w:eastAsia="Arial" w:hAnsi="Arial"/>
          <w:sz w:val="18"/>
          <w:szCs w:val="18"/>
          <w:b w:val="1"/>
          <w:bCs w:val="1"/>
          <w:color w:val="auto"/>
        </w:rPr>
        <w:t>SOUTH PLAINS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2019 EQUITY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AWARD AGREEMENT</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Subject to the terms and conditions of the Notice of Stock Option Award (the "</w:t>
      </w:r>
      <w:r>
        <w:rPr>
          <w:rFonts w:ascii="Arial" w:cs="Arial" w:eastAsia="Arial" w:hAnsi="Arial"/>
          <w:sz w:val="17"/>
          <w:szCs w:val="17"/>
          <w:b w:val="1"/>
          <w:bCs w:val="1"/>
          <w:i w:val="1"/>
          <w:iCs w:val="1"/>
          <w:color w:val="auto"/>
        </w:rPr>
        <w:t>Notice</w:t>
      </w:r>
      <w:r>
        <w:rPr>
          <w:rFonts w:ascii="Arial" w:cs="Arial" w:eastAsia="Arial" w:hAnsi="Arial"/>
          <w:sz w:val="17"/>
          <w:szCs w:val="17"/>
          <w:color w:val="auto"/>
        </w:rPr>
        <w:t>"), this Stock Option Award Agreement (this "</w:t>
      </w:r>
      <w:r>
        <w:rPr>
          <w:rFonts w:ascii="Arial" w:cs="Arial" w:eastAsia="Arial" w:hAnsi="Arial"/>
          <w:sz w:val="17"/>
          <w:szCs w:val="17"/>
          <w:b w:val="1"/>
          <w:bCs w:val="1"/>
          <w:i w:val="1"/>
          <w:iCs w:val="1"/>
          <w:color w:val="auto"/>
        </w:rPr>
        <w:t>Award Agreement</w:t>
      </w:r>
      <w:r>
        <w:rPr>
          <w:rFonts w:ascii="Arial" w:cs="Arial" w:eastAsia="Arial" w:hAnsi="Arial"/>
          <w:sz w:val="17"/>
          <w:szCs w:val="17"/>
          <w:color w:val="auto"/>
        </w:rPr>
        <w:t>"), and the South Plains Financial, Inc. 2019 Equity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South Plains Financial, Inc., a Texas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hereby grants the individual set forth in the Notice (the "</w:t>
      </w:r>
      <w:r>
        <w:rPr>
          <w:rFonts w:ascii="Arial" w:cs="Arial" w:eastAsia="Arial" w:hAnsi="Arial"/>
          <w:sz w:val="17"/>
          <w:szCs w:val="17"/>
          <w:b w:val="1"/>
          <w:bCs w:val="1"/>
          <w:i w:val="1"/>
          <w:iCs w:val="1"/>
          <w:color w:val="auto"/>
        </w:rPr>
        <w:t>Participant</w:t>
      </w:r>
      <w:r>
        <w:rPr>
          <w:rFonts w:ascii="Arial" w:cs="Arial" w:eastAsia="Arial" w:hAnsi="Arial"/>
          <w:sz w:val="17"/>
          <w:szCs w:val="17"/>
          <w:color w:val="auto"/>
        </w:rPr>
        <w:t>") an option (the "</w:t>
      </w:r>
      <w:r>
        <w:rPr>
          <w:rFonts w:ascii="Arial" w:cs="Arial" w:eastAsia="Arial" w:hAnsi="Arial"/>
          <w:sz w:val="17"/>
          <w:szCs w:val="17"/>
          <w:b w:val="1"/>
          <w:bCs w:val="1"/>
          <w:i w:val="1"/>
          <w:iCs w:val="1"/>
          <w:color w:val="auto"/>
        </w:rPr>
        <w:t>Option</w:t>
      </w:r>
      <w:r>
        <w:rPr>
          <w:rFonts w:ascii="Arial" w:cs="Arial" w:eastAsia="Arial" w:hAnsi="Arial"/>
          <w:sz w:val="17"/>
          <w:szCs w:val="17"/>
          <w:color w:val="auto"/>
        </w:rPr>
        <w:t>") to purchase Shares of Common Stock. Unless otherwise specifically indicated, all terms used in this Award Agreement have the meanings set forth in the Notice or the Plan.</w:t>
      </w:r>
    </w:p>
    <w:p>
      <w:pPr>
        <w:spacing w:after="0" w:line="171" w:lineRule="exact"/>
        <w:rPr>
          <w:sz w:val="20"/>
          <w:szCs w:val="20"/>
          <w:color w:val="auto"/>
        </w:rPr>
      </w:pPr>
    </w:p>
    <w:p>
      <w:pPr>
        <w:ind w:left="780"/>
        <w:spacing w:after="0"/>
        <w:rPr>
          <w:sz w:val="20"/>
          <w:szCs w:val="20"/>
          <w:color w:val="auto"/>
        </w:rPr>
      </w:pPr>
      <w:r>
        <w:rPr>
          <w:rFonts w:ascii="Arial" w:cs="Arial" w:eastAsia="Arial" w:hAnsi="Arial"/>
          <w:sz w:val="16"/>
          <w:szCs w:val="16"/>
          <w:color w:val="auto"/>
        </w:rPr>
        <w:t xml:space="preserve">1. </w:t>
      </w:r>
      <w:r>
        <w:rPr>
          <w:rFonts w:ascii="Arial" w:cs="Arial" w:eastAsia="Arial" w:hAnsi="Arial"/>
          <w:sz w:val="16"/>
          <w:szCs w:val="16"/>
          <w:u w:val="single" w:color="auto"/>
          <w:color w:val="auto"/>
        </w:rPr>
        <w:t>Grant of the Option</w:t>
      </w:r>
      <w:r>
        <w:rPr>
          <w:rFonts w:ascii="Arial" w:cs="Arial" w:eastAsia="Arial" w:hAnsi="Arial"/>
          <w:sz w:val="16"/>
          <w:szCs w:val="16"/>
          <w:color w:val="auto"/>
        </w:rPr>
        <w:t>. The principal features of the Option, including the number of Optioned Shares subject to the Option, are set forth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Notice.</w:t>
      </w:r>
    </w:p>
    <w:p>
      <w:pPr>
        <w:spacing w:after="0" w:line="211" w:lineRule="exact"/>
        <w:rPr>
          <w:sz w:val="20"/>
          <w:szCs w:val="20"/>
          <w:color w:val="auto"/>
        </w:rPr>
      </w:pPr>
    </w:p>
    <w:p>
      <w:pPr>
        <w:ind w:left="960" w:hanging="174"/>
        <w:spacing w:after="0"/>
        <w:tabs>
          <w:tab w:leader="none" w:pos="960"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Vesting Schedule and Risk of Forfeiture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980"/>
        <w:spacing w:after="0" w:line="264" w:lineRule="auto"/>
        <w:tabs>
          <w:tab w:leader="none" w:pos="1217" w:val="left"/>
        </w:tabs>
        <w:numPr>
          <w:ilvl w:val="1"/>
          <w:numId w:val="190"/>
        </w:numPr>
        <w:rPr>
          <w:rFonts w:ascii="Arial" w:cs="Arial" w:eastAsia="Arial" w:hAnsi="Arial"/>
          <w:sz w:val="18"/>
          <w:szCs w:val="18"/>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 Subject to the Participant's continuous status with the Company as a Service Provider and any other limitations set forth in the Notice, the Plan or this Award Agreement, the Optioned Shares will vest in accordance with the Vesting Schedule provided in the Notice (the "</w:t>
      </w:r>
      <w:r>
        <w:rPr>
          <w:rFonts w:ascii="Arial" w:cs="Arial" w:eastAsia="Arial" w:hAnsi="Arial"/>
          <w:sz w:val="18"/>
          <w:szCs w:val="18"/>
          <w:b w:val="1"/>
          <w:bCs w:val="1"/>
          <w:i w:val="1"/>
          <w:iCs w:val="1"/>
          <w:color w:val="auto"/>
        </w:rPr>
        <w:t>Vesting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Schedule</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firstLine="980"/>
        <w:spacing w:after="0" w:line="276" w:lineRule="auto"/>
        <w:tabs>
          <w:tab w:leader="none" w:pos="1227" w:val="left"/>
        </w:tabs>
        <w:numPr>
          <w:ilvl w:val="1"/>
          <w:numId w:val="190"/>
        </w:numPr>
        <w:rPr>
          <w:rFonts w:ascii="Arial" w:cs="Arial" w:eastAsia="Arial" w:hAnsi="Arial"/>
          <w:sz w:val="17"/>
          <w:szCs w:val="17"/>
          <w:color w:val="auto"/>
        </w:rPr>
      </w:pPr>
      <w:r>
        <w:rPr>
          <w:rFonts w:ascii="Arial" w:cs="Arial" w:eastAsia="Arial" w:hAnsi="Arial"/>
          <w:sz w:val="17"/>
          <w:szCs w:val="17"/>
          <w:u w:val="single" w:color="auto"/>
          <w:color w:val="auto"/>
        </w:rPr>
        <w:t>Risk of Forfeiture</w:t>
      </w:r>
      <w:r>
        <w:rPr>
          <w:rFonts w:ascii="Arial" w:cs="Arial" w:eastAsia="Arial" w:hAnsi="Arial"/>
          <w:sz w:val="17"/>
          <w:szCs w:val="17"/>
          <w:color w:val="auto"/>
        </w:rPr>
        <w:t>. The Optioned Shares will be subject to a risk of forfeiture until such time the Optioned Shares vest in accordance with the Vesting Schedule. All or any portion of the Optioned Shares subject to a risk of forfeiture will automatically be forfeited and immediately returned to the Company if the Participant's continuous status as a Service Provider is interrupted or terminated for any reason other than as permitted under the Plan. Additionally, and notwithstanding anything in the Notice or this Award Agreement to the contrary, the vested and unvested Optioned Shares will automatically and immediately be forfeited upon the date the Participant's continuous status as a Service Provider is terminated for Cause.</w:t>
      </w:r>
    </w:p>
    <w:p>
      <w:pPr>
        <w:spacing w:after="0" w:line="172" w:lineRule="exact"/>
        <w:rPr>
          <w:rFonts w:ascii="Arial" w:cs="Arial" w:eastAsia="Arial" w:hAnsi="Arial"/>
          <w:sz w:val="17"/>
          <w:szCs w:val="17"/>
          <w:color w:val="auto"/>
        </w:rPr>
      </w:pPr>
    </w:p>
    <w:p>
      <w:pPr>
        <w:ind w:left="960" w:hanging="174"/>
        <w:spacing w:after="0"/>
        <w:tabs>
          <w:tab w:leader="none" w:pos="960"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980"/>
        <w:spacing w:after="0" w:line="273" w:lineRule="auto"/>
        <w:tabs>
          <w:tab w:leader="none" w:pos="1244" w:val="left"/>
        </w:tabs>
        <w:numPr>
          <w:ilvl w:val="1"/>
          <w:numId w:val="190"/>
        </w:numPr>
        <w:rPr>
          <w:rFonts w:ascii="Arial" w:cs="Arial" w:eastAsia="Arial" w:hAnsi="Arial"/>
          <w:sz w:val="17"/>
          <w:szCs w:val="17"/>
          <w:color w:val="auto"/>
        </w:rPr>
      </w:pPr>
      <w:r>
        <w:rPr>
          <w:rFonts w:ascii="Arial" w:cs="Arial" w:eastAsia="Arial" w:hAnsi="Arial"/>
          <w:sz w:val="17"/>
          <w:szCs w:val="17"/>
          <w:u w:val="single" w:color="auto"/>
          <w:color w:val="auto"/>
        </w:rPr>
        <w:t>Right to Exercise</w:t>
      </w:r>
      <w:r>
        <w:rPr>
          <w:rFonts w:ascii="Arial" w:cs="Arial" w:eastAsia="Arial" w:hAnsi="Arial"/>
          <w:sz w:val="17"/>
          <w:szCs w:val="17"/>
          <w:color w:val="auto"/>
        </w:rPr>
        <w:t>. The Optioned Shares will be exercisable during their term cumulatively according to the Vesting Schedule and the applicable provisions of the Plan; however, the Optioned Shares may not be exercised for a fraction of a Share. Additionally, and notwithstanding anything in the Notice, this Award Agreement, the Plan or any other agreement to the contrary, the Participant's right to exercise vested Optioned Shares will automatically expire, and the vested Optioned Shares will automatically terminate, upon the end of the Maximum Exercise Period. As provided under the Plan, and notwithstanding anything to the contrary, all Optioned Shares will automatically expire and terminate upon the Expiration Date (as set forth in the Notice) to the extent not then exercised. Thereafter, no vested Optioned Shares may be exercised.</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6" w:name="page277"/>
    <w:bookmarkEnd w:id="276"/>
    <w:p>
      <w:pPr>
        <w:jc w:val="both"/>
        <w:ind w:firstLine="980"/>
        <w:spacing w:after="0" w:line="290" w:lineRule="auto"/>
        <w:tabs>
          <w:tab w:leader="none" w:pos="1227" w:val="left"/>
        </w:tabs>
        <w:numPr>
          <w:ilvl w:val="1"/>
          <w:numId w:val="191"/>
        </w:numPr>
        <w:rPr>
          <w:rFonts w:ascii="Arial" w:cs="Arial" w:eastAsia="Arial" w:hAnsi="Arial"/>
          <w:sz w:val="16"/>
          <w:szCs w:val="16"/>
          <w:color w:val="auto"/>
        </w:rPr>
      </w:pPr>
      <w:r>
        <w:rPr>
          <w:rFonts w:ascii="Arial" w:cs="Arial" w:eastAsia="Arial" w:hAnsi="Arial"/>
          <w:sz w:val="16"/>
          <w:szCs w:val="16"/>
          <w:u w:val="single" w:color="auto"/>
          <w:color w:val="auto"/>
        </w:rPr>
        <w:t>Method of Exercise</w:t>
      </w:r>
      <w:r>
        <w:rPr>
          <w:rFonts w:ascii="Arial" w:cs="Arial" w:eastAsia="Arial" w:hAnsi="Arial"/>
          <w:sz w:val="16"/>
          <w:szCs w:val="16"/>
          <w:color w:val="auto"/>
        </w:rPr>
        <w:t>. The Option will be exercisable to the extent then vested by delivery of a written exercise notice in a form acceptable to the Committee (the "</w:t>
      </w:r>
      <w:r>
        <w:rPr>
          <w:rFonts w:ascii="Arial" w:cs="Arial" w:eastAsia="Arial" w:hAnsi="Arial"/>
          <w:sz w:val="16"/>
          <w:szCs w:val="16"/>
          <w:b w:val="1"/>
          <w:bCs w:val="1"/>
          <w:i w:val="1"/>
          <w:iCs w:val="1"/>
          <w:color w:val="auto"/>
        </w:rPr>
        <w:t>Exercise Notice</w:t>
      </w:r>
      <w:r>
        <w:rPr>
          <w:rFonts w:ascii="Arial" w:cs="Arial" w:eastAsia="Arial" w:hAnsi="Arial"/>
          <w:sz w:val="16"/>
          <w:szCs w:val="16"/>
          <w:color w:val="auto"/>
        </w:rPr>
        <w:t>"), which must state the election to exercise the Option, the number of Shares with respect to which the Option is being exercised, and such other representations and agreements as may be required by the Company. The Exercise Notice must be signed by the Participant (or by the Participant's beneficiary or other person entitled to exercise the Option in the event of the Participant's death under the Plan) and must be delivered in person or by certified mail to the Secretary of the Company. The Exercise Notice must be accompanied by payment of the aggregate Exercise Price as to all Shares exercised. The Option will be deemed to be exercised as of the date (the "</w:t>
      </w:r>
      <w:r>
        <w:rPr>
          <w:rFonts w:ascii="Arial" w:cs="Arial" w:eastAsia="Arial" w:hAnsi="Arial"/>
          <w:sz w:val="16"/>
          <w:szCs w:val="16"/>
          <w:b w:val="1"/>
          <w:bCs w:val="1"/>
          <w:i w:val="1"/>
          <w:iCs w:val="1"/>
          <w:color w:val="auto"/>
        </w:rPr>
        <w:t>Exercise Date</w:t>
      </w:r>
      <w:r>
        <w:rPr>
          <w:rFonts w:ascii="Arial" w:cs="Arial" w:eastAsia="Arial" w:hAnsi="Arial"/>
          <w:sz w:val="16"/>
          <w:szCs w:val="16"/>
          <w:color w:val="auto"/>
        </w:rPr>
        <w:t>"): (i) on which the Company receives (as determined by the Committee in its sole, but reasonable, discretion) the fully executed Exercise Notice accompanied by payment of the aggregate Exercise Price, and (ii) all other applicable terms and conditions of the Award Agreement are satisfied in the sole discretion of the Committee.</w:t>
      </w:r>
    </w:p>
    <w:p>
      <w:pPr>
        <w:spacing w:after="0" w:line="193" w:lineRule="exact"/>
        <w:rPr>
          <w:rFonts w:ascii="Arial" w:cs="Arial" w:eastAsia="Arial" w:hAnsi="Arial"/>
          <w:sz w:val="16"/>
          <w:szCs w:val="16"/>
          <w:color w:val="auto"/>
        </w:rPr>
      </w:pPr>
    </w:p>
    <w:p>
      <w:pPr>
        <w:jc w:val="both"/>
        <w:ind w:firstLine="980"/>
        <w:spacing w:after="0" w:line="257" w:lineRule="auto"/>
        <w:tabs>
          <w:tab w:leader="none" w:pos="1226" w:val="left"/>
        </w:tabs>
        <w:numPr>
          <w:ilvl w:val="1"/>
          <w:numId w:val="191"/>
        </w:numPr>
        <w:rPr>
          <w:rFonts w:ascii="Arial" w:cs="Arial" w:eastAsia="Arial" w:hAnsi="Arial"/>
          <w:sz w:val="18"/>
          <w:szCs w:val="18"/>
          <w:color w:val="auto"/>
        </w:rPr>
      </w:pPr>
      <w:r>
        <w:rPr>
          <w:rFonts w:ascii="Arial" w:cs="Arial" w:eastAsia="Arial" w:hAnsi="Arial"/>
          <w:sz w:val="18"/>
          <w:szCs w:val="18"/>
          <w:u w:val="single" w:color="auto"/>
          <w:color w:val="auto"/>
        </w:rPr>
        <w:t>Approval by Shareholders and Compliance Restrictions on Exercise</w:t>
      </w:r>
      <w:r>
        <w:rPr>
          <w:rFonts w:ascii="Arial" w:cs="Arial" w:eastAsia="Arial" w:hAnsi="Arial"/>
          <w:sz w:val="18"/>
          <w:szCs w:val="18"/>
          <w:color w:val="auto"/>
        </w:rPr>
        <w:t>. Notwithstanding any other provision of this Award Agreement to the contrary, no portion of the Option will be exercisable at any time prior to the approval of the Plan by the shareholders of the Company. No Shares will be issued pursuant to the exercise of an Option unless the issuance and exercise, including the form of consideration used to pay the Exercise Price, comply with Applicable Laws. The Participant will not have any rights as a shareholder with respect to any shares of Common Stock subject to the Option prior to the Exercise Date.</w:t>
      </w:r>
    </w:p>
    <w:p>
      <w:pPr>
        <w:spacing w:after="0" w:line="188" w:lineRule="exact"/>
        <w:rPr>
          <w:rFonts w:ascii="Arial" w:cs="Arial" w:eastAsia="Arial" w:hAnsi="Arial"/>
          <w:sz w:val="18"/>
          <w:szCs w:val="18"/>
          <w:color w:val="auto"/>
        </w:rPr>
      </w:pPr>
    </w:p>
    <w:p>
      <w:pPr>
        <w:jc w:val="both"/>
        <w:ind w:firstLine="980"/>
        <w:spacing w:after="0" w:line="259" w:lineRule="auto"/>
        <w:tabs>
          <w:tab w:leader="none" w:pos="1241" w:val="left"/>
        </w:tabs>
        <w:numPr>
          <w:ilvl w:val="1"/>
          <w:numId w:val="191"/>
        </w:numPr>
        <w:rPr>
          <w:rFonts w:ascii="Arial" w:cs="Arial" w:eastAsia="Arial" w:hAnsi="Arial"/>
          <w:sz w:val="18"/>
          <w:szCs w:val="18"/>
          <w:color w:val="auto"/>
        </w:rPr>
      </w:pPr>
      <w:r>
        <w:rPr>
          <w:rFonts w:ascii="Arial" w:cs="Arial" w:eastAsia="Arial" w:hAnsi="Arial"/>
          <w:sz w:val="18"/>
          <w:szCs w:val="18"/>
          <w:u w:val="single" w:color="auto"/>
          <w:color w:val="auto"/>
        </w:rPr>
        <w:t>Issuance of Shares</w:t>
      </w:r>
      <w:r>
        <w:rPr>
          <w:rFonts w:ascii="Arial" w:cs="Arial" w:eastAsia="Arial" w:hAnsi="Arial"/>
          <w:sz w:val="18"/>
          <w:szCs w:val="18"/>
          <w:color w:val="auto"/>
        </w:rPr>
        <w:t>. After receiving the Exercise Notice, the Company will cause to be issued a certificate or certificates (or electronic equivalent) for the Shares as to which the Option has been exercised, registered in the name of the person exercising this Option (or in the names of such person and his or her spouse as community property or as joint tenants with right of survivorship). The Company will cause the certificate or certificates to be deposited in escrow or delivered to or upon the order of the person exercising the Option.</w:t>
      </w:r>
    </w:p>
    <w:p>
      <w:pPr>
        <w:spacing w:after="0" w:line="186" w:lineRule="exact"/>
        <w:rPr>
          <w:rFonts w:ascii="Arial" w:cs="Arial" w:eastAsia="Arial" w:hAnsi="Arial"/>
          <w:sz w:val="18"/>
          <w:szCs w:val="18"/>
          <w:color w:val="auto"/>
        </w:rPr>
      </w:pPr>
    </w:p>
    <w:p>
      <w:pPr>
        <w:ind w:firstLine="786"/>
        <w:spacing w:after="0" w:line="277" w:lineRule="auto"/>
        <w:tabs>
          <w:tab w:leader="none" w:pos="958"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Method of Payment</w:t>
      </w:r>
      <w:r>
        <w:rPr>
          <w:rFonts w:ascii="Arial" w:cs="Arial" w:eastAsia="Arial" w:hAnsi="Arial"/>
          <w:sz w:val="18"/>
          <w:szCs w:val="18"/>
          <w:color w:val="auto"/>
        </w:rPr>
        <w:t>. Payment of the aggregate Exercise Price may be by any of the following forms of consideration, or a combination thereof, at the election of the Participant:</w:t>
      </w:r>
    </w:p>
    <w:p>
      <w:pPr>
        <w:spacing w:after="0" w:line="170" w:lineRule="exact"/>
        <w:rPr>
          <w:rFonts w:ascii="Arial" w:cs="Arial" w:eastAsia="Arial" w:hAnsi="Arial"/>
          <w:sz w:val="18"/>
          <w:szCs w:val="18"/>
          <w:color w:val="auto"/>
        </w:rPr>
      </w:pPr>
    </w:p>
    <w:p>
      <w:pPr>
        <w:ind w:left="1220" w:hanging="240"/>
        <w:spacing w:after="0"/>
        <w:tabs>
          <w:tab w:leader="none" w:pos="122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cash or check;</w:t>
      </w:r>
    </w:p>
    <w:p>
      <w:pPr>
        <w:spacing w:after="0" w:line="225" w:lineRule="exact"/>
        <w:rPr>
          <w:rFonts w:ascii="Arial" w:cs="Arial" w:eastAsia="Arial" w:hAnsi="Arial"/>
          <w:sz w:val="18"/>
          <w:szCs w:val="18"/>
          <w:color w:val="auto"/>
        </w:rPr>
      </w:pPr>
    </w:p>
    <w:p>
      <w:pPr>
        <w:ind w:firstLine="980"/>
        <w:spacing w:after="0" w:line="277" w:lineRule="auto"/>
        <w:tabs>
          <w:tab w:leader="none" w:pos="1241" w:val="left"/>
        </w:tabs>
        <w:numPr>
          <w:ilvl w:val="1"/>
          <w:numId w:val="192"/>
        </w:numPr>
        <w:rPr>
          <w:rFonts w:ascii="Arial" w:cs="Arial" w:eastAsia="Arial" w:hAnsi="Arial"/>
          <w:sz w:val="18"/>
          <w:szCs w:val="18"/>
          <w:color w:val="auto"/>
        </w:rPr>
      </w:pPr>
      <w:r>
        <w:rPr>
          <w:rFonts w:ascii="Arial" w:cs="Arial" w:eastAsia="Arial" w:hAnsi="Arial"/>
          <w:sz w:val="18"/>
          <w:szCs w:val="18"/>
          <w:color w:val="auto"/>
        </w:rPr>
        <w:t>if approved by the Committee (in its sole discretion), consideration received by the Company under a formal cashless exercise program adopted by the Company in connection with the Plan or a net exercise feature; or</w:t>
      </w:r>
    </w:p>
    <w:p>
      <w:pPr>
        <w:spacing w:after="0" w:line="170" w:lineRule="exact"/>
        <w:rPr>
          <w:rFonts w:ascii="Arial" w:cs="Arial" w:eastAsia="Arial" w:hAnsi="Arial"/>
          <w:sz w:val="18"/>
          <w:szCs w:val="18"/>
          <w:color w:val="auto"/>
        </w:rPr>
      </w:pPr>
    </w:p>
    <w:p>
      <w:pPr>
        <w:ind w:firstLine="980"/>
        <w:spacing w:after="0" w:line="277" w:lineRule="auto"/>
        <w:tabs>
          <w:tab w:leader="none" w:pos="1217" w:val="left"/>
        </w:tabs>
        <w:numPr>
          <w:ilvl w:val="1"/>
          <w:numId w:val="192"/>
        </w:numPr>
        <w:rPr>
          <w:rFonts w:ascii="Arial" w:cs="Arial" w:eastAsia="Arial" w:hAnsi="Arial"/>
          <w:sz w:val="18"/>
          <w:szCs w:val="18"/>
          <w:color w:val="auto"/>
        </w:rPr>
      </w:pPr>
      <w:r>
        <w:rPr>
          <w:rFonts w:ascii="Arial" w:cs="Arial" w:eastAsia="Arial" w:hAnsi="Arial"/>
          <w:sz w:val="18"/>
          <w:szCs w:val="18"/>
          <w:color w:val="auto"/>
        </w:rPr>
        <w:t>if approved by the Committee (in its sole discretion), surrender of other Shares which, if accepted by the Company, would not subject the Company to adverse accounting as determined by the Committee.</w:t>
      </w:r>
    </w:p>
    <w:p>
      <w:pPr>
        <w:spacing w:after="0" w:line="170" w:lineRule="exact"/>
        <w:rPr>
          <w:rFonts w:ascii="Arial" w:cs="Arial" w:eastAsia="Arial" w:hAnsi="Arial"/>
          <w:sz w:val="18"/>
          <w:szCs w:val="18"/>
          <w:color w:val="auto"/>
        </w:rPr>
      </w:pPr>
    </w:p>
    <w:p>
      <w:pPr>
        <w:jc w:val="both"/>
        <w:ind w:firstLine="786"/>
        <w:spacing w:after="0" w:line="257" w:lineRule="auto"/>
        <w:tabs>
          <w:tab w:leader="none" w:pos="985"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Non-Transferability of Option</w:t>
      </w:r>
      <w:r>
        <w:rPr>
          <w:rFonts w:ascii="Arial" w:cs="Arial" w:eastAsia="Arial" w:hAnsi="Arial"/>
          <w:sz w:val="18"/>
          <w:szCs w:val="18"/>
          <w:color w:val="auto"/>
        </w:rPr>
        <w:t>. The Option and the rights and privileges conferred hereby may not be sold, transferred by gift, pledged, hypothecated, or otherwise transferred or disposed of (whether by operation of law or otherwise) in any manner otherwise than by will or by the laws of descent or distribution, will not be subject to sale under execution, attachment, levy or similar process and may be exercised during the lifetime of the Participant only by the Participant. The terms of the Notice, this Award Agreement and the Plan are binding upon the executors, administrators, heirs, successors and assigns of the Participant.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7" w:name="page278"/>
    <w:bookmarkEnd w:id="277"/>
    <w:p>
      <w:pPr>
        <w:ind w:firstLine="786"/>
        <w:spacing w:after="0" w:line="277" w:lineRule="auto"/>
        <w:tabs>
          <w:tab w:leader="none" w:pos="958"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The Option will in any event expire on the Expiration Date set forth in the Notice, and may be exercised prior to the Expiration Date only in accordance with the Plan and the terms of this Award Agreement.</w:t>
      </w:r>
    </w:p>
    <w:p>
      <w:pPr>
        <w:spacing w:after="0" w:line="170" w:lineRule="exact"/>
        <w:rPr>
          <w:rFonts w:ascii="Arial" w:cs="Arial" w:eastAsia="Arial" w:hAnsi="Arial"/>
          <w:sz w:val="18"/>
          <w:szCs w:val="18"/>
          <w:color w:val="auto"/>
        </w:rPr>
      </w:pPr>
    </w:p>
    <w:p>
      <w:pPr>
        <w:ind w:firstLine="786"/>
        <w:spacing w:after="0" w:line="277" w:lineRule="auto"/>
        <w:tabs>
          <w:tab w:leader="none" w:pos="958"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The Participant hereby acknowledges and understands that he or she may suffer adverse tax consequences as a result of the Participant's exercise of the Option or disposition of the Optioned Shares.</w:t>
      </w:r>
    </w:p>
    <w:p>
      <w:pPr>
        <w:spacing w:after="0" w:line="170" w:lineRule="exact"/>
        <w:rPr>
          <w:rFonts w:ascii="Arial" w:cs="Arial" w:eastAsia="Arial" w:hAnsi="Arial"/>
          <w:sz w:val="18"/>
          <w:szCs w:val="18"/>
          <w:color w:val="auto"/>
        </w:rPr>
      </w:pPr>
    </w:p>
    <w:p>
      <w:pPr>
        <w:jc w:val="both"/>
        <w:ind w:firstLine="980"/>
        <w:spacing w:after="0" w:line="255" w:lineRule="auto"/>
        <w:tabs>
          <w:tab w:leader="none" w:pos="1230" w:val="left"/>
        </w:tabs>
        <w:numPr>
          <w:ilvl w:val="1"/>
          <w:numId w:val="193"/>
        </w:numPr>
        <w:rPr>
          <w:rFonts w:ascii="Arial" w:cs="Arial" w:eastAsia="Arial" w:hAnsi="Arial"/>
          <w:sz w:val="18"/>
          <w:szCs w:val="18"/>
          <w:color w:val="auto"/>
        </w:rPr>
      </w:pPr>
      <w:r>
        <w:rPr>
          <w:rFonts w:ascii="Arial" w:cs="Arial" w:eastAsia="Arial" w:hAnsi="Arial"/>
          <w:sz w:val="18"/>
          <w:szCs w:val="18"/>
          <w:u w:val="single" w:color="auto"/>
          <w:color w:val="auto"/>
        </w:rPr>
        <w:t>Representations</w:t>
      </w:r>
      <w:r>
        <w:rPr>
          <w:rFonts w:ascii="Arial" w:cs="Arial" w:eastAsia="Arial" w:hAnsi="Arial"/>
          <w:sz w:val="18"/>
          <w:szCs w:val="18"/>
          <w:color w:val="auto"/>
        </w:rPr>
        <w:t>. The Participant has reviewed with the Participant's tax advisors the tax consequences of this Award Agreement and the Optioned Shares granted hereunder, including any U.S. federal, state and local tax laws, and any other applicable taxing jurisdiction. The Participant is relying solely on such advisors and not on any statements or representations of the Company or any of its agents. The Participant hereby acknowledges and understands that, except as otherwise provided in the employment agreement between the Participant and the Company, the Participant (and not the Company) will be responsible for the Participant's tax liability that may arise as a result of the Participant receiving this Award Agreement and the Optioned Shares granted hereunder.</w:t>
      </w:r>
    </w:p>
    <w:p>
      <w:pPr>
        <w:spacing w:after="0" w:line="193" w:lineRule="exact"/>
        <w:rPr>
          <w:rFonts w:ascii="Arial" w:cs="Arial" w:eastAsia="Arial" w:hAnsi="Arial"/>
          <w:sz w:val="18"/>
          <w:szCs w:val="18"/>
          <w:color w:val="auto"/>
        </w:rPr>
      </w:pPr>
    </w:p>
    <w:p>
      <w:pPr>
        <w:jc w:val="both"/>
        <w:ind w:firstLine="980"/>
        <w:spacing w:after="0" w:line="272" w:lineRule="auto"/>
        <w:tabs>
          <w:tab w:leader="none" w:pos="1241" w:val="left"/>
        </w:tabs>
        <w:numPr>
          <w:ilvl w:val="1"/>
          <w:numId w:val="193"/>
        </w:numPr>
        <w:rPr>
          <w:rFonts w:ascii="Arial" w:cs="Arial" w:eastAsia="Arial" w:hAnsi="Arial"/>
          <w:sz w:val="17"/>
          <w:szCs w:val="17"/>
          <w:color w:val="auto"/>
        </w:rPr>
      </w:pPr>
      <w:r>
        <w:rPr>
          <w:rFonts w:ascii="Arial" w:cs="Arial" w:eastAsia="Arial" w:hAnsi="Arial"/>
          <w:sz w:val="17"/>
          <w:szCs w:val="17"/>
          <w:u w:val="single" w:color="auto"/>
          <w:color w:val="auto"/>
        </w:rPr>
        <w:t>Payment of Withholding Taxes</w:t>
      </w:r>
      <w:r>
        <w:rPr>
          <w:rFonts w:ascii="Arial" w:cs="Arial" w:eastAsia="Arial" w:hAnsi="Arial"/>
          <w:sz w:val="17"/>
          <w:szCs w:val="17"/>
          <w:color w:val="auto"/>
        </w:rPr>
        <w:t xml:space="preserve">. The Participant will make appropriate arrangements with the Company for the satisfaction of all U.S. federal, state, local and non-U.S. income and employment tax withholding requirements applicable to the Option exercise. The Committee has the sole authority to determine whether a "net withholding" may be permitted or is required for purposes of the Participant satisfying his or her obligations under this </w:t>
      </w:r>
      <w:r>
        <w:rPr>
          <w:rFonts w:ascii="Arial" w:cs="Arial" w:eastAsia="Arial" w:hAnsi="Arial"/>
          <w:sz w:val="17"/>
          <w:szCs w:val="17"/>
          <w:u w:val="single" w:color="auto"/>
          <w:color w:val="auto"/>
        </w:rPr>
        <w:t>Section 7(b)</w:t>
      </w:r>
      <w:r>
        <w:rPr>
          <w:rFonts w:ascii="Arial" w:cs="Arial" w:eastAsia="Arial" w:hAnsi="Arial"/>
          <w:sz w:val="17"/>
          <w:szCs w:val="17"/>
          <w:color w:val="auto"/>
        </w:rPr>
        <w:t xml:space="preserve">. The Participant hereby acknowledges the Company's obligations under this Award Agreement are fully contingent on the Participant first satisfying this </w:t>
      </w:r>
      <w:r>
        <w:rPr>
          <w:rFonts w:ascii="Arial" w:cs="Arial" w:eastAsia="Arial" w:hAnsi="Arial"/>
          <w:sz w:val="17"/>
          <w:szCs w:val="17"/>
          <w:u w:val="single" w:color="auto"/>
          <w:color w:val="auto"/>
        </w:rPr>
        <w:t>Section 7(b)</w:t>
      </w:r>
      <w:r>
        <w:rPr>
          <w:rFonts w:ascii="Arial" w:cs="Arial" w:eastAsia="Arial" w:hAnsi="Arial"/>
          <w:sz w:val="17"/>
          <w:szCs w:val="17"/>
          <w:color w:val="auto"/>
        </w:rPr>
        <w:t xml:space="preserve">. Therefore, a failure of the Participant to reasonably satisfy this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in accordance with the Committee's sole and absolute discretion will result in the automatic termination and expiration of this Award Agreement and the Company's obligations hereunder. The Participant hereby agrees that a breach of this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will be deemed to be a material breach of this Award Agreement.</w:t>
      </w:r>
    </w:p>
    <w:p>
      <w:pPr>
        <w:spacing w:after="0" w:line="177" w:lineRule="exact"/>
        <w:rPr>
          <w:rFonts w:ascii="Arial" w:cs="Arial" w:eastAsia="Arial" w:hAnsi="Arial"/>
          <w:sz w:val="17"/>
          <w:szCs w:val="17"/>
          <w:color w:val="auto"/>
        </w:rPr>
      </w:pPr>
    </w:p>
    <w:p>
      <w:pPr>
        <w:jc w:val="both"/>
        <w:ind w:firstLine="980"/>
        <w:spacing w:after="0" w:line="257" w:lineRule="auto"/>
        <w:tabs>
          <w:tab w:leader="none" w:pos="1217" w:val="left"/>
        </w:tabs>
        <w:numPr>
          <w:ilvl w:val="1"/>
          <w:numId w:val="193"/>
        </w:numPr>
        <w:rPr>
          <w:rFonts w:ascii="Arial" w:cs="Arial" w:eastAsia="Arial" w:hAnsi="Arial"/>
          <w:sz w:val="18"/>
          <w:szCs w:val="18"/>
          <w:color w:val="auto"/>
        </w:rPr>
      </w:pPr>
      <w:r>
        <w:rPr>
          <w:rFonts w:ascii="Arial" w:cs="Arial" w:eastAsia="Arial" w:hAnsi="Arial"/>
          <w:sz w:val="18"/>
          <w:szCs w:val="18"/>
          <w:u w:val="single" w:color="auto"/>
          <w:color w:val="auto"/>
        </w:rPr>
        <w:t>Notice of Disqualifying Disposition of Shares</w:t>
      </w:r>
      <w:r>
        <w:rPr>
          <w:rFonts w:ascii="Arial" w:cs="Arial" w:eastAsia="Arial" w:hAnsi="Arial"/>
          <w:sz w:val="18"/>
          <w:szCs w:val="18"/>
          <w:color w:val="auto"/>
        </w:rPr>
        <w:t>. If the Option granted to the Participant herein is designated as an Incentive Stock Option, and if the Participant sells or otherwise disposes of any of the Shares acquired pursuant to the Incentive Stock Option on or before the later of: (i) the date two years after the Date of Grant and (ii) the date one year after the date of exercise, the Participant will immediately notify the Company in writing of such disposition. The Participant hereby acknowledges and agrees that the Participant may be subject to income tax withholding by the Company on the compensation income recognized by the Participant in connection with the exercise of the Option.</w:t>
      </w:r>
    </w:p>
    <w:p>
      <w:pPr>
        <w:spacing w:after="0" w:line="188" w:lineRule="exact"/>
        <w:rPr>
          <w:rFonts w:ascii="Arial" w:cs="Arial" w:eastAsia="Arial" w:hAnsi="Arial"/>
          <w:sz w:val="18"/>
          <w:szCs w:val="18"/>
          <w:color w:val="auto"/>
        </w:rPr>
      </w:pPr>
    </w:p>
    <w:p>
      <w:pPr>
        <w:jc w:val="both"/>
        <w:ind w:firstLine="786"/>
        <w:spacing w:after="0" w:line="259" w:lineRule="auto"/>
        <w:tabs>
          <w:tab w:leader="none" w:pos="971"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Adjustment of Shares</w:t>
      </w:r>
      <w:r>
        <w:rPr>
          <w:rFonts w:ascii="Arial" w:cs="Arial" w:eastAsia="Arial" w:hAnsi="Arial"/>
          <w:sz w:val="18"/>
          <w:szCs w:val="18"/>
          <w:color w:val="auto"/>
        </w:rPr>
        <w:t xml:space="preserve">. In the event of any transaction described in </w:t>
      </w:r>
      <w:r>
        <w:rPr>
          <w:rFonts w:ascii="Arial" w:cs="Arial" w:eastAsia="Arial" w:hAnsi="Arial"/>
          <w:sz w:val="18"/>
          <w:szCs w:val="18"/>
          <w:u w:val="single" w:color="auto"/>
          <w:color w:val="auto"/>
        </w:rPr>
        <w:t>Section 15(a)</w:t>
      </w:r>
      <w:r>
        <w:rPr>
          <w:rFonts w:ascii="Arial" w:cs="Arial" w:eastAsia="Arial" w:hAnsi="Arial"/>
          <w:sz w:val="18"/>
          <w:szCs w:val="18"/>
          <w:color w:val="auto"/>
        </w:rPr>
        <w:t xml:space="preserve"> of the Plan, the terms of the Option (including, without limitation, the number and kind of the Optioned Shares and the Exercise Price) shall be adjusted as set forth therein. This Award Agreement in no way affects the right of the Company to adjust, reclassify, reorganize or otherwise change its capital or business structure or to merge, consolidate, dissolve, liquidate or sell or transfer any part of its business or assets.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78" w:name="page279"/>
    <w:bookmarkEnd w:id="278"/>
    <w:p>
      <w:pPr>
        <w:jc w:val="both"/>
        <w:ind w:firstLine="786"/>
        <w:spacing w:after="0" w:line="279" w:lineRule="auto"/>
        <w:tabs>
          <w:tab w:leader="none" w:pos="967" w:val="left"/>
        </w:tabs>
        <w:numPr>
          <w:ilvl w:val="0"/>
          <w:numId w:val="194"/>
        </w:numPr>
        <w:rPr>
          <w:rFonts w:ascii="Arial" w:cs="Arial" w:eastAsia="Arial" w:hAnsi="Arial"/>
          <w:sz w:val="17"/>
          <w:szCs w:val="17"/>
          <w:color w:val="auto"/>
        </w:rPr>
      </w:pPr>
      <w:r>
        <w:rPr>
          <w:rFonts w:ascii="Arial" w:cs="Arial" w:eastAsia="Arial" w:hAnsi="Arial"/>
          <w:sz w:val="17"/>
          <w:szCs w:val="17"/>
          <w:u w:val="single" w:color="auto"/>
          <w:color w:val="auto"/>
        </w:rPr>
        <w:t>Legality of Initial Issuance</w:t>
      </w:r>
      <w:r>
        <w:rPr>
          <w:rFonts w:ascii="Arial" w:cs="Arial" w:eastAsia="Arial" w:hAnsi="Arial"/>
          <w:sz w:val="17"/>
          <w:szCs w:val="17"/>
          <w:color w:val="auto"/>
        </w:rPr>
        <w:t>. No Shares will be issued upon the exercise of the Option unless and until the Committee has determined that: (i) the Company and the Participant have taken all actions required to register the Shares under the Securities Act or to perfect an exemption from the registration requirements thereof, if applicable; (ii) all applicable listing requirements of any stock exchange or other securities market on which the Shares are listed has been satisfied; and (iii) any other applicable provision of any Applicable Law has been satisfied.</w:t>
      </w:r>
    </w:p>
    <w:p>
      <w:pPr>
        <w:spacing w:after="0" w:line="171" w:lineRule="exact"/>
        <w:rPr>
          <w:rFonts w:ascii="Arial" w:cs="Arial" w:eastAsia="Arial" w:hAnsi="Arial"/>
          <w:sz w:val="17"/>
          <w:szCs w:val="17"/>
          <w:color w:val="auto"/>
        </w:rPr>
      </w:pPr>
    </w:p>
    <w:p>
      <w:pPr>
        <w:jc w:val="both"/>
        <w:ind w:firstLine="786"/>
        <w:spacing w:after="0" w:line="264" w:lineRule="auto"/>
        <w:tabs>
          <w:tab w:leader="none" w:pos="1048"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No Registration Rights</w:t>
      </w:r>
      <w:r>
        <w:rPr>
          <w:rFonts w:ascii="Arial" w:cs="Arial" w:eastAsia="Arial" w:hAnsi="Arial"/>
          <w:sz w:val="18"/>
          <w:szCs w:val="18"/>
          <w:color w:val="auto"/>
        </w:rPr>
        <w:t>. The Company may, but is not obligated to, register or qualify the sale of Shares under the Securities Act or any other Applicable Laws. The Company is not obligated to take any affirmative action in order to cause the sale of Shares under this Award Agreement to comply with any law.</w:t>
      </w:r>
    </w:p>
    <w:p>
      <w:pPr>
        <w:spacing w:after="0" w:line="181" w:lineRule="exact"/>
        <w:rPr>
          <w:rFonts w:ascii="Arial" w:cs="Arial" w:eastAsia="Arial" w:hAnsi="Arial"/>
          <w:sz w:val="18"/>
          <w:szCs w:val="18"/>
          <w:color w:val="auto"/>
        </w:rPr>
      </w:pPr>
    </w:p>
    <w:p>
      <w:pPr>
        <w:jc w:val="both"/>
        <w:ind w:firstLine="786"/>
        <w:spacing w:after="0" w:line="279" w:lineRule="auto"/>
        <w:tabs>
          <w:tab w:leader="none" w:pos="1041" w:val="left"/>
        </w:tabs>
        <w:numPr>
          <w:ilvl w:val="0"/>
          <w:numId w:val="194"/>
        </w:numPr>
        <w:rPr>
          <w:rFonts w:ascii="Arial" w:cs="Arial" w:eastAsia="Arial" w:hAnsi="Arial"/>
          <w:sz w:val="17"/>
          <w:szCs w:val="17"/>
          <w:color w:val="auto"/>
        </w:rPr>
      </w:pPr>
      <w:r>
        <w:rPr>
          <w:rFonts w:ascii="Arial" w:cs="Arial" w:eastAsia="Arial" w:hAnsi="Arial"/>
          <w:sz w:val="17"/>
          <w:szCs w:val="17"/>
          <w:u w:val="single" w:color="auto"/>
          <w:color w:val="auto"/>
        </w:rPr>
        <w:t>Restrictions</w:t>
      </w:r>
      <w:r>
        <w:rPr>
          <w:rFonts w:ascii="Arial" w:cs="Arial" w:eastAsia="Arial" w:hAnsi="Arial"/>
          <w:sz w:val="17"/>
          <w:szCs w:val="17"/>
          <w:color w:val="auto"/>
        </w:rPr>
        <w:t>. Regardless of whether the offering and sale of Shares under the Plan have been registered under the Securities Act or have been registered or qualified under the securities laws of any state, the Company at its discretion may impose restrictions upon the sale, pledge or other transfer of the Shares (including the placement of appropriate legends on share certificates or the imposition of stop-transfer instructions) if, in the judgment of the Company, such restrictions are necessary or desirable in order to achieve compliance with Applicable Laws.</w:t>
      </w:r>
    </w:p>
    <w:p>
      <w:pPr>
        <w:spacing w:after="0" w:line="171" w:lineRule="exact"/>
        <w:rPr>
          <w:rFonts w:ascii="Arial" w:cs="Arial" w:eastAsia="Arial" w:hAnsi="Arial"/>
          <w:sz w:val="17"/>
          <w:szCs w:val="17"/>
          <w:color w:val="auto"/>
        </w:rPr>
      </w:pPr>
    </w:p>
    <w:p>
      <w:pPr>
        <w:jc w:val="both"/>
        <w:ind w:firstLine="786"/>
        <w:spacing w:after="0" w:line="286" w:lineRule="auto"/>
        <w:tabs>
          <w:tab w:leader="none" w:pos="1048" w:val="left"/>
        </w:tabs>
        <w:numPr>
          <w:ilvl w:val="0"/>
          <w:numId w:val="194"/>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Any notice required by the terms of this Award Agreement must be given in writing and will be deemed to be effective upon personal delivery or upon deposit with the United States Postal Service, by registered or certified mail, with postage and fees prepaid. Notice must be addressed to the Company at its principal executive office and to the Participant at the address that he or she most recently provided to the Company.</w:t>
      </w:r>
    </w:p>
    <w:p>
      <w:pPr>
        <w:spacing w:after="0" w:line="165" w:lineRule="exact"/>
        <w:rPr>
          <w:rFonts w:ascii="Arial" w:cs="Arial" w:eastAsia="Arial" w:hAnsi="Arial"/>
          <w:sz w:val="17"/>
          <w:szCs w:val="17"/>
          <w:color w:val="auto"/>
        </w:rPr>
      </w:pPr>
    </w:p>
    <w:p>
      <w:pPr>
        <w:ind w:firstLine="786"/>
        <w:spacing w:after="0" w:line="277" w:lineRule="auto"/>
        <w:tabs>
          <w:tab w:leader="none" w:pos="1048"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Except as provided herein to the contrary, this Award Agreement is binding upon and will inure to the benefit of the parties to this Award Agreement, their respective successors and permitted assigns.</w:t>
      </w:r>
    </w:p>
    <w:p>
      <w:pPr>
        <w:spacing w:after="0" w:line="170" w:lineRule="exact"/>
        <w:rPr>
          <w:rFonts w:ascii="Arial" w:cs="Arial" w:eastAsia="Arial" w:hAnsi="Arial"/>
          <w:sz w:val="18"/>
          <w:szCs w:val="18"/>
          <w:color w:val="auto"/>
        </w:rPr>
      </w:pPr>
    </w:p>
    <w:p>
      <w:pPr>
        <w:jc w:val="both"/>
        <w:ind w:firstLine="786"/>
        <w:spacing w:after="0" w:line="264" w:lineRule="auto"/>
        <w:tabs>
          <w:tab w:leader="none" w:pos="1061"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No Assignment</w:t>
      </w:r>
      <w:r>
        <w:rPr>
          <w:rFonts w:ascii="Arial" w:cs="Arial" w:eastAsia="Arial" w:hAnsi="Arial"/>
          <w:sz w:val="18"/>
          <w:szCs w:val="18"/>
          <w:color w:val="auto"/>
        </w:rPr>
        <w:t>. Except as otherwise provided in this Award Agreement, the Participant may not assign any of his or her rights under the Notice or this Award Agreement without the prior written consent of the Company, which consent may be withheld in its sole discretion. The Company is permitted to assign its rights or obligations under the Notice or this Award Agreement.</w:t>
      </w:r>
    </w:p>
    <w:p>
      <w:pPr>
        <w:spacing w:after="0" w:line="181" w:lineRule="exact"/>
        <w:rPr>
          <w:rFonts w:ascii="Arial" w:cs="Arial" w:eastAsia="Arial" w:hAnsi="Arial"/>
          <w:sz w:val="18"/>
          <w:szCs w:val="18"/>
          <w:color w:val="auto"/>
        </w:rPr>
      </w:pPr>
    </w:p>
    <w:p>
      <w:pPr>
        <w:jc w:val="both"/>
        <w:ind w:firstLine="786"/>
        <w:spacing w:after="0" w:line="257" w:lineRule="auto"/>
        <w:tabs>
          <w:tab w:leader="none" w:pos="1048"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Construction; Severability</w:t>
      </w:r>
      <w:r>
        <w:rPr>
          <w:rFonts w:ascii="Arial" w:cs="Arial" w:eastAsia="Arial" w:hAnsi="Arial"/>
          <w:sz w:val="18"/>
          <w:szCs w:val="18"/>
          <w:color w:val="auto"/>
        </w:rPr>
        <w:t>. The captions used in this Award Agreement are inserted for convenience and are not to be deemed to be a part of this Award Agreement for construction or interpretation. Except where otherwise indicated by the context, the singular form includes the plural form and the plural form includes the singular form. Use of the term "or" is not intended to be exclusive, unless the context clearly requires otherwise. The validity, legality or enforceability of the remainder of this Award Agreement will not be affected even if one or more of the provisions of this Award Agreement are held to be invalid, illegal or unenforceable in any respect.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79" w:name="page280"/>
    <w:bookmarkEnd w:id="279"/>
    <w:p>
      <w:pPr>
        <w:jc w:val="both"/>
        <w:ind w:firstLine="786"/>
        <w:spacing w:after="0" w:line="259" w:lineRule="auto"/>
        <w:tabs>
          <w:tab w:leader="none" w:pos="1048"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Administration and Interpretation</w:t>
      </w:r>
      <w:r>
        <w:rPr>
          <w:rFonts w:ascii="Arial" w:cs="Arial" w:eastAsia="Arial" w:hAnsi="Arial"/>
          <w:sz w:val="18"/>
          <w:szCs w:val="18"/>
          <w:color w:val="auto"/>
        </w:rPr>
        <w:t>. Any determination by the Committee in connection with any question or issue arising under the Notice, the Plan or this Award Agreement will be final, conclusive and binding on the Participant, the Company and all other persons. Any question or dispute regarding the interpretation of this Award Agreement or the receipt of the Option hereunder must be submitted by the Participant to the Committee. The resolution of such question or dispute by the Committee will be final and binding on all parties.</w:t>
      </w:r>
    </w:p>
    <w:p>
      <w:pPr>
        <w:spacing w:after="0" w:line="186" w:lineRule="exact"/>
        <w:rPr>
          <w:rFonts w:ascii="Arial" w:cs="Arial" w:eastAsia="Arial" w:hAnsi="Arial"/>
          <w:sz w:val="18"/>
          <w:szCs w:val="18"/>
          <w:color w:val="auto"/>
        </w:rPr>
      </w:pPr>
    </w:p>
    <w:p>
      <w:pPr>
        <w:ind w:firstLine="786"/>
        <w:spacing w:after="0" w:line="308" w:lineRule="auto"/>
        <w:tabs>
          <w:tab w:leader="none" w:pos="1061" w:val="left"/>
        </w:tabs>
        <w:numPr>
          <w:ilvl w:val="0"/>
          <w:numId w:val="195"/>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Award Agreement may be executed in any number of counterparts, any of which may be executed and transmitted by facsimile, and each of which will be deemed to be an original, but all of which together will be deemed to be one and the same instrument.</w:t>
      </w:r>
    </w:p>
    <w:p>
      <w:pPr>
        <w:spacing w:after="0" w:line="146" w:lineRule="exact"/>
        <w:rPr>
          <w:rFonts w:ascii="Arial" w:cs="Arial" w:eastAsia="Arial" w:hAnsi="Arial"/>
          <w:sz w:val="17"/>
          <w:szCs w:val="17"/>
          <w:color w:val="auto"/>
        </w:rPr>
      </w:pPr>
    </w:p>
    <w:p>
      <w:pPr>
        <w:jc w:val="both"/>
        <w:ind w:firstLine="786"/>
        <w:spacing w:after="0" w:line="276" w:lineRule="auto"/>
        <w:tabs>
          <w:tab w:leader="none" w:pos="1048" w:val="left"/>
        </w:tabs>
        <w:numPr>
          <w:ilvl w:val="0"/>
          <w:numId w:val="195"/>
        </w:numPr>
        <w:rPr>
          <w:rFonts w:ascii="Arial" w:cs="Arial" w:eastAsia="Arial" w:hAnsi="Arial"/>
          <w:sz w:val="17"/>
          <w:szCs w:val="17"/>
          <w:color w:val="auto"/>
        </w:rPr>
      </w:pPr>
      <w:r>
        <w:rPr>
          <w:rFonts w:ascii="Arial" w:cs="Arial" w:eastAsia="Arial" w:hAnsi="Arial"/>
          <w:sz w:val="17"/>
          <w:szCs w:val="17"/>
          <w:u w:val="single" w:color="auto"/>
          <w:color w:val="auto"/>
        </w:rPr>
        <w:t>Entire Agreement; Governing Law; and Amendments</w:t>
      </w:r>
      <w:r>
        <w:rPr>
          <w:rFonts w:ascii="Arial" w:cs="Arial" w:eastAsia="Arial" w:hAnsi="Arial"/>
          <w:sz w:val="17"/>
          <w:szCs w:val="17"/>
          <w:color w:val="auto"/>
        </w:rPr>
        <w:t>. The provisions of the Plan and the Notice are incorporated herein by reference. The Plan, the Notice and this Award Agreement constitute the entire agreement of the parties with respect to the subject matter hereof and supersede in their entirety all prior undertakings and agreements of the Company and the Participant with respect to the subject matter hereof, and may not be modified adversely to the Participant's interest except by means of a writing signed by the Company and the Participant. This Award Agreement is governed by the laws of the State of Texas applicable to contracts executed in and to be performed in that State.</w:t>
      </w:r>
    </w:p>
    <w:p>
      <w:pPr>
        <w:spacing w:after="0" w:line="172" w:lineRule="exact"/>
        <w:rPr>
          <w:rFonts w:ascii="Arial" w:cs="Arial" w:eastAsia="Arial" w:hAnsi="Arial"/>
          <w:sz w:val="17"/>
          <w:szCs w:val="17"/>
          <w:color w:val="auto"/>
        </w:rPr>
      </w:pPr>
    </w:p>
    <w:p>
      <w:pPr>
        <w:jc w:val="both"/>
        <w:ind w:firstLine="786"/>
        <w:spacing w:after="0" w:line="273" w:lineRule="auto"/>
        <w:tabs>
          <w:tab w:leader="none" w:pos="1048" w:val="left"/>
        </w:tabs>
        <w:numPr>
          <w:ilvl w:val="0"/>
          <w:numId w:val="195"/>
        </w:numPr>
        <w:rPr>
          <w:rFonts w:ascii="Arial" w:cs="Arial" w:eastAsia="Arial" w:hAnsi="Arial"/>
          <w:sz w:val="17"/>
          <w:szCs w:val="17"/>
          <w:color w:val="auto"/>
        </w:rPr>
      </w:pPr>
      <w:r>
        <w:rPr>
          <w:rFonts w:ascii="Arial" w:cs="Arial" w:eastAsia="Arial" w:hAnsi="Arial"/>
          <w:sz w:val="17"/>
          <w:szCs w:val="17"/>
          <w:u w:val="single" w:color="auto"/>
          <w:color w:val="auto"/>
        </w:rPr>
        <w:t>Venue</w:t>
      </w:r>
      <w:r>
        <w:rPr>
          <w:rFonts w:ascii="Arial" w:cs="Arial" w:eastAsia="Arial" w:hAnsi="Arial"/>
          <w:sz w:val="17"/>
          <w:szCs w:val="17"/>
          <w:color w:val="auto"/>
        </w:rPr>
        <w:t xml:space="preserve">. The Company, the Participant and the Participant's assignees agree that any suit, action or proceeding arising out of or related to the Notice, this Award Agreement or the Plan must be brought in the United States District Court for the Northern District of Texas (or should such court lack jurisdiction to hear such action, suit or proceeding, in a state court in Lubbock County, Texas) and that all parties submit to the jurisdiction of such court. The parties irrevocably waive, to the fullest extent permitted by law, any objection the party may have to the laying of venue for any such suit, action or proceeding brought in such court. If any one or more provisions of this </w:t>
      </w:r>
      <w:r>
        <w:rPr>
          <w:rFonts w:ascii="Arial" w:cs="Arial" w:eastAsia="Arial" w:hAnsi="Arial"/>
          <w:sz w:val="17"/>
          <w:szCs w:val="17"/>
          <w:u w:val="single" w:color="auto"/>
          <w:color w:val="auto"/>
        </w:rPr>
        <w:t>Section 19</w:t>
      </w:r>
      <w:r>
        <w:rPr>
          <w:rFonts w:ascii="Arial" w:cs="Arial" w:eastAsia="Arial" w:hAnsi="Arial"/>
          <w:sz w:val="17"/>
          <w:szCs w:val="17"/>
          <w:color w:val="auto"/>
        </w:rPr>
        <w:t xml:space="preserve"> are for any reason be held invalid or unenforceable, it is the specific intent of the parties that such provisions be modified to the minimum extent necessary to make it or its application valid and enforceable.</w:t>
      </w:r>
    </w:p>
    <w:p>
      <w:pPr>
        <w:spacing w:after="0" w:line="178" w:lineRule="exact"/>
        <w:rPr>
          <w:rFonts w:ascii="Arial" w:cs="Arial" w:eastAsia="Arial" w:hAnsi="Arial"/>
          <w:sz w:val="17"/>
          <w:szCs w:val="17"/>
          <w:color w:val="auto"/>
        </w:rPr>
      </w:pPr>
    </w:p>
    <w:p>
      <w:pPr>
        <w:jc w:val="both"/>
        <w:ind w:firstLine="786"/>
        <w:spacing w:after="0" w:line="270" w:lineRule="auto"/>
        <w:tabs>
          <w:tab w:leader="none" w:pos="1088" w:val="left"/>
        </w:tabs>
        <w:numPr>
          <w:ilvl w:val="0"/>
          <w:numId w:val="195"/>
        </w:numPr>
        <w:rPr>
          <w:rFonts w:ascii="Arial" w:cs="Arial" w:eastAsia="Arial" w:hAnsi="Arial"/>
          <w:sz w:val="17"/>
          <w:szCs w:val="17"/>
          <w:color w:val="auto"/>
        </w:rPr>
      </w:pPr>
      <w:r>
        <w:rPr>
          <w:rFonts w:ascii="Arial" w:cs="Arial" w:eastAsia="Arial" w:hAnsi="Arial"/>
          <w:sz w:val="17"/>
          <w:szCs w:val="17"/>
          <w:u w:val="single" w:color="auto"/>
          <w:color w:val="auto"/>
        </w:rPr>
        <w:t>No Guarantee of Continued Service</w:t>
      </w:r>
      <w:r>
        <w:rPr>
          <w:rFonts w:ascii="Arial" w:cs="Arial" w:eastAsia="Arial" w:hAnsi="Arial"/>
          <w:sz w:val="17"/>
          <w:szCs w:val="17"/>
          <w:color w:val="auto"/>
        </w:rPr>
        <w:t>. THE PARTICIPANT ACKNOWLEDGES AND AGREES THAT THE VESTING OF SHARES PURSUANT TO THE VESTING SCHEDULE IS EARNED ONLY BY CONTINUOUS STATUS AS A SERVICE PROVIDER AT THE WILL OF THE COMPANY (NOT THROUGH THE ACT OF BEING HIRED, BEING GRANTED THE OPTION OR ACQUIRING SHARES HEREUNDER). THE PARTICIPANT FURTHER ACKNOWLEDGES AND AGREES THAT THIS AWARD AGREEMENT, THE OPTION GRANTED HEREUNDER, THE TRANSACTIONS CONTEMPLATED HEREUNDER AND THE VESTING SCHEDULE SET FORTH HEREIN DO NOT CONSTITUTE AN EXPRESS OR IMPLIED PROMISE OF CONTINUED ENGAGEMENT AS A SERVICE PROVIDER FOR THE VESTING PERIOD, FOR ANY PERIOD, OR AT ALL, AND DO NOT INTERFERE IN ANY WAY WITH THE PARTICIPANT'S RIGHT OR THE COMPANY'S (OR ANY AFFILIATE'S) RIGHT TO TERMINATE THE PARTICIPANT'S RELATIONSHIP AS A SERVICE PROVIDER AT ANY TIME, WITH OR WITHOUT CAUSE, SUBJECT TO THE EMPLOYMENT AGREEMENT BETWEEN THE PARTICIPANT AND THE COMPANY.</w:t>
      </w:r>
    </w:p>
    <w:p>
      <w:pPr>
        <w:spacing w:after="0" w:line="181" w:lineRule="exact"/>
        <w:rPr>
          <w:rFonts w:ascii="Arial" w:cs="Arial" w:eastAsia="Arial" w:hAnsi="Arial"/>
          <w:sz w:val="17"/>
          <w:szCs w:val="17"/>
          <w:color w:val="auto"/>
        </w:rPr>
      </w:pPr>
    </w:p>
    <w:p>
      <w:pPr>
        <w:jc w:val="both"/>
        <w:ind w:firstLine="786"/>
        <w:spacing w:after="0" w:line="264" w:lineRule="auto"/>
        <w:tabs>
          <w:tab w:leader="none" w:pos="1048"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Failure to insist upon strict compliance with any of the terms, covenants, or conditions hereof will not be deemed to be a waiver of such term, covenant, or condition, nor will any waiver or relinquishment of, or failure to insist upon strict compliance with, any right or power hereunder at any one or more times be deemed to be a waiver or relinquishment of such right or power at any other time or times.</w:t>
      </w:r>
    </w:p>
    <w:p>
      <w:pPr>
        <w:spacing w:after="0" w:line="181" w:lineRule="exact"/>
        <w:rPr>
          <w:rFonts w:ascii="Arial" w:cs="Arial" w:eastAsia="Arial" w:hAnsi="Arial"/>
          <w:sz w:val="18"/>
          <w:szCs w:val="18"/>
          <w:color w:val="auto"/>
        </w:rPr>
      </w:pPr>
    </w:p>
    <w:p>
      <w:pPr>
        <w:ind w:left="5040"/>
        <w:spacing w:after="0"/>
        <w:rPr>
          <w:rFonts w:ascii="Arial" w:cs="Arial" w:eastAsia="Arial" w:hAnsi="Arial"/>
          <w:sz w:val="18"/>
          <w:szCs w:val="18"/>
          <w:color w:val="auto"/>
        </w:rPr>
      </w:pPr>
      <w:r>
        <w:rPr>
          <w:rFonts w:ascii="Arial" w:cs="Arial" w:eastAsia="Arial" w:hAnsi="Arial"/>
          <w:sz w:val="18"/>
          <w:szCs w:val="18"/>
          <w:color w:val="auto"/>
        </w:rPr>
        <w:t>*   *   *   *   *</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0" w:name="page281"/>
    <w:bookmarkEnd w:id="28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10.3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PLAINS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2019 EQUITY INCENTIVE PLAN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RESTRICTED STOCK UNIT AWARD</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Subject to the terms and conditions of this Notice of Restricted Stock Unit Award (this “Notice”), the Restricted Stock Unit Award Agreement attached hereto (the “</w:t>
      </w:r>
      <w:r>
        <w:rPr>
          <w:rFonts w:ascii="Arial" w:cs="Arial" w:eastAsia="Arial" w:hAnsi="Arial"/>
          <w:sz w:val="17"/>
          <w:szCs w:val="17"/>
          <w:b w:val="1"/>
          <w:bCs w:val="1"/>
          <w:i w:val="1"/>
          <w:iCs w:val="1"/>
          <w:color w:val="auto"/>
        </w:rPr>
        <w:t>Award Agreement</w:t>
      </w:r>
      <w:r>
        <w:rPr>
          <w:rFonts w:ascii="Arial" w:cs="Arial" w:eastAsia="Arial" w:hAnsi="Arial"/>
          <w:sz w:val="17"/>
          <w:szCs w:val="17"/>
          <w:color w:val="auto"/>
        </w:rPr>
        <w:t>”), and the South Plains Financial, Inc. 2019 Equity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the below individual (the “</w:t>
      </w:r>
      <w:r>
        <w:rPr>
          <w:rFonts w:ascii="Arial" w:cs="Arial" w:eastAsia="Arial" w:hAnsi="Arial"/>
          <w:sz w:val="17"/>
          <w:szCs w:val="17"/>
          <w:b w:val="1"/>
          <w:bCs w:val="1"/>
          <w:i w:val="1"/>
          <w:iCs w:val="1"/>
          <w:color w:val="auto"/>
        </w:rPr>
        <w:t>Participant</w:t>
      </w:r>
      <w:r>
        <w:rPr>
          <w:rFonts w:ascii="Arial" w:cs="Arial" w:eastAsia="Arial" w:hAnsi="Arial"/>
          <w:sz w:val="17"/>
          <w:szCs w:val="17"/>
          <w:color w:val="auto"/>
        </w:rPr>
        <w:t>”) is hereby granted the below number of Restricted Stock Units (the “</w:t>
      </w:r>
      <w:r>
        <w:rPr>
          <w:rFonts w:ascii="Arial" w:cs="Arial" w:eastAsia="Arial" w:hAnsi="Arial"/>
          <w:sz w:val="17"/>
          <w:szCs w:val="17"/>
          <w:b w:val="1"/>
          <w:bCs w:val="1"/>
          <w:i w:val="1"/>
          <w:iCs w:val="1"/>
          <w:color w:val="auto"/>
        </w:rPr>
        <w:t>RSUs</w:t>
      </w:r>
      <w:r>
        <w:rPr>
          <w:rFonts w:ascii="Arial" w:cs="Arial" w:eastAsia="Arial" w:hAnsi="Arial"/>
          <w:sz w:val="17"/>
          <w:szCs w:val="17"/>
          <w:color w:val="auto"/>
        </w:rPr>
        <w:t>”) in South Plains Financial, Inc., a Texas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Unless otherwise specifically indicated, all terms used in this Notice have the meanings set forth in the Award Agreement or the Plan.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jc w:val="right"/>
              <w:ind w:right="890"/>
              <w:spacing w:after="0"/>
              <w:rPr>
                <w:sz w:val="20"/>
                <w:szCs w:val="20"/>
                <w:color w:val="auto"/>
              </w:rPr>
            </w:pPr>
            <w:r>
              <w:rPr>
                <w:rFonts w:ascii="Arial" w:cs="Arial" w:eastAsia="Arial" w:hAnsi="Arial"/>
                <w:sz w:val="18"/>
                <w:szCs w:val="18"/>
                <w:b w:val="1"/>
                <w:bCs w:val="1"/>
                <w:color w:val="auto"/>
                <w:w w:val="93"/>
              </w:rPr>
              <w:t>Identifying Information:</w:t>
            </w:r>
          </w:p>
        </w:tc>
        <w:tc>
          <w:tcPr>
            <w:tcW w:w="286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66"/>
        </w:trPr>
        <w:tc>
          <w:tcPr>
            <w:tcW w:w="2880" w:type="dxa"/>
            <w:vAlign w:val="bottom"/>
          </w:tcPr>
          <w:p>
            <w:pPr>
              <w:jc w:val="right"/>
              <w:ind w:right="50"/>
              <w:spacing w:after="0"/>
              <w:rPr>
                <w:sz w:val="20"/>
                <w:szCs w:val="20"/>
                <w:color w:val="auto"/>
              </w:rPr>
            </w:pPr>
            <w:r>
              <w:rPr>
                <w:rFonts w:ascii="Arial" w:cs="Arial" w:eastAsia="Arial" w:hAnsi="Arial"/>
                <w:sz w:val="18"/>
                <w:szCs w:val="18"/>
                <w:color w:val="auto"/>
              </w:rPr>
              <w:t>Participant Name</w:t>
            </w:r>
          </w:p>
        </w:tc>
        <w:tc>
          <w:tcPr>
            <w:tcW w:w="2860" w:type="dxa"/>
            <w:vAlign w:val="bottom"/>
            <w:tcBorders>
              <w:bottom w:val="single" w:sz="8" w:color="auto"/>
            </w:tcBorders>
          </w:tcPr>
          <w:p>
            <w:pPr>
              <w:spacing w:after="0"/>
              <w:rPr>
                <w:sz w:val="24"/>
                <w:szCs w:val="24"/>
                <w:color w:val="auto"/>
              </w:rPr>
            </w:pPr>
          </w:p>
        </w:tc>
        <w:tc>
          <w:tcPr>
            <w:tcW w:w="2720" w:type="dxa"/>
            <w:vAlign w:val="bottom"/>
          </w:tcPr>
          <w:p>
            <w:pPr>
              <w:jc w:val="right"/>
              <w:spacing w:after="0"/>
              <w:rPr>
                <w:sz w:val="20"/>
                <w:szCs w:val="20"/>
                <w:color w:val="auto"/>
              </w:rPr>
            </w:pPr>
            <w:r>
              <w:rPr>
                <w:rFonts w:ascii="Arial" w:cs="Arial" w:eastAsia="Arial" w:hAnsi="Arial"/>
                <w:sz w:val="18"/>
                <w:szCs w:val="18"/>
                <w:color w:val="auto"/>
              </w:rPr>
              <w:t>Date of Grant:</w:t>
            </w:r>
          </w:p>
        </w:tc>
      </w:tr>
      <w:tr>
        <w:trPr>
          <w:trHeight w:val="223"/>
        </w:trPr>
        <w:tc>
          <w:tcPr>
            <w:tcW w:w="2880" w:type="dxa"/>
            <w:vAlign w:val="bottom"/>
          </w:tcPr>
          <w:p>
            <w:pPr>
              <w:jc w:val="right"/>
              <w:ind w:right="50"/>
              <w:spacing w:after="0"/>
              <w:rPr>
                <w:sz w:val="20"/>
                <w:szCs w:val="20"/>
                <w:color w:val="auto"/>
              </w:rPr>
            </w:pPr>
            <w:r>
              <w:rPr>
                <w:rFonts w:ascii="Arial" w:cs="Arial" w:eastAsia="Arial" w:hAnsi="Arial"/>
                <w:sz w:val="18"/>
                <w:szCs w:val="18"/>
                <w:color w:val="auto"/>
              </w:rPr>
              <w:t>and Address:</w:t>
            </w:r>
          </w:p>
        </w:tc>
        <w:tc>
          <w:tcPr>
            <w:tcW w:w="2860" w:type="dxa"/>
            <w:vAlign w:val="bottom"/>
            <w:tcBorders>
              <w:bottom w:val="single" w:sz="8" w:color="auto"/>
            </w:tcBorders>
          </w:tcPr>
          <w:p>
            <w:pPr>
              <w:spacing w:after="0"/>
              <w:rPr>
                <w:sz w:val="19"/>
                <w:szCs w:val="19"/>
                <w:color w:val="auto"/>
              </w:rPr>
            </w:pPr>
          </w:p>
        </w:tc>
        <w:tc>
          <w:tcPr>
            <w:tcW w:w="2720" w:type="dxa"/>
            <w:vAlign w:val="bottom"/>
          </w:tcPr>
          <w:p>
            <w:pPr>
              <w:jc w:val="right"/>
              <w:spacing w:after="0"/>
              <w:rPr>
                <w:sz w:val="20"/>
                <w:szCs w:val="20"/>
                <w:color w:val="auto"/>
              </w:rPr>
            </w:pPr>
            <w:r>
              <w:rPr>
                <w:rFonts w:ascii="Arial" w:cs="Arial" w:eastAsia="Arial" w:hAnsi="Arial"/>
                <w:sz w:val="18"/>
                <w:szCs w:val="18"/>
                <w:color w:val="auto"/>
              </w:rPr>
              <w:t>Number of RSUs:</w:t>
            </w:r>
          </w:p>
        </w:tc>
      </w:tr>
      <w:tr>
        <w:trPr>
          <w:trHeight w:val="223"/>
        </w:trPr>
        <w:tc>
          <w:tcPr>
            <w:tcW w:w="2880" w:type="dxa"/>
            <w:vAlign w:val="bottom"/>
          </w:tcPr>
          <w:p>
            <w:pPr>
              <w:spacing w:after="0"/>
              <w:rPr>
                <w:sz w:val="19"/>
                <w:szCs w:val="19"/>
                <w:color w:val="auto"/>
              </w:rPr>
            </w:pPr>
          </w:p>
        </w:tc>
        <w:tc>
          <w:tcPr>
            <w:tcW w:w="2860" w:type="dxa"/>
            <w:vAlign w:val="bottom"/>
            <w:tcBorders>
              <w:bottom w:val="single" w:sz="8" w:color="auto"/>
            </w:tcBorders>
          </w:tcPr>
          <w:p>
            <w:pPr>
              <w:spacing w:after="0"/>
              <w:rPr>
                <w:sz w:val="19"/>
                <w:szCs w:val="19"/>
                <w:color w:val="auto"/>
              </w:rPr>
            </w:pPr>
          </w:p>
        </w:tc>
        <w:tc>
          <w:tcPr>
            <w:tcW w:w="2720" w:type="dxa"/>
            <w:vAlign w:val="bottom"/>
          </w:tcPr>
          <w:p>
            <w:pPr>
              <w:jc w:val="right"/>
              <w:spacing w:after="0"/>
              <w:rPr>
                <w:sz w:val="20"/>
                <w:szCs w:val="20"/>
                <w:color w:val="auto"/>
              </w:rPr>
            </w:pPr>
            <w:r>
              <w:rPr>
                <w:rFonts w:ascii="Arial" w:cs="Arial" w:eastAsia="Arial" w:hAnsi="Arial"/>
                <w:sz w:val="18"/>
                <w:szCs w:val="18"/>
                <w:color w:val="auto"/>
              </w:rPr>
              <w:t>Vesting Commencement 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-325120</wp:posOffset>
            </wp:positionV>
            <wp:extent cx="180975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1809750" cy="1714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-170815</wp:posOffset>
            </wp:positionV>
            <wp:extent cx="180975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1809750" cy="1714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-16510</wp:posOffset>
            </wp:positionV>
            <wp:extent cx="180975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1">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Schedule:</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Subject to the Participant’s continuous status as a Service Provider, the RSUs will vest over a four-year period in accordance with the following vesting schedule (the “</w:t>
      </w:r>
      <w:r>
        <w:rPr>
          <w:rFonts w:ascii="Arial" w:cs="Arial" w:eastAsia="Arial" w:hAnsi="Arial"/>
          <w:sz w:val="18"/>
          <w:szCs w:val="18"/>
          <w:b w:val="1"/>
          <w:bCs w:val="1"/>
          <w:i w:val="1"/>
          <w:iCs w:val="1"/>
          <w:color w:val="auto"/>
        </w:rPr>
        <w:t>Vesting Schedule</w:t>
      </w:r>
      <w:r>
        <w:rPr>
          <w:rFonts w:ascii="Arial" w:cs="Arial" w:eastAsia="Arial" w:hAnsi="Arial"/>
          <w:sz w:val="18"/>
          <w:szCs w:val="18"/>
          <w:color w:val="auto"/>
        </w:rPr>
        <w: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0" w:type="dxa"/>
            <w:vAlign w:val="bottom"/>
            <w:gridSpan w:val="3"/>
          </w:tcPr>
          <w:p>
            <w:pPr>
              <w:jc w:val="center"/>
              <w:ind w:right="180"/>
              <w:spacing w:after="0"/>
              <w:rPr>
                <w:sz w:val="20"/>
                <w:szCs w:val="20"/>
                <w:color w:val="auto"/>
              </w:rPr>
            </w:pPr>
            <w:r>
              <w:rPr>
                <w:rFonts w:ascii="Arial" w:cs="Arial" w:eastAsia="Arial" w:hAnsi="Arial"/>
                <w:sz w:val="18"/>
                <w:szCs w:val="18"/>
                <w:color w:val="auto"/>
                <w:w w:val="91"/>
              </w:rPr>
              <w:t>Vesting Date</w:t>
            </w:r>
          </w:p>
        </w:tc>
        <w:tc>
          <w:tcPr>
            <w:tcW w:w="5620" w:type="dxa"/>
            <w:vAlign w:val="bottom"/>
            <w:gridSpan w:val="3"/>
          </w:tcPr>
          <w:p>
            <w:pPr>
              <w:ind w:left="1900"/>
              <w:spacing w:after="0"/>
              <w:rPr>
                <w:sz w:val="20"/>
                <w:szCs w:val="20"/>
                <w:color w:val="auto"/>
              </w:rPr>
            </w:pPr>
            <w:r>
              <w:rPr>
                <w:rFonts w:ascii="Arial" w:cs="Arial" w:eastAsia="Arial" w:hAnsi="Arial"/>
                <w:sz w:val="18"/>
                <w:szCs w:val="18"/>
                <w:color w:val="auto"/>
              </w:rPr>
              <w:t>Nonforfeitable Percentage</w:t>
            </w:r>
          </w:p>
        </w:tc>
      </w:tr>
      <w:tr>
        <w:trPr>
          <w:trHeight w:val="21"/>
        </w:trPr>
        <w:tc>
          <w:tcPr>
            <w:tcW w:w="234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00" w:type="dxa"/>
            <w:vAlign w:val="bottom"/>
            <w:tcBorders>
              <w:top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16"/>
        </w:trPr>
        <w:tc>
          <w:tcPr>
            <w:tcW w:w="580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color w:val="auto"/>
                <w:w w:val="90"/>
              </w:rPr>
              <w:t>[__] anniversary of the Vesting Commencement Date</w:t>
            </w:r>
          </w:p>
        </w:tc>
        <w:tc>
          <w:tcPr>
            <w:tcW w:w="562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[__]% will vest, combined total of [__]% vested</w:t>
            </w:r>
          </w:p>
        </w:tc>
      </w:tr>
      <w:tr>
        <w:trPr>
          <w:trHeight w:val="216"/>
        </w:trPr>
        <w:tc>
          <w:tcPr>
            <w:tcW w:w="580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[__] anniversary of the Vesting Commencement Date</w:t>
            </w:r>
          </w:p>
        </w:tc>
        <w:tc>
          <w:tcPr>
            <w:tcW w:w="5620" w:type="dxa"/>
            <w:vAlign w:val="bottom"/>
            <w:gridSpan w:val="3"/>
          </w:tcPr>
          <w:p>
            <w:pPr>
              <w:ind w:left="1080"/>
              <w:spacing w:after="0"/>
              <w:rPr>
                <w:sz w:val="20"/>
                <w:szCs w:val="20"/>
                <w:color w:val="auto"/>
              </w:rPr>
            </w:pPr>
            <w:r>
              <w:rPr>
                <w:rFonts w:ascii="Arial" w:cs="Arial" w:eastAsia="Arial" w:hAnsi="Arial"/>
                <w:sz w:val="18"/>
                <w:szCs w:val="18"/>
                <w:color w:val="auto"/>
              </w:rPr>
              <w:t>[__]% will vest, combined total of [__]% vested</w:t>
            </w:r>
          </w:p>
        </w:tc>
      </w:tr>
      <w:tr>
        <w:trPr>
          <w:trHeight w:val="216"/>
        </w:trPr>
        <w:tc>
          <w:tcPr>
            <w:tcW w:w="580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color w:val="auto"/>
                <w:w w:val="90"/>
              </w:rPr>
              <w:t>[__] anniversary of the Vesting Commencement Date</w:t>
            </w:r>
          </w:p>
        </w:tc>
        <w:tc>
          <w:tcPr>
            <w:tcW w:w="562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[__]% will vest, combined total of [__]% vested</w:t>
            </w:r>
          </w:p>
        </w:tc>
      </w:tr>
      <w:tr>
        <w:trPr>
          <w:trHeight w:val="230"/>
        </w:trPr>
        <w:tc>
          <w:tcPr>
            <w:tcW w:w="580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[__] anniversary of the Vesting Commencement Date</w:t>
            </w:r>
          </w:p>
        </w:tc>
        <w:tc>
          <w:tcPr>
            <w:tcW w:w="5620" w:type="dxa"/>
            <w:vAlign w:val="bottom"/>
            <w:gridSpan w:val="3"/>
          </w:tcPr>
          <w:p>
            <w:pPr>
              <w:ind w:left="1080"/>
              <w:spacing w:after="0"/>
              <w:rPr>
                <w:sz w:val="20"/>
                <w:szCs w:val="20"/>
                <w:color w:val="auto"/>
              </w:rPr>
            </w:pPr>
            <w:r>
              <w:rPr>
                <w:rFonts w:ascii="Arial" w:cs="Arial" w:eastAsia="Arial" w:hAnsi="Arial"/>
                <w:sz w:val="18"/>
                <w:szCs w:val="18"/>
                <w:color w:val="auto"/>
              </w:rPr>
              <w:t>[__]% will vest, combined total of [__]% vested</w:t>
            </w:r>
          </w:p>
        </w:tc>
      </w:tr>
    </w:tbl>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Notwithstanding the foregoing, the RSUs will automatically become fully vested upon the earlier of: (i) the Participant’s Disability, (ii) the Participant’s death, (iii) immediately prior to a Change in Control of the Company, (iv) the Participant terminating his status as a Service Provider for Good Reason and (v) the Company terminating the Participant’s employment without Cause. For purposes of the foregoing, the terms Cause and Good Reason shall mean as set forth in the employment agreement between the Company and the Participant.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ON THE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81" w:name="page282"/>
    <w:bookmarkEnd w:id="281"/>
    <w:p>
      <w:pPr>
        <w:spacing w:after="0"/>
        <w:rPr>
          <w:sz w:val="20"/>
          <w:szCs w:val="20"/>
          <w:color w:val="auto"/>
        </w:rPr>
      </w:pPr>
      <w:r>
        <w:rPr>
          <w:rFonts w:ascii="Arial" w:cs="Arial" w:eastAsia="Arial" w:hAnsi="Arial"/>
          <w:sz w:val="18"/>
          <w:szCs w:val="18"/>
          <w:b w:val="1"/>
          <w:bCs w:val="1"/>
          <w:color w:val="auto"/>
        </w:rPr>
        <w:t>Representations and Agreements of the Participant:</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Participant has reviewed this Notice, the Award Agreement and the Plan in their entirety, has had an opportunity to have them reviewed by his or her legal and tax advisers, and hereby represents that he or she is relying solely on such advisors and not on any statements or representations of the Company or any of its agents or affiliates. The Participant represents to the Company that he or she is familiar with the terms of this Notice, the Award Agreement and the Plan, and hereby accepts the RSUs subject to all of their terms. The Participant hereby agrees that all questions of interpretation and administration relating to this Notice, the Award Agreement and the Plan will be resolved solely by the Committee.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Signature:</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Notice may be executed by the Participant and the Company by means of electronic or digital signatures, which have the same force and effect as manual signatures. The Participant agrees that clicking “I Accept” (or a tab of similar intent) in connection with or response to any electronic communication or other medium has the effect of affixing the Participant’s electronic signature to this Notice. If required to be executed by electronic or digital signature, this Award of RSUs will be forfeited by the Participant if it is not duly executed by electronic signature by the Participant prior to the deadline set forth in the electronic transmission of this Award Agreement.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gridSpan w:val="4"/>
          </w:tcPr>
          <w:p>
            <w:pPr>
              <w:spacing w:after="0"/>
              <w:rPr>
                <w:sz w:val="20"/>
                <w:szCs w:val="20"/>
                <w:color w:val="auto"/>
              </w:rPr>
            </w:pPr>
            <w:r>
              <w:rPr>
                <w:rFonts w:ascii="Arial" w:cs="Arial" w:eastAsia="Arial" w:hAnsi="Arial"/>
                <w:sz w:val="18"/>
                <w:szCs w:val="18"/>
                <w:b w:val="1"/>
                <w:bCs w:val="1"/>
                <w:color w:val="auto"/>
              </w:rPr>
              <w:t>SOUTH PLAINS FINANCIAL, INC.:</w:t>
            </w:r>
          </w:p>
        </w:tc>
        <w:tc>
          <w:tcPr>
            <w:tcW w:w="6180" w:type="dxa"/>
            <w:vAlign w:val="bottom"/>
            <w:gridSpan w:val="4"/>
          </w:tcPr>
          <w:p>
            <w:pPr>
              <w:ind w:left="2200"/>
              <w:spacing w:after="0"/>
              <w:rPr>
                <w:sz w:val="20"/>
                <w:szCs w:val="20"/>
                <w:color w:val="auto"/>
              </w:rPr>
            </w:pPr>
            <w:r>
              <w:rPr>
                <w:rFonts w:ascii="Arial" w:cs="Arial" w:eastAsia="Arial" w:hAnsi="Arial"/>
                <w:sz w:val="18"/>
                <w:szCs w:val="18"/>
                <w:b w:val="1"/>
                <w:bCs w:val="1"/>
                <w:color w:val="auto"/>
              </w:rPr>
              <w:t>PARTICIPANT:</w:t>
            </w:r>
          </w:p>
        </w:tc>
      </w:tr>
      <w:tr>
        <w:trPr>
          <w:trHeight w:val="439"/>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3660" w:type="dxa"/>
            <w:vAlign w:val="bottom"/>
            <w:tcBorders>
              <w:bottom w:val="single" w:sz="8" w:color="auto"/>
            </w:tcBorders>
            <w:gridSpan w:val="2"/>
          </w:tcPr>
          <w:p>
            <w:pPr>
              <w:spacing w:after="0"/>
              <w:rPr>
                <w:sz w:val="24"/>
                <w:szCs w:val="24"/>
                <w:color w:val="auto"/>
              </w:rPr>
            </w:pPr>
          </w:p>
        </w:tc>
        <w:tc>
          <w:tcPr>
            <w:tcW w:w="1220" w:type="dxa"/>
            <w:vAlign w:val="bottom"/>
          </w:tcPr>
          <w:p>
            <w:pPr>
              <w:spacing w:after="0"/>
              <w:rPr>
                <w:sz w:val="24"/>
                <w:szCs w:val="24"/>
                <w:color w:val="auto"/>
              </w:rPr>
            </w:pPr>
          </w:p>
        </w:tc>
        <w:tc>
          <w:tcPr>
            <w:tcW w:w="3000" w:type="dxa"/>
            <w:vAlign w:val="bottom"/>
            <w:gridSpan w:val="2"/>
          </w:tcPr>
          <w:p>
            <w:pPr>
              <w:ind w:left="2200"/>
              <w:spacing w:after="0"/>
              <w:rPr>
                <w:sz w:val="20"/>
                <w:szCs w:val="20"/>
                <w:color w:val="auto"/>
              </w:rPr>
            </w:pPr>
            <w:r>
              <w:rPr>
                <w:rFonts w:ascii="Arial" w:cs="Arial" w:eastAsia="Arial" w:hAnsi="Arial"/>
                <w:sz w:val="18"/>
                <w:szCs w:val="18"/>
                <w:color w:val="auto"/>
                <w:w w:val="95"/>
              </w:rPr>
              <w:t>Signature:</w:t>
            </w:r>
          </w:p>
        </w:tc>
        <w:tc>
          <w:tcPr>
            <w:tcW w:w="3180" w:type="dxa"/>
            <w:vAlign w:val="bottom"/>
            <w:tcBorders>
              <w:bottom w:val="single" w:sz="8" w:color="auto"/>
            </w:tcBorders>
            <w:gridSpan w:val="2"/>
          </w:tcPr>
          <w:p>
            <w:pPr>
              <w:spacing w:after="0"/>
              <w:rPr>
                <w:sz w:val="24"/>
                <w:szCs w:val="24"/>
                <w:color w:val="auto"/>
              </w:rPr>
            </w:pPr>
          </w:p>
        </w:tc>
      </w:tr>
      <w:tr>
        <w:trPr>
          <w:trHeight w:val="466"/>
        </w:trPr>
        <w:tc>
          <w:tcPr>
            <w:tcW w:w="360" w:type="dxa"/>
            <w:vAlign w:val="bottom"/>
          </w:tcPr>
          <w:p>
            <w:pPr>
              <w:spacing w:after="0"/>
              <w:rPr>
                <w:sz w:val="20"/>
                <w:szCs w:val="20"/>
                <w:color w:val="auto"/>
              </w:rPr>
            </w:pPr>
            <w:r>
              <w:rPr>
                <w:rFonts w:ascii="Arial" w:cs="Arial" w:eastAsia="Arial" w:hAnsi="Arial"/>
                <w:sz w:val="18"/>
                <w:szCs w:val="18"/>
                <w:color w:val="auto"/>
              </w:rPr>
              <w:t>Its:</w:t>
            </w:r>
          </w:p>
        </w:tc>
        <w:tc>
          <w:tcPr>
            <w:tcW w:w="3660" w:type="dxa"/>
            <w:vAlign w:val="bottom"/>
            <w:tcBorders>
              <w:bottom w:val="single" w:sz="8" w:color="auto"/>
            </w:tcBorders>
            <w:gridSpan w:val="2"/>
          </w:tcPr>
          <w:p>
            <w:pPr>
              <w:spacing w:after="0"/>
              <w:rPr>
                <w:sz w:val="24"/>
                <w:szCs w:val="24"/>
                <w:color w:val="auto"/>
              </w:rPr>
            </w:pPr>
          </w:p>
        </w:tc>
        <w:tc>
          <w:tcPr>
            <w:tcW w:w="1220" w:type="dxa"/>
            <w:vAlign w:val="bottom"/>
          </w:tcPr>
          <w:p>
            <w:pPr>
              <w:spacing w:after="0"/>
              <w:rPr>
                <w:sz w:val="24"/>
                <w:szCs w:val="24"/>
                <w:color w:val="auto"/>
              </w:rPr>
            </w:pPr>
          </w:p>
        </w:tc>
        <w:tc>
          <w:tcPr>
            <w:tcW w:w="3100" w:type="dxa"/>
            <w:vAlign w:val="bottom"/>
            <w:gridSpan w:val="3"/>
          </w:tcPr>
          <w:p>
            <w:pPr>
              <w:ind w:left="2200"/>
              <w:spacing w:after="0"/>
              <w:rPr>
                <w:sz w:val="20"/>
                <w:szCs w:val="20"/>
                <w:color w:val="auto"/>
              </w:rPr>
            </w:pPr>
            <w:r>
              <w:rPr>
                <w:rFonts w:ascii="Arial" w:cs="Arial" w:eastAsia="Arial" w:hAnsi="Arial"/>
                <w:sz w:val="18"/>
                <w:szCs w:val="18"/>
                <w:color w:val="auto"/>
                <w:w w:val="92"/>
              </w:rPr>
              <w:t>Print Name:</w:t>
            </w:r>
          </w:p>
        </w:tc>
        <w:tc>
          <w:tcPr>
            <w:tcW w:w="3080" w:type="dxa"/>
            <w:vAlign w:val="bottom"/>
            <w:tcBorders>
              <w:bottom w:val="single" w:sz="8" w:color="auto"/>
            </w:tcBorders>
          </w:tcPr>
          <w:p>
            <w:pPr>
              <w:spacing w:after="0"/>
              <w:rPr>
                <w:sz w:val="24"/>
                <w:szCs w:val="24"/>
                <w:color w:val="auto"/>
              </w:rPr>
            </w:pPr>
          </w:p>
        </w:tc>
      </w:tr>
      <w:tr>
        <w:trPr>
          <w:trHeight w:val="466"/>
        </w:trPr>
        <w:tc>
          <w:tcPr>
            <w:tcW w:w="580" w:type="dxa"/>
            <w:vAlign w:val="bottom"/>
            <w:gridSpan w:val="2"/>
          </w:tcPr>
          <w:p>
            <w:pPr>
              <w:spacing w:after="0"/>
              <w:rPr>
                <w:sz w:val="20"/>
                <w:szCs w:val="20"/>
                <w:color w:val="auto"/>
              </w:rPr>
            </w:pPr>
            <w:r>
              <w:rPr>
                <w:rFonts w:ascii="Arial" w:cs="Arial" w:eastAsia="Arial" w:hAnsi="Arial"/>
                <w:sz w:val="18"/>
                <w:szCs w:val="18"/>
                <w:color w:val="auto"/>
              </w:rPr>
              <w:t>Dated:</w:t>
            </w:r>
          </w:p>
        </w:tc>
        <w:tc>
          <w:tcPr>
            <w:tcW w:w="3440" w:type="dxa"/>
            <w:vAlign w:val="bottom"/>
            <w:tcBorders>
              <w:bottom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2760" w:type="dxa"/>
            <w:vAlign w:val="bottom"/>
          </w:tcPr>
          <w:p>
            <w:pPr>
              <w:ind w:left="2200"/>
              <w:spacing w:after="0"/>
              <w:rPr>
                <w:sz w:val="20"/>
                <w:szCs w:val="20"/>
                <w:color w:val="auto"/>
              </w:rPr>
            </w:pPr>
            <w:r>
              <w:rPr>
                <w:rFonts w:ascii="Arial" w:cs="Arial" w:eastAsia="Arial" w:hAnsi="Arial"/>
                <w:sz w:val="18"/>
                <w:szCs w:val="18"/>
                <w:color w:val="auto"/>
              </w:rPr>
              <w:t>Dated:</w:t>
            </w:r>
          </w:p>
        </w:tc>
        <w:tc>
          <w:tcPr>
            <w:tcW w:w="3420" w:type="dxa"/>
            <w:vAlign w:val="bottom"/>
            <w:tcBorders>
              <w:bottom w:val="single" w:sz="8" w:color="auto"/>
            </w:tcBorders>
            <w:gridSpan w:val="3"/>
          </w:tcPr>
          <w:p>
            <w:pPr>
              <w:spacing w:after="0"/>
              <w:rPr>
                <w:sz w:val="24"/>
                <w:szCs w:val="24"/>
                <w:color w:val="auto"/>
              </w:rPr>
            </w:pPr>
          </w:p>
        </w:tc>
      </w:tr>
      <w:tr>
        <w:trPr>
          <w:trHeight w:val="459"/>
        </w:trPr>
        <w:tc>
          <w:tcPr>
            <w:tcW w:w="5240" w:type="dxa"/>
            <w:vAlign w:val="bottom"/>
            <w:gridSpan w:val="4"/>
          </w:tcPr>
          <w:p>
            <w:pPr>
              <w:ind w:left="5040"/>
              <w:spacing w:after="0"/>
              <w:rPr>
                <w:sz w:val="20"/>
                <w:szCs w:val="20"/>
                <w:color w:val="auto"/>
              </w:rPr>
            </w:pPr>
            <w:r>
              <w:rPr>
                <w:rFonts w:ascii="Arial" w:cs="Arial" w:eastAsia="Arial" w:hAnsi="Arial"/>
                <w:sz w:val="18"/>
                <w:szCs w:val="18"/>
                <w:color w:val="auto"/>
              </w:rPr>
              <w:t>*</w:t>
            </w:r>
          </w:p>
        </w:tc>
        <w:tc>
          <w:tcPr>
            <w:tcW w:w="2760" w:type="dxa"/>
            <w:vAlign w:val="bottom"/>
          </w:tcPr>
          <w:p>
            <w:pPr>
              <w:ind w:left="120"/>
              <w:spacing w:after="0"/>
              <w:rPr>
                <w:sz w:val="20"/>
                <w:szCs w:val="20"/>
                <w:color w:val="auto"/>
              </w:rPr>
            </w:pPr>
            <w:r>
              <w:rPr>
                <w:rFonts w:ascii="Arial" w:cs="Arial" w:eastAsia="Arial" w:hAnsi="Arial"/>
                <w:sz w:val="18"/>
                <w:szCs w:val="18"/>
                <w:color w:val="auto"/>
              </w:rPr>
              <w:t>*   *   *   *</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399"/>
        </w:trPr>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82" w:name="page283"/>
    <w:bookmarkEnd w:id="282"/>
    <w:p>
      <w:pPr>
        <w:jc w:val="center"/>
        <w:spacing w:after="0"/>
        <w:rPr>
          <w:sz w:val="20"/>
          <w:szCs w:val="20"/>
          <w:color w:val="auto"/>
        </w:rPr>
      </w:pPr>
      <w:r>
        <w:rPr>
          <w:rFonts w:ascii="Arial" w:cs="Arial" w:eastAsia="Arial" w:hAnsi="Arial"/>
          <w:sz w:val="18"/>
          <w:szCs w:val="18"/>
          <w:b w:val="1"/>
          <w:bCs w:val="1"/>
          <w:color w:val="auto"/>
        </w:rPr>
        <w:t>SOUTH PLAINS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2019 EQUITY INCENTIVE PLAN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Subject to the terms and conditions of the Notice of Restricted Stock Unit Award (the “Notice”), this Restricted Stock Unit Award Agreement (this “</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and the South Plains Financial, Inc. 2019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South Plains Financial, Inc., a Texas corporation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hereby grants the individual set forth in the Notice (the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Restricted Stock Units (the “</w:t>
      </w:r>
      <w:r>
        <w:rPr>
          <w:rFonts w:ascii="Arial" w:cs="Arial" w:eastAsia="Arial" w:hAnsi="Arial"/>
          <w:sz w:val="18"/>
          <w:szCs w:val="18"/>
          <w:b w:val="1"/>
          <w:bCs w:val="1"/>
          <w:i w:val="1"/>
          <w:iCs w:val="1"/>
          <w:color w:val="auto"/>
        </w:rPr>
        <w:t>RSUs</w:t>
      </w:r>
      <w:r>
        <w:rPr>
          <w:rFonts w:ascii="Arial" w:cs="Arial" w:eastAsia="Arial" w:hAnsi="Arial"/>
          <w:sz w:val="18"/>
          <w:szCs w:val="18"/>
          <w:color w:val="auto"/>
        </w:rPr>
        <w:t>”). Unless otherwise specifically indicated, all terms used in this Award Agreement have the meanings set forth in the Notice or the Plan.</w:t>
      </w:r>
    </w:p>
    <w:p>
      <w:pPr>
        <w:spacing w:after="0" w:line="214" w:lineRule="exact"/>
        <w:rPr>
          <w:sz w:val="20"/>
          <w:szCs w:val="20"/>
          <w:color w:val="auto"/>
        </w:rPr>
      </w:pPr>
    </w:p>
    <w:p>
      <w:pPr>
        <w:ind w:left="840" w:hanging="184"/>
        <w:spacing w:after="0"/>
        <w:tabs>
          <w:tab w:leader="none" w:pos="840"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Grant of an RSU</w:t>
      </w:r>
      <w:r>
        <w:rPr>
          <w:rFonts w:ascii="Arial" w:cs="Arial" w:eastAsia="Arial" w:hAnsi="Arial"/>
          <w:sz w:val="18"/>
          <w:szCs w:val="18"/>
          <w:color w:val="auto"/>
        </w:rPr>
        <w:t>. The principal features of the RSU, including the number of RSUs subject to the Award, are set forth in the Notice.</w:t>
      </w:r>
    </w:p>
    <w:p>
      <w:pPr>
        <w:spacing w:after="0" w:line="225" w:lineRule="exact"/>
        <w:rPr>
          <w:rFonts w:ascii="Arial" w:cs="Arial" w:eastAsia="Arial" w:hAnsi="Arial"/>
          <w:sz w:val="18"/>
          <w:szCs w:val="18"/>
          <w:color w:val="auto"/>
        </w:rPr>
      </w:pPr>
    </w:p>
    <w:p>
      <w:pPr>
        <w:ind w:left="840" w:hanging="184"/>
        <w:spacing w:after="0"/>
        <w:tabs>
          <w:tab w:leader="none" w:pos="840"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Vesting Schedule and Risk of Forfeiture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818"/>
        <w:spacing w:after="0" w:line="342" w:lineRule="auto"/>
        <w:tabs>
          <w:tab w:leader="none" w:pos="1055" w:val="left"/>
        </w:tabs>
        <w:numPr>
          <w:ilvl w:val="1"/>
          <w:numId w:val="196"/>
        </w:numPr>
        <w:rPr>
          <w:rFonts w:ascii="Arial" w:cs="Arial" w:eastAsia="Arial" w:hAnsi="Arial"/>
          <w:sz w:val="16"/>
          <w:szCs w:val="16"/>
          <w:color w:val="auto"/>
        </w:rPr>
      </w:pPr>
      <w:r>
        <w:rPr>
          <w:rFonts w:ascii="Arial" w:cs="Arial" w:eastAsia="Arial" w:hAnsi="Arial"/>
          <w:sz w:val="16"/>
          <w:szCs w:val="16"/>
          <w:u w:val="single" w:color="auto"/>
          <w:color w:val="auto"/>
        </w:rPr>
        <w:t>Vesting Schedule</w:t>
      </w:r>
      <w:r>
        <w:rPr>
          <w:rFonts w:ascii="Arial" w:cs="Arial" w:eastAsia="Arial" w:hAnsi="Arial"/>
          <w:sz w:val="16"/>
          <w:szCs w:val="16"/>
          <w:color w:val="auto"/>
        </w:rPr>
        <w:t>. Subject to the Participant’s continuous status with the Company as a Service Provider and any other limitations set forth in the Notice, the Plan or this Award Agreement, the RSUs will vest in accordance with the Vesting Schedule provided in the Notice (the “</w:t>
      </w:r>
      <w:r>
        <w:rPr>
          <w:rFonts w:ascii="Arial" w:cs="Arial" w:eastAsia="Arial" w:hAnsi="Arial"/>
          <w:sz w:val="16"/>
          <w:szCs w:val="16"/>
          <w:b w:val="1"/>
          <w:bCs w:val="1"/>
          <w:i w:val="1"/>
          <w:iCs w:val="1"/>
          <w:color w:val="auto"/>
        </w:rPr>
        <w:t>Vesting Schedule</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jc w:val="both"/>
        <w:ind w:firstLine="818"/>
        <w:spacing w:after="0" w:line="264" w:lineRule="auto"/>
        <w:tabs>
          <w:tab w:leader="none" w:pos="1065" w:val="left"/>
        </w:tabs>
        <w:numPr>
          <w:ilvl w:val="1"/>
          <w:numId w:val="196"/>
        </w:numPr>
        <w:rPr>
          <w:rFonts w:ascii="Arial" w:cs="Arial" w:eastAsia="Arial" w:hAnsi="Arial"/>
          <w:sz w:val="18"/>
          <w:szCs w:val="18"/>
          <w:color w:val="auto"/>
        </w:rPr>
      </w:pPr>
      <w:r>
        <w:rPr>
          <w:rFonts w:ascii="Arial" w:cs="Arial" w:eastAsia="Arial" w:hAnsi="Arial"/>
          <w:sz w:val="18"/>
          <w:szCs w:val="18"/>
          <w:u w:val="single" w:color="auto"/>
          <w:color w:val="auto"/>
        </w:rPr>
        <w:t>Risk of Forfeiture</w:t>
      </w:r>
      <w:r>
        <w:rPr>
          <w:rFonts w:ascii="Arial" w:cs="Arial" w:eastAsia="Arial" w:hAnsi="Arial"/>
          <w:sz w:val="18"/>
          <w:szCs w:val="18"/>
          <w:color w:val="auto"/>
        </w:rPr>
        <w:t>. The RSUs will be subject to a risk of forfeiture until such time the RSUs vest in accordance with the Vesting Schedule. All or any portion of the RSUs subject to a risk of forfeiture will automatically be forfeited and immediately returned to the Company if the Participant’s continuous status as a Service Provider is interrupted or terminated for any reason other than as permitted under the Plan.</w:t>
      </w:r>
    </w:p>
    <w:p>
      <w:pPr>
        <w:spacing w:after="0" w:line="181" w:lineRule="exact"/>
        <w:rPr>
          <w:rFonts w:ascii="Arial" w:cs="Arial" w:eastAsia="Arial" w:hAnsi="Arial"/>
          <w:sz w:val="18"/>
          <w:szCs w:val="18"/>
          <w:color w:val="auto"/>
        </w:rPr>
      </w:pPr>
    </w:p>
    <w:p>
      <w:pPr>
        <w:jc w:val="both"/>
        <w:ind w:firstLine="656"/>
        <w:spacing w:after="0" w:line="264" w:lineRule="auto"/>
        <w:tabs>
          <w:tab w:leader="none" w:pos="828"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Settlement of RSUs into Shares</w:t>
      </w:r>
      <w:r>
        <w:rPr>
          <w:rFonts w:ascii="Arial" w:cs="Arial" w:eastAsia="Arial" w:hAnsi="Arial"/>
          <w:sz w:val="18"/>
          <w:szCs w:val="18"/>
          <w:color w:val="auto"/>
        </w:rPr>
        <w:t>. Subject to the terms of this Award Agreement, on the date all or any portion of the RSUs vest pursuant to the Vesting Schedule, each RSU that vests will immediately and automatically be converted into one Share of the Company’s Common Stock and immediately thereafter will be issued to the Participant.</w:t>
      </w:r>
    </w:p>
    <w:p>
      <w:pPr>
        <w:spacing w:after="0" w:line="208" w:lineRule="exact"/>
        <w:rPr>
          <w:rFonts w:ascii="Arial" w:cs="Arial" w:eastAsia="Arial" w:hAnsi="Arial"/>
          <w:sz w:val="18"/>
          <w:szCs w:val="18"/>
          <w:color w:val="auto"/>
        </w:rPr>
      </w:pPr>
    </w:p>
    <w:p>
      <w:pPr>
        <w:ind w:firstLine="656"/>
        <w:spacing w:after="0" w:line="277" w:lineRule="auto"/>
        <w:tabs>
          <w:tab w:leader="none" w:pos="837"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The Participant hereby acknowledges and understands that he or she may suffer adverse tax consequences as a result of the Participant’s receipt of, vesting in, or disposition of, the RSUs.</w:t>
      </w:r>
    </w:p>
    <w:p>
      <w:pPr>
        <w:spacing w:after="0" w:line="170" w:lineRule="exact"/>
        <w:rPr>
          <w:rFonts w:ascii="Arial" w:cs="Arial" w:eastAsia="Arial" w:hAnsi="Arial"/>
          <w:sz w:val="18"/>
          <w:szCs w:val="18"/>
          <w:color w:val="auto"/>
        </w:rPr>
      </w:pPr>
    </w:p>
    <w:p>
      <w:pPr>
        <w:jc w:val="both"/>
        <w:ind w:firstLine="818"/>
        <w:spacing w:after="0" w:line="297" w:lineRule="auto"/>
        <w:tabs>
          <w:tab w:leader="none" w:pos="1055" w:val="left"/>
        </w:tabs>
        <w:numPr>
          <w:ilvl w:val="1"/>
          <w:numId w:val="196"/>
        </w:numPr>
        <w:rPr>
          <w:rFonts w:ascii="Arial" w:cs="Arial" w:eastAsia="Arial" w:hAnsi="Arial"/>
          <w:sz w:val="16"/>
          <w:szCs w:val="16"/>
          <w:color w:val="auto"/>
        </w:rPr>
      </w:pPr>
      <w:r>
        <w:rPr>
          <w:rFonts w:ascii="Arial" w:cs="Arial" w:eastAsia="Arial" w:hAnsi="Arial"/>
          <w:sz w:val="16"/>
          <w:szCs w:val="16"/>
          <w:u w:val="single" w:color="auto"/>
          <w:color w:val="auto"/>
        </w:rPr>
        <w:t>Representations</w:t>
      </w:r>
      <w:r>
        <w:rPr>
          <w:rFonts w:ascii="Arial" w:cs="Arial" w:eastAsia="Arial" w:hAnsi="Arial"/>
          <w:sz w:val="16"/>
          <w:szCs w:val="16"/>
          <w:color w:val="auto"/>
        </w:rPr>
        <w:t>. The Participant has reviewed with the Participant’s tax advisors the tax consequences of this Award Agreement and the RSUs granted hereunder, including any U.S. federal, state and local tax laws, and any other applicable taxing jurisdiction. The Participant is relying solely on such advisors and not on any statements or representations of the Company or any of its agents. The Participant hereby acknowledges and understands that, except as otherwise provided in the employment agreement between the Participant and the Company, the Participant (and not the Company) will be responsible for the Participant’s tax liability that may arise as a result of the Participant receiving this Award Agreement and the RSUs granted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3" w:name="page284"/>
    <w:bookmarkEnd w:id="283"/>
    <w:p>
      <w:pPr>
        <w:jc w:val="both"/>
        <w:ind w:left="-656" w:firstLine="818"/>
        <w:spacing w:after="0" w:line="270" w:lineRule="auto"/>
        <w:tabs>
          <w:tab w:leader="none" w:pos="409" w:val="left"/>
        </w:tabs>
        <w:numPr>
          <w:ilvl w:val="1"/>
          <w:numId w:val="197"/>
        </w:numPr>
        <w:rPr>
          <w:rFonts w:ascii="Arial" w:cs="Arial" w:eastAsia="Arial" w:hAnsi="Arial"/>
          <w:sz w:val="17"/>
          <w:szCs w:val="17"/>
          <w:color w:val="auto"/>
        </w:rPr>
      </w:pPr>
      <w:r>
        <w:rPr>
          <w:rFonts w:ascii="Arial" w:cs="Arial" w:eastAsia="Arial" w:hAnsi="Arial"/>
          <w:sz w:val="17"/>
          <w:szCs w:val="17"/>
          <w:u w:val="single" w:color="auto"/>
          <w:color w:val="auto"/>
        </w:rPr>
        <w:t>Payment of Withholding Taxes</w:t>
      </w:r>
      <w:r>
        <w:rPr>
          <w:rFonts w:ascii="Arial" w:cs="Arial" w:eastAsia="Arial" w:hAnsi="Arial"/>
          <w:sz w:val="17"/>
          <w:szCs w:val="17"/>
          <w:color w:val="auto"/>
        </w:rPr>
        <w:t xml:space="preserve">. The Participant will make appropriate arrangements with the Company for the satisfaction of all U.S. federal, state, local and non-U.S. income and employment tax withholding requirements applicable to any RSUs that settle in Shares in accordance with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Generally, the Committee has the sole authority to determine whether a “net withholding” may be permitted or is required for purposes of the Participant satisfying his or her obligations under this </w:t>
      </w:r>
      <w:r>
        <w:rPr>
          <w:rFonts w:ascii="Arial" w:cs="Arial" w:eastAsia="Arial" w:hAnsi="Arial"/>
          <w:sz w:val="17"/>
          <w:szCs w:val="17"/>
          <w:u w:val="single" w:color="auto"/>
          <w:color w:val="auto"/>
        </w:rPr>
        <w:t>Section 4(b)</w:t>
      </w:r>
      <w:r>
        <w:rPr>
          <w:rFonts w:ascii="Arial" w:cs="Arial" w:eastAsia="Arial" w:hAnsi="Arial"/>
          <w:sz w:val="17"/>
          <w:szCs w:val="17"/>
          <w:color w:val="auto"/>
        </w:rPr>
        <w:t xml:space="preserve">, however, if the RSUs vest during a blackout period pursuant to the Company’s insider trading policy, then the Participant may require net withholding to the minimum extent necessary to satisfy his obligations under this </w:t>
      </w:r>
      <w:r>
        <w:rPr>
          <w:rFonts w:ascii="Arial" w:cs="Arial" w:eastAsia="Arial" w:hAnsi="Arial"/>
          <w:sz w:val="17"/>
          <w:szCs w:val="17"/>
          <w:u w:val="single" w:color="auto"/>
          <w:color w:val="auto"/>
        </w:rPr>
        <w:t>Section 4(b)</w:t>
      </w:r>
      <w:r>
        <w:rPr>
          <w:rFonts w:ascii="Arial" w:cs="Arial" w:eastAsia="Arial" w:hAnsi="Arial"/>
          <w:sz w:val="17"/>
          <w:szCs w:val="17"/>
          <w:color w:val="auto"/>
        </w:rPr>
        <w:t xml:space="preserve">. The Participant hereby acknowledges the Company’s obligations under this Award Agreement are fully contingent on the Participant first satisfying this </w:t>
      </w:r>
      <w:r>
        <w:rPr>
          <w:rFonts w:ascii="Arial" w:cs="Arial" w:eastAsia="Arial" w:hAnsi="Arial"/>
          <w:sz w:val="17"/>
          <w:szCs w:val="17"/>
          <w:u w:val="single" w:color="auto"/>
          <w:color w:val="auto"/>
        </w:rPr>
        <w:t>Section 4(b)</w:t>
      </w:r>
      <w:r>
        <w:rPr>
          <w:rFonts w:ascii="Arial" w:cs="Arial" w:eastAsia="Arial" w:hAnsi="Arial"/>
          <w:sz w:val="17"/>
          <w:szCs w:val="17"/>
          <w:color w:val="auto"/>
        </w:rPr>
        <w:t xml:space="preserve">. Therefore, a failure of the Participant to reasonably satisfy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in accordance with the Committee’s sole and absolute discretion will result in the automatic termination and expiration of this Award Agreement and the Company’s obligations hereunder. The Participant hereby agrees that a breach of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4(b)</w:t>
      </w:r>
      <w:r>
        <w:rPr>
          <w:rFonts w:ascii="Arial" w:cs="Arial" w:eastAsia="Arial" w:hAnsi="Arial"/>
          <w:sz w:val="17"/>
          <w:szCs w:val="17"/>
          <w:color w:val="auto"/>
        </w:rPr>
        <w:t xml:space="preserve"> will be deemed to be a material breach of this Award Agreement.</w:t>
      </w:r>
    </w:p>
    <w:p>
      <w:pPr>
        <w:spacing w:after="0" w:line="181" w:lineRule="exact"/>
        <w:rPr>
          <w:rFonts w:ascii="Arial" w:cs="Arial" w:eastAsia="Arial" w:hAnsi="Arial"/>
          <w:sz w:val="17"/>
          <w:szCs w:val="17"/>
          <w:color w:val="auto"/>
        </w:rPr>
      </w:pPr>
    </w:p>
    <w:p>
      <w:pPr>
        <w:jc w:val="both"/>
        <w:ind w:left="-656" w:firstLine="818"/>
        <w:spacing w:after="0" w:line="279" w:lineRule="auto"/>
        <w:tabs>
          <w:tab w:leader="none" w:pos="412" w:val="left"/>
        </w:tabs>
        <w:numPr>
          <w:ilvl w:val="1"/>
          <w:numId w:val="197"/>
        </w:numPr>
        <w:rPr>
          <w:rFonts w:ascii="Arial" w:cs="Arial" w:eastAsia="Arial" w:hAnsi="Arial"/>
          <w:sz w:val="17"/>
          <w:szCs w:val="17"/>
          <w:color w:val="auto"/>
        </w:rPr>
      </w:pPr>
      <w:r>
        <w:rPr>
          <w:rFonts w:ascii="Arial" w:cs="Arial" w:eastAsia="Arial" w:hAnsi="Arial"/>
          <w:sz w:val="17"/>
          <w:szCs w:val="17"/>
          <w:u w:val="single" w:color="auto"/>
          <w:color w:val="auto"/>
        </w:rPr>
        <w:t>No Application of Section 409A</w:t>
      </w:r>
      <w:r>
        <w:rPr>
          <w:rFonts w:ascii="Arial" w:cs="Arial" w:eastAsia="Arial" w:hAnsi="Arial"/>
          <w:sz w:val="17"/>
          <w:szCs w:val="17"/>
          <w:color w:val="auto"/>
        </w:rPr>
        <w:t>. The RSUs and this Award Agreement are intended to avoid the application of Section 409A of the Code (“</w:t>
      </w:r>
      <w:r>
        <w:rPr>
          <w:rFonts w:ascii="Arial" w:cs="Arial" w:eastAsia="Arial" w:hAnsi="Arial"/>
          <w:sz w:val="17"/>
          <w:szCs w:val="17"/>
          <w:b w:val="1"/>
          <w:bCs w:val="1"/>
          <w:i w:val="1"/>
          <w:iCs w:val="1"/>
          <w:color w:val="auto"/>
        </w:rPr>
        <w:t>Section 409A</w:t>
      </w:r>
      <w:r>
        <w:rPr>
          <w:rFonts w:ascii="Arial" w:cs="Arial" w:eastAsia="Arial" w:hAnsi="Arial"/>
          <w:sz w:val="17"/>
          <w:szCs w:val="17"/>
          <w:color w:val="auto"/>
        </w:rPr>
        <w:t>”) because there is no deferral arrangement. Notwithstanding any other provision in the Plan or this Award Agreement to the contrary, the Committee has the right, in its sole discretion, to adopt such amendments to the Plan or this Award Agreement or take such other actions (including amendments and actions with retroactive effect) as the Committee determines are necessary or appropriate for the RSUs to comply with Section 409A.</w:t>
      </w:r>
    </w:p>
    <w:p>
      <w:pPr>
        <w:spacing w:after="0" w:line="171" w:lineRule="exact"/>
        <w:rPr>
          <w:rFonts w:ascii="Arial" w:cs="Arial" w:eastAsia="Arial" w:hAnsi="Arial"/>
          <w:sz w:val="17"/>
          <w:szCs w:val="17"/>
          <w:color w:val="auto"/>
        </w:rPr>
      </w:pPr>
    </w:p>
    <w:p>
      <w:pPr>
        <w:jc w:val="both"/>
        <w:ind w:left="-656" w:firstLine="656"/>
        <w:spacing w:after="0" w:line="259" w:lineRule="auto"/>
        <w:tabs>
          <w:tab w:leader="none" w:pos="186"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Non-Transferability of RSUs</w:t>
      </w:r>
      <w:r>
        <w:rPr>
          <w:rFonts w:ascii="Arial" w:cs="Arial" w:eastAsia="Arial" w:hAnsi="Arial"/>
          <w:sz w:val="18"/>
          <w:szCs w:val="18"/>
          <w:color w:val="auto"/>
        </w:rPr>
        <w:t>. The RSUs may not be transferred in any manner other than by will or by the laws of descent and distribution. Notwithstanding the foregoing, the Participant may designate one or more beneficiaries of the Participant’s RSUs in the event of the Participant’s death on a beneficiary designation form provided by the Committee. The terms of this Award Agreement are binding upon the executors, administrators, heirs, successors and transferees of the Participant.</w:t>
      </w:r>
    </w:p>
    <w:p>
      <w:pPr>
        <w:spacing w:after="0" w:line="186" w:lineRule="exact"/>
        <w:rPr>
          <w:rFonts w:ascii="Arial" w:cs="Arial" w:eastAsia="Arial" w:hAnsi="Arial"/>
          <w:sz w:val="18"/>
          <w:szCs w:val="18"/>
          <w:color w:val="auto"/>
        </w:rPr>
      </w:pPr>
    </w:p>
    <w:p>
      <w:pPr>
        <w:jc w:val="both"/>
        <w:ind w:left="-656" w:firstLine="656"/>
        <w:spacing w:after="0" w:line="264" w:lineRule="auto"/>
        <w:tabs>
          <w:tab w:leader="none" w:pos="172"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No Rights as a Shareholder of the Company</w:t>
      </w:r>
      <w:r>
        <w:rPr>
          <w:rFonts w:ascii="Arial" w:cs="Arial" w:eastAsia="Arial" w:hAnsi="Arial"/>
          <w:sz w:val="18"/>
          <w:szCs w:val="18"/>
          <w:color w:val="auto"/>
        </w:rPr>
        <w:t xml:space="preserve">. The Participant’s receipt of the grant of RSUs pursuant to the Notice and this Award Agreement will not provide or confer rights or status as a shareholder of the Company until such time the RSUs are converted in accordance with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of this Award Agreement.</w:t>
      </w:r>
    </w:p>
    <w:p>
      <w:pPr>
        <w:spacing w:after="0" w:line="181" w:lineRule="exact"/>
        <w:rPr>
          <w:rFonts w:ascii="Arial" w:cs="Arial" w:eastAsia="Arial" w:hAnsi="Arial"/>
          <w:sz w:val="18"/>
          <w:szCs w:val="18"/>
          <w:color w:val="auto"/>
        </w:rPr>
      </w:pPr>
    </w:p>
    <w:p>
      <w:pPr>
        <w:jc w:val="both"/>
        <w:ind w:left="-656" w:firstLine="656"/>
        <w:spacing w:after="0" w:line="279" w:lineRule="auto"/>
        <w:tabs>
          <w:tab w:leader="none" w:pos="172" w:val="left"/>
        </w:tabs>
        <w:numPr>
          <w:ilvl w:val="0"/>
          <w:numId w:val="198"/>
        </w:numPr>
        <w:rPr>
          <w:rFonts w:ascii="Arial" w:cs="Arial" w:eastAsia="Arial" w:hAnsi="Arial"/>
          <w:sz w:val="17"/>
          <w:szCs w:val="17"/>
          <w:color w:val="auto"/>
        </w:rPr>
      </w:pPr>
      <w:r>
        <w:rPr>
          <w:rFonts w:ascii="Arial" w:cs="Arial" w:eastAsia="Arial" w:hAnsi="Arial"/>
          <w:sz w:val="17"/>
          <w:szCs w:val="17"/>
          <w:u w:val="single" w:color="auto"/>
          <w:color w:val="auto"/>
        </w:rPr>
        <w:t>Legality of Initial Issuance</w:t>
      </w:r>
      <w:r>
        <w:rPr>
          <w:rFonts w:ascii="Arial" w:cs="Arial" w:eastAsia="Arial" w:hAnsi="Arial"/>
          <w:sz w:val="17"/>
          <w:szCs w:val="17"/>
          <w:color w:val="auto"/>
        </w:rPr>
        <w:t xml:space="preserve">. No Shares will be issued in accordance with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of this Award Agreement unless and until the Committee has determined that: (i) the Company and the Participant have taken all actions required to register the Shares under the Securities Act or to perfect an exemption from the registration requirements thereof, if applicable; (ii) all applicable listing requirements of any stock exchange or other securities market on which the Shares are listed has been satisfied; and (iii) any other applicable provision of any Applicable Law has been satisfied.</w:t>
      </w:r>
    </w:p>
    <w:p>
      <w:pPr>
        <w:spacing w:after="0" w:line="171" w:lineRule="exact"/>
        <w:rPr>
          <w:rFonts w:ascii="Arial" w:cs="Arial" w:eastAsia="Arial" w:hAnsi="Arial"/>
          <w:sz w:val="17"/>
          <w:szCs w:val="17"/>
          <w:color w:val="auto"/>
        </w:rPr>
      </w:pPr>
    </w:p>
    <w:p>
      <w:pPr>
        <w:jc w:val="both"/>
        <w:ind w:left="-656" w:firstLine="656"/>
        <w:spacing w:after="0" w:line="286" w:lineRule="auto"/>
        <w:tabs>
          <w:tab w:leader="none" w:pos="172" w:val="left"/>
        </w:tabs>
        <w:numPr>
          <w:ilvl w:val="0"/>
          <w:numId w:val="198"/>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Any notice required by the terms of this Award Agreement must be given in writing and will be deemed to be effective upon personal delivery or upon deposit with the United States Postal Service, by registered or certified mail, with postage and fees prepaid. Notice must be addressed to the Company at its principal executive office and to the Participant at the address that he or she most recently provided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225425</wp:posOffset>
            </wp:positionV>
            <wp:extent cx="724662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284" w:name="page285"/>
    <w:bookmarkEnd w:id="284"/>
    <w:p>
      <w:pPr>
        <w:ind w:left="-656" w:right="20" w:firstLine="656"/>
        <w:spacing w:after="0" w:line="277" w:lineRule="auto"/>
        <w:tabs>
          <w:tab w:leader="none" w:pos="186"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Except as provided herein to the contrary, this Award Agreement is binding upon and will inure to the benefit of the parties to this Award Agreement, their respective successors and permitted assigns.</w:t>
      </w:r>
    </w:p>
    <w:p>
      <w:pPr>
        <w:spacing w:after="0" w:line="170" w:lineRule="exact"/>
        <w:rPr>
          <w:rFonts w:ascii="Arial" w:cs="Arial" w:eastAsia="Arial" w:hAnsi="Arial"/>
          <w:sz w:val="18"/>
          <w:szCs w:val="18"/>
          <w:color w:val="auto"/>
        </w:rPr>
      </w:pPr>
    </w:p>
    <w:p>
      <w:pPr>
        <w:jc w:val="both"/>
        <w:ind w:left="-656" w:firstLine="656"/>
        <w:spacing w:after="0" w:line="264" w:lineRule="auto"/>
        <w:tabs>
          <w:tab w:leader="none" w:pos="262"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No Assignment</w:t>
      </w:r>
      <w:r>
        <w:rPr>
          <w:rFonts w:ascii="Arial" w:cs="Arial" w:eastAsia="Arial" w:hAnsi="Arial"/>
          <w:sz w:val="18"/>
          <w:szCs w:val="18"/>
          <w:color w:val="auto"/>
        </w:rPr>
        <w:t>. Except as otherwise provided in this Award Agreement, the Participant may not assign any of his or her rights under the Notice or this Award Agreement without the prior written consent of the Company, which consent may be withheld in its sole discretion. The Company is permitted to assign its rights or obligations under the Notice or this Award Agreement.</w:t>
      </w:r>
    </w:p>
    <w:p>
      <w:pPr>
        <w:spacing w:after="0" w:line="181" w:lineRule="exact"/>
        <w:rPr>
          <w:rFonts w:ascii="Arial" w:cs="Arial" w:eastAsia="Arial" w:hAnsi="Arial"/>
          <w:sz w:val="18"/>
          <w:szCs w:val="18"/>
          <w:color w:val="auto"/>
        </w:rPr>
      </w:pPr>
    </w:p>
    <w:p>
      <w:pPr>
        <w:jc w:val="both"/>
        <w:ind w:left="-656" w:firstLine="656"/>
        <w:spacing w:after="0" w:line="257" w:lineRule="auto"/>
        <w:tabs>
          <w:tab w:leader="none" w:pos="255"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Construction; Severability</w:t>
      </w:r>
      <w:r>
        <w:rPr>
          <w:rFonts w:ascii="Arial" w:cs="Arial" w:eastAsia="Arial" w:hAnsi="Arial"/>
          <w:sz w:val="18"/>
          <w:szCs w:val="18"/>
          <w:color w:val="auto"/>
        </w:rPr>
        <w:t>. The captions used in this Award Agreement are inserted for convenience and are not to be deemed to be a part of this Award Agreement for construction or interpretation. Except where otherwise indicated by the context, the singular form includes the plural form and the plural form includes the singular form. Use of the term “or” is not intended to be exclusive, unless the context clearly requires otherwise. The validity, legality or enforceability of the remainder of this Award Agreement will not be affected even if one or more of the provisions of this Award Agreement are held to be invalid, illegal or unenforceable in any respect.</w:t>
      </w:r>
    </w:p>
    <w:p>
      <w:pPr>
        <w:spacing w:after="0" w:line="188" w:lineRule="exact"/>
        <w:rPr>
          <w:rFonts w:ascii="Arial" w:cs="Arial" w:eastAsia="Arial" w:hAnsi="Arial"/>
          <w:sz w:val="18"/>
          <w:szCs w:val="18"/>
          <w:color w:val="auto"/>
        </w:rPr>
      </w:pPr>
    </w:p>
    <w:p>
      <w:pPr>
        <w:jc w:val="both"/>
        <w:ind w:left="-656" w:firstLine="656"/>
        <w:spacing w:after="0" w:line="259" w:lineRule="auto"/>
        <w:tabs>
          <w:tab w:leader="none" w:pos="262"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Administration and Interpretation</w:t>
      </w:r>
      <w:r>
        <w:rPr>
          <w:rFonts w:ascii="Arial" w:cs="Arial" w:eastAsia="Arial" w:hAnsi="Arial"/>
          <w:sz w:val="18"/>
          <w:szCs w:val="18"/>
          <w:color w:val="auto"/>
        </w:rPr>
        <w:t>. Any determination by the Committee in connection with any question or issue arising under the Notice, the Plan or this Award Agreement will be final, conclusive and binding on the Participant, the Company and all other persons. Any question or dispute regarding the interpretation of this Award Agreement or the receipt of the RSUs hereunder must be submitted by the Participant to the Committee. The resolution of such question or dispute by the Committee will be final and binding on all parties.</w:t>
      </w:r>
    </w:p>
    <w:p>
      <w:pPr>
        <w:spacing w:after="0" w:line="186" w:lineRule="exact"/>
        <w:rPr>
          <w:rFonts w:ascii="Arial" w:cs="Arial" w:eastAsia="Arial" w:hAnsi="Arial"/>
          <w:sz w:val="18"/>
          <w:szCs w:val="18"/>
          <w:color w:val="auto"/>
        </w:rPr>
      </w:pPr>
    </w:p>
    <w:p>
      <w:pPr>
        <w:ind w:left="-656" w:firstLine="656"/>
        <w:spacing w:after="0" w:line="308" w:lineRule="auto"/>
        <w:tabs>
          <w:tab w:leader="none" w:pos="289" w:val="left"/>
        </w:tabs>
        <w:numPr>
          <w:ilvl w:val="0"/>
          <w:numId w:val="199"/>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Award Agreement may be executed in any number of counterparts, any of which may be executed and transmitted by facsimile, and each of which will be deemed to be an original, but all of which together will be deemed to be one and the same instrument.</w:t>
      </w:r>
    </w:p>
    <w:p>
      <w:pPr>
        <w:spacing w:after="0" w:line="146" w:lineRule="exact"/>
        <w:rPr>
          <w:rFonts w:ascii="Arial" w:cs="Arial" w:eastAsia="Arial" w:hAnsi="Arial"/>
          <w:sz w:val="17"/>
          <w:szCs w:val="17"/>
          <w:color w:val="auto"/>
        </w:rPr>
      </w:pPr>
    </w:p>
    <w:p>
      <w:pPr>
        <w:jc w:val="both"/>
        <w:ind w:left="-656" w:firstLine="656"/>
        <w:spacing w:after="0" w:line="291" w:lineRule="auto"/>
        <w:tabs>
          <w:tab w:leader="none" w:pos="262" w:val="left"/>
        </w:tabs>
        <w:numPr>
          <w:ilvl w:val="0"/>
          <w:numId w:val="199"/>
        </w:numPr>
        <w:rPr>
          <w:rFonts w:ascii="Arial" w:cs="Arial" w:eastAsia="Arial" w:hAnsi="Arial"/>
          <w:sz w:val="16"/>
          <w:szCs w:val="16"/>
          <w:color w:val="auto"/>
        </w:rPr>
      </w:pPr>
      <w:r>
        <w:rPr>
          <w:rFonts w:ascii="Arial" w:cs="Arial" w:eastAsia="Arial" w:hAnsi="Arial"/>
          <w:sz w:val="16"/>
          <w:szCs w:val="16"/>
          <w:u w:val="single" w:color="auto"/>
          <w:color w:val="auto"/>
        </w:rPr>
        <w:t>Entire Agreement; Governing Law; and Amendments</w:t>
      </w:r>
      <w:r>
        <w:rPr>
          <w:rFonts w:ascii="Arial" w:cs="Arial" w:eastAsia="Arial" w:hAnsi="Arial"/>
          <w:sz w:val="16"/>
          <w:szCs w:val="16"/>
          <w:color w:val="auto"/>
        </w:rPr>
        <w:t>. The provisions of the Plan and the Notice are incorporated herein by reference. The Plan, the Notice and this Award Agreement constitute the entire agreement of the parties with respect to the subject matter hereof and supersede in their entirety all prior undertakings and agreements of the Company and the Participant with respect to the subject matter hereof, and may not be modified adversely to the Participant’s interest except by means of a writing signed by the Company and the Participant. This Award Agreement is governed by the laws of the State of Texas applicable to contracts executed in and to be performed in that State. Notwithstanding the foregoing or any other provision in the Plan or this Award Agreement to the contrary, the Committee has the right, in its sole discretion, to unilaterally adopt amendments to this Award Agreement or the Plan to the minimum extent necessary or appropriate (as determined by the Committee in its sole discretion) for the RSUs to comply with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226695</wp:posOffset>
            </wp:positionV>
            <wp:extent cx="724662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285" w:name="page286"/>
    <w:bookmarkEnd w:id="285"/>
    <w:p>
      <w:pPr>
        <w:jc w:val="both"/>
        <w:ind w:left="-656" w:firstLine="656"/>
        <w:spacing w:after="0" w:line="273" w:lineRule="auto"/>
        <w:tabs>
          <w:tab w:leader="none" w:pos="275" w:val="left"/>
        </w:tabs>
        <w:numPr>
          <w:ilvl w:val="0"/>
          <w:numId w:val="200"/>
        </w:numPr>
        <w:rPr>
          <w:rFonts w:ascii="Arial" w:cs="Arial" w:eastAsia="Arial" w:hAnsi="Arial"/>
          <w:sz w:val="17"/>
          <w:szCs w:val="17"/>
          <w:color w:val="auto"/>
        </w:rPr>
      </w:pPr>
      <w:r>
        <w:rPr>
          <w:rFonts w:ascii="Arial" w:cs="Arial" w:eastAsia="Arial" w:hAnsi="Arial"/>
          <w:sz w:val="17"/>
          <w:szCs w:val="17"/>
          <w:u w:val="single" w:color="auto"/>
          <w:color w:val="auto"/>
        </w:rPr>
        <w:t>Venue</w:t>
      </w:r>
      <w:r>
        <w:rPr>
          <w:rFonts w:ascii="Arial" w:cs="Arial" w:eastAsia="Arial" w:hAnsi="Arial"/>
          <w:sz w:val="17"/>
          <w:szCs w:val="17"/>
          <w:color w:val="auto"/>
        </w:rPr>
        <w:t xml:space="preserve">. The Company, the Participant and the Participant’s assignees agree that any suit, action or proceeding arising out of or related to the Notice, this Award Agreement or the Plan must be brought in the United States District Court for the Northern District of Texas (or should such court lack jurisdiction to hear such action, suit or proceeding, in a state court in Lubbock County, Texas) and that all parties submit to the jurisdiction of such court. The parties irrevocably waive, to the fullest extent permitted by law, any objection the party may have to the laying of venue for any such suit, action or proceeding brought in such court. If any one or more provisions of this </w:t>
      </w:r>
      <w:r>
        <w:rPr>
          <w:rFonts w:ascii="Arial" w:cs="Arial" w:eastAsia="Arial" w:hAnsi="Arial"/>
          <w:sz w:val="17"/>
          <w:szCs w:val="17"/>
          <w:u w:val="single" w:color="auto"/>
          <w:color w:val="auto"/>
        </w:rPr>
        <w:t>Section 15</w:t>
      </w:r>
      <w:r>
        <w:rPr>
          <w:rFonts w:ascii="Arial" w:cs="Arial" w:eastAsia="Arial" w:hAnsi="Arial"/>
          <w:sz w:val="17"/>
          <w:szCs w:val="17"/>
          <w:color w:val="auto"/>
        </w:rPr>
        <w:t xml:space="preserve"> are for any reason be held invalid or unenforceable, it is the specific intent of the parties that such provisions be modified to the minimum extent necessary to make it or its application valid and enforceable.</w:t>
      </w:r>
    </w:p>
    <w:p>
      <w:pPr>
        <w:spacing w:after="0" w:line="178" w:lineRule="exact"/>
        <w:rPr>
          <w:rFonts w:ascii="Arial" w:cs="Arial" w:eastAsia="Arial" w:hAnsi="Arial"/>
          <w:sz w:val="17"/>
          <w:szCs w:val="17"/>
          <w:color w:val="auto"/>
        </w:rPr>
      </w:pPr>
    </w:p>
    <w:p>
      <w:pPr>
        <w:jc w:val="both"/>
        <w:ind w:left="-656" w:firstLine="656"/>
        <w:spacing w:after="0" w:line="253" w:lineRule="auto"/>
        <w:tabs>
          <w:tab w:leader="none" w:pos="262"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No Guarantee of Continued Service</w:t>
      </w:r>
      <w:r>
        <w:rPr>
          <w:rFonts w:ascii="Arial" w:cs="Arial" w:eastAsia="Arial" w:hAnsi="Arial"/>
          <w:sz w:val="18"/>
          <w:szCs w:val="18"/>
          <w:color w:val="auto"/>
        </w:rPr>
        <w:t>. THE PARTICIPANT ACKNOWLEDGES AND AGREES THAT THE VESTING OF RSUS PURSUANT TO THE VESTING SCHEDULE IS EARNED ONLY BY CONTINUOUS STATUS AS A SERVICE PROVIDER AT THE WILL OF THE COMPANY (NOT THROUGH THE ACT OF BEING HIRED, BEING GRANTED RSUS OR ACQUIRING SHARES HEREUNDER). THE PARTICIPANT FURTHER ACKNOWLEDGES AND AGREES THAT THIS AWARD AGREEMENT, THE RIGHTS GRANTED HEREUNDER, THE TRANSACTIONS CONTEMPLATED HEREUNDER AND THE VESTING SCHEDULE SET FORTH HEREIN DO NOT CONSTITUTE AN EXPRESS OR IMPLIED PROMISE OF CONTINUED ENGAGEMENT AS A SERVICE PROVIDER FOR THE VESTING PERIOD, FOR ANY PERIOD, OR AT ALL, AND DO NOT INTERFERE IN ANY WAY WITH THE PARTICIPANT’S RIGHT OR THE COMPANY’S (OR ANY AFFILIATE’S) RIGHT TO TERMINATE THE PARTICIPANT’S RELATIONSHIP AS A SERVICE PROVIDER AT ANY TIME, WITH OR WITHOUT CAUSE, SUBJECT TO THE EMPLOYMENT AGREEMENT.</w:t>
      </w:r>
    </w:p>
    <w:p>
      <w:pPr>
        <w:spacing w:after="0" w:line="197" w:lineRule="exact"/>
        <w:rPr>
          <w:rFonts w:ascii="Arial" w:cs="Arial" w:eastAsia="Arial" w:hAnsi="Arial"/>
          <w:sz w:val="18"/>
          <w:szCs w:val="18"/>
          <w:color w:val="auto"/>
        </w:rPr>
      </w:pPr>
    </w:p>
    <w:p>
      <w:pPr>
        <w:jc w:val="both"/>
        <w:ind w:left="-656" w:firstLine="656"/>
        <w:spacing w:after="0" w:line="279" w:lineRule="auto"/>
        <w:tabs>
          <w:tab w:leader="none" w:pos="262" w:val="left"/>
        </w:tabs>
        <w:numPr>
          <w:ilvl w:val="0"/>
          <w:numId w:val="200"/>
        </w:numPr>
        <w:rPr>
          <w:rFonts w:ascii="Arial" w:cs="Arial" w:eastAsia="Arial" w:hAnsi="Arial"/>
          <w:sz w:val="17"/>
          <w:szCs w:val="17"/>
          <w:color w:val="auto"/>
        </w:rPr>
      </w:pPr>
      <w:r>
        <w:rPr>
          <w:rFonts w:ascii="Arial" w:cs="Arial" w:eastAsia="Arial" w:hAnsi="Arial"/>
          <w:sz w:val="17"/>
          <w:szCs w:val="17"/>
          <w:u w:val="single" w:color="auto"/>
          <w:color w:val="auto"/>
        </w:rPr>
        <w:t>Unsecured General Creditor</w:t>
      </w:r>
      <w:r>
        <w:rPr>
          <w:rFonts w:ascii="Arial" w:cs="Arial" w:eastAsia="Arial" w:hAnsi="Arial"/>
          <w:sz w:val="17"/>
          <w:szCs w:val="17"/>
          <w:color w:val="auto"/>
        </w:rPr>
        <w:t>. The Participant has no legal or equitable rights, interests or claims in any property or assets of the Company due to the Notice, this Award Agreement and the grant of RSUs hereunder. For purposes of the payment of benefits under the Notice and this Award Agreement, the Participant has no more rights than those of a general creditor of the Company. The Company’s obligation under the Notice and this Award Agreement will be that of a conditional unfunded and unsecured promise to pay money or property in the future.</w:t>
      </w:r>
    </w:p>
    <w:p>
      <w:pPr>
        <w:spacing w:after="0" w:line="171" w:lineRule="exact"/>
        <w:rPr>
          <w:rFonts w:ascii="Arial" w:cs="Arial" w:eastAsia="Arial" w:hAnsi="Arial"/>
          <w:sz w:val="17"/>
          <w:szCs w:val="17"/>
          <w:color w:val="auto"/>
        </w:rPr>
      </w:pPr>
    </w:p>
    <w:p>
      <w:pPr>
        <w:jc w:val="both"/>
        <w:ind w:left="-656" w:firstLine="656"/>
        <w:spacing w:after="0" w:line="264" w:lineRule="auto"/>
        <w:tabs>
          <w:tab w:leader="none" w:pos="262"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Failure to insist upon strict compliance with any of the terms, covenants, or conditions hereof will not be deemed to be a waiver of such term, covenant, or condition, nor will any waiver or relinquishment of, or failure to insist upon strict compliance with, any right or power hereunder at any one or more times be deemed to be a waiver or relinquishment of such right or power at any other time or times.</w:t>
      </w:r>
    </w:p>
    <w:p>
      <w:pPr>
        <w:spacing w:after="0" w:line="177" w:lineRule="exact"/>
        <w:rPr>
          <w:rFonts w:ascii="Arial" w:cs="Arial" w:eastAsia="Arial" w:hAnsi="Arial"/>
          <w:sz w:val="18"/>
          <w:szCs w:val="18"/>
          <w:color w:val="auto"/>
        </w:rPr>
      </w:pPr>
    </w:p>
    <w:p>
      <w:pPr>
        <w:ind w:left="4564"/>
        <w:spacing w:after="0"/>
        <w:rPr>
          <w:rFonts w:ascii="Arial" w:cs="Arial" w:eastAsia="Arial" w:hAnsi="Arial"/>
          <w:sz w:val="18"/>
          <w:szCs w:val="18"/>
          <w:color w:val="auto"/>
        </w:rPr>
      </w:pPr>
      <w:r>
        <w:rPr>
          <w:rFonts w:ascii="Arial" w:cs="Arial" w:eastAsia="Arial" w:hAnsi="Arial"/>
          <w:sz w:val="18"/>
          <w:szCs w:val="18"/>
          <w:b w:val="1"/>
          <w:bCs w:val="1"/>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360680</wp:posOffset>
            </wp:positionV>
            <wp:extent cx="724662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286" w:name="page287"/>
    <w:bookmarkEnd w:id="28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7">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EMPLOYMENT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entered into as of March 6, 2019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by and among City Bank, Texas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Cory Newsom (the “Executive”), and South Plains Financial, Inc. (the “</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w:t>
      </w:r>
    </w:p>
    <w:p>
      <w:pPr>
        <w:spacing w:after="0" w:line="193"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to employ the Executive as its President and Chief Executive Officer, subject to the terms and conditions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Parent desires to employ the Executive as its President, subject to the terms and conditions of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for good and valuable consideration, the receipt and sufficiency of which are hereby acknowledged, the Company,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Parent, and the Executive hereby agree as follows:</w:t>
      </w:r>
    </w:p>
    <w:p>
      <w:pPr>
        <w:spacing w:after="0" w:line="238" w:lineRule="exact"/>
        <w:rPr>
          <w:sz w:val="20"/>
          <w:szCs w:val="20"/>
          <w:color w:val="auto"/>
        </w:rPr>
      </w:pPr>
    </w:p>
    <w:p>
      <w:pPr>
        <w:ind w:left="840" w:hanging="184"/>
        <w:spacing w:after="0"/>
        <w:tabs>
          <w:tab w:leader="none" w:pos="840"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Employment and Duties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firstLine="818"/>
        <w:spacing w:after="0" w:line="297" w:lineRule="auto"/>
        <w:tabs>
          <w:tab w:leader="none" w:pos="1082" w:val="left"/>
        </w:tabs>
        <w:numPr>
          <w:ilvl w:val="1"/>
          <w:numId w:val="201"/>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The Executive shall serve as the President and Chief Executive Officer of the Company, reporting to the Company’s Board of Directors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and as President of the Parent, reporting to the Parent’s board of directors (the “</w:t>
      </w:r>
      <w:r>
        <w:rPr>
          <w:rFonts w:ascii="Arial" w:cs="Arial" w:eastAsia="Arial" w:hAnsi="Arial"/>
          <w:sz w:val="16"/>
          <w:szCs w:val="16"/>
          <w:b w:val="1"/>
          <w:bCs w:val="1"/>
          <w:i w:val="1"/>
          <w:iCs w:val="1"/>
          <w:color w:val="auto"/>
        </w:rPr>
        <w:t>Parent Board</w:t>
      </w:r>
      <w:r>
        <w:rPr>
          <w:rFonts w:ascii="Arial" w:cs="Arial" w:eastAsia="Arial" w:hAnsi="Arial"/>
          <w:sz w:val="16"/>
          <w:szCs w:val="16"/>
          <w:color w:val="auto"/>
        </w:rPr>
        <w:t>”). The Executive shall have the duties and responsibilities commensurate with the duties and responsibilities of persons in similar capacities in similarly sized companies, and such other duties and responsibilities as may be reasonably assigned to the Executive from time to time by the Board that are consistent with the Executive’s position as President and Chief Executive Officer of the Company and President of the Parent. The Executive’s principal place of employment shall be Lubbock, Texas.</w:t>
      </w:r>
    </w:p>
    <w:p>
      <w:pPr>
        <w:spacing w:after="0" w:line="185" w:lineRule="exact"/>
        <w:rPr>
          <w:rFonts w:ascii="Arial" w:cs="Arial" w:eastAsia="Arial" w:hAnsi="Arial"/>
          <w:sz w:val="16"/>
          <w:szCs w:val="16"/>
          <w:color w:val="auto"/>
        </w:rPr>
      </w:pPr>
    </w:p>
    <w:p>
      <w:pPr>
        <w:jc w:val="both"/>
        <w:ind w:firstLine="818"/>
        <w:spacing w:after="0" w:line="293" w:lineRule="auto"/>
        <w:tabs>
          <w:tab w:leader="none" w:pos="1065" w:val="left"/>
        </w:tabs>
        <w:numPr>
          <w:ilvl w:val="1"/>
          <w:numId w:val="201"/>
        </w:numPr>
        <w:rPr>
          <w:rFonts w:ascii="Arial" w:cs="Arial" w:eastAsia="Arial" w:hAnsi="Arial"/>
          <w:sz w:val="16"/>
          <w:szCs w:val="16"/>
          <w:color w:val="auto"/>
        </w:rPr>
      </w:pPr>
      <w:r>
        <w:rPr>
          <w:rFonts w:ascii="Arial" w:cs="Arial" w:eastAsia="Arial" w:hAnsi="Arial"/>
          <w:sz w:val="16"/>
          <w:szCs w:val="16"/>
          <w:u w:val="single" w:color="auto"/>
          <w:color w:val="auto"/>
        </w:rPr>
        <w:t>Exclusive Services</w:t>
      </w:r>
      <w:r>
        <w:rPr>
          <w:rFonts w:ascii="Arial" w:cs="Arial" w:eastAsia="Arial" w:hAnsi="Arial"/>
          <w:sz w:val="16"/>
          <w:szCs w:val="16"/>
          <w:color w:val="auto"/>
        </w:rPr>
        <w:t>. For so long as the Executive is employed by the Company and the Parent (collectively, the “</w:t>
      </w:r>
      <w:r>
        <w:rPr>
          <w:rFonts w:ascii="Arial" w:cs="Arial" w:eastAsia="Arial" w:hAnsi="Arial"/>
          <w:sz w:val="16"/>
          <w:szCs w:val="16"/>
          <w:b w:val="1"/>
          <w:bCs w:val="1"/>
          <w:i w:val="1"/>
          <w:iCs w:val="1"/>
          <w:color w:val="auto"/>
        </w:rPr>
        <w:t>Employer</w:t>
      </w:r>
      <w:r>
        <w:rPr>
          <w:rFonts w:ascii="Arial" w:cs="Arial" w:eastAsia="Arial" w:hAnsi="Arial"/>
          <w:sz w:val="16"/>
          <w:szCs w:val="16"/>
          <w:color w:val="auto"/>
        </w:rPr>
        <w:t xml:space="preserve">”), the Executive shall devote substantially all of the Executive’s business time (excluding periods of vacation and paid time off and other approved leaves of absence) to the Executive’s duties hereunder. Notwithstanding the foregoing, the Executive may (A) serve on corporate boards, provided the Executive receives prior permission from the Board; (B) serve on civic, children sports organization or charitable boards without remuneration therefor; (C) participate in charitable, civic, educational, professional, community or industry affairs; and (D) manage the Executive’s or his family’s personal investments and businesses;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activity does not materially interfere with the Executive’s performance of his duties under this Agreement or create a potential business conflict.</w:t>
      </w:r>
    </w:p>
    <w:p>
      <w:pPr>
        <w:spacing w:after="0" w:line="191" w:lineRule="exact"/>
        <w:rPr>
          <w:rFonts w:ascii="Arial" w:cs="Arial" w:eastAsia="Arial" w:hAnsi="Arial"/>
          <w:sz w:val="16"/>
          <w:szCs w:val="16"/>
          <w:color w:val="auto"/>
        </w:rPr>
      </w:pPr>
    </w:p>
    <w:p>
      <w:pPr>
        <w:jc w:val="both"/>
        <w:ind w:firstLine="818"/>
        <w:spacing w:after="0" w:line="342" w:lineRule="auto"/>
        <w:tabs>
          <w:tab w:leader="none" w:pos="1055" w:val="left"/>
        </w:tabs>
        <w:numPr>
          <w:ilvl w:val="1"/>
          <w:numId w:val="201"/>
        </w:numPr>
        <w:rPr>
          <w:rFonts w:ascii="Arial" w:cs="Arial" w:eastAsia="Arial" w:hAnsi="Arial"/>
          <w:sz w:val="16"/>
          <w:szCs w:val="16"/>
          <w:color w:val="auto"/>
        </w:rPr>
      </w:pPr>
      <w:r>
        <w:rPr>
          <w:rFonts w:ascii="Arial" w:cs="Arial" w:eastAsia="Arial" w:hAnsi="Arial"/>
          <w:sz w:val="16"/>
          <w:szCs w:val="16"/>
          <w:u w:val="single" w:color="auto"/>
          <w:color w:val="auto"/>
        </w:rPr>
        <w:t>Board Service</w:t>
      </w:r>
      <w:r>
        <w:rPr>
          <w:rFonts w:ascii="Arial" w:cs="Arial" w:eastAsia="Arial" w:hAnsi="Arial"/>
          <w:sz w:val="16"/>
          <w:szCs w:val="16"/>
          <w:color w:val="auto"/>
        </w:rPr>
        <w:t>. During the Term: (i) the Board shall nominate the Executive for re-election as a member of the Board at the expiration of each then-current term; and (ii) the Parent shall nominate the Executive for re-election as a member of the Parent Board at the expiration of each then-current term.</w:t>
      </w:r>
    </w:p>
    <w:p>
      <w:pPr>
        <w:spacing w:after="0" w:line="150" w:lineRule="exact"/>
        <w:rPr>
          <w:rFonts w:ascii="Arial" w:cs="Arial" w:eastAsia="Arial" w:hAnsi="Arial"/>
          <w:sz w:val="16"/>
          <w:szCs w:val="16"/>
          <w:color w:val="auto"/>
        </w:rPr>
      </w:pPr>
    </w:p>
    <w:p>
      <w:pPr>
        <w:jc w:val="both"/>
        <w:ind w:firstLine="818"/>
        <w:spacing w:after="0" w:line="273" w:lineRule="auto"/>
        <w:tabs>
          <w:tab w:leader="none" w:pos="1065" w:val="left"/>
        </w:tabs>
        <w:numPr>
          <w:ilvl w:val="1"/>
          <w:numId w:val="201"/>
        </w:numPr>
        <w:rPr>
          <w:rFonts w:ascii="Arial" w:cs="Arial" w:eastAsia="Arial" w:hAnsi="Arial"/>
          <w:sz w:val="17"/>
          <w:szCs w:val="17"/>
          <w:color w:val="auto"/>
        </w:rPr>
      </w:pPr>
      <w:r>
        <w:rPr>
          <w:rFonts w:ascii="Arial" w:cs="Arial" w:eastAsia="Arial" w:hAnsi="Arial"/>
          <w:sz w:val="17"/>
          <w:szCs w:val="17"/>
          <w:u w:val="single" w:color="auto"/>
          <w:color w:val="auto"/>
        </w:rPr>
        <w:t>Dodd-Frank Act, Sarbanes-Oxley and Other Applicable Law Requirements</w:t>
      </w:r>
      <w:r>
        <w:rPr>
          <w:rFonts w:ascii="Arial" w:cs="Arial" w:eastAsia="Arial" w:hAnsi="Arial"/>
          <w:sz w:val="17"/>
          <w:szCs w:val="17"/>
          <w:color w:val="auto"/>
        </w:rPr>
        <w:t>. The Executive agrees (i) to abide by any compensation recovery, recoupment, anti-hedging, or other policy applicable to executives of the Employer and its affiliates that is hereafter adopted by the Board, the Parent Board or a duly authorized committee thereof to comply with applicable law as required by the Dodd-Frank Wall Street Reform and Consumer Protection Act of 2010 (the “</w:t>
      </w:r>
      <w:r>
        <w:rPr>
          <w:rFonts w:ascii="Arial" w:cs="Arial" w:eastAsia="Arial" w:hAnsi="Arial"/>
          <w:sz w:val="17"/>
          <w:szCs w:val="17"/>
          <w:b w:val="1"/>
          <w:bCs w:val="1"/>
          <w:i w:val="1"/>
          <w:iCs w:val="1"/>
          <w:color w:val="auto"/>
        </w:rPr>
        <w:t>Dodd-Frank Act</w:t>
      </w:r>
      <w:r>
        <w:rPr>
          <w:rFonts w:ascii="Arial" w:cs="Arial" w:eastAsia="Arial" w:hAnsi="Arial"/>
          <w:sz w:val="17"/>
          <w:szCs w:val="17"/>
          <w:color w:val="auto"/>
        </w:rPr>
        <w:t>”), the Sarbanes-Oxley Act of 2002 (“</w:t>
      </w:r>
      <w:r>
        <w:rPr>
          <w:rFonts w:ascii="Arial" w:cs="Arial" w:eastAsia="Arial" w:hAnsi="Arial"/>
          <w:sz w:val="17"/>
          <w:szCs w:val="17"/>
          <w:b w:val="1"/>
          <w:bCs w:val="1"/>
          <w:i w:val="1"/>
          <w:iCs w:val="1"/>
          <w:color w:val="auto"/>
        </w:rPr>
        <w:t>Sarbanes-Oxley</w:t>
      </w:r>
      <w:r>
        <w:rPr>
          <w:rFonts w:ascii="Arial" w:cs="Arial" w:eastAsia="Arial" w:hAnsi="Arial"/>
          <w:sz w:val="17"/>
          <w:szCs w:val="17"/>
          <w:color w:val="auto"/>
        </w:rPr>
        <w:t>”), or other applicable law; and (ii) that the terms and conditions of this Agreement shall be deemed automatically and unilaterally amended to the minimum extent necessary to ensure compliance by the Executive and this Agreement with such policies, the Dodd-Frank Act, Sarbanes-Oxley, and any other applicable law.</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87" w:name="page288"/>
    <w:bookmarkEnd w:id="287"/>
    <w:p>
      <w:pPr>
        <w:jc w:val="both"/>
        <w:ind w:firstLine="656"/>
        <w:spacing w:after="0" w:line="276" w:lineRule="auto"/>
        <w:tabs>
          <w:tab w:leader="none" w:pos="842" w:val="left"/>
        </w:tabs>
        <w:numPr>
          <w:ilvl w:val="0"/>
          <w:numId w:val="202"/>
        </w:numPr>
        <w:rPr>
          <w:rFonts w:ascii="Arial" w:cs="Arial" w:eastAsia="Arial" w:hAnsi="Arial"/>
          <w:sz w:val="17"/>
          <w:szCs w:val="17"/>
          <w:color w:val="auto"/>
        </w:rPr>
      </w:pPr>
      <w:r>
        <w:rPr>
          <w:rFonts w:ascii="Arial" w:cs="Arial" w:eastAsia="Arial" w:hAnsi="Arial"/>
          <w:sz w:val="17"/>
          <w:szCs w:val="17"/>
          <w:u w:val="single" w:color="auto"/>
          <w:color w:val="auto"/>
        </w:rPr>
        <w:t>Term of Employment</w:t>
      </w:r>
      <w:r>
        <w:rPr>
          <w:rFonts w:ascii="Arial" w:cs="Arial" w:eastAsia="Arial" w:hAnsi="Arial"/>
          <w:sz w:val="17"/>
          <w:szCs w:val="17"/>
          <w:color w:val="auto"/>
        </w:rPr>
        <w:t>. The Executive’s employment shall be covered by the terms of this Agreement, effective as of Effective Date, and shall continue for a period of three (3) years (“</w:t>
      </w:r>
      <w:r>
        <w:rPr>
          <w:rFonts w:ascii="Arial" w:cs="Arial" w:eastAsia="Arial" w:hAnsi="Arial"/>
          <w:sz w:val="17"/>
          <w:szCs w:val="17"/>
          <w:b w:val="1"/>
          <w:bCs w:val="1"/>
          <w:i w:val="1"/>
          <w:iCs w:val="1"/>
          <w:color w:val="auto"/>
        </w:rPr>
        <w:t>Term</w:t>
      </w:r>
      <w:r>
        <w:rPr>
          <w:rFonts w:ascii="Arial" w:cs="Arial" w:eastAsia="Arial" w:hAnsi="Arial"/>
          <w:sz w:val="17"/>
          <w:szCs w:val="17"/>
          <w:color w:val="auto"/>
        </w:rPr>
        <w:t>”), unless this Agreement (and the Executive’s employment hereunder) is otherwise terminated as set forth in this Agreement. Thereafter, this Agreement shall automatically renew thereafter for subsequent periods of three (3) years (“</w:t>
      </w:r>
      <w:r>
        <w:rPr>
          <w:rFonts w:ascii="Arial" w:cs="Arial" w:eastAsia="Arial" w:hAnsi="Arial"/>
          <w:sz w:val="17"/>
          <w:szCs w:val="17"/>
          <w:b w:val="1"/>
          <w:bCs w:val="1"/>
          <w:i w:val="1"/>
          <w:iCs w:val="1"/>
          <w:color w:val="auto"/>
        </w:rPr>
        <w:t>Renewal Term</w:t>
      </w:r>
      <w:r>
        <w:rPr>
          <w:rFonts w:ascii="Arial" w:cs="Arial" w:eastAsia="Arial" w:hAnsi="Arial"/>
          <w:sz w:val="17"/>
          <w:szCs w:val="17"/>
          <w:color w:val="auto"/>
        </w:rPr>
        <w:t>”), unless either party provides written notice to the other at least ninety (90) days prior to the end of the Term (or any Renewal Term thereafter) or unless this Agreement (and the Executive’s employment hereunder) is otherwise terminated as set forth in this Agreement.</w:t>
      </w:r>
    </w:p>
    <w:p>
      <w:pPr>
        <w:spacing w:after="0" w:line="199" w:lineRule="exact"/>
        <w:rPr>
          <w:rFonts w:ascii="Arial" w:cs="Arial" w:eastAsia="Arial" w:hAnsi="Arial"/>
          <w:sz w:val="17"/>
          <w:szCs w:val="17"/>
          <w:color w:val="auto"/>
        </w:rPr>
      </w:pPr>
    </w:p>
    <w:p>
      <w:pPr>
        <w:ind w:right="20" w:firstLine="656"/>
        <w:spacing w:after="0" w:line="277" w:lineRule="auto"/>
        <w:tabs>
          <w:tab w:leader="none" w:pos="828"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w:t>
      </w:r>
      <w:r>
        <w:rPr>
          <w:rFonts w:ascii="Arial" w:cs="Arial" w:eastAsia="Arial" w:hAnsi="Arial"/>
          <w:sz w:val="18"/>
          <w:szCs w:val="18"/>
          <w:color w:val="auto"/>
        </w:rPr>
        <w:t>. Subject to the provisions of this Agreement and the prohibition in Section 3(o), the Employer shall pay and provide the following compensation and other benefits to the Executive during the Term as compensation for services rendered hereunder:</w:t>
      </w:r>
    </w:p>
    <w:p>
      <w:pPr>
        <w:spacing w:after="0" w:line="197" w:lineRule="exact"/>
        <w:rPr>
          <w:rFonts w:ascii="Arial" w:cs="Arial" w:eastAsia="Arial" w:hAnsi="Arial"/>
          <w:sz w:val="18"/>
          <w:szCs w:val="18"/>
          <w:color w:val="auto"/>
        </w:rPr>
      </w:pPr>
    </w:p>
    <w:p>
      <w:pPr>
        <w:jc w:val="both"/>
        <w:ind w:firstLine="818"/>
        <w:spacing w:after="0" w:line="257" w:lineRule="auto"/>
        <w:tabs>
          <w:tab w:leader="none" w:pos="1055" w:val="left"/>
        </w:tabs>
        <w:numPr>
          <w:ilvl w:val="1"/>
          <w:numId w:val="202"/>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The Employer shall pay to the Executive an annual salary (the “Base Salary”) of not less than $630,000, payable in substantially equal installments at such intervals as may be determined by the Employer in accordance with the Employer’s then-current ordinary payroll practices as established from time to time, but not less frequently than monthly. The Base Salary shall be reviewed in good faith by the Compensation Committee of the Parent Board, or in the absence thereof, the Parent Board (the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based upon the Executive’s performance, not less often than annually, and may be increased, but not decreased, from time to time by the Parent Board.</w:t>
      </w:r>
    </w:p>
    <w:p>
      <w:pPr>
        <w:spacing w:after="0" w:line="215" w:lineRule="exact"/>
        <w:rPr>
          <w:rFonts w:ascii="Arial" w:cs="Arial" w:eastAsia="Arial" w:hAnsi="Arial"/>
          <w:sz w:val="18"/>
          <w:szCs w:val="18"/>
          <w:color w:val="auto"/>
        </w:rPr>
      </w:pPr>
    </w:p>
    <w:p>
      <w:pPr>
        <w:jc w:val="both"/>
        <w:ind w:firstLine="818"/>
        <w:spacing w:after="0" w:line="255" w:lineRule="auto"/>
        <w:tabs>
          <w:tab w:leader="none" w:pos="1065" w:val="left"/>
        </w:tabs>
        <w:numPr>
          <w:ilvl w:val="1"/>
          <w:numId w:val="202"/>
        </w:numPr>
        <w:rPr>
          <w:rFonts w:ascii="Arial" w:cs="Arial" w:eastAsia="Arial" w:hAnsi="Arial"/>
          <w:sz w:val="18"/>
          <w:szCs w:val="18"/>
          <w:color w:val="auto"/>
        </w:rPr>
      </w:pPr>
      <w:r>
        <w:rPr>
          <w:rFonts w:ascii="Arial" w:cs="Arial" w:eastAsia="Arial" w:hAnsi="Arial"/>
          <w:sz w:val="18"/>
          <w:szCs w:val="18"/>
          <w:u w:val="single" w:color="auto"/>
          <w:color w:val="auto"/>
        </w:rPr>
        <w:t>Annual Bonus</w:t>
      </w:r>
      <w:r>
        <w:rPr>
          <w:rFonts w:ascii="Arial" w:cs="Arial" w:eastAsia="Arial" w:hAnsi="Arial"/>
          <w:sz w:val="18"/>
          <w:szCs w:val="18"/>
          <w:color w:val="auto"/>
        </w:rPr>
        <w:t xml:space="preserve">. For each calendar year during the Term, the Executive shall be eligible for a performance-based cash bonus, measured against the criteria set forth on </w:t>
      </w:r>
      <w:r>
        <w:rPr>
          <w:rFonts w:ascii="Arial" w:cs="Arial" w:eastAsia="Arial" w:hAnsi="Arial"/>
          <w:sz w:val="18"/>
          <w:szCs w:val="18"/>
          <w:b w:val="1"/>
          <w:bCs w:val="1"/>
          <w:u w:val="single" w:color="auto"/>
          <w:color w:val="auto"/>
        </w:rPr>
        <w:t>Attachment 1</w:t>
      </w:r>
      <w:r>
        <w:rPr>
          <w:rFonts w:ascii="Arial" w:cs="Arial" w:eastAsia="Arial" w:hAnsi="Arial"/>
          <w:sz w:val="18"/>
          <w:szCs w:val="18"/>
          <w:color w:val="auto"/>
        </w:rPr>
        <w:t xml:space="preserve"> (or such other criteria as may be mutually agreed upon by the Executive and the Parent Board), with a target of fifty percent (50%) of Executive’s Base Salary (the “</w:t>
      </w:r>
      <w:r>
        <w:rPr>
          <w:rFonts w:ascii="Arial" w:cs="Arial" w:eastAsia="Arial" w:hAnsi="Arial"/>
          <w:sz w:val="18"/>
          <w:szCs w:val="18"/>
          <w:b w:val="1"/>
          <w:bCs w:val="1"/>
          <w:i w:val="1"/>
          <w:iCs w:val="1"/>
          <w:color w:val="auto"/>
        </w:rPr>
        <w:t>Annual Target Bonus</w:t>
      </w:r>
      <w:r>
        <w:rPr>
          <w:rFonts w:ascii="Arial" w:cs="Arial" w:eastAsia="Arial" w:hAnsi="Arial"/>
          <w:sz w:val="18"/>
          <w:szCs w:val="18"/>
          <w:color w:val="auto"/>
        </w:rPr>
        <w:t>”), and a maximum not exceeding seventy-five percent (75%) of Executive’s Base Salary. To the extent the performance criteria are satisfied, such bonus will be considered earned as of December 31 of the calendar year to which the bonus is attributable, and will be paid in a lump sum no later than March 15th of the calendar year that immediately follows the calendar year to which the bonus is attributable.</w:t>
      </w:r>
    </w:p>
    <w:p>
      <w:pPr>
        <w:spacing w:after="0" w:line="220" w:lineRule="exact"/>
        <w:rPr>
          <w:rFonts w:ascii="Arial" w:cs="Arial" w:eastAsia="Arial" w:hAnsi="Arial"/>
          <w:sz w:val="18"/>
          <w:szCs w:val="18"/>
          <w:color w:val="auto"/>
        </w:rPr>
      </w:pPr>
    </w:p>
    <w:p>
      <w:pPr>
        <w:jc w:val="both"/>
        <w:ind w:firstLine="818"/>
        <w:spacing w:after="0" w:line="272" w:lineRule="auto"/>
        <w:tabs>
          <w:tab w:leader="none" w:pos="1055" w:val="left"/>
        </w:tabs>
        <w:numPr>
          <w:ilvl w:val="1"/>
          <w:numId w:val="202"/>
        </w:numPr>
        <w:rPr>
          <w:rFonts w:ascii="Arial" w:cs="Arial" w:eastAsia="Arial" w:hAnsi="Arial"/>
          <w:sz w:val="17"/>
          <w:szCs w:val="17"/>
          <w:color w:val="auto"/>
        </w:rPr>
      </w:pPr>
      <w:r>
        <w:rPr>
          <w:rFonts w:ascii="Arial" w:cs="Arial" w:eastAsia="Arial" w:hAnsi="Arial"/>
          <w:sz w:val="17"/>
          <w:szCs w:val="17"/>
          <w:u w:val="single" w:color="auto"/>
          <w:color w:val="auto"/>
        </w:rPr>
        <w:t>Annual Equity Awards</w:t>
      </w:r>
      <w:r>
        <w:rPr>
          <w:rFonts w:ascii="Arial" w:cs="Arial" w:eastAsia="Arial" w:hAnsi="Arial"/>
          <w:sz w:val="17"/>
          <w:szCs w:val="17"/>
          <w:color w:val="auto"/>
        </w:rPr>
        <w:t xml:space="preserve">. Contingent upon the effectiveness of a Form S-1 Registration Statement with respect to the Parent’s common stock, the Parent shall grant to the Executive, on an annual basis, an annual incentive stock option award with the shares subject to such option having a grant date fair value approximately equal to thirty-five percent (35%) of the Base Salary, subject to the terms and conditions set forth in the award agreement(s) in substantially the form attached hereto as </w:t>
      </w:r>
      <w:r>
        <w:rPr>
          <w:rFonts w:ascii="Arial" w:cs="Arial" w:eastAsia="Arial" w:hAnsi="Arial"/>
          <w:sz w:val="17"/>
          <w:szCs w:val="17"/>
          <w:b w:val="1"/>
          <w:bCs w:val="1"/>
          <w:u w:val="single" w:color="auto"/>
          <w:color w:val="auto"/>
        </w:rPr>
        <w:t>Exhibit A</w:t>
      </w:r>
      <w:r>
        <w:rPr>
          <w:rFonts w:ascii="Arial" w:cs="Arial" w:eastAsia="Arial" w:hAnsi="Arial"/>
          <w:sz w:val="17"/>
          <w:szCs w:val="17"/>
          <w:color w:val="auto"/>
        </w:rPr>
        <w:t>. Such grant shall occur at the beginning of each fiscal year and shall contain a vesting schedule that is no less favorable than a vesting period of four (4) years, with twenty-five percent (25%) vesting upon the first anniversary of the date of grant and the remainder vesting pro rata on a monthly basis over the next three years; however, with respect to the stock option that is to be granted on March 20, 2019, service credit shall be applied from January 1, 2019 for purposes of vesting.</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2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8" w:name="page289"/>
    <w:bookmarkEnd w:id="288"/>
    <w:p>
      <w:pPr>
        <w:ind w:right="20" w:firstLine="818"/>
        <w:spacing w:after="0" w:line="308" w:lineRule="auto"/>
        <w:tabs>
          <w:tab w:leader="none" w:pos="1065" w:val="left"/>
        </w:tabs>
        <w:numPr>
          <w:ilvl w:val="0"/>
          <w:numId w:val="203"/>
        </w:numPr>
        <w:rPr>
          <w:rFonts w:ascii="Arial" w:cs="Arial" w:eastAsia="Arial" w:hAnsi="Arial"/>
          <w:sz w:val="17"/>
          <w:szCs w:val="17"/>
          <w:color w:val="auto"/>
        </w:rPr>
      </w:pPr>
      <w:r>
        <w:rPr>
          <w:rFonts w:ascii="Arial" w:cs="Arial" w:eastAsia="Arial" w:hAnsi="Arial"/>
          <w:sz w:val="17"/>
          <w:szCs w:val="17"/>
          <w:u w:val="single" w:color="auto"/>
          <w:color w:val="auto"/>
        </w:rPr>
        <w:t>Employee Benefits</w:t>
      </w:r>
      <w:r>
        <w:rPr>
          <w:rFonts w:ascii="Arial" w:cs="Arial" w:eastAsia="Arial" w:hAnsi="Arial"/>
          <w:sz w:val="17"/>
          <w:szCs w:val="17"/>
          <w:color w:val="auto"/>
        </w:rPr>
        <w:t>. In addition to the benefits set forth in this Agreement, the Executive shall be entitled to participate in all employee benefit arrangements that the Employer may offer to its executives of like status from time to time, and as may be amended from time to time.</w:t>
      </w:r>
    </w:p>
    <w:p>
      <w:pPr>
        <w:spacing w:after="0" w:line="173" w:lineRule="exact"/>
        <w:rPr>
          <w:rFonts w:ascii="Arial" w:cs="Arial" w:eastAsia="Arial" w:hAnsi="Arial"/>
          <w:sz w:val="17"/>
          <w:szCs w:val="17"/>
          <w:color w:val="auto"/>
        </w:rPr>
      </w:pPr>
    </w:p>
    <w:p>
      <w:pPr>
        <w:jc w:val="both"/>
        <w:ind w:firstLine="818"/>
        <w:spacing w:after="0" w:line="255" w:lineRule="auto"/>
        <w:tabs>
          <w:tab w:leader="none" w:pos="1055"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Vacation; Sick Leave</w:t>
      </w:r>
      <w:r>
        <w:rPr>
          <w:rFonts w:ascii="Arial" w:cs="Arial" w:eastAsia="Arial" w:hAnsi="Arial"/>
          <w:sz w:val="18"/>
          <w:szCs w:val="18"/>
          <w:color w:val="auto"/>
        </w:rPr>
        <w:t>. The Executive shall be entitled to annual paid vacation in accordance with the Employer’s policy applicable to senior executives, but in no event less than four (4) weeks per calendar year (as prorated for partial years), which vacation may be taken at such times as the Executive elects with due regard to the needs of the Employer. The Executive shall be entitled to annual paid sick leave in accordance with the Employer’s policy applicable to senior executives; provided, however, that the number of days of annual paid sick leave afforded to the Executive may not be reduced below the number in effect on the Effective Date without the Executive’s prior written consent. At the end of each calendar year, all such unused and accrued paid sick leave shall be paid in cash.</w:t>
      </w:r>
    </w:p>
    <w:p>
      <w:pPr>
        <w:spacing w:after="0" w:line="220" w:lineRule="exact"/>
        <w:rPr>
          <w:rFonts w:ascii="Arial" w:cs="Arial" w:eastAsia="Arial" w:hAnsi="Arial"/>
          <w:sz w:val="18"/>
          <w:szCs w:val="18"/>
          <w:color w:val="auto"/>
        </w:rPr>
      </w:pPr>
    </w:p>
    <w:p>
      <w:pPr>
        <w:ind w:firstLine="818"/>
        <w:spacing w:after="0" w:line="277" w:lineRule="auto"/>
        <w:tabs>
          <w:tab w:leader="none" w:pos="1035"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Paid Time Off</w:t>
      </w:r>
      <w:r>
        <w:rPr>
          <w:rFonts w:ascii="Arial" w:cs="Arial" w:eastAsia="Arial" w:hAnsi="Arial"/>
          <w:sz w:val="18"/>
          <w:szCs w:val="18"/>
          <w:color w:val="auto"/>
        </w:rPr>
        <w:t>. The Executive shall be entitled to at least five days of paid time off per calendar year (as prorated for partial years), or such greater number of days as may be specified in the Employer’s policy applicable to senior executives.</w:t>
      </w:r>
    </w:p>
    <w:p>
      <w:pPr>
        <w:spacing w:after="0" w:line="197" w:lineRule="exact"/>
        <w:rPr>
          <w:rFonts w:ascii="Arial" w:cs="Arial" w:eastAsia="Arial" w:hAnsi="Arial"/>
          <w:sz w:val="18"/>
          <w:szCs w:val="18"/>
          <w:color w:val="auto"/>
        </w:rPr>
      </w:pPr>
    </w:p>
    <w:p>
      <w:pPr>
        <w:jc w:val="both"/>
        <w:ind w:firstLine="818"/>
        <w:spacing w:after="0" w:line="259" w:lineRule="auto"/>
        <w:tabs>
          <w:tab w:leader="none" w:pos="1079"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Perquisites</w:t>
      </w:r>
      <w:r>
        <w:rPr>
          <w:rFonts w:ascii="Arial" w:cs="Arial" w:eastAsia="Arial" w:hAnsi="Arial"/>
          <w:sz w:val="18"/>
          <w:szCs w:val="18"/>
          <w:color w:val="auto"/>
        </w:rPr>
        <w:t>. The Employer shall provide to the Executive all employee and executive perquisites which other senior executives of the are generally entitled to receive, in accordance with Employer policy. Additionally, the Employer shall (i) pay or reimburse the Executive for all of the Executive’s country club membership dues and expenses; and (ii) provide the Executive with an automobile, which includes the right to use the automobile for private purposes.</w:t>
      </w:r>
    </w:p>
    <w:p>
      <w:pPr>
        <w:spacing w:after="0" w:line="213" w:lineRule="exact"/>
        <w:rPr>
          <w:rFonts w:ascii="Arial" w:cs="Arial" w:eastAsia="Arial" w:hAnsi="Arial"/>
          <w:sz w:val="18"/>
          <w:szCs w:val="18"/>
          <w:color w:val="auto"/>
        </w:rPr>
      </w:pPr>
    </w:p>
    <w:p>
      <w:pPr>
        <w:ind w:firstLine="818"/>
        <w:spacing w:after="0" w:line="308" w:lineRule="auto"/>
        <w:tabs>
          <w:tab w:leader="none" w:pos="1065" w:val="left"/>
        </w:tabs>
        <w:numPr>
          <w:ilvl w:val="0"/>
          <w:numId w:val="203"/>
        </w:numPr>
        <w:rPr>
          <w:rFonts w:ascii="Arial" w:cs="Arial" w:eastAsia="Arial" w:hAnsi="Arial"/>
          <w:sz w:val="17"/>
          <w:szCs w:val="17"/>
          <w:color w:val="auto"/>
        </w:rPr>
      </w:pPr>
      <w:r>
        <w:rPr>
          <w:rFonts w:ascii="Arial" w:cs="Arial" w:eastAsia="Arial" w:hAnsi="Arial"/>
          <w:sz w:val="17"/>
          <w:szCs w:val="17"/>
          <w:u w:val="single" w:color="auto"/>
          <w:color w:val="auto"/>
        </w:rPr>
        <w:t>Expenses</w:t>
      </w:r>
      <w:r>
        <w:rPr>
          <w:rFonts w:ascii="Arial" w:cs="Arial" w:eastAsia="Arial" w:hAnsi="Arial"/>
          <w:sz w:val="17"/>
          <w:szCs w:val="17"/>
          <w:color w:val="auto"/>
        </w:rPr>
        <w:t>. The Executive shall be entitled to reimbursement of business and entertainment expenses that are incurred in the ordinary course of business, in accordance with the applicable expense reimbursement policies and procedures of the Employer as in effect from time to time.</w:t>
      </w:r>
    </w:p>
    <w:p>
      <w:pPr>
        <w:spacing w:after="0" w:line="173" w:lineRule="exact"/>
        <w:rPr>
          <w:rFonts w:ascii="Arial" w:cs="Arial" w:eastAsia="Arial" w:hAnsi="Arial"/>
          <w:sz w:val="17"/>
          <w:szCs w:val="17"/>
          <w:color w:val="auto"/>
        </w:rPr>
      </w:pPr>
    </w:p>
    <w:p>
      <w:pPr>
        <w:ind w:right="20" w:firstLine="818"/>
        <w:spacing w:after="0" w:line="308" w:lineRule="auto"/>
        <w:tabs>
          <w:tab w:leader="none" w:pos="1025" w:val="left"/>
        </w:tabs>
        <w:numPr>
          <w:ilvl w:val="0"/>
          <w:numId w:val="203"/>
        </w:numPr>
        <w:rPr>
          <w:rFonts w:ascii="Arial" w:cs="Arial" w:eastAsia="Arial" w:hAnsi="Arial"/>
          <w:sz w:val="17"/>
          <w:szCs w:val="17"/>
          <w:color w:val="auto"/>
        </w:rPr>
      </w:pPr>
      <w:r>
        <w:rPr>
          <w:rFonts w:ascii="Arial" w:cs="Arial" w:eastAsia="Arial" w:hAnsi="Arial"/>
          <w:sz w:val="17"/>
          <w:szCs w:val="17"/>
          <w:u w:val="single" w:color="auto"/>
          <w:color w:val="auto"/>
        </w:rPr>
        <w:t>Supplemental Executive Retirement Plan</w:t>
      </w:r>
      <w:r>
        <w:rPr>
          <w:rFonts w:ascii="Arial" w:cs="Arial" w:eastAsia="Arial" w:hAnsi="Arial"/>
          <w:sz w:val="17"/>
          <w:szCs w:val="17"/>
          <w:color w:val="auto"/>
        </w:rPr>
        <w:t>. The Nonqualified Deferred Compensation Plan (including all agreements and documents ancillary thereto) entered into between the Company and the Executive as of January 1, 2008, shall continue in effect in accordance with its terms.</w:t>
      </w:r>
    </w:p>
    <w:p>
      <w:pPr>
        <w:spacing w:after="0" w:line="173" w:lineRule="exact"/>
        <w:rPr>
          <w:rFonts w:ascii="Arial" w:cs="Arial" w:eastAsia="Arial" w:hAnsi="Arial"/>
          <w:sz w:val="17"/>
          <w:szCs w:val="17"/>
          <w:color w:val="auto"/>
        </w:rPr>
      </w:pPr>
    </w:p>
    <w:p>
      <w:pPr>
        <w:ind w:firstLine="818"/>
        <w:spacing w:after="0" w:line="277" w:lineRule="auto"/>
        <w:tabs>
          <w:tab w:leader="none" w:pos="1025"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Bank Owned Life Insurance</w:t>
      </w:r>
      <w:r>
        <w:rPr>
          <w:rFonts w:ascii="Arial" w:cs="Arial" w:eastAsia="Arial" w:hAnsi="Arial"/>
          <w:sz w:val="18"/>
          <w:szCs w:val="18"/>
          <w:color w:val="auto"/>
        </w:rPr>
        <w:t>. All bank owned life insurance policies currently provided by the Company for the benefit of the Executive or his estate shall continue in effect in accordance with their terms.</w:t>
      </w:r>
    </w:p>
    <w:p>
      <w:pPr>
        <w:spacing w:after="0" w:line="197" w:lineRule="exact"/>
        <w:rPr>
          <w:rFonts w:ascii="Arial" w:cs="Arial" w:eastAsia="Arial" w:hAnsi="Arial"/>
          <w:sz w:val="18"/>
          <w:szCs w:val="18"/>
          <w:color w:val="auto"/>
        </w:rPr>
      </w:pPr>
    </w:p>
    <w:p>
      <w:pPr>
        <w:jc w:val="both"/>
        <w:ind w:firstLine="818"/>
        <w:spacing w:after="0" w:line="290" w:lineRule="auto"/>
        <w:tabs>
          <w:tab w:leader="none" w:pos="1065" w:val="left"/>
        </w:tabs>
        <w:numPr>
          <w:ilvl w:val="0"/>
          <w:numId w:val="203"/>
        </w:numPr>
        <w:rPr>
          <w:rFonts w:ascii="Arial" w:cs="Arial" w:eastAsia="Arial" w:hAnsi="Arial"/>
          <w:sz w:val="16"/>
          <w:szCs w:val="16"/>
          <w:color w:val="auto"/>
        </w:rPr>
      </w:pPr>
      <w:r>
        <w:rPr>
          <w:rFonts w:ascii="Arial" w:cs="Arial" w:eastAsia="Arial" w:hAnsi="Arial"/>
          <w:sz w:val="16"/>
          <w:szCs w:val="16"/>
          <w:u w:val="single" w:color="auto"/>
          <w:color w:val="auto"/>
        </w:rPr>
        <w:t>Restricted Stock Units</w:t>
      </w:r>
      <w:r>
        <w:rPr>
          <w:rFonts w:ascii="Arial" w:cs="Arial" w:eastAsia="Arial" w:hAnsi="Arial"/>
          <w:sz w:val="16"/>
          <w:szCs w:val="16"/>
          <w:color w:val="auto"/>
        </w:rPr>
        <w:t>. On March 20, 2019, the Parent shall grant stock-settled restricted stock units to the Executive having a grant date fair market value of $1,000,000 (the “</w:t>
      </w:r>
      <w:r>
        <w:rPr>
          <w:rFonts w:ascii="Arial" w:cs="Arial" w:eastAsia="Arial" w:hAnsi="Arial"/>
          <w:sz w:val="16"/>
          <w:szCs w:val="16"/>
          <w:b w:val="1"/>
          <w:bCs w:val="1"/>
          <w:i w:val="1"/>
          <w:iCs w:val="1"/>
          <w:color w:val="auto"/>
        </w:rPr>
        <w:t>RSUs</w:t>
      </w:r>
      <w:r>
        <w:rPr>
          <w:rFonts w:ascii="Arial" w:cs="Arial" w:eastAsia="Arial" w:hAnsi="Arial"/>
          <w:sz w:val="16"/>
          <w:szCs w:val="16"/>
          <w:color w:val="auto"/>
        </w:rPr>
        <w:t xml:space="preserve">”). The RSUs shall be granted pursuant to an award agreement in substantially the form attached hereto as </w:t>
      </w:r>
      <w:r>
        <w:rPr>
          <w:rFonts w:ascii="Arial" w:cs="Arial" w:eastAsia="Arial" w:hAnsi="Arial"/>
          <w:sz w:val="16"/>
          <w:szCs w:val="16"/>
          <w:b w:val="1"/>
          <w:bCs w:val="1"/>
          <w:u w:val="single" w:color="auto"/>
          <w:color w:val="auto"/>
        </w:rPr>
        <w:t>Exhibit B</w:t>
      </w:r>
      <w:r>
        <w:rPr>
          <w:rFonts w:ascii="Arial" w:cs="Arial" w:eastAsia="Arial" w:hAnsi="Arial"/>
          <w:sz w:val="16"/>
          <w:szCs w:val="16"/>
          <w:color w:val="auto"/>
        </w:rPr>
        <w:t>, and contain a vesting schedule such that twenty-five percent (25%) of the RSUs shall become vested and immediately convert to common stock of the Parent upon each of the 1st, 2nd, 3rd and 4th anniversaries of the date of grant. And to the extent the fair market value of the RSUs on the respective 1st, 2nd, 3rd and 4th anniversaries of the date of grant have increased since March 20, 2019, then with respect to each vesting tranche the Employer shall pay the Executive a full tax-gross on such positive spread, if any, payable at the time such RSUs vest. Each such tax gross-up shall be paid in the form of cash, common stock, or a combination of both, at the election of the Executive. The grant subject to this Section shall be automatically forfeited for no consideration to the extent a Form S-1 Registration Statement covering the Parent’s common stock is not effectuated within one year from the Effective Date.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3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9" w:name="page290"/>
    <w:bookmarkEnd w:id="289"/>
    <w:p>
      <w:pPr>
        <w:jc w:val="both"/>
        <w:ind w:firstLine="810"/>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w:t>
      </w:r>
      <w:r>
        <w:rPr>
          <w:rFonts w:ascii="Arial" w:cs="Arial" w:eastAsia="Arial" w:hAnsi="Arial"/>
          <w:sz w:val="17"/>
          <w:szCs w:val="17"/>
          <w:color w:val="auto"/>
        </w:rPr>
        <w:t xml:space="preserve">) </w:t>
      </w:r>
      <w:r>
        <w:rPr>
          <w:rFonts w:ascii="Arial" w:cs="Arial" w:eastAsia="Arial" w:hAnsi="Arial"/>
          <w:sz w:val="17"/>
          <w:szCs w:val="17"/>
          <w:u w:val="single" w:color="auto"/>
          <w:color w:val="auto"/>
        </w:rPr>
        <w:t>Employee Stock Ownership Plan</w:t>
      </w:r>
      <w:r>
        <w:rPr>
          <w:rFonts w:ascii="Arial" w:cs="Arial" w:eastAsia="Arial" w:hAnsi="Arial"/>
          <w:sz w:val="17"/>
          <w:szCs w:val="17"/>
          <w:color w:val="auto"/>
        </w:rPr>
        <w:t>. To the extent that the Executive’s benefits under any employee stock ownership plan of the Employer are capped for any given calendar year by applicable law, rule, or regulation at an amount less than what the Executive would otherwise be entitled to receive under the terms of such plan (the “</w:t>
      </w:r>
      <w:r>
        <w:rPr>
          <w:rFonts w:ascii="Arial" w:cs="Arial" w:eastAsia="Arial" w:hAnsi="Arial"/>
          <w:sz w:val="17"/>
          <w:szCs w:val="17"/>
          <w:b w:val="1"/>
          <w:bCs w:val="1"/>
          <w:i w:val="1"/>
          <w:iCs w:val="1"/>
          <w:color w:val="auto"/>
        </w:rPr>
        <w:t>Plan Amount</w:t>
      </w:r>
      <w:r>
        <w:rPr>
          <w:rFonts w:ascii="Arial" w:cs="Arial" w:eastAsia="Arial" w:hAnsi="Arial"/>
          <w:sz w:val="17"/>
          <w:szCs w:val="17"/>
          <w:color w:val="auto"/>
        </w:rPr>
        <w:t>”), the Employer shall pay the Executive in cash the value of the difference obtained by subtracting the value of the contribution actually made by the Employer for such calendar year from the Plan Amount. Such cash value shall be paid in the form of a lump sum no later than March 15th of the calendar year that immediately follows the end of such calendar year.</w:t>
      </w:r>
    </w:p>
    <w:p>
      <w:pPr>
        <w:spacing w:after="0" w:line="200" w:lineRule="exact"/>
        <w:rPr>
          <w:sz w:val="20"/>
          <w:szCs w:val="20"/>
          <w:color w:val="auto"/>
        </w:rPr>
      </w:pPr>
    </w:p>
    <w:p>
      <w:pPr>
        <w:ind w:right="20" w:firstLine="818"/>
        <w:spacing w:after="0" w:line="277" w:lineRule="auto"/>
        <w:tabs>
          <w:tab w:leader="none" w:pos="1115"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Attorneys’ Fees</w:t>
      </w:r>
      <w:r>
        <w:rPr>
          <w:rFonts w:ascii="Arial" w:cs="Arial" w:eastAsia="Arial" w:hAnsi="Arial"/>
          <w:sz w:val="18"/>
          <w:szCs w:val="18"/>
          <w:color w:val="auto"/>
        </w:rPr>
        <w:t>. The Employer shall pay all of the reasonable professional fees and expenses incurred by the Executive in the negotiation and preparation of this Agreement and related arrangements.</w:t>
      </w:r>
    </w:p>
    <w:p>
      <w:pPr>
        <w:spacing w:after="0" w:line="197" w:lineRule="exact"/>
        <w:rPr>
          <w:rFonts w:ascii="Arial" w:cs="Arial" w:eastAsia="Arial" w:hAnsi="Arial"/>
          <w:sz w:val="18"/>
          <w:szCs w:val="18"/>
          <w:color w:val="auto"/>
        </w:rPr>
      </w:pPr>
    </w:p>
    <w:p>
      <w:pPr>
        <w:jc w:val="both"/>
        <w:ind w:firstLine="818"/>
        <w:spacing w:after="0" w:line="267" w:lineRule="auto"/>
        <w:tabs>
          <w:tab w:leader="none" w:pos="1065" w:val="left"/>
        </w:tabs>
        <w:numPr>
          <w:ilvl w:val="0"/>
          <w:numId w:val="204"/>
        </w:numPr>
        <w:rPr>
          <w:rFonts w:ascii="Arial" w:cs="Arial" w:eastAsia="Arial" w:hAnsi="Arial"/>
          <w:sz w:val="17"/>
          <w:szCs w:val="17"/>
          <w:color w:val="auto"/>
        </w:rPr>
      </w:pPr>
      <w:r>
        <w:rPr>
          <w:rFonts w:ascii="Arial" w:cs="Arial" w:eastAsia="Arial" w:hAnsi="Arial"/>
          <w:sz w:val="17"/>
          <w:szCs w:val="17"/>
          <w:u w:val="single" w:color="auto"/>
          <w:color w:val="auto"/>
        </w:rPr>
        <w:t>Indemnification</w:t>
      </w:r>
      <w:r>
        <w:rPr>
          <w:rFonts w:ascii="Arial" w:cs="Arial" w:eastAsia="Arial" w:hAnsi="Arial"/>
          <w:sz w:val="17"/>
          <w:szCs w:val="17"/>
          <w:color w:val="auto"/>
        </w:rPr>
        <w:t>. To the fullest extent permitted by the indemnification provisions of the Articles of Incorporation and Bylaws of the Employer in effect from time to time and the indemnification provisions of the corporate statute of the jurisdiction of the Employer’s incorporation in effect from time to time (collectively the “Indemnification Provisions”), and in each case subject to the conditions thereof, the Employer shall (i) indemnify the Executive, as a director and officer of the Employer or a trustee or fiduciary of an employee benefit plan of the Employer against all liabilities and reasonable expenses that the Executive may incur in any threatened, pending, or completed action, suit or proceeding, whether civil, criminal or administrative, or investigative and whether formal or informal, because the Executive is or was a director or officer of the Employer or a trustee or fiduciary of such employee benefit plan, and against which the Executive may be indemnified by the Employer, and (ii) pay for or reimburse the reasonable expenses incurred by the Executive in the defense of any proceeding to which the Executive is a party or in which the Executive is called as a witness or otherwise becomes involved because the Executive is or was a director or officer of the Employer or a trustee or fiduciary of such employee benefit plan. The rights of the Executive under the Indemnification Provisions shall survive the termination of the employment of the Executive by the Employer. To the extent that the Employer maintains a directors’ and officers’ liability insurance policy (or policies), or an errors and omissions liability insurance policy (or policies), in place covering individuals who are current or former officers or directors of the Employer, the Executive shall be entitled to coverage under such policies on the same terms and conditions (including, without limitation, with respect to scope, exclusions, amounts and deductibles) as are available to other senior executives of the Employer, while the Executive is employed with the Employer and thereafter until the sixth anniversary of the Executive’s termination date. Nothing in this Agreement shall require the Employer to purchase or maintain any such insurance policy. The Parent shall enter into an Indemnification Agreement with the Executive in such form as is reasonably acceptable to the Executive. This provision is in addition to any other rights of indemnification the Executive may have.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4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0" w:name="page291"/>
    <w:bookmarkEnd w:id="290"/>
    <w:p>
      <w:pPr>
        <w:jc w:val="both"/>
        <w:ind w:firstLine="818"/>
        <w:spacing w:after="0" w:line="259" w:lineRule="auto"/>
        <w:tabs>
          <w:tab w:leader="none" w:pos="1065" w:val="left"/>
        </w:tabs>
        <w:numPr>
          <w:ilvl w:val="2"/>
          <w:numId w:val="205"/>
        </w:numPr>
        <w:rPr>
          <w:rFonts w:ascii="Arial" w:cs="Arial" w:eastAsia="Arial" w:hAnsi="Arial"/>
          <w:sz w:val="18"/>
          <w:szCs w:val="18"/>
          <w:color w:val="auto"/>
        </w:rPr>
      </w:pPr>
      <w:r>
        <w:rPr>
          <w:rFonts w:ascii="Arial" w:cs="Arial" w:eastAsia="Arial" w:hAnsi="Arial"/>
          <w:sz w:val="18"/>
          <w:szCs w:val="18"/>
          <w:u w:val="single" w:color="auto"/>
          <w:color w:val="auto"/>
        </w:rPr>
        <w:t>Prohibition on Payments</w:t>
      </w:r>
      <w:r>
        <w:rPr>
          <w:rFonts w:ascii="Arial" w:cs="Arial" w:eastAsia="Arial" w:hAnsi="Arial"/>
          <w:sz w:val="18"/>
          <w:szCs w:val="18"/>
          <w:color w:val="auto"/>
        </w:rPr>
        <w:t>. Notwithstanding anything in this Agreement to the contrary, the Employer will not be required to pay any benefit under this Agreement if, upon the advice of counsel, the Employer determines that the payment of such benefit would be prohibited by 12 C.F.R. Part 359 or any successor regulations regarding employee compensation promulgated by any regulatory agency having jurisdiction over the Employer or any of its affiliates.</w:t>
      </w:r>
    </w:p>
    <w:p>
      <w:pPr>
        <w:spacing w:after="0" w:line="213" w:lineRule="exact"/>
        <w:rPr>
          <w:rFonts w:ascii="Arial" w:cs="Arial" w:eastAsia="Arial" w:hAnsi="Arial"/>
          <w:sz w:val="18"/>
          <w:szCs w:val="18"/>
          <w:color w:val="auto"/>
        </w:rPr>
      </w:pPr>
    </w:p>
    <w:p>
      <w:pPr>
        <w:jc w:val="both"/>
        <w:ind w:firstLine="656"/>
        <w:spacing w:after="0" w:line="286" w:lineRule="auto"/>
        <w:tabs>
          <w:tab w:leader="none" w:pos="828" w:val="left"/>
        </w:tabs>
        <w:numPr>
          <w:ilvl w:val="1"/>
          <w:numId w:val="206"/>
        </w:numPr>
        <w:rPr>
          <w:rFonts w:ascii="Arial" w:cs="Arial" w:eastAsia="Arial" w:hAnsi="Arial"/>
          <w:sz w:val="17"/>
          <w:szCs w:val="17"/>
          <w:color w:val="auto"/>
        </w:rPr>
      </w:pPr>
      <w:r>
        <w:rPr>
          <w:rFonts w:ascii="Arial" w:cs="Arial" w:eastAsia="Arial" w:hAnsi="Arial"/>
          <w:sz w:val="17"/>
          <w:szCs w:val="17"/>
          <w:u w:val="single" w:color="auto"/>
          <w:color w:val="auto"/>
        </w:rPr>
        <w:t>Rights Upon a Termination of the Executive’s Employment</w:t>
      </w:r>
      <w:r>
        <w:rPr>
          <w:rFonts w:ascii="Arial" w:cs="Arial" w:eastAsia="Arial" w:hAnsi="Arial"/>
          <w:sz w:val="17"/>
          <w:szCs w:val="17"/>
          <w:color w:val="auto"/>
        </w:rPr>
        <w:t>. Any termination payments made and benefits provided under this Agreement to the Executive shall be in addition to any termination or severance payments or benefits for which the Executive may be eligible under any other agreement between the Employer and the Executive and any of the plans, policies, or programs of the Employer or its affiliates.</w:t>
      </w:r>
    </w:p>
    <w:p>
      <w:pPr>
        <w:spacing w:after="0" w:line="192" w:lineRule="exact"/>
        <w:rPr>
          <w:rFonts w:ascii="Arial" w:cs="Arial" w:eastAsia="Arial" w:hAnsi="Arial"/>
          <w:sz w:val="17"/>
          <w:szCs w:val="17"/>
          <w:color w:val="auto"/>
        </w:rPr>
      </w:pPr>
    </w:p>
    <w:p>
      <w:pPr>
        <w:jc w:val="both"/>
        <w:ind w:firstLine="818"/>
        <w:spacing w:after="0" w:line="273" w:lineRule="auto"/>
        <w:tabs>
          <w:tab w:leader="none" w:pos="1082" w:val="left"/>
        </w:tabs>
        <w:numPr>
          <w:ilvl w:val="2"/>
          <w:numId w:val="206"/>
        </w:numPr>
        <w:rPr>
          <w:rFonts w:ascii="Arial" w:cs="Arial" w:eastAsia="Arial" w:hAnsi="Arial"/>
          <w:sz w:val="17"/>
          <w:szCs w:val="17"/>
          <w:color w:val="auto"/>
        </w:rPr>
      </w:pPr>
      <w:r>
        <w:rPr>
          <w:rFonts w:ascii="Arial" w:cs="Arial" w:eastAsia="Arial" w:hAnsi="Arial"/>
          <w:sz w:val="17"/>
          <w:szCs w:val="17"/>
          <w:u w:val="single" w:color="auto"/>
          <w:color w:val="auto"/>
        </w:rPr>
        <w:t>Termination of Employment by the Employer for Cause or by the Executive Without Good Reason</w:t>
      </w:r>
      <w:r>
        <w:rPr>
          <w:rFonts w:ascii="Arial" w:cs="Arial" w:eastAsia="Arial" w:hAnsi="Arial"/>
          <w:sz w:val="17"/>
          <w:szCs w:val="17"/>
          <w:color w:val="auto"/>
        </w:rPr>
        <w:t>. If the Executive’s employment is terminated by the Employer for Cause, or the Executive voluntarily terminates the Executive’s employment without Good Reason, then the Executive shall receive the following from the Employer: (i) any unpaid Base Salary accrued through the termination date, (ii) a lump sum payment for any accrued but unused vacation pay, sick leave, and paid time off, (iii) rights to elect continuation coverage under the Consolidated Omnibus Budget Reconciliation Act of 1985 (“COBRA”), and (iv) a lump sum payment for any previously unreimbursed business expenses incurred by the Executive on behalf of the Employer during the term of the Executive’s employment (collectively, such (i) through (iv) being the “</w:t>
      </w:r>
      <w:r>
        <w:rPr>
          <w:rFonts w:ascii="Arial" w:cs="Arial" w:eastAsia="Arial" w:hAnsi="Arial"/>
          <w:sz w:val="17"/>
          <w:szCs w:val="17"/>
          <w:b w:val="1"/>
          <w:bCs w:val="1"/>
          <w:i w:val="1"/>
          <w:iCs w:val="1"/>
          <w:color w:val="auto"/>
        </w:rPr>
        <w:t>Accrued Rights</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left="1360" w:hanging="218"/>
        <w:spacing w:after="0"/>
        <w:tabs>
          <w:tab w:leader="none" w:pos="1360" w:val="left"/>
        </w:tabs>
        <w:numPr>
          <w:ilvl w:val="3"/>
          <w:numId w:val="206"/>
        </w:numPr>
        <w:rPr>
          <w:rFonts w:ascii="Arial" w:cs="Arial" w:eastAsia="Arial" w:hAnsi="Arial"/>
          <w:sz w:val="16"/>
          <w:szCs w:val="16"/>
          <w:color w:val="auto"/>
        </w:rPr>
      </w:pPr>
      <w:r>
        <w:rPr>
          <w:rFonts w:ascii="Arial" w:cs="Arial" w:eastAsia="Arial" w:hAnsi="Arial"/>
          <w:sz w:val="16"/>
          <w:szCs w:val="16"/>
          <w:color w:val="auto"/>
        </w:rPr>
        <w:t>For purposes of this Agreement, the term “</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shall mean a termination by the Employer of the Executive’s employment because of:</w:t>
      </w:r>
    </w:p>
    <w:p>
      <w:pPr>
        <w:spacing w:after="0" w:line="46" w:lineRule="exact"/>
        <w:rPr>
          <w:rFonts w:ascii="Arial" w:cs="Arial" w:eastAsia="Arial" w:hAnsi="Arial"/>
          <w:sz w:val="16"/>
          <w:szCs w:val="16"/>
          <w:color w:val="auto"/>
        </w:rPr>
      </w:pPr>
    </w:p>
    <w:p>
      <w:pPr>
        <w:jc w:val="both"/>
        <w:ind w:firstLine="8"/>
        <w:spacing w:after="0" w:line="284" w:lineRule="auto"/>
        <w:tabs>
          <w:tab w:leader="none" w:pos="295" w:val="left"/>
        </w:tabs>
        <w:numPr>
          <w:ilvl w:val="0"/>
          <w:numId w:val="207"/>
        </w:numPr>
        <w:rPr>
          <w:rFonts w:ascii="Arial" w:cs="Arial" w:eastAsia="Arial" w:hAnsi="Arial"/>
          <w:sz w:val="16"/>
          <w:szCs w:val="16"/>
          <w:color w:val="auto"/>
        </w:rPr>
      </w:pPr>
      <w:r>
        <w:rPr>
          <w:rFonts w:ascii="Arial" w:cs="Arial" w:eastAsia="Arial" w:hAnsi="Arial"/>
          <w:sz w:val="16"/>
          <w:szCs w:val="16"/>
          <w:color w:val="auto"/>
        </w:rPr>
        <w:t>any act or omission that constitutes a material breach by the Executive of any of the Executive’s obligations under this Agreement; (B) the Executive’s conviction of, or plea of nolo contendere to, (1) any felony or (2) another crime involving dishonesty or moral turpitude; (C) the Executive’s engaging in any willful misconduct, willful act of dishonesty, violence or threat of violence (including any violation of federal securities laws) that is materially injurious to the Employer or any of its subsidiaries or affiliates; (D) the Executive’s willful and material breach of a written policy of the Employer or the rules of any governmental or regulatory body applicable to the Employer that is materially injurious to the Employer; and (E) the Executive’s willful and repeated refusal to follow the lawful and ethical directions of the Board or the Parent Board, which directions are consistent with normal business practice and not inconsistent with this Agreement and the Executive’s responsibilities hereunder. Notwithstanding anything in this Section 4(a)(i), no event or condition described in Sections 4(a)(i)(A), (C), (D), or (E) shall constitute Cause unless (x) within ninety (90) days from the Parent Board first acquiring actual knowledge of the existence of the Cause condition, the Parent Board provides the Executive written notice of its intention to terminate the Executive’s employment for Cause and the grounds for such termination; (y) such grounds for termination (if susceptible to correction) are not corrected by the Executive within thirty (30) days of the Executive’s receipt of such notice (or, in the event that such grounds cannot be corrected within such thirty-day (30) period, the Executive has not taken all reasonable steps within such thirty-day (30) period to correct such grounds as promptly as practicable thereafter); and (z) the Parent Board, by a two-thirds (2/3) vote of its members (excluding the Executive if he is a member of the Parent Board) terminates the Executive’s employment with the Employer immediately following expiration of such sixty-day (60) period. For purposes of this Section 4(a)(i), any attempt by the Executive to correct a stated Cause shall not be deemed an admission by the Executive that the Parent Board’s assertion of Cause is valid.</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5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1" w:name="page292"/>
    <w:bookmarkEnd w:id="291"/>
    <w:p>
      <w:pPr>
        <w:ind w:firstLine="1142"/>
        <w:spacing w:after="0" w:line="277" w:lineRule="auto"/>
        <w:tabs>
          <w:tab w:leader="none" w:pos="1399" w:val="left"/>
        </w:tabs>
        <w:numPr>
          <w:ilvl w:val="0"/>
          <w:numId w:val="208"/>
        </w:numPr>
        <w:rPr>
          <w:rFonts w:ascii="Arial" w:cs="Arial" w:eastAsia="Arial" w:hAnsi="Arial"/>
          <w:sz w:val="18"/>
          <w:szCs w:val="18"/>
          <w:color w:val="auto"/>
        </w:rPr>
      </w:pPr>
      <w:r>
        <w:rPr>
          <w:rFonts w:ascii="Arial" w:cs="Arial" w:eastAsia="Arial" w:hAnsi="Arial"/>
          <w:sz w:val="18"/>
          <w:szCs w:val="18"/>
          <w:color w:val="auto"/>
        </w:rPr>
        <w:t>For purposes of this Agreement, the term “</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shall mean the occurrence of any of the following events, as determined in the reasonable discretion of the Parent Board:</w:t>
      </w:r>
    </w:p>
    <w:p>
      <w:pPr>
        <w:spacing w:after="0" w:line="170" w:lineRule="exact"/>
        <w:rPr>
          <w:rFonts w:ascii="Arial" w:cs="Arial" w:eastAsia="Arial" w:hAnsi="Arial"/>
          <w:sz w:val="18"/>
          <w:szCs w:val="18"/>
          <w:color w:val="auto"/>
        </w:rPr>
      </w:pPr>
    </w:p>
    <w:p>
      <w:pPr>
        <w:jc w:val="both"/>
        <w:ind w:firstLine="1467"/>
        <w:spacing w:after="0" w:line="276" w:lineRule="auto"/>
        <w:tabs>
          <w:tab w:leader="none" w:pos="1753" w:val="left"/>
        </w:tabs>
        <w:numPr>
          <w:ilvl w:val="1"/>
          <w:numId w:val="208"/>
        </w:numPr>
        <w:rPr>
          <w:rFonts w:ascii="Arial" w:cs="Arial" w:eastAsia="Arial" w:hAnsi="Arial"/>
          <w:sz w:val="17"/>
          <w:szCs w:val="17"/>
          <w:color w:val="auto"/>
        </w:rPr>
      </w:pPr>
      <w:r>
        <w:rPr>
          <w:rFonts w:ascii="Arial" w:cs="Arial" w:eastAsia="Arial" w:hAnsi="Arial"/>
          <w:sz w:val="17"/>
          <w:szCs w:val="17"/>
          <w:color w:val="auto"/>
        </w:rPr>
        <w:t>Any “person” (as such term is used in Sections 13(d) and 14(d) of the Securities Exchange Act of 1934, as amended (the “</w:t>
      </w:r>
      <w:r>
        <w:rPr>
          <w:rFonts w:ascii="Arial" w:cs="Arial" w:eastAsia="Arial" w:hAnsi="Arial"/>
          <w:sz w:val="17"/>
          <w:szCs w:val="17"/>
          <w:b w:val="1"/>
          <w:bCs w:val="1"/>
          <w:i w:val="1"/>
          <w:iCs w:val="1"/>
          <w:color w:val="auto"/>
        </w:rPr>
        <w:t>Exchange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Act</w:t>
      </w:r>
      <w:r>
        <w:rPr>
          <w:rFonts w:ascii="Arial" w:cs="Arial" w:eastAsia="Arial" w:hAnsi="Arial"/>
          <w:sz w:val="17"/>
          <w:szCs w:val="17"/>
          <w:color w:val="auto"/>
        </w:rPr>
        <w:t>”), other than (x) a trustee or other fiduciary holding securities under an employee benefit plan of the Employer or any Affiliate, or (y) any corporation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owned, directly or indirectly, by the shareholders of the Parent in substantially the same proportions as their ownership of the Parent’s common stock, becomes the “beneficial owner” (as defined in Rule 13d-3 of the Exchange Act), directly or indirectly, of securities of the Parent or the Company representing 50% or more of the total voting power represented by the Parent’s or the Company’s then outstanding voting securities;</w:t>
      </w:r>
    </w:p>
    <w:p>
      <w:pPr>
        <w:spacing w:after="0" w:line="199" w:lineRule="exact"/>
        <w:rPr>
          <w:rFonts w:ascii="Arial" w:cs="Arial" w:eastAsia="Arial" w:hAnsi="Arial"/>
          <w:sz w:val="17"/>
          <w:szCs w:val="17"/>
          <w:color w:val="auto"/>
        </w:rPr>
      </w:pPr>
    </w:p>
    <w:p>
      <w:pPr>
        <w:jc w:val="both"/>
        <w:ind w:firstLine="1467"/>
        <w:spacing w:after="0" w:line="286" w:lineRule="auto"/>
        <w:tabs>
          <w:tab w:leader="none" w:pos="1743" w:val="left"/>
        </w:tabs>
        <w:numPr>
          <w:ilvl w:val="1"/>
          <w:numId w:val="208"/>
        </w:numPr>
        <w:rPr>
          <w:rFonts w:ascii="Arial" w:cs="Arial" w:eastAsia="Arial" w:hAnsi="Arial"/>
          <w:sz w:val="17"/>
          <w:szCs w:val="17"/>
          <w:color w:val="auto"/>
        </w:rPr>
      </w:pPr>
      <w:r>
        <w:rPr>
          <w:rFonts w:ascii="Arial" w:cs="Arial" w:eastAsia="Arial" w:hAnsi="Arial"/>
          <w:sz w:val="17"/>
          <w:szCs w:val="17"/>
          <w:color w:val="auto"/>
        </w:rPr>
        <w:t>The sale or disposition by the Parent or the Company of all or substantially all of the Parent’s or the Company’s assets other than the sale or disposition of all or substantially all of the assets of the Parent or the Company to a person or persons who beneficially own, directly or indirectly, at least fifty percent (50%) or more of the combined voting power of the outstanding voting securities of the Parent at the time of the sale;</w:t>
      </w:r>
    </w:p>
    <w:p>
      <w:pPr>
        <w:spacing w:after="0" w:line="192" w:lineRule="exact"/>
        <w:rPr>
          <w:rFonts w:ascii="Arial" w:cs="Arial" w:eastAsia="Arial" w:hAnsi="Arial"/>
          <w:sz w:val="17"/>
          <w:szCs w:val="17"/>
          <w:color w:val="auto"/>
        </w:rPr>
      </w:pPr>
    </w:p>
    <w:p>
      <w:pPr>
        <w:jc w:val="both"/>
        <w:ind w:firstLine="1467"/>
        <w:spacing w:after="0" w:line="254" w:lineRule="auto"/>
        <w:tabs>
          <w:tab w:leader="none" w:pos="1743" w:val="left"/>
        </w:tabs>
        <w:numPr>
          <w:ilvl w:val="1"/>
          <w:numId w:val="208"/>
        </w:numPr>
        <w:rPr>
          <w:rFonts w:ascii="Arial" w:cs="Arial" w:eastAsia="Arial" w:hAnsi="Arial"/>
          <w:sz w:val="18"/>
          <w:szCs w:val="18"/>
          <w:color w:val="auto"/>
        </w:rPr>
      </w:pPr>
      <w:r>
        <w:rPr>
          <w:rFonts w:ascii="Arial" w:cs="Arial" w:eastAsia="Arial" w:hAnsi="Arial"/>
          <w:sz w:val="18"/>
          <w:szCs w:val="18"/>
          <w:color w:val="auto"/>
        </w:rPr>
        <w:t>A change in the composition of the Parent Board during any twelve (12) consecutive month period the result of which is that fewer than a majority of the members of the Parent Board are Incumbent Directors. For this purpose, “</w:t>
      </w:r>
      <w:r>
        <w:rPr>
          <w:rFonts w:ascii="Arial" w:cs="Arial" w:eastAsia="Arial" w:hAnsi="Arial"/>
          <w:sz w:val="18"/>
          <w:szCs w:val="18"/>
          <w:b w:val="1"/>
          <w:bCs w:val="1"/>
          <w:i w:val="1"/>
          <w:iCs w:val="1"/>
          <w:color w:val="auto"/>
        </w:rPr>
        <w:t>Incumbent Directors</w:t>
      </w:r>
      <w:r>
        <w:rPr>
          <w:rFonts w:ascii="Arial" w:cs="Arial" w:eastAsia="Arial" w:hAnsi="Arial"/>
          <w:sz w:val="18"/>
          <w:szCs w:val="18"/>
          <w:color w:val="auto"/>
        </w:rPr>
        <w:t>” are members of the Parent Board on the Effective Date; provided that any person becoming a director of the Company subsequent to the Effective Date shall be considered an Incumbent Director if such person’s election or nomination for election was approved by a vote of at least a majority of the Incumbent Directors; but provided further, that any such person whose initial assumption of office is in connection with an actual or threatened election contest relating to the election of members of the Parent Board or other actual or threatened solicitation of proxies or consents by or on behalf of a “person” (as defined in Section 13(d) and 14(d) of the Exchange Act) other than the Parent Board, including by reason of agreement intended to avoid or settle any such actual or threatened contest or solicitation, shall not be considered an Incumbent Director; or</w:t>
      </w:r>
    </w:p>
    <w:p>
      <w:pPr>
        <w:spacing w:after="0" w:line="219" w:lineRule="exact"/>
        <w:rPr>
          <w:rFonts w:ascii="Arial" w:cs="Arial" w:eastAsia="Arial" w:hAnsi="Arial"/>
          <w:sz w:val="18"/>
          <w:szCs w:val="18"/>
          <w:color w:val="auto"/>
        </w:rPr>
      </w:pPr>
    </w:p>
    <w:p>
      <w:pPr>
        <w:jc w:val="both"/>
        <w:ind w:firstLine="1467"/>
        <w:spacing w:after="0" w:line="257" w:lineRule="auto"/>
        <w:tabs>
          <w:tab w:leader="none" w:pos="1767" w:val="left"/>
        </w:tabs>
        <w:numPr>
          <w:ilvl w:val="1"/>
          <w:numId w:val="208"/>
        </w:numPr>
        <w:rPr>
          <w:rFonts w:ascii="Arial" w:cs="Arial" w:eastAsia="Arial" w:hAnsi="Arial"/>
          <w:sz w:val="18"/>
          <w:szCs w:val="18"/>
          <w:color w:val="auto"/>
        </w:rPr>
      </w:pPr>
      <w:r>
        <w:rPr>
          <w:rFonts w:ascii="Arial" w:cs="Arial" w:eastAsia="Arial" w:hAnsi="Arial"/>
          <w:sz w:val="18"/>
          <w:szCs w:val="18"/>
          <w:color w:val="auto"/>
        </w:rPr>
        <w:t>A merger or consolidation of the Parent or the Company with any other corporation, other than a merger or consolidation which would result in the voting securities of the Parent or the Company, respectively, outstanding immediately prior thereto continuing to represent (either by remaining outstanding or by being converted into voting securities of the surviving entity or its parent) at least fifty percent (50%) of the total voting power represented by the voting securities of the Parent or the Company, respectively, or such surviving entity or its parent outstanding immediately after such merger or consolidation.</w:t>
      </w:r>
    </w:p>
    <w:p>
      <w:pPr>
        <w:spacing w:after="0" w:line="215" w:lineRule="exact"/>
        <w:rPr>
          <w:rFonts w:ascii="Arial" w:cs="Arial" w:eastAsia="Arial" w:hAnsi="Arial"/>
          <w:sz w:val="18"/>
          <w:szCs w:val="18"/>
          <w:color w:val="auto"/>
        </w:rPr>
      </w:pPr>
    </w:p>
    <w:p>
      <w:pPr>
        <w:jc w:val="both"/>
        <w:ind w:firstLine="1142"/>
        <w:spacing w:after="0" w:line="286" w:lineRule="auto"/>
        <w:tabs>
          <w:tab w:leader="none" w:pos="1476" w:val="left"/>
        </w:tabs>
        <w:numPr>
          <w:ilvl w:val="0"/>
          <w:numId w:val="208"/>
        </w:numPr>
        <w:rPr>
          <w:rFonts w:ascii="Arial" w:cs="Arial" w:eastAsia="Arial" w:hAnsi="Arial"/>
          <w:sz w:val="16"/>
          <w:szCs w:val="16"/>
          <w:color w:val="auto"/>
        </w:rPr>
      </w:pPr>
      <w:r>
        <w:rPr>
          <w:rFonts w:ascii="Arial" w:cs="Arial" w:eastAsia="Arial" w:hAnsi="Arial"/>
          <w:sz w:val="16"/>
          <w:szCs w:val="16"/>
          <w:color w:val="auto"/>
        </w:rPr>
        <w:t>For purposes of this Agreement, the term “</w:t>
      </w:r>
      <w:r>
        <w:rPr>
          <w:rFonts w:ascii="Arial" w:cs="Arial" w:eastAsia="Arial" w:hAnsi="Arial"/>
          <w:sz w:val="16"/>
          <w:szCs w:val="16"/>
          <w:b w:val="1"/>
          <w:bCs w:val="1"/>
          <w:i w:val="1"/>
          <w:iCs w:val="1"/>
          <w:color w:val="auto"/>
        </w:rPr>
        <w:t>Good Reason</w:t>
      </w:r>
      <w:r>
        <w:rPr>
          <w:rFonts w:ascii="Arial" w:cs="Arial" w:eastAsia="Arial" w:hAnsi="Arial"/>
          <w:sz w:val="16"/>
          <w:szCs w:val="16"/>
          <w:color w:val="auto"/>
        </w:rPr>
        <w:t>” shall mean a voluntary termination by the Executive of the Executive’s employment because of: (A) the Executive’s Base Salary is reduced by more than ten percent (10%) below Executive’s Base Salary in effect at any time during the preceding twelve (12) months; (B) a material diminution in the nature or scope of the Executive’s title, authority, duties, benefits, perquisites, or responsibilities from those applicable to the Executive as of the Effective Date, or the assignment by the Employer to the Executive of any duties inconsistent with his position as set forth in Section 1(a); (C) the Employer requiring the Executive to be based at any office or location more than ten (10) miles from Lubbock, Texas; (D) a material breach by the Employer of any term or provision of this Agreement or (E) the failure of the Employer to assign this Agreement to a successor to the Employer or the failure of a successor to the Employer to explicitly assume and agree to be bound by this Agreement. No event or condition described in this Section 4 shall constitute Good Reason unless, (x) within ninety (90) days from the Executive first acquiring actual knowledge of the existence of the Good Reason condition described in this Section 4(a)(iii), the Executive provides the Parent Board written notice of the Executive’s intention to terminate the Executive’s employment for Good Reason and the grounds for such termination; (y) such grounds for termination (if susceptible to correction) are not corrected by the Parent Board within thirty (30) days of the Parent Board’s receipt of such notice (or, in the event that such grounds cannot be corrected within such thirty-day (30) period, the Parent Board has not taken all reasonable steps within such thirty-day (30) period to correct such grounds as promptly as practicable thereafter); and (z) the Executive terminates the Executive’s employment with the Employer immediately following expiration of such thirty-day (30) period. For purposes of this Section 4(a)(iii), any attempt by the Parent Board to correct a stated Good Reason shall not be deemed an admission by the Parent Board that the Executive’s assertion of Good Reason is valid.</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6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92" w:name="page293"/>
    <w:bookmarkEnd w:id="292"/>
    <w:p>
      <w:pPr>
        <w:jc w:val="both"/>
        <w:ind w:firstLine="1142"/>
        <w:spacing w:after="0" w:line="264" w:lineRule="auto"/>
        <w:tabs>
          <w:tab w:leader="none" w:pos="1453" w:val="left"/>
        </w:tabs>
        <w:numPr>
          <w:ilvl w:val="1"/>
          <w:numId w:val="209"/>
        </w:numPr>
        <w:rPr>
          <w:rFonts w:ascii="Arial" w:cs="Arial" w:eastAsia="Arial" w:hAnsi="Arial"/>
          <w:sz w:val="18"/>
          <w:szCs w:val="18"/>
          <w:color w:val="auto"/>
        </w:rPr>
      </w:pPr>
      <w:r>
        <w:rPr>
          <w:rFonts w:ascii="Arial" w:cs="Arial" w:eastAsia="Arial" w:hAnsi="Arial"/>
          <w:sz w:val="18"/>
          <w:szCs w:val="18"/>
          <w:color w:val="auto"/>
        </w:rPr>
        <w:t>For purposes of this Agreement, the term “</w:t>
      </w:r>
      <w:r>
        <w:rPr>
          <w:rFonts w:ascii="Arial" w:cs="Arial" w:eastAsia="Arial" w:hAnsi="Arial"/>
          <w:sz w:val="18"/>
          <w:szCs w:val="18"/>
          <w:b w:val="1"/>
          <w:bCs w:val="1"/>
          <w:i w:val="1"/>
          <w:iCs w:val="1"/>
          <w:color w:val="auto"/>
        </w:rPr>
        <w:t>Protection Period</w:t>
      </w:r>
      <w:r>
        <w:rPr>
          <w:rFonts w:ascii="Arial" w:cs="Arial" w:eastAsia="Arial" w:hAnsi="Arial"/>
          <w:sz w:val="18"/>
          <w:szCs w:val="18"/>
          <w:color w:val="auto"/>
        </w:rPr>
        <w:t>” shall mean the twenty-four (24) month period following a Change in Control, or at any time prior to a Change in Control if such termination occurs at the request of any third party participating in or causing the Change in Control or otherwise in connection with such Change in Control.</w:t>
      </w:r>
    </w:p>
    <w:p>
      <w:pPr>
        <w:spacing w:after="0" w:line="208" w:lineRule="exact"/>
        <w:rPr>
          <w:rFonts w:ascii="Arial" w:cs="Arial" w:eastAsia="Arial" w:hAnsi="Arial"/>
          <w:sz w:val="18"/>
          <w:szCs w:val="18"/>
          <w:color w:val="auto"/>
        </w:rPr>
      </w:pPr>
    </w:p>
    <w:p>
      <w:pPr>
        <w:ind w:left="1080" w:hanging="262"/>
        <w:spacing w:after="0"/>
        <w:tabs>
          <w:tab w:leader="none" w:pos="1080"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by the Employer Without Cause or by the Executive for Good Reason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firstLine="1142"/>
        <w:spacing w:after="0" w:line="274" w:lineRule="auto"/>
        <w:tabs>
          <w:tab w:leader="none" w:pos="1349" w:val="left"/>
        </w:tabs>
        <w:numPr>
          <w:ilvl w:val="1"/>
          <w:numId w:val="210"/>
        </w:numPr>
        <w:rPr>
          <w:rFonts w:ascii="Arial" w:cs="Arial" w:eastAsia="Arial" w:hAnsi="Arial"/>
          <w:sz w:val="16"/>
          <w:szCs w:val="16"/>
          <w:color w:val="auto"/>
        </w:rPr>
      </w:pPr>
      <w:r>
        <w:rPr>
          <w:rFonts w:ascii="Arial" w:cs="Arial" w:eastAsia="Arial" w:hAnsi="Arial"/>
          <w:sz w:val="16"/>
          <w:szCs w:val="16"/>
          <w:u w:val="single" w:color="auto"/>
          <w:color w:val="auto"/>
        </w:rPr>
        <w:t>Outside of the Protection Period</w:t>
      </w:r>
      <w:r>
        <w:rPr>
          <w:rFonts w:ascii="Arial" w:cs="Arial" w:eastAsia="Arial" w:hAnsi="Arial"/>
          <w:sz w:val="16"/>
          <w:szCs w:val="16"/>
          <w:color w:val="auto"/>
        </w:rPr>
        <w:t>. If (1) the Executive’s employment is terminated by the Employer without Cause or the Employer elects not to renew the Executive’s employment under Section 2, or (2) the Executive’s employment is terminated by the Executive for Good Reason (whether as a termination or a non-renewal by the Executive under Section 2), and such termination occurs other than during the Protection Period, then the Executive shall receive the following from the Employer: (i) the Accrued Rights, (ii) two times (2x) the Executive’s Base Salary, (iii) two times (2x) the Executive’s Annual Target Bonus, (iv) full accelerated vesting of the Executive’s outstanding and unvested time-based equity and any phantom equity awards, (v) full accelerated vesting of the Executive’s outstanding and unvested performance-based equity and any phantom equity awards, with the vesting of such awards deemed to occur at target levels, and (vi) a lump sum amount equal to twenty-four (24) months’ worth of the monthly premium payment to continue the Executive’s (and the Executive’s family’s) existing group health, dental coverage and vision, calculated under the applicable provisions of COBRA, and calculated without regard to whether the Executive actually elects such continuation coverage, and provided further that the Employer shall gross-up the amounts paid to the Executive for such COBRA Benefits to cover any taxes owed by the Executive on such amounts, so that the Executive is in the same position as if he were not subject to such taxes (the “</w:t>
      </w:r>
      <w:r>
        <w:rPr>
          <w:rFonts w:ascii="Arial" w:cs="Arial" w:eastAsia="Arial" w:hAnsi="Arial"/>
          <w:sz w:val="16"/>
          <w:szCs w:val="16"/>
          <w:b w:val="1"/>
          <w:bCs w:val="1"/>
          <w:i w:val="1"/>
          <w:iCs w:val="1"/>
          <w:color w:val="auto"/>
        </w:rPr>
        <w:t>NP COBRA Benefits</w:t>
      </w:r>
      <w:r>
        <w:rPr>
          <w:rFonts w:ascii="Arial" w:cs="Arial" w:eastAsia="Arial" w:hAnsi="Arial"/>
          <w:sz w:val="16"/>
          <w:szCs w:val="16"/>
          <w:color w:val="auto"/>
        </w:rPr>
        <w:t>”) (collectively, (ii) through (vi) being the “</w:t>
      </w:r>
      <w:r>
        <w:rPr>
          <w:rFonts w:ascii="Arial" w:cs="Arial" w:eastAsia="Arial" w:hAnsi="Arial"/>
          <w:sz w:val="16"/>
          <w:szCs w:val="16"/>
          <w:b w:val="1"/>
          <w:bCs w:val="1"/>
          <w:i w:val="1"/>
          <w:iCs w:val="1"/>
          <w:color w:val="auto"/>
        </w:rPr>
        <w:t>Non-Protection Period Severance Benefits</w:t>
      </w:r>
      <w:r>
        <w:rPr>
          <w:rFonts w:ascii="Arial" w:cs="Arial" w:eastAsia="Arial" w:hAnsi="Arial"/>
          <w:sz w:val="16"/>
          <w:szCs w:val="16"/>
          <w:color w:val="auto"/>
        </w:rPr>
        <w:t>”). The Non-Protection Period Severance Benefits shall be paid to the Executive in a lump sum cash payment no later than the sixty-first (61</w:t>
      </w:r>
      <w:r>
        <w:rPr>
          <w:rFonts w:ascii="Arial" w:cs="Arial" w:eastAsia="Arial" w:hAnsi="Arial"/>
          <w:sz w:val="26"/>
          <w:szCs w:val="26"/>
          <w:color w:val="auto"/>
          <w:vertAlign w:val="superscript"/>
        </w:rPr>
        <w:t>st</w:t>
      </w:r>
      <w:r>
        <w:rPr>
          <w:rFonts w:ascii="Arial" w:cs="Arial" w:eastAsia="Arial" w:hAnsi="Arial"/>
          <w:sz w:val="16"/>
          <w:szCs w:val="16"/>
          <w:color w:val="auto"/>
        </w:rPr>
        <w:t>) day immediately following the date of termination, except that such payment shall be delayed to the minimum extent necessary to comply with Section 409A.</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7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3" w:name="page294"/>
    <w:bookmarkEnd w:id="293"/>
    <w:p>
      <w:pPr>
        <w:jc w:val="both"/>
        <w:ind w:firstLine="1142"/>
        <w:spacing w:after="0" w:line="256" w:lineRule="auto"/>
        <w:tabs>
          <w:tab w:leader="none" w:pos="1399" w:val="left"/>
        </w:tabs>
        <w:numPr>
          <w:ilvl w:val="1"/>
          <w:numId w:val="211"/>
        </w:numPr>
        <w:rPr>
          <w:rFonts w:ascii="Arial" w:cs="Arial" w:eastAsia="Arial" w:hAnsi="Arial"/>
          <w:sz w:val="17"/>
          <w:szCs w:val="17"/>
          <w:color w:val="auto"/>
        </w:rPr>
      </w:pPr>
      <w:r>
        <w:rPr>
          <w:rFonts w:ascii="Arial" w:cs="Arial" w:eastAsia="Arial" w:hAnsi="Arial"/>
          <w:sz w:val="17"/>
          <w:szCs w:val="17"/>
          <w:u w:val="single" w:color="auto"/>
          <w:color w:val="auto"/>
        </w:rPr>
        <w:t>During the Protection Period</w:t>
      </w:r>
      <w:r>
        <w:rPr>
          <w:rFonts w:ascii="Arial" w:cs="Arial" w:eastAsia="Arial" w:hAnsi="Arial"/>
          <w:sz w:val="17"/>
          <w:szCs w:val="17"/>
          <w:color w:val="auto"/>
        </w:rPr>
        <w:t>. If (1) the Executive’s employment is terminated by the Employer without Cause or the Employer elects not to renew the Executive’s employment under Section 2 or (2) the Executive’s employment is terminated by the Executive for Good Reason (whether as a termination or a non-renewal by the Executive under Section 2), and such termination occurs during the Protection Period, then the Executive shall receive the following from the Employer: (i) the Accrued Rights, (ii) three times (3x) the Executive’s Base Salary, (iii) three times (3x) the Executive’s Annual Target Bonus, (iv) full accelerated vesting of the Executive’s outstanding and unvested time-based equity and any phantom equity awards, (v) full accelerated vesting of the Executive’s outstanding and unvested performance-based equity and any phantom equity awards, with the vesting of such awards deemed to occur at target levels, and (vi) a lump sum amount equal to thirty-six (36) months’ worth of the monthly premium payment to continue the Executive’s (and the Executive’s family’s) existing group health, dental coverage and vision, calculated under the applicable provisions of COBRA, and calculated without regard to whether the Executive actually elects such continuation coverage, and provided further that the Employer shall gross-up the amounts paid to the Executive for such COBRA Benefits to cover any taxes owed by the Executive on such amounts, so that the Executive is in the same position as if he were not subject to such taxes (the “</w:t>
      </w:r>
      <w:r>
        <w:rPr>
          <w:rFonts w:ascii="Arial" w:cs="Arial" w:eastAsia="Arial" w:hAnsi="Arial"/>
          <w:sz w:val="17"/>
          <w:szCs w:val="17"/>
          <w:b w:val="1"/>
          <w:bCs w:val="1"/>
          <w:i w:val="1"/>
          <w:iCs w:val="1"/>
          <w:color w:val="auto"/>
        </w:rPr>
        <w:t>PP COBRA Benefits</w:t>
      </w:r>
      <w:r>
        <w:rPr>
          <w:rFonts w:ascii="Arial" w:cs="Arial" w:eastAsia="Arial" w:hAnsi="Arial"/>
          <w:sz w:val="17"/>
          <w:szCs w:val="17"/>
          <w:color w:val="auto"/>
        </w:rPr>
        <w:t>”) (collectively, (ii) through (vi) being the “</w:t>
      </w:r>
      <w:r>
        <w:rPr>
          <w:rFonts w:ascii="Arial" w:cs="Arial" w:eastAsia="Arial" w:hAnsi="Arial"/>
          <w:sz w:val="17"/>
          <w:szCs w:val="17"/>
          <w:b w:val="1"/>
          <w:bCs w:val="1"/>
          <w:i w:val="1"/>
          <w:iCs w:val="1"/>
          <w:color w:val="auto"/>
        </w:rPr>
        <w:t>Protection Period Severance Benefits</w:t>
      </w:r>
      <w:r>
        <w:rPr>
          <w:rFonts w:ascii="Arial" w:cs="Arial" w:eastAsia="Arial" w:hAnsi="Arial"/>
          <w:sz w:val="17"/>
          <w:szCs w:val="17"/>
          <w:color w:val="auto"/>
        </w:rPr>
        <w:t>” and, together with the Non-Protection Period Severance Benefits, the “</w:t>
      </w:r>
      <w:r>
        <w:rPr>
          <w:rFonts w:ascii="Arial" w:cs="Arial" w:eastAsia="Arial" w:hAnsi="Arial"/>
          <w:sz w:val="17"/>
          <w:szCs w:val="17"/>
          <w:b w:val="1"/>
          <w:bCs w:val="1"/>
          <w:i w:val="1"/>
          <w:iCs w:val="1"/>
          <w:color w:val="auto"/>
        </w:rPr>
        <w:t>Severance Benefits</w:t>
      </w:r>
      <w:r>
        <w:rPr>
          <w:rFonts w:ascii="Arial" w:cs="Arial" w:eastAsia="Arial" w:hAnsi="Arial"/>
          <w:sz w:val="17"/>
          <w:szCs w:val="17"/>
          <w:color w:val="auto"/>
        </w:rPr>
        <w:t>”). The Protection Period Severance Benefits shall be paid to the Executive in a lump sum cash payment no later than the sixty-first (61</w:t>
      </w:r>
      <w:r>
        <w:rPr>
          <w:rFonts w:ascii="Arial" w:cs="Arial" w:eastAsia="Arial" w:hAnsi="Arial"/>
          <w:sz w:val="28"/>
          <w:szCs w:val="28"/>
          <w:color w:val="auto"/>
          <w:vertAlign w:val="superscript"/>
        </w:rPr>
        <w:t>st</w:t>
      </w:r>
      <w:r>
        <w:rPr>
          <w:rFonts w:ascii="Arial" w:cs="Arial" w:eastAsia="Arial" w:hAnsi="Arial"/>
          <w:sz w:val="17"/>
          <w:szCs w:val="17"/>
          <w:color w:val="auto"/>
        </w:rPr>
        <w:t>) day immediately following the date of termination, except that such payment shall be delayed to the minimum extent necessary to comply with Section 409A.</w:t>
      </w:r>
    </w:p>
    <w:p>
      <w:pPr>
        <w:spacing w:after="0" w:line="214" w:lineRule="exact"/>
        <w:rPr>
          <w:rFonts w:ascii="Arial" w:cs="Arial" w:eastAsia="Arial" w:hAnsi="Arial"/>
          <w:sz w:val="17"/>
          <w:szCs w:val="17"/>
          <w:color w:val="auto"/>
        </w:rPr>
      </w:pPr>
    </w:p>
    <w:p>
      <w:pPr>
        <w:ind w:left="1060" w:hanging="242"/>
        <w:spacing w:after="0"/>
        <w:tabs>
          <w:tab w:leader="none" w:pos="1060" w:val="left"/>
        </w:tabs>
        <w:numPr>
          <w:ilvl w:val="0"/>
          <w:numId w:val="212"/>
        </w:numPr>
        <w:rPr>
          <w:rFonts w:ascii="Arial" w:cs="Arial" w:eastAsia="Arial" w:hAnsi="Arial"/>
          <w:sz w:val="17"/>
          <w:szCs w:val="17"/>
          <w:color w:val="auto"/>
        </w:rPr>
      </w:pPr>
      <w:r>
        <w:rPr>
          <w:rFonts w:ascii="Arial" w:cs="Arial" w:eastAsia="Arial" w:hAnsi="Arial"/>
          <w:sz w:val="17"/>
          <w:szCs w:val="17"/>
          <w:u w:val="single" w:color="auto"/>
          <w:color w:val="auto"/>
        </w:rPr>
        <w:t>Disability</w:t>
      </w:r>
      <w:r>
        <w:rPr>
          <w:rFonts w:ascii="Arial" w:cs="Arial" w:eastAsia="Arial" w:hAnsi="Arial"/>
          <w:sz w:val="17"/>
          <w:szCs w:val="17"/>
          <w:color w:val="auto"/>
        </w:rPr>
        <w:t>. If the Executive’s employment is terminated due to the Executive’s Disability, then the Executive shall receive the following from</w:t>
      </w:r>
    </w:p>
    <w:p>
      <w:pPr>
        <w:spacing w:after="0" w:line="34" w:lineRule="exact"/>
        <w:rPr>
          <w:rFonts w:ascii="Arial" w:cs="Arial" w:eastAsia="Arial" w:hAnsi="Arial"/>
          <w:sz w:val="17"/>
          <w:szCs w:val="17"/>
          <w:color w:val="auto"/>
        </w:rPr>
      </w:pPr>
    </w:p>
    <w:p>
      <w:pPr>
        <w:jc w:val="both"/>
        <w:spacing w:after="0" w:line="270" w:lineRule="auto"/>
        <w:rPr>
          <w:rFonts w:ascii="Arial" w:cs="Arial" w:eastAsia="Arial" w:hAnsi="Arial"/>
          <w:sz w:val="17"/>
          <w:szCs w:val="17"/>
          <w:color w:val="auto"/>
        </w:rPr>
      </w:pPr>
      <w:r>
        <w:rPr>
          <w:rFonts w:ascii="Arial" w:cs="Arial" w:eastAsia="Arial" w:hAnsi="Arial"/>
          <w:sz w:val="17"/>
          <w:szCs w:val="17"/>
          <w:color w:val="auto"/>
        </w:rPr>
        <w:t>the Employer: (i) the Accrued Rights, (ii) two times (2x) the Executive’s Base Salary, (iii) two times (2x) the Executive’s Annual Target Bonus, (iv) full accelerated vesting of the Executive’s outstanding and unvested time-based equity and any phantom equity awards, (v) full accelerated vesting of the Executive’s outstanding and unvested performance-based equity and any phantom equity awards, with the vesting of such awards deemed to occur at target levels, and (vi) the NP COBRA Benefits (collectively, (ii) through (vi) being the “</w:t>
      </w:r>
      <w:r>
        <w:rPr>
          <w:rFonts w:ascii="Arial" w:cs="Arial" w:eastAsia="Arial" w:hAnsi="Arial"/>
          <w:sz w:val="17"/>
          <w:szCs w:val="17"/>
          <w:b w:val="1"/>
          <w:bCs w:val="1"/>
          <w:i w:val="1"/>
          <w:iCs w:val="1"/>
          <w:color w:val="auto"/>
        </w:rPr>
        <w:t>Disability Benefits</w:t>
      </w:r>
      <w:r>
        <w:rPr>
          <w:rFonts w:ascii="Arial" w:cs="Arial" w:eastAsia="Arial" w:hAnsi="Arial"/>
          <w:sz w:val="17"/>
          <w:szCs w:val="17"/>
          <w:color w:val="auto"/>
        </w:rPr>
        <w:t>”); however, if the Executive is entitled to disability benefits pursuant to an Employer-sponsored disability insurance policy, then any amounts owed to the Executive under subsections (ii) and (iii) shall be reduced on a dollar-for-dollar basis by the amount the Executive is entitled to from such disability insurance policies. The Disability Benefits shall be paid to the Executive in a lump sum cash payment no later than the sixty-first (61</w:t>
      </w:r>
      <w:r>
        <w:rPr>
          <w:rFonts w:ascii="Arial" w:cs="Arial" w:eastAsia="Arial" w:hAnsi="Arial"/>
          <w:sz w:val="28"/>
          <w:szCs w:val="28"/>
          <w:color w:val="auto"/>
          <w:vertAlign w:val="superscript"/>
        </w:rPr>
        <w:t>st</w:t>
      </w:r>
      <w:r>
        <w:rPr>
          <w:rFonts w:ascii="Arial" w:cs="Arial" w:eastAsia="Arial" w:hAnsi="Arial"/>
          <w:sz w:val="17"/>
          <w:szCs w:val="17"/>
          <w:color w:val="auto"/>
        </w:rPr>
        <w:t>) day immediately following the date of termination.</w:t>
      </w:r>
    </w:p>
    <w:p>
      <w:pPr>
        <w:spacing w:after="0" w:line="60" w:lineRule="exact"/>
        <w:rPr>
          <w:sz w:val="20"/>
          <w:szCs w:val="20"/>
          <w:color w:val="auto"/>
        </w:rPr>
      </w:pPr>
    </w:p>
    <w:p>
      <w:pPr>
        <w:jc w:val="both"/>
        <w:ind w:firstLine="810"/>
        <w:spacing w:after="0" w:line="259" w:lineRule="auto"/>
        <w:rPr>
          <w:sz w:val="20"/>
          <w:szCs w:val="20"/>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the inability of the Executive to have performed his material duties hereunder due to a physical or mental injury, infirmity or incapacity for 180 days (including weekends and holidays) in any 365-day period. The existence or nonexistence of a physical or mental injury, infirmity or incapacity shall be determined by an independent physician mutually agreed to by the Employer and the Executive (provided that neither party shall unreasonably withhold its agreement).</w:t>
      </w:r>
    </w:p>
    <w:p>
      <w:pPr>
        <w:spacing w:after="0" w:line="214" w:lineRule="exact"/>
        <w:rPr>
          <w:sz w:val="20"/>
          <w:szCs w:val="20"/>
          <w:color w:val="auto"/>
        </w:rPr>
      </w:pPr>
    </w:p>
    <w:p>
      <w:pPr>
        <w:jc w:val="both"/>
        <w:ind w:firstLine="818"/>
        <w:spacing w:after="0" w:line="277" w:lineRule="auto"/>
        <w:tabs>
          <w:tab w:leader="none" w:pos="1079" w:val="left"/>
        </w:tabs>
        <w:numPr>
          <w:ilvl w:val="0"/>
          <w:numId w:val="213"/>
        </w:numPr>
        <w:rPr>
          <w:rFonts w:ascii="Arial" w:cs="Arial" w:eastAsia="Arial" w:hAnsi="Arial"/>
          <w:sz w:val="17"/>
          <w:szCs w:val="17"/>
          <w:color w:val="auto"/>
        </w:rPr>
      </w:pPr>
      <w:r>
        <w:rPr>
          <w:rFonts w:ascii="Arial" w:cs="Arial" w:eastAsia="Arial" w:hAnsi="Arial"/>
          <w:sz w:val="17"/>
          <w:szCs w:val="17"/>
          <w:u w:val="single" w:color="auto"/>
          <w:color w:val="auto"/>
        </w:rPr>
        <w:t>Death</w:t>
      </w:r>
      <w:r>
        <w:rPr>
          <w:rFonts w:ascii="Arial" w:cs="Arial" w:eastAsia="Arial" w:hAnsi="Arial"/>
          <w:sz w:val="17"/>
          <w:szCs w:val="17"/>
          <w:color w:val="auto"/>
        </w:rPr>
        <w:t>. If the Executive’s employment is terminated due to the Executive’s death, then the Executive’s estate shall receive (i) the Accrued Rights, (ii) full accelerated vesting of the Executive’s outstanding and unvested time-based equity and any phantom equity awards, (iii) full accelerated vesting of the Executive’s outstanding and unvested performance-based equity and any phantom equity awards, with the vesting of such awards deemed to occur at target levels, and (iv) any earned but unpaid bonus (collectively, (ii), (iii), and (iv) being the “</w:t>
      </w:r>
      <w:r>
        <w:rPr>
          <w:rFonts w:ascii="Arial" w:cs="Arial" w:eastAsia="Arial" w:hAnsi="Arial"/>
          <w:sz w:val="17"/>
          <w:szCs w:val="17"/>
          <w:b w:val="1"/>
          <w:bCs w:val="1"/>
          <w:i w:val="1"/>
          <w:iCs w:val="1"/>
          <w:color w:val="auto"/>
        </w:rPr>
        <w:t>Death Benefits</w:t>
      </w:r>
      <w:r>
        <w:rPr>
          <w:rFonts w:ascii="Arial" w:cs="Arial" w:eastAsia="Arial" w:hAnsi="Arial"/>
          <w:sz w:val="17"/>
          <w:szCs w:val="17"/>
          <w:color w:val="auto"/>
        </w:rPr>
        <w:t>”). The Death Benefits shall be paid to the Executive’s estate in a lump sum cash payment no later than the sixty-first (61</w:t>
      </w:r>
      <w:r>
        <w:rPr>
          <w:rFonts w:ascii="Arial" w:cs="Arial" w:eastAsia="Arial" w:hAnsi="Arial"/>
          <w:sz w:val="28"/>
          <w:szCs w:val="28"/>
          <w:color w:val="auto"/>
          <w:vertAlign w:val="superscript"/>
        </w:rPr>
        <w:t>st</w:t>
      </w:r>
      <w:r>
        <w:rPr>
          <w:rFonts w:ascii="Arial" w:cs="Arial" w:eastAsia="Arial" w:hAnsi="Arial"/>
          <w:sz w:val="17"/>
          <w:szCs w:val="17"/>
          <w:color w:val="auto"/>
        </w:rPr>
        <w:t>) day immediately following the date of termination.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8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94" w:name="page295"/>
    <w:bookmarkEnd w:id="294"/>
    <w:p>
      <w:pPr>
        <w:jc w:val="both"/>
        <w:ind w:firstLine="818"/>
        <w:spacing w:after="0" w:line="259" w:lineRule="auto"/>
        <w:tabs>
          <w:tab w:leader="none" w:pos="1055"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No Continued Benefits Following Termination</w:t>
      </w:r>
      <w:r>
        <w:rPr>
          <w:rFonts w:ascii="Arial" w:cs="Arial" w:eastAsia="Arial" w:hAnsi="Arial"/>
          <w:sz w:val="18"/>
          <w:szCs w:val="18"/>
          <w:color w:val="auto"/>
        </w:rPr>
        <w:t>. Unless otherwise provided in this Agreement, contemplated by another agreement between the Executive and the Employer, or contemplated by Employer policy, or as otherwise required by law, all compensation, equity plans, and benefits payable to the Executive under this Agreement shall terminate on the date of termination of the Executive’s employment with the Employer under the terms of this Agreement.</w:t>
      </w:r>
    </w:p>
    <w:p>
      <w:pPr>
        <w:spacing w:after="0" w:line="213" w:lineRule="exact"/>
        <w:rPr>
          <w:rFonts w:ascii="Arial" w:cs="Arial" w:eastAsia="Arial" w:hAnsi="Arial"/>
          <w:sz w:val="18"/>
          <w:szCs w:val="18"/>
          <w:color w:val="auto"/>
        </w:rPr>
      </w:pPr>
    </w:p>
    <w:p>
      <w:pPr>
        <w:jc w:val="both"/>
        <w:ind w:firstLine="818"/>
        <w:spacing w:after="0" w:line="276" w:lineRule="auto"/>
        <w:tabs>
          <w:tab w:leader="none" w:pos="1076" w:val="left"/>
        </w:tabs>
        <w:numPr>
          <w:ilvl w:val="0"/>
          <w:numId w:val="214"/>
        </w:numPr>
        <w:rPr>
          <w:rFonts w:ascii="Arial" w:cs="Arial" w:eastAsia="Arial" w:hAnsi="Arial"/>
          <w:sz w:val="17"/>
          <w:szCs w:val="17"/>
          <w:color w:val="auto"/>
        </w:rPr>
      </w:pPr>
      <w:r>
        <w:rPr>
          <w:rFonts w:ascii="Arial" w:cs="Arial" w:eastAsia="Arial" w:hAnsi="Arial"/>
          <w:sz w:val="17"/>
          <w:szCs w:val="17"/>
          <w:u w:val="single" w:color="auto"/>
          <w:color w:val="auto"/>
        </w:rPr>
        <w:t>Resignation from Directorships, Officerships and Fiduciary Titles</w:t>
      </w:r>
      <w:r>
        <w:rPr>
          <w:rFonts w:ascii="Arial" w:cs="Arial" w:eastAsia="Arial" w:hAnsi="Arial"/>
          <w:sz w:val="17"/>
          <w:szCs w:val="17"/>
          <w:color w:val="auto"/>
        </w:rPr>
        <w:t>. Unless otherwise agreed by the Employer and the Executive, the termination of the Executive’s employment for any reason shall constitute the Executive’s immediate resignation from (i) any officer or employee position the Executive has with the Employer, unless mutually agreed upon by the Executive and the Parent Board; (ii) any position on the Board and/or the Parent Board; and (iii) all fiduciary positions (including as a trustee) the Executive holds with respect to any employee benefit plans or trusts established by the Employer. The Executive agrees that this Agreement shall serve as written notice of resignation in this circumstance.</w:t>
      </w:r>
    </w:p>
    <w:p>
      <w:pPr>
        <w:spacing w:after="0" w:line="199" w:lineRule="exact"/>
        <w:rPr>
          <w:rFonts w:ascii="Arial" w:cs="Arial" w:eastAsia="Arial" w:hAnsi="Arial"/>
          <w:sz w:val="17"/>
          <w:szCs w:val="17"/>
          <w:color w:val="auto"/>
        </w:rPr>
      </w:pPr>
    </w:p>
    <w:p>
      <w:pPr>
        <w:jc w:val="both"/>
        <w:ind w:firstLine="818"/>
        <w:spacing w:after="0" w:line="255" w:lineRule="auto"/>
        <w:tabs>
          <w:tab w:leader="none" w:pos="1079"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Waiver and Release</w:t>
      </w:r>
      <w:r>
        <w:rPr>
          <w:rFonts w:ascii="Arial" w:cs="Arial" w:eastAsia="Arial" w:hAnsi="Arial"/>
          <w:sz w:val="18"/>
          <w:szCs w:val="18"/>
          <w:color w:val="auto"/>
        </w:rPr>
        <w:t xml:space="preserve">. Notwithstanding any other provisions of this Agreement to the contrary, the Employer shall not make or provide the Severance Benefits under this Section 4 unless the Executive timely executes and delivers to the Employer a general release (which shall be provided by the Employer not later than five (5) days from the date on which the Executive’s employment is terminated and be substantially in the form attached hereto as </w:t>
      </w:r>
      <w:r>
        <w:rPr>
          <w:rFonts w:ascii="Arial" w:cs="Arial" w:eastAsia="Arial" w:hAnsi="Arial"/>
          <w:sz w:val="18"/>
          <w:szCs w:val="18"/>
          <w:b w:val="1"/>
          <w:bCs w:val="1"/>
          <w:u w:val="single" w:color="auto"/>
          <w:color w:val="auto"/>
        </w:rPr>
        <w:t>Exhibit C</w:t>
      </w:r>
      <w:r>
        <w:rPr>
          <w:rFonts w:ascii="Arial" w:cs="Arial" w:eastAsia="Arial" w:hAnsi="Arial"/>
          <w:sz w:val="18"/>
          <w:szCs w:val="18"/>
          <w:color w:val="auto"/>
        </w:rPr>
        <w:t>, the “Waiver and Release”), and such Waiver and Release remains in full force and effect, has not been revoked and is no longer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revocation, within sixty (60) calendar days after the date of termination. If the requirements of this Section 4(g) are not satisfied by the Executive (or the Executive’s estate or legally appointed personal representative), then no Severance Benefits shall be due to the Executive (or the Executive’s estate) pursuant to this Agreement.</w:t>
      </w:r>
    </w:p>
    <w:p>
      <w:pPr>
        <w:spacing w:after="0" w:line="216" w:lineRule="exact"/>
        <w:rPr>
          <w:rFonts w:ascii="Arial" w:cs="Arial" w:eastAsia="Arial" w:hAnsi="Arial"/>
          <w:sz w:val="18"/>
          <w:szCs w:val="18"/>
          <w:color w:val="auto"/>
        </w:rPr>
      </w:pPr>
    </w:p>
    <w:p>
      <w:pPr>
        <w:jc w:val="both"/>
        <w:ind w:firstLine="818"/>
        <w:spacing w:after="0" w:line="291" w:lineRule="auto"/>
        <w:tabs>
          <w:tab w:leader="none" w:pos="1079" w:val="left"/>
        </w:tabs>
        <w:numPr>
          <w:ilvl w:val="0"/>
          <w:numId w:val="214"/>
        </w:numPr>
        <w:rPr>
          <w:rFonts w:ascii="Arial" w:cs="Arial" w:eastAsia="Arial" w:hAnsi="Arial"/>
          <w:sz w:val="16"/>
          <w:szCs w:val="16"/>
          <w:color w:val="auto"/>
        </w:rPr>
      </w:pPr>
      <w:r>
        <w:rPr>
          <w:rFonts w:ascii="Arial" w:cs="Arial" w:eastAsia="Arial" w:hAnsi="Arial"/>
          <w:sz w:val="16"/>
          <w:szCs w:val="16"/>
          <w:u w:val="single" w:color="auto"/>
          <w:color w:val="auto"/>
        </w:rPr>
        <w:t>Notice of Termination</w:t>
      </w:r>
      <w:r>
        <w:rPr>
          <w:rFonts w:ascii="Arial" w:cs="Arial" w:eastAsia="Arial" w:hAnsi="Arial"/>
          <w:sz w:val="16"/>
          <w:szCs w:val="16"/>
          <w:color w:val="auto"/>
        </w:rPr>
        <w:t>. Any termination of employment by the Employer or the Executive shall be communicated by a written “</w:t>
      </w:r>
      <w:r>
        <w:rPr>
          <w:rFonts w:ascii="Arial" w:cs="Arial" w:eastAsia="Arial" w:hAnsi="Arial"/>
          <w:sz w:val="16"/>
          <w:szCs w:val="16"/>
          <w:b w:val="1"/>
          <w:bCs w:val="1"/>
          <w:i w:val="1"/>
          <w:iCs w:val="1"/>
          <w:color w:val="auto"/>
        </w:rPr>
        <w:t>Notice of</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Termination</w:t>
      </w:r>
      <w:r>
        <w:rPr>
          <w:rFonts w:ascii="Arial" w:cs="Arial" w:eastAsia="Arial" w:hAnsi="Arial"/>
          <w:sz w:val="16"/>
          <w:szCs w:val="16"/>
          <w:color w:val="auto"/>
        </w:rPr>
        <w:t>” to the other party hereto given in accordance with Section 8(k) of this Agreement. In the event of a termination by the Employer for Cause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the Executive for Good Reason, the Notice of Termination shall (i) indicate the specific termination provision in this Agreement relied upon, (ii) set forth in reasonable detail the facts and circumstances claimed to provide a basis for termination of the Executive’s employment under the provision so indicated, and (iii) specify the date of termination. The failure by the Executive or the Employer to set forth in the Notice of Termination any fact or circumstance which contributes to a showing of Cause or Good Reason shall not waive any right of the Executive or the Employer, respectively, hereunder or preclude the Executive or the Employer, respectively, from asserting such fact or circumstance in enforcing the Executive’s or the Employer’s rights hereunder.</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9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5" w:name="page296"/>
    <w:bookmarkEnd w:id="295"/>
    <w:p>
      <w:pPr>
        <w:jc w:val="both"/>
        <w:ind w:firstLine="656"/>
        <w:spacing w:after="0" w:line="293" w:lineRule="auto"/>
        <w:tabs>
          <w:tab w:leader="none" w:pos="869" w:val="left"/>
        </w:tabs>
        <w:numPr>
          <w:ilvl w:val="0"/>
          <w:numId w:val="215"/>
        </w:numPr>
        <w:rPr>
          <w:rFonts w:ascii="Arial" w:cs="Arial" w:eastAsia="Arial" w:hAnsi="Arial"/>
          <w:sz w:val="16"/>
          <w:szCs w:val="16"/>
          <w:color w:val="auto"/>
        </w:rPr>
      </w:pPr>
      <w:r>
        <w:rPr>
          <w:rFonts w:ascii="Arial" w:cs="Arial" w:eastAsia="Arial" w:hAnsi="Arial"/>
          <w:sz w:val="16"/>
          <w:szCs w:val="16"/>
          <w:u w:val="single" w:color="auto"/>
          <w:color w:val="auto"/>
        </w:rPr>
        <w:t>Non-Competition, Non-Solicitation and Confidentiality</w:t>
      </w:r>
      <w:r>
        <w:rPr>
          <w:rFonts w:ascii="Arial" w:cs="Arial" w:eastAsia="Arial" w:hAnsi="Arial"/>
          <w:sz w:val="16"/>
          <w:szCs w:val="16"/>
          <w:color w:val="auto"/>
        </w:rPr>
        <w:t xml:space="preserve">. As a condition to continued employment, the Executive shall execute the Non-Competition, Non-Solicitation and Confidentiality Agreement attached hereto as </w:t>
      </w:r>
      <w:r>
        <w:rPr>
          <w:rFonts w:ascii="Arial" w:cs="Arial" w:eastAsia="Arial" w:hAnsi="Arial"/>
          <w:sz w:val="16"/>
          <w:szCs w:val="16"/>
          <w:b w:val="1"/>
          <w:bCs w:val="1"/>
          <w:u w:val="single" w:color="auto"/>
          <w:color w:val="auto"/>
        </w:rPr>
        <w:t>Exhibit D</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Restrictive Covenants</w:t>
      </w:r>
      <w:r>
        <w:rPr>
          <w:rFonts w:ascii="Arial" w:cs="Arial" w:eastAsia="Arial" w:hAnsi="Arial"/>
          <w:sz w:val="16"/>
          <w:szCs w:val="16"/>
          <w:color w:val="auto"/>
        </w:rPr>
        <w:t>”). Any material breach by the Executive of the Executive’s obligations under the Restrictive Covenants shall constitute a material breach of this Agreement. In the event that any other agreement between the Employer and the Executive contains any non-competition, non-solicitation, or confidentiality covenant, the Restrictive Covenants set forth in this Agreement shall control, and any other non-competition, non-solicitation, or confidentiality covenant contained in any other agreement between the Employer and the Executive shall be deemed satisfied by compliance with the Restrictive Covenants set forth in this Agreement.</w:t>
      </w:r>
    </w:p>
    <w:p>
      <w:pPr>
        <w:spacing w:after="0" w:line="191" w:lineRule="exact"/>
        <w:rPr>
          <w:rFonts w:ascii="Arial" w:cs="Arial" w:eastAsia="Arial" w:hAnsi="Arial"/>
          <w:sz w:val="16"/>
          <w:szCs w:val="16"/>
          <w:color w:val="auto"/>
        </w:rPr>
      </w:pPr>
    </w:p>
    <w:p>
      <w:pPr>
        <w:ind w:left="840" w:hanging="184"/>
        <w:spacing w:after="0"/>
        <w:tabs>
          <w:tab w:leader="none" w:pos="840"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Section 280G Payments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firstLine="818"/>
        <w:spacing w:after="0" w:line="217" w:lineRule="exact"/>
        <w:tabs>
          <w:tab w:leader="none" w:pos="1055" w:val="left"/>
        </w:tabs>
        <w:numPr>
          <w:ilvl w:val="1"/>
          <w:numId w:val="215"/>
        </w:numPr>
        <w:rPr>
          <w:rFonts w:ascii="Arial" w:cs="Arial" w:eastAsia="Arial" w:hAnsi="Arial"/>
          <w:sz w:val="16"/>
          <w:szCs w:val="16"/>
          <w:color w:val="auto"/>
        </w:rPr>
      </w:pPr>
      <w:r>
        <w:rPr>
          <w:rFonts w:ascii="Arial" w:cs="Arial" w:eastAsia="Arial" w:hAnsi="Arial"/>
          <w:sz w:val="16"/>
          <w:szCs w:val="16"/>
          <w:color w:val="auto"/>
        </w:rPr>
        <w:t>Subject to Section 6(e), below, if during the term of the Executive’s employment there is a change in ownership or control of the Parent that causes any payment or distribution by the Company or the Parent to or for the benefit of the Executive (whether paid or payable or distributed or distributable pursuant to the terms of this Agreement or otherwise, but determined without regard to any additional payments required under this Section 6) (a “Payment”) to be subject to the excise tax imposed by Section 4999 of the Internal Revenue Code of 1986, as amended (the “Code”) (such excise tax, together with any interest or penalties incurred by the Executive with respect to such excise tax, being the “</w:t>
      </w:r>
      <w:r>
        <w:rPr>
          <w:rFonts w:ascii="Arial" w:cs="Arial" w:eastAsia="Arial" w:hAnsi="Arial"/>
          <w:sz w:val="16"/>
          <w:szCs w:val="16"/>
          <w:b w:val="1"/>
          <w:bCs w:val="1"/>
          <w:i w:val="1"/>
          <w:iCs w:val="1"/>
          <w:color w:val="auto"/>
        </w:rPr>
        <w:t>Excise Tax</w:t>
      </w:r>
      <w:r>
        <w:rPr>
          <w:rFonts w:ascii="Arial" w:cs="Arial" w:eastAsia="Arial" w:hAnsi="Arial"/>
          <w:sz w:val="16"/>
          <w:szCs w:val="16"/>
          <w:color w:val="auto"/>
        </w:rPr>
        <w:t>”), then the Executive shall be entitled to receive an additional payment (a “Gross</w:t>
      </w:r>
      <w:r>
        <w:rPr>
          <w:rFonts w:ascii="MS PGothic" w:cs="MS PGothic" w:eastAsia="MS PGothic" w:hAnsi="MS PGothic"/>
          <w:sz w:val="16"/>
          <w:szCs w:val="16"/>
          <w:color w:val="auto"/>
        </w:rPr>
        <w:t>‑</w:t>
      </w:r>
      <w:r>
        <w:rPr>
          <w:rFonts w:ascii="Arial" w:cs="Arial" w:eastAsia="Arial" w:hAnsi="Arial"/>
          <w:sz w:val="16"/>
          <w:szCs w:val="16"/>
          <w:color w:val="auto"/>
        </w:rPr>
        <w:t>Up Payment”) in an amount such that after payment by the Executive of all taxes, including any income taxes (and any interest and penalties imposed with respect thereto) and Excise Tax imposed upon the Gross</w:t>
      </w:r>
      <w:r>
        <w:rPr>
          <w:rFonts w:ascii="MS PGothic" w:cs="MS PGothic" w:eastAsia="MS PGothic" w:hAnsi="MS PGothic"/>
          <w:sz w:val="16"/>
          <w:szCs w:val="16"/>
          <w:color w:val="auto"/>
        </w:rPr>
        <w:t>‑</w:t>
      </w:r>
      <w:r>
        <w:rPr>
          <w:rFonts w:ascii="Arial" w:cs="Arial" w:eastAsia="Arial" w:hAnsi="Arial"/>
          <w:sz w:val="16"/>
          <w:szCs w:val="16"/>
          <w:color w:val="auto"/>
        </w:rPr>
        <w:t>Up Payment, the Executive will retain an amount of the Gross</w:t>
      </w:r>
      <w:r>
        <w:rPr>
          <w:rFonts w:ascii="MS PGothic" w:cs="MS PGothic" w:eastAsia="MS PGothic" w:hAnsi="MS PGothic"/>
          <w:sz w:val="16"/>
          <w:szCs w:val="16"/>
          <w:color w:val="auto"/>
        </w:rPr>
        <w:t>‑</w:t>
      </w:r>
      <w:r>
        <w:rPr>
          <w:rFonts w:ascii="Arial" w:cs="Arial" w:eastAsia="Arial" w:hAnsi="Arial"/>
          <w:sz w:val="16"/>
          <w:szCs w:val="16"/>
          <w:color w:val="auto"/>
        </w:rPr>
        <w:t>Up Payment equal to the Excise Tax imposed upon the Payments. The Gross-Up Payment shall be paid to the Executive no later than the end of the taxable year next following the taxable year in which the Executive remits the taxes related to the Gross-Up Payment.</w:t>
      </w:r>
    </w:p>
    <w:p>
      <w:pPr>
        <w:spacing w:after="0" w:line="235" w:lineRule="exact"/>
        <w:rPr>
          <w:rFonts w:ascii="Arial" w:cs="Arial" w:eastAsia="Arial" w:hAnsi="Arial"/>
          <w:sz w:val="16"/>
          <w:szCs w:val="16"/>
          <w:color w:val="auto"/>
        </w:rPr>
      </w:pPr>
    </w:p>
    <w:p>
      <w:pPr>
        <w:jc w:val="both"/>
        <w:ind w:firstLine="818"/>
        <w:spacing w:after="0" w:line="217" w:lineRule="exact"/>
        <w:tabs>
          <w:tab w:leader="none" w:pos="1065" w:val="left"/>
        </w:tabs>
        <w:numPr>
          <w:ilvl w:val="1"/>
          <w:numId w:val="215"/>
        </w:numPr>
        <w:rPr>
          <w:rFonts w:ascii="Arial" w:cs="Arial" w:eastAsia="Arial" w:hAnsi="Arial"/>
          <w:sz w:val="17"/>
          <w:szCs w:val="17"/>
          <w:color w:val="auto"/>
        </w:rPr>
      </w:pPr>
      <w:r>
        <w:rPr>
          <w:rFonts w:ascii="Arial" w:cs="Arial" w:eastAsia="Arial" w:hAnsi="Arial"/>
          <w:sz w:val="17"/>
          <w:szCs w:val="17"/>
          <w:u w:val="single" w:color="auto"/>
          <w:color w:val="auto"/>
        </w:rPr>
        <w:t>Determination of the Gross</w:t>
      </w:r>
      <w:r>
        <w:rPr>
          <w:rFonts w:ascii="MS PGothic" w:cs="MS PGothic" w:eastAsia="MS PGothic" w:hAnsi="MS PGothic"/>
          <w:sz w:val="17"/>
          <w:szCs w:val="17"/>
          <w:u w:val="single" w:color="auto"/>
          <w:color w:val="auto"/>
        </w:rPr>
        <w:t>‑</w:t>
      </w:r>
      <w:r>
        <w:rPr>
          <w:rFonts w:ascii="Arial" w:cs="Arial" w:eastAsia="Arial" w:hAnsi="Arial"/>
          <w:sz w:val="17"/>
          <w:szCs w:val="17"/>
          <w:u w:val="single" w:color="auto"/>
          <w:color w:val="auto"/>
        </w:rPr>
        <w:t>Up Payment</w:t>
      </w:r>
      <w:r>
        <w:rPr>
          <w:rFonts w:ascii="Arial" w:cs="Arial" w:eastAsia="Arial" w:hAnsi="Arial"/>
          <w:sz w:val="17"/>
          <w:szCs w:val="17"/>
          <w:color w:val="auto"/>
        </w:rPr>
        <w:t>. Subject to the provisions of Section 6(c), all determinations required to be made under this Section 6, including whether and when a Gross</w:t>
      </w:r>
      <w:r>
        <w:rPr>
          <w:rFonts w:ascii="MS PGothic" w:cs="MS PGothic" w:eastAsia="MS PGothic" w:hAnsi="MS PGothic"/>
          <w:sz w:val="17"/>
          <w:szCs w:val="17"/>
          <w:color w:val="auto"/>
        </w:rPr>
        <w:t>‑</w:t>
      </w:r>
      <w:r>
        <w:rPr>
          <w:rFonts w:ascii="Arial" w:cs="Arial" w:eastAsia="Arial" w:hAnsi="Arial"/>
          <w:sz w:val="17"/>
          <w:szCs w:val="17"/>
          <w:color w:val="auto"/>
        </w:rPr>
        <w:t>Up Payment is required and the amount of such Gross</w:t>
      </w:r>
      <w:r>
        <w:rPr>
          <w:rFonts w:ascii="MS PGothic" w:cs="MS PGothic" w:eastAsia="MS PGothic" w:hAnsi="MS PGothic"/>
          <w:sz w:val="17"/>
          <w:szCs w:val="17"/>
          <w:color w:val="auto"/>
        </w:rPr>
        <w:t>‑</w:t>
      </w:r>
      <w:r>
        <w:rPr>
          <w:rFonts w:ascii="Arial" w:cs="Arial" w:eastAsia="Arial" w:hAnsi="Arial"/>
          <w:sz w:val="17"/>
          <w:szCs w:val="17"/>
          <w:color w:val="auto"/>
        </w:rPr>
        <w:t>Up Payment and the assumptions to be utilized in arriving at such determination, shall be made by a certified public accounting firm or nationally recognized law firm designated by the Parent and reasonably acceptable to the Executive (the “</w:t>
      </w:r>
      <w:r>
        <w:rPr>
          <w:rFonts w:ascii="Arial" w:cs="Arial" w:eastAsia="Arial" w:hAnsi="Arial"/>
          <w:sz w:val="17"/>
          <w:szCs w:val="17"/>
          <w:b w:val="1"/>
          <w:bCs w:val="1"/>
          <w:i w:val="1"/>
          <w:iCs w:val="1"/>
          <w:color w:val="auto"/>
        </w:rPr>
        <w:t>280G Firm</w:t>
      </w:r>
      <w:r>
        <w:rPr>
          <w:rFonts w:ascii="Arial" w:cs="Arial" w:eastAsia="Arial" w:hAnsi="Arial"/>
          <w:sz w:val="17"/>
          <w:szCs w:val="17"/>
          <w:color w:val="auto"/>
        </w:rPr>
        <w:t>”), which shall provide detailed supporting calculations both to the Parent and the Executive within 15 business days of the receipt of notice from the Executive that there has been a Payment with respect to which the Executive in good faith believes a Gross</w:t>
      </w:r>
      <w:r>
        <w:rPr>
          <w:rFonts w:ascii="MS PGothic" w:cs="MS PGothic" w:eastAsia="MS PGothic" w:hAnsi="MS PGothic"/>
          <w:sz w:val="17"/>
          <w:szCs w:val="17"/>
          <w:color w:val="auto"/>
        </w:rPr>
        <w:t>‑</w:t>
      </w:r>
      <w:r>
        <w:rPr>
          <w:rFonts w:ascii="Arial" w:cs="Arial" w:eastAsia="Arial" w:hAnsi="Arial"/>
          <w:sz w:val="17"/>
          <w:szCs w:val="17"/>
          <w:color w:val="auto"/>
        </w:rPr>
        <w:t>Up Payment may be due under this Section 6, or such earlier time as is requested by the Parent. All fees and expenses of the 280G Firm shall be borne solely by the Employer. Any Gross</w:t>
      </w:r>
      <w:r>
        <w:rPr>
          <w:rFonts w:ascii="MS PGothic" w:cs="MS PGothic" w:eastAsia="MS PGothic" w:hAnsi="MS PGothic"/>
          <w:sz w:val="17"/>
          <w:szCs w:val="17"/>
          <w:color w:val="auto"/>
        </w:rPr>
        <w:t>‑</w:t>
      </w:r>
      <w:r>
        <w:rPr>
          <w:rFonts w:ascii="Arial" w:cs="Arial" w:eastAsia="Arial" w:hAnsi="Arial"/>
          <w:sz w:val="17"/>
          <w:szCs w:val="17"/>
          <w:color w:val="auto"/>
        </w:rPr>
        <w:t>Up Payment, as determined pursuant to this Section 6, shall be paid by the Employer to the Executive within five days of the later of (i) the due date for the payment of any Excise Tax and (ii) the receipt of the 280G Firm’s determination. Any determination by the 280G Firm shall be binding upon the Employer and the Executive. As a result of the uncertainty in the application of Section 4999 of the Code at the time of the initial determination by the 280G Firm hereunder, it is possible that Gross</w:t>
      </w:r>
      <w:r>
        <w:rPr>
          <w:rFonts w:ascii="MS PGothic" w:cs="MS PGothic" w:eastAsia="MS PGothic" w:hAnsi="MS PGothic"/>
          <w:sz w:val="17"/>
          <w:szCs w:val="17"/>
          <w:color w:val="auto"/>
        </w:rPr>
        <w:t>‑</w:t>
      </w:r>
      <w:r>
        <w:rPr>
          <w:rFonts w:ascii="Arial" w:cs="Arial" w:eastAsia="Arial" w:hAnsi="Arial"/>
          <w:sz w:val="17"/>
          <w:szCs w:val="17"/>
          <w:color w:val="auto"/>
        </w:rPr>
        <w:t>Up Payments which will not have been made by the Employer should have been made (“</w:t>
      </w:r>
      <w:r>
        <w:rPr>
          <w:rFonts w:ascii="Arial" w:cs="Arial" w:eastAsia="Arial" w:hAnsi="Arial"/>
          <w:sz w:val="17"/>
          <w:szCs w:val="17"/>
          <w:b w:val="1"/>
          <w:bCs w:val="1"/>
          <w:i w:val="1"/>
          <w:iCs w:val="1"/>
          <w:color w:val="auto"/>
        </w:rPr>
        <w:t>Underpayment</w:t>
      </w:r>
      <w:r>
        <w:rPr>
          <w:rFonts w:ascii="Arial" w:cs="Arial" w:eastAsia="Arial" w:hAnsi="Arial"/>
          <w:sz w:val="17"/>
          <w:szCs w:val="17"/>
          <w:color w:val="auto"/>
        </w:rPr>
        <w:t>”), consistent with the calculations required to be made hereunder. In the event that the Employer exhausts its remedies pursuant to Section 6(c) and the Executive thereafter is required to make a payment of any Excise Tax, the 280G Firm shall determine the amount of the Underpayment that has occurred and any such Underpayment shall be promptly paid by the Employer to the Executive or for the Executive’s benefit. The previous sentence shall apply equally to any overpayment of a Gross</w:t>
      </w:r>
      <w:r>
        <w:rPr>
          <w:rFonts w:ascii="MS PGothic" w:cs="MS PGothic" w:eastAsia="MS PGothic" w:hAnsi="MS PGothic"/>
          <w:sz w:val="17"/>
          <w:szCs w:val="17"/>
          <w:color w:val="auto"/>
        </w:rPr>
        <w:t>‑</w:t>
      </w:r>
      <w:r>
        <w:rPr>
          <w:rFonts w:ascii="Arial" w:cs="Arial" w:eastAsia="Arial" w:hAnsi="Arial"/>
          <w:sz w:val="17"/>
          <w:szCs w:val="17"/>
          <w:color w:val="auto"/>
        </w:rPr>
        <w:t>Up Payment.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10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6" w:name="page297"/>
    <w:bookmarkEnd w:id="296"/>
    <w:p>
      <w:pPr>
        <w:jc w:val="both"/>
        <w:ind w:firstLine="818"/>
        <w:spacing w:after="0" w:line="219" w:lineRule="exact"/>
        <w:tabs>
          <w:tab w:leader="none" w:pos="1068" w:val="left"/>
        </w:tabs>
        <w:numPr>
          <w:ilvl w:val="0"/>
          <w:numId w:val="216"/>
        </w:numPr>
        <w:rPr>
          <w:rFonts w:ascii="Arial" w:cs="Arial" w:eastAsia="Arial" w:hAnsi="Arial"/>
          <w:sz w:val="17"/>
          <w:szCs w:val="17"/>
          <w:color w:val="auto"/>
        </w:rPr>
      </w:pPr>
      <w:r>
        <w:rPr>
          <w:rFonts w:ascii="Arial" w:cs="Arial" w:eastAsia="Arial" w:hAnsi="Arial"/>
          <w:sz w:val="17"/>
          <w:szCs w:val="17"/>
          <w:u w:val="single" w:color="auto"/>
          <w:color w:val="auto"/>
        </w:rPr>
        <w:t>Procedures</w:t>
      </w:r>
      <w:r>
        <w:rPr>
          <w:rFonts w:ascii="Arial" w:cs="Arial" w:eastAsia="Arial" w:hAnsi="Arial"/>
          <w:sz w:val="17"/>
          <w:szCs w:val="17"/>
          <w:color w:val="auto"/>
        </w:rPr>
        <w:t>. The Executive shall notify the Parent Board in writing of any claim by the Internal Revenue Service that, if successful, would require the payment by the Employer of the Gross</w:t>
      </w:r>
      <w:r>
        <w:rPr>
          <w:rFonts w:ascii="MS PGothic" w:cs="MS PGothic" w:eastAsia="MS PGothic" w:hAnsi="MS PGothic"/>
          <w:sz w:val="17"/>
          <w:szCs w:val="17"/>
          <w:color w:val="auto"/>
        </w:rPr>
        <w:t>‑</w:t>
      </w:r>
      <w:r>
        <w:rPr>
          <w:rFonts w:ascii="Arial" w:cs="Arial" w:eastAsia="Arial" w:hAnsi="Arial"/>
          <w:sz w:val="17"/>
          <w:szCs w:val="17"/>
          <w:color w:val="auto"/>
        </w:rPr>
        <w:t>Up Payment. Such notification shall be given as soon as practicable but no later than 10 business days after the Executive is informed in writing of such claim and shall apprise the Parent Board of the nature of such claim and the date on which such claim is requested to be paid. The Executive shall not pay such claim prior to the expiration of the 30</w:t>
      </w:r>
      <w:r>
        <w:rPr>
          <w:rFonts w:ascii="MS PGothic" w:cs="MS PGothic" w:eastAsia="MS PGothic" w:hAnsi="MS PGothic"/>
          <w:sz w:val="17"/>
          <w:szCs w:val="17"/>
          <w:color w:val="auto"/>
        </w:rPr>
        <w:t>‑</w:t>
      </w:r>
      <w:r>
        <w:rPr>
          <w:rFonts w:ascii="Arial" w:cs="Arial" w:eastAsia="Arial" w:hAnsi="Arial"/>
          <w:sz w:val="17"/>
          <w:szCs w:val="17"/>
          <w:color w:val="auto"/>
        </w:rPr>
        <w:t>day period following the date on which it gives such notice to the Employer (or such shorter period ending on the date that any payment of taxes with respect to such claim is due). If the Parent Board notifies the Executive in writing prior to the expiration of such period that it desires to contest such claim, the Executive shall:</w:t>
      </w:r>
    </w:p>
    <w:p>
      <w:pPr>
        <w:spacing w:after="0" w:line="229" w:lineRule="exact"/>
        <w:rPr>
          <w:rFonts w:ascii="Arial" w:cs="Arial" w:eastAsia="Arial" w:hAnsi="Arial"/>
          <w:sz w:val="17"/>
          <w:szCs w:val="17"/>
          <w:color w:val="auto"/>
        </w:rPr>
      </w:pPr>
    </w:p>
    <w:p>
      <w:pPr>
        <w:ind w:left="1360" w:hanging="218"/>
        <w:spacing w:after="0"/>
        <w:tabs>
          <w:tab w:leader="none" w:pos="136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give the Parent Board any information reasonably requested by the Parent relating to such claim;</w:t>
      </w:r>
    </w:p>
    <w:p>
      <w:pPr>
        <w:spacing w:after="0" w:line="252" w:lineRule="exact"/>
        <w:rPr>
          <w:rFonts w:ascii="Arial" w:cs="Arial" w:eastAsia="Arial" w:hAnsi="Arial"/>
          <w:sz w:val="18"/>
          <w:szCs w:val="18"/>
          <w:color w:val="auto"/>
        </w:rPr>
      </w:pPr>
    </w:p>
    <w:p>
      <w:pPr>
        <w:ind w:firstLine="1142"/>
        <w:spacing w:after="0" w:line="277" w:lineRule="auto"/>
        <w:tabs>
          <w:tab w:leader="none" w:pos="1399" w:val="left"/>
        </w:tabs>
        <w:numPr>
          <w:ilvl w:val="1"/>
          <w:numId w:val="216"/>
        </w:numPr>
        <w:rPr>
          <w:rFonts w:ascii="Arial" w:cs="Arial" w:eastAsia="Arial" w:hAnsi="Arial"/>
          <w:sz w:val="18"/>
          <w:szCs w:val="18"/>
          <w:color w:val="auto"/>
        </w:rPr>
      </w:pPr>
      <w:r>
        <w:rPr>
          <w:rFonts w:ascii="Arial" w:cs="Arial" w:eastAsia="Arial" w:hAnsi="Arial"/>
          <w:sz w:val="18"/>
          <w:szCs w:val="18"/>
          <w:color w:val="auto"/>
        </w:rPr>
        <w:t>take such action in connection with contesting such claim as the Parent shall reasonably request in writing from time to time, including, without limitation, accepting legal representation with respect to such claim by an attorney reasonably selected by the Parent;</w:t>
      </w:r>
    </w:p>
    <w:p>
      <w:pPr>
        <w:spacing w:after="0" w:line="197" w:lineRule="exact"/>
        <w:rPr>
          <w:rFonts w:ascii="Arial" w:cs="Arial" w:eastAsia="Arial" w:hAnsi="Arial"/>
          <w:sz w:val="18"/>
          <w:szCs w:val="18"/>
          <w:color w:val="auto"/>
        </w:rPr>
      </w:pPr>
    </w:p>
    <w:p>
      <w:pPr>
        <w:ind w:left="1460" w:hanging="318"/>
        <w:spacing w:after="0"/>
        <w:tabs>
          <w:tab w:leader="none" w:pos="146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cooperate with the Parent in good faith in order to effectively contest such claim; and</w:t>
      </w:r>
    </w:p>
    <w:p>
      <w:pPr>
        <w:spacing w:after="0" w:line="252" w:lineRule="exact"/>
        <w:rPr>
          <w:rFonts w:ascii="Arial" w:cs="Arial" w:eastAsia="Arial" w:hAnsi="Arial"/>
          <w:sz w:val="18"/>
          <w:szCs w:val="18"/>
          <w:color w:val="auto"/>
        </w:rPr>
      </w:pPr>
    </w:p>
    <w:p>
      <w:pPr>
        <w:ind w:left="1440" w:hanging="298"/>
        <w:spacing w:after="0"/>
        <w:tabs>
          <w:tab w:leader="none" w:pos="144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permit the Parent to participate in any proceedings relating to such claim;</w:t>
      </w:r>
    </w:p>
    <w:p>
      <w:pPr>
        <w:spacing w:after="0" w:line="252"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Employer shall bear and pay directly all costs and expenses (including additional interest and penalties) incurred in connection with such contest and shall indemnify and hold the Executive harmless, on an after</w:t>
      </w:r>
      <w:r>
        <w:rPr>
          <w:rFonts w:ascii="MS PGothic" w:cs="MS PGothic" w:eastAsia="MS PGothic" w:hAnsi="MS PGothic"/>
          <w:sz w:val="17"/>
          <w:szCs w:val="17"/>
          <w:color w:val="auto"/>
        </w:rPr>
        <w:t>‑</w:t>
      </w:r>
      <w:r>
        <w:rPr>
          <w:rFonts w:ascii="Arial" w:cs="Arial" w:eastAsia="Arial" w:hAnsi="Arial"/>
          <w:sz w:val="17"/>
          <w:szCs w:val="17"/>
          <w:color w:val="auto"/>
        </w:rPr>
        <w:t xml:space="preserve">tax basis, for any Excise Tax or income tax (including interest and penalties with respect thereto) imposed as a result of such representation and payment of costs and expenses. Without limiting the foregoing provisions of this Section 6(c), the Parent Board shall control all proceedings taken in connection with such contest and, at its sole option, may pursue or forgo any and all administrative appeals, proceedings, hearings and conferences with the taxing authority in respect of such claim and may, at its sole option, either direct the Executive to pay the tax claimed and sue for a refund or contest the claim in any permissible manner, and the Executive agrees to prosecute such contest to a determination before any administrative tribunal, in a court of initial jurisdiction and in one or more appellate courts, as the Parent Board shall determine;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Parent Board directs the Executive to pay such claim and sue for a refund, to the extent permitted by law, the Employer shall advance the amount of such payment to the Executive on an interest-free basis (which shall offset, to the extent thereof, the amount of Gross</w:t>
      </w:r>
      <w:r>
        <w:rPr>
          <w:rFonts w:ascii="MS PGothic" w:cs="MS PGothic" w:eastAsia="MS PGothic" w:hAnsi="MS PGothic"/>
          <w:sz w:val="17"/>
          <w:szCs w:val="17"/>
          <w:color w:val="auto"/>
        </w:rPr>
        <w:t>‑</w:t>
      </w:r>
      <w:r>
        <w:rPr>
          <w:rFonts w:ascii="Arial" w:cs="Arial" w:eastAsia="Arial" w:hAnsi="Arial"/>
          <w:sz w:val="17"/>
          <w:szCs w:val="17"/>
          <w:color w:val="auto"/>
        </w:rPr>
        <w:t>Up Payment required to be paid) and shall indemnify and hold the Executive harmless, on an after</w:t>
      </w:r>
      <w:r>
        <w:rPr>
          <w:rFonts w:ascii="MS PGothic" w:cs="MS PGothic" w:eastAsia="MS PGothic" w:hAnsi="MS PGothic"/>
          <w:sz w:val="17"/>
          <w:szCs w:val="17"/>
          <w:color w:val="auto"/>
        </w:rPr>
        <w:t>‑</w:t>
      </w:r>
      <w:r>
        <w:rPr>
          <w:rFonts w:ascii="Arial" w:cs="Arial" w:eastAsia="Arial" w:hAnsi="Arial"/>
          <w:sz w:val="17"/>
          <w:szCs w:val="17"/>
          <w:color w:val="auto"/>
        </w:rPr>
        <w:t xml:space="preserve">tax basis, from any Excise Tax or income tax (including interest or penalties with respect thereto) imposed with respect to such advance or with respect to any imputed income with respect to such advance;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any extension of the statute of limitations relating to payment of taxes for the Executive’s taxable year with respect to which such contested amount is claimed to be due is limited solely to such contested amount. Furthermore, the Parent Board’s control of the contest shall be limited to issues with respect to which a Gross</w:t>
      </w:r>
      <w:r>
        <w:rPr>
          <w:rFonts w:ascii="MS PGothic" w:cs="MS PGothic" w:eastAsia="MS PGothic" w:hAnsi="MS PGothic"/>
          <w:sz w:val="17"/>
          <w:szCs w:val="17"/>
          <w:color w:val="auto"/>
        </w:rPr>
        <w:t>‑</w:t>
      </w:r>
      <w:r>
        <w:rPr>
          <w:rFonts w:ascii="Arial" w:cs="Arial" w:eastAsia="Arial" w:hAnsi="Arial"/>
          <w:sz w:val="17"/>
          <w:szCs w:val="17"/>
          <w:color w:val="auto"/>
        </w:rPr>
        <w:t>Up Payment would be payable hereunder and the Executive shall be entitled to settle or contest, as the case may be, any other issue raised by the Internal Revenue Service or any other taxing authority.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11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97" w:name="page298"/>
    <w:bookmarkEnd w:id="297"/>
    <w:p>
      <w:pPr>
        <w:jc w:val="both"/>
        <w:ind w:firstLine="818"/>
        <w:spacing w:after="0" w:line="218" w:lineRule="exact"/>
        <w:tabs>
          <w:tab w:leader="none" w:pos="1065" w:val="left"/>
        </w:tabs>
        <w:numPr>
          <w:ilvl w:val="0"/>
          <w:numId w:val="217"/>
        </w:numPr>
        <w:rPr>
          <w:rFonts w:ascii="Arial" w:cs="Arial" w:eastAsia="Arial" w:hAnsi="Arial"/>
          <w:sz w:val="17"/>
          <w:szCs w:val="17"/>
          <w:color w:val="auto"/>
        </w:rPr>
      </w:pPr>
      <w:r>
        <w:rPr>
          <w:rFonts w:ascii="Arial" w:cs="Arial" w:eastAsia="Arial" w:hAnsi="Arial"/>
          <w:sz w:val="17"/>
          <w:szCs w:val="17"/>
          <w:u w:val="single" w:color="auto"/>
          <w:color w:val="auto"/>
        </w:rPr>
        <w:t>Refund</w:t>
      </w:r>
      <w:r>
        <w:rPr>
          <w:rFonts w:ascii="Arial" w:cs="Arial" w:eastAsia="Arial" w:hAnsi="Arial"/>
          <w:sz w:val="17"/>
          <w:szCs w:val="17"/>
          <w:color w:val="auto"/>
        </w:rPr>
        <w:t>. If, after the receipt by the Executive of an amount advanced by the Employer pursuant to Section 6(c), the Executive becomes entitled to receive any refund with respect to such claim, the Executive shall (subject to the Parent Board complying with the requirements of Section 6(c)) promptly pay to the Employer, as applicable, the amount of such refund (together with any interest paid or credited thereon after taxes applicable thereto). If, after the Executive receives an amount advanced by the Employer pursuant to Section 6(c), a determination is made that the Executive shall not be entitled to any refund with respect to such claim and the Employer does not notify the Executive in writing of its intent to contest such denial of refund prior to the expiration of 30 days after such determination, then such advance shall be forgiven and shall not be required to be repaid and the amount of such advance shall offset, to the extent thereof, the amount of Gross</w:t>
      </w:r>
      <w:r>
        <w:rPr>
          <w:rFonts w:ascii="MS PGothic" w:cs="MS PGothic" w:eastAsia="MS PGothic" w:hAnsi="MS PGothic"/>
          <w:sz w:val="17"/>
          <w:szCs w:val="17"/>
          <w:color w:val="auto"/>
        </w:rPr>
        <w:t>‑</w:t>
      </w:r>
      <w:r>
        <w:rPr>
          <w:rFonts w:ascii="Arial" w:cs="Arial" w:eastAsia="Arial" w:hAnsi="Arial"/>
          <w:sz w:val="17"/>
          <w:szCs w:val="17"/>
          <w:color w:val="auto"/>
        </w:rPr>
        <w:t>Up Payment required to be paid.</w:t>
      </w:r>
    </w:p>
    <w:p>
      <w:pPr>
        <w:spacing w:after="0" w:line="233" w:lineRule="exact"/>
        <w:rPr>
          <w:rFonts w:ascii="Arial" w:cs="Arial" w:eastAsia="Arial" w:hAnsi="Arial"/>
          <w:sz w:val="17"/>
          <w:szCs w:val="17"/>
          <w:color w:val="auto"/>
        </w:rPr>
      </w:pPr>
    </w:p>
    <w:p>
      <w:pPr>
        <w:jc w:val="both"/>
        <w:ind w:firstLine="818"/>
        <w:spacing w:after="0" w:line="267" w:lineRule="auto"/>
        <w:tabs>
          <w:tab w:leader="none" w:pos="1055" w:val="left"/>
        </w:tabs>
        <w:numPr>
          <w:ilvl w:val="0"/>
          <w:numId w:val="217"/>
        </w:numPr>
        <w:rPr>
          <w:rFonts w:ascii="Arial" w:cs="Arial" w:eastAsia="Arial" w:hAnsi="Arial"/>
          <w:sz w:val="17"/>
          <w:szCs w:val="17"/>
          <w:color w:val="auto"/>
        </w:rPr>
      </w:pPr>
      <w:r>
        <w:rPr>
          <w:rFonts w:ascii="Arial" w:cs="Arial" w:eastAsia="Arial" w:hAnsi="Arial"/>
          <w:sz w:val="17"/>
          <w:szCs w:val="17"/>
          <w:u w:val="single" w:color="auto"/>
          <w:color w:val="auto"/>
        </w:rPr>
        <w:t>Gross-Up Replaced with Net Better</w:t>
      </w:r>
      <w:r>
        <w:rPr>
          <w:rFonts w:ascii="Arial" w:cs="Arial" w:eastAsia="Arial" w:hAnsi="Arial"/>
          <w:sz w:val="17"/>
          <w:szCs w:val="17"/>
          <w:color w:val="auto"/>
        </w:rPr>
        <w:t>. Upon the fifth anniversary of the Effective Date, Sections 6(a)-(d) of this Agreement shall immediately and automatically have no further force and effect with respect to a Change in Control of the Parent occurring on or after such fifth anniversary. Immediately thereafter, and notwithstanding anything in this Agreement to the contrary, if the Executive is a “disqualified individual” (as defined in Section 280G(c) of the Code, and the payments and benefits provided for in this Agreement, together with any other payments and benefits which the Executive has the right to receive from the Employer or any other person, would constitute a “parachute payment” (as defined in Section 280G(b)(2) of the Code), then the payments and benefits provided for in this Agreement shall be either (a) reduced (but not below zero) so that the present value of such total amounts and benefits received by the Executive from the Employer and/or such person(s) will be $1.00 less than three (3) times the Executive’s “base amount” (as defined in Section 280G(b)(3) of the Code) and so that no portion of such amounts and benefits received by the Executive shall be subject to the excise tax imposed by Section 4999 of the Code or (b) paid in full, whichever produces the better “net after-tax position” to the Executive (taking into account any applicable excise tax under Section 4999 of the Code and any other applicable taxes). The reduction of payments and benefits hereunder, if applicable, shall be made by reducing, first, payments or benefits to be paid in cash hereunder in the order in which such payment or benefit would be paid or provided (beginning with such payment or benefit that would be made last in time and continuing, to the extent necessary, through to such payment or benefit that would be made first in time) and, then, reducing any benefit to be provided in-kind hereunder in a similar order. The determination as to whether any such reduction in the amount of the payments and benefits provided hereunder is necessary shall be made applying principles, assumptions and procedures consistent with Section 280G of the Code by the 280G Firm. In order to assess whether payments under this Agreement or otherwise qualify as reasonable compensation that is exempt from being a parachute payment under Section 280G of the Code, the 280G Firm, the Employer may retain the services of an independent valuation expert. If a reduced payment or benefit is made or provided and through error or otherwise that payment or benefit, when aggregated with other payments and benefits from the Employer (or its affiliates) used in determining if a “parachute payment” exists, exceeds $1.00 less than three (3) times the Executive’s base amount, then the Executive shall immediately repay such excess to the Employer upon notification that an overpayment has been made. Nothing in this Section 6 shall require the Employer to be responsible for, or have any liability or obligation with respect to, the Executive’s excise tax liabilities under Section 4999 of the Code.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12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8" w:name="page299"/>
    <w:bookmarkEnd w:id="298"/>
    <w:p>
      <w:pPr>
        <w:jc w:val="both"/>
        <w:ind w:firstLine="656"/>
        <w:spacing w:after="0" w:line="257" w:lineRule="auto"/>
        <w:tabs>
          <w:tab w:leader="none" w:pos="828" w:val="left"/>
        </w:tabs>
        <w:numPr>
          <w:ilvl w:val="0"/>
          <w:numId w:val="218"/>
        </w:numPr>
        <w:rPr>
          <w:rFonts w:ascii="Arial" w:cs="Arial" w:eastAsia="Arial" w:hAnsi="Arial"/>
          <w:sz w:val="18"/>
          <w:szCs w:val="18"/>
          <w:color w:val="auto"/>
        </w:rPr>
      </w:pPr>
      <w:r>
        <w:rPr>
          <w:rFonts w:ascii="Arial" w:cs="Arial" w:eastAsia="Arial" w:hAnsi="Arial"/>
          <w:sz w:val="18"/>
          <w:szCs w:val="18"/>
          <w:u w:val="single" w:color="auto"/>
          <w:color w:val="auto"/>
        </w:rPr>
        <w:t>Section 409A of the Code</w:t>
      </w:r>
      <w:r>
        <w:rPr>
          <w:rFonts w:ascii="Arial" w:cs="Arial" w:eastAsia="Arial" w:hAnsi="Arial"/>
          <w:sz w:val="18"/>
          <w:szCs w:val="18"/>
          <w:color w:val="auto"/>
        </w:rPr>
        <w:t>. This Agreement is intended to either avoid the application of, or comply with, Section 409A of the Code. To that end this Agreement shall at all times be interpreted in a manner that is consistent with Section 409A of the Code. Notwithstanding any other provision in this Agreement to the contrary, the Employer shall have the right, in its sole discretion, to adopt such amendments to this Agreement or take such other actions (including amendments and actions with retroactive effect) as it determines is necessary or appropriate for this Agreement to comply with Section 409A of the Code. Further:</w:t>
      </w:r>
    </w:p>
    <w:p>
      <w:pPr>
        <w:spacing w:after="0" w:line="215" w:lineRule="exact"/>
        <w:rPr>
          <w:rFonts w:ascii="Arial" w:cs="Arial" w:eastAsia="Arial" w:hAnsi="Arial"/>
          <w:sz w:val="18"/>
          <w:szCs w:val="18"/>
          <w:color w:val="auto"/>
        </w:rPr>
      </w:pPr>
    </w:p>
    <w:p>
      <w:pPr>
        <w:jc w:val="both"/>
        <w:ind w:firstLine="818"/>
        <w:spacing w:after="0" w:line="257" w:lineRule="auto"/>
        <w:tabs>
          <w:tab w:leader="none" w:pos="1055" w:val="left"/>
        </w:tabs>
        <w:numPr>
          <w:ilvl w:val="1"/>
          <w:numId w:val="218"/>
        </w:numPr>
        <w:rPr>
          <w:rFonts w:ascii="Arial" w:cs="Arial" w:eastAsia="Arial" w:hAnsi="Arial"/>
          <w:sz w:val="18"/>
          <w:szCs w:val="18"/>
          <w:color w:val="auto"/>
        </w:rPr>
      </w:pPr>
      <w:r>
        <w:rPr>
          <w:rFonts w:ascii="Arial" w:cs="Arial" w:eastAsia="Arial" w:hAnsi="Arial"/>
          <w:sz w:val="18"/>
          <w:szCs w:val="18"/>
          <w:color w:val="auto"/>
        </w:rPr>
        <w:t>Any reimbursement of any costs and expenses by the Employer to the Executive under this Agreement shall be made by the Employer in no event later than the close of the Executive’s taxable year following the taxable year in which the cost or expense is incurred by the Executive. The expenses incurred by the Executive in any calendar year that are eligible for reimbursement under this Agreement shall not affect the expenses incurred by the Executive in any other calendar year that are eligible for reimbursement hereunder and the Executive’s right to receive any reimbursement hereunder shall not be subject to liquidation or exchange for any other benefit.</w:t>
      </w:r>
    </w:p>
    <w:p>
      <w:pPr>
        <w:spacing w:after="0" w:line="215" w:lineRule="exact"/>
        <w:rPr>
          <w:rFonts w:ascii="Arial" w:cs="Arial" w:eastAsia="Arial" w:hAnsi="Arial"/>
          <w:sz w:val="18"/>
          <w:szCs w:val="18"/>
          <w:color w:val="auto"/>
        </w:rPr>
      </w:pPr>
    </w:p>
    <w:p>
      <w:pPr>
        <w:jc w:val="both"/>
        <w:ind w:firstLine="818"/>
        <w:spacing w:after="0" w:line="259" w:lineRule="auto"/>
        <w:tabs>
          <w:tab w:leader="none" w:pos="1065" w:val="left"/>
        </w:tabs>
        <w:numPr>
          <w:ilvl w:val="1"/>
          <w:numId w:val="218"/>
        </w:numPr>
        <w:rPr>
          <w:rFonts w:ascii="Arial" w:cs="Arial" w:eastAsia="Arial" w:hAnsi="Arial"/>
          <w:sz w:val="18"/>
          <w:szCs w:val="18"/>
          <w:color w:val="auto"/>
        </w:rPr>
      </w:pPr>
      <w:r>
        <w:rPr>
          <w:rFonts w:ascii="Arial" w:cs="Arial" w:eastAsia="Arial" w:hAnsi="Arial"/>
          <w:sz w:val="18"/>
          <w:szCs w:val="18"/>
          <w:color w:val="auto"/>
        </w:rPr>
        <w:t>Any payment following a separation from service that would be subject to Section 409A(a)(2)(A)(i) of the Code as a distribution following a separation from service of a “specified employee” (as defined under Section 409A(a)(2)(B)(i) of the Code) shall be made on the first to occur of (i) ten (10) days after the expiration of the six-month (6) period following such separation from service, (ii) death, or (iii) such earlier date that complies with Section 409A of the Code.</w:t>
      </w:r>
    </w:p>
    <w:p>
      <w:pPr>
        <w:spacing w:after="0" w:line="213" w:lineRule="exact"/>
        <w:rPr>
          <w:rFonts w:ascii="Arial" w:cs="Arial" w:eastAsia="Arial" w:hAnsi="Arial"/>
          <w:sz w:val="18"/>
          <w:szCs w:val="18"/>
          <w:color w:val="auto"/>
        </w:rPr>
      </w:pPr>
    </w:p>
    <w:p>
      <w:pPr>
        <w:ind w:left="1060" w:hanging="242"/>
        <w:spacing w:after="0"/>
        <w:tabs>
          <w:tab w:leader="none" w:pos="1060" w:val="left"/>
        </w:tabs>
        <w:numPr>
          <w:ilvl w:val="1"/>
          <w:numId w:val="218"/>
        </w:numPr>
        <w:rPr>
          <w:rFonts w:ascii="Arial" w:cs="Arial" w:eastAsia="Arial" w:hAnsi="Arial"/>
          <w:sz w:val="16"/>
          <w:szCs w:val="16"/>
          <w:color w:val="auto"/>
        </w:rPr>
      </w:pPr>
      <w:r>
        <w:rPr>
          <w:rFonts w:ascii="Arial" w:cs="Arial" w:eastAsia="Arial" w:hAnsi="Arial"/>
          <w:sz w:val="16"/>
          <w:szCs w:val="16"/>
          <w:color w:val="auto"/>
        </w:rPr>
        <w:t>Each payment that the Executive may receive under this Agreement shall be treated as a “separate payment” for purposes of Section 409A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Code.</w:t>
      </w:r>
    </w:p>
    <w:p>
      <w:pPr>
        <w:spacing w:after="0" w:line="237" w:lineRule="exact"/>
        <w:rPr>
          <w:rFonts w:ascii="Arial" w:cs="Arial" w:eastAsia="Arial" w:hAnsi="Arial"/>
          <w:sz w:val="16"/>
          <w:szCs w:val="16"/>
          <w:color w:val="auto"/>
        </w:rPr>
      </w:pPr>
    </w:p>
    <w:p>
      <w:pPr>
        <w:jc w:val="both"/>
        <w:ind w:firstLine="818"/>
        <w:spacing w:after="0" w:line="259" w:lineRule="auto"/>
        <w:tabs>
          <w:tab w:leader="none" w:pos="1065" w:val="left"/>
        </w:tabs>
        <w:numPr>
          <w:ilvl w:val="1"/>
          <w:numId w:val="218"/>
        </w:numPr>
        <w:rPr>
          <w:rFonts w:ascii="Arial" w:cs="Arial" w:eastAsia="Arial" w:hAnsi="Arial"/>
          <w:sz w:val="18"/>
          <w:szCs w:val="18"/>
          <w:color w:val="auto"/>
        </w:rPr>
      </w:pPr>
      <w:r>
        <w:rPr>
          <w:rFonts w:ascii="Arial" w:cs="Arial" w:eastAsia="Arial" w:hAnsi="Arial"/>
          <w:sz w:val="18"/>
          <w:szCs w:val="18"/>
          <w:color w:val="auto"/>
        </w:rPr>
        <w:t>A termination of employment shall not be deemed to have occurred for purposes of any provision of this Agreement providing for the payment of any amounts or benefits upon or following a termination of employment unless such termination is also a “separation from service” within the meaning of Section 409A of the Code and, for purposes of any such provision of this Agreement, references to a “termination,” “termination of employment,” or like terms shall mean “separation from service.”</w:t>
      </w:r>
    </w:p>
    <w:p>
      <w:pPr>
        <w:spacing w:after="0" w:line="213" w:lineRule="exact"/>
        <w:rPr>
          <w:rFonts w:ascii="Arial" w:cs="Arial" w:eastAsia="Arial" w:hAnsi="Arial"/>
          <w:sz w:val="18"/>
          <w:szCs w:val="18"/>
          <w:color w:val="auto"/>
        </w:rPr>
      </w:pPr>
    </w:p>
    <w:p>
      <w:pPr>
        <w:ind w:left="840" w:hanging="184"/>
        <w:spacing w:after="0"/>
        <w:tabs>
          <w:tab w:leader="none" w:pos="840" w:val="left"/>
        </w:tabs>
        <w:numPr>
          <w:ilvl w:val="0"/>
          <w:numId w:val="218"/>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firstLine="818"/>
        <w:spacing w:after="0" w:line="291" w:lineRule="auto"/>
        <w:tabs>
          <w:tab w:leader="none" w:pos="1055" w:val="left"/>
        </w:tabs>
        <w:numPr>
          <w:ilvl w:val="1"/>
          <w:numId w:val="218"/>
        </w:numPr>
        <w:rPr>
          <w:rFonts w:ascii="Arial" w:cs="Arial" w:eastAsia="Arial" w:hAnsi="Arial"/>
          <w:sz w:val="16"/>
          <w:szCs w:val="16"/>
          <w:color w:val="auto"/>
        </w:rPr>
      </w:pPr>
      <w:r>
        <w:rPr>
          <w:rFonts w:ascii="Arial" w:cs="Arial" w:eastAsia="Arial" w:hAnsi="Arial"/>
          <w:sz w:val="16"/>
          <w:szCs w:val="16"/>
          <w:u w:val="single" w:color="auto"/>
          <w:color w:val="auto"/>
        </w:rPr>
        <w:t>Defense of Claims</w:t>
      </w:r>
      <w:r>
        <w:rPr>
          <w:rFonts w:ascii="Arial" w:cs="Arial" w:eastAsia="Arial" w:hAnsi="Arial"/>
          <w:sz w:val="16"/>
          <w:szCs w:val="16"/>
          <w:color w:val="auto"/>
        </w:rPr>
        <w:t>. The Executive agrees that, during the Term and for a period of twelve (12) months following the Executive’s separation, upon reasonable request from the Employer and at such times and places as are reasonably acceptable to the Executive, the Executive will reasonably cooperate with the Employer in the defense of any claims or actions that may be made by or against the Employer that affect the Executive’s prior areas of responsibility, except if the Executive’s reasonable interests are adverse to the Employer in such claim or action. The Employer agrees to promptly reimburse the Executive for all of the Executive’s reasonable legal fees, travel and other direct expenses incurred, or to be reasonably incurred, and, if the Executive is no longer employed with the Employer, to compensate the Executive (at a pro rata hourly rate calculated based on the Executive’s salary at the time of the Executive’s separation) for the Executive’s time to comply with the Executive’s obligations under this Section 8(a).</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13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9" w:name="page300"/>
    <w:bookmarkEnd w:id="299"/>
    <w:p>
      <w:pPr>
        <w:jc w:val="both"/>
        <w:ind w:firstLine="818"/>
        <w:spacing w:after="0" w:line="257" w:lineRule="auto"/>
        <w:tabs>
          <w:tab w:leader="none" w:pos="1065"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Source of Payments</w:t>
      </w:r>
      <w:r>
        <w:rPr>
          <w:rFonts w:ascii="Arial" w:cs="Arial" w:eastAsia="Arial" w:hAnsi="Arial"/>
          <w:sz w:val="18"/>
          <w:szCs w:val="18"/>
          <w:color w:val="auto"/>
        </w:rPr>
        <w:t>. All payments provided under this Agreement, other than payments made pursuant to a plan or agreement which provides otherwise, shall be paid in cash from the general funds of the Employer, and no special or separate fund shall be established, and no other segregation of assets shall be made, to assure payment. The Executive shall have no right, title or interest whatsoever in or to any investments which the Employer may make to aid the Employer in meeting its obligations hereunder. To the extent that any person acquires a right to receive payments from the Employer hereunder, such right shall be no greater than the right of an unsecured creditor of the Employer.</w:t>
      </w:r>
    </w:p>
    <w:p>
      <w:pPr>
        <w:spacing w:after="0" w:line="215" w:lineRule="exact"/>
        <w:rPr>
          <w:rFonts w:ascii="Arial" w:cs="Arial" w:eastAsia="Arial" w:hAnsi="Arial"/>
          <w:sz w:val="18"/>
          <w:szCs w:val="18"/>
          <w:color w:val="auto"/>
        </w:rPr>
      </w:pPr>
    </w:p>
    <w:p>
      <w:pPr>
        <w:jc w:val="both"/>
        <w:ind w:firstLine="818"/>
        <w:spacing w:after="0" w:line="286" w:lineRule="auto"/>
        <w:tabs>
          <w:tab w:leader="none" w:pos="1055" w:val="left"/>
        </w:tabs>
        <w:numPr>
          <w:ilvl w:val="0"/>
          <w:numId w:val="219"/>
        </w:numPr>
        <w:rPr>
          <w:rFonts w:ascii="Arial" w:cs="Arial" w:eastAsia="Arial" w:hAnsi="Arial"/>
          <w:sz w:val="17"/>
          <w:szCs w:val="17"/>
          <w:color w:val="auto"/>
        </w:rPr>
      </w:pPr>
      <w:r>
        <w:rPr>
          <w:rFonts w:ascii="Arial" w:cs="Arial" w:eastAsia="Arial" w:hAnsi="Arial"/>
          <w:sz w:val="17"/>
          <w:szCs w:val="17"/>
          <w:u w:val="single" w:color="auto"/>
          <w:color w:val="auto"/>
        </w:rPr>
        <w:t>Amendment, Waiver</w:t>
      </w:r>
      <w:r>
        <w:rPr>
          <w:rFonts w:ascii="Arial" w:cs="Arial" w:eastAsia="Arial" w:hAnsi="Arial"/>
          <w:sz w:val="17"/>
          <w:szCs w:val="17"/>
          <w:color w:val="auto"/>
        </w:rPr>
        <w:t>. This Agreement may not be modified, amended or waived in any manner, except by an instrument in writing signed by both parties hereto. The waiver by either party of compliance with any provision of this Agreement by the other party shall not operate or be construed as a waiver of any other provision of this Agreement, or of any subsequent breach by such party of a provision of this Agreement.</w:t>
      </w:r>
    </w:p>
    <w:p>
      <w:pPr>
        <w:spacing w:after="0" w:line="192" w:lineRule="exact"/>
        <w:rPr>
          <w:rFonts w:ascii="Arial" w:cs="Arial" w:eastAsia="Arial" w:hAnsi="Arial"/>
          <w:sz w:val="17"/>
          <w:szCs w:val="17"/>
          <w:color w:val="auto"/>
        </w:rPr>
      </w:pPr>
    </w:p>
    <w:p>
      <w:pPr>
        <w:jc w:val="both"/>
        <w:ind w:firstLine="818"/>
        <w:spacing w:after="0" w:line="257" w:lineRule="auto"/>
        <w:tabs>
          <w:tab w:leader="none" w:pos="1092"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the Exhibits attached hereto, and the agreements referenced herein are the entire agreements and understandings of the parties hereto with respect to the matters covered herein and therein, and they supersede all prior or contemporaneous negotiations, commitments, agreements and writings with respect to the subject matter hereof and thereof, all such other negotiations, commitments, agreements and writings shall have no further force or effect, and the parties to any such other negotiation, commitment, agreement or writing shall have no further rights or obligations thereunder.</w:t>
      </w:r>
    </w:p>
    <w:p>
      <w:pPr>
        <w:spacing w:after="0" w:line="215" w:lineRule="exact"/>
        <w:rPr>
          <w:rFonts w:ascii="Arial" w:cs="Arial" w:eastAsia="Arial" w:hAnsi="Arial"/>
          <w:sz w:val="18"/>
          <w:szCs w:val="18"/>
          <w:color w:val="auto"/>
        </w:rPr>
      </w:pPr>
    </w:p>
    <w:p>
      <w:pPr>
        <w:jc w:val="both"/>
        <w:ind w:firstLine="818"/>
        <w:spacing w:after="0" w:line="286" w:lineRule="auto"/>
        <w:tabs>
          <w:tab w:leader="none" w:pos="1055" w:val="left"/>
        </w:tabs>
        <w:numPr>
          <w:ilvl w:val="0"/>
          <w:numId w:val="219"/>
        </w:numPr>
        <w:rPr>
          <w:rFonts w:ascii="Arial" w:cs="Arial" w:eastAsia="Arial" w:hAnsi="Arial"/>
          <w:sz w:val="17"/>
          <w:szCs w:val="17"/>
          <w:color w:val="auto"/>
        </w:rPr>
      </w:pPr>
      <w:r>
        <w:rPr>
          <w:rFonts w:ascii="Arial" w:cs="Arial" w:eastAsia="Arial" w:hAnsi="Arial"/>
          <w:sz w:val="17"/>
          <w:szCs w:val="17"/>
          <w:u w:val="single" w:color="auto"/>
          <w:color w:val="auto"/>
        </w:rPr>
        <w:t>Governing Law/Venue</w:t>
      </w:r>
      <w:r>
        <w:rPr>
          <w:rFonts w:ascii="Arial" w:cs="Arial" w:eastAsia="Arial" w:hAnsi="Arial"/>
          <w:sz w:val="17"/>
          <w:szCs w:val="17"/>
          <w:color w:val="auto"/>
        </w:rPr>
        <w:t>. This Agreement shall be performable, governed by and construed in accordance with the laws of the State of Texas, without regard to conflict of laws principles thereof. Each party to this Agreement hereby irrevocably submits to the exclusive jurisdiction of the state and federal courts in Lubbock County, Texas, for the purposes of any proceeding arising out of or based upon this Agreement.</w:t>
      </w:r>
    </w:p>
    <w:p>
      <w:pPr>
        <w:spacing w:after="0" w:line="192" w:lineRule="exact"/>
        <w:rPr>
          <w:rFonts w:ascii="Arial" w:cs="Arial" w:eastAsia="Arial" w:hAnsi="Arial"/>
          <w:sz w:val="17"/>
          <w:szCs w:val="17"/>
          <w:color w:val="auto"/>
        </w:rPr>
      </w:pPr>
    </w:p>
    <w:p>
      <w:pPr>
        <w:ind w:firstLine="818"/>
        <w:spacing w:after="0" w:line="308" w:lineRule="auto"/>
        <w:tabs>
          <w:tab w:leader="none" w:pos="1049" w:val="left"/>
        </w:tabs>
        <w:numPr>
          <w:ilvl w:val="0"/>
          <w:numId w:val="219"/>
        </w:numPr>
        <w:rPr>
          <w:rFonts w:ascii="Arial" w:cs="Arial" w:eastAsia="Arial" w:hAnsi="Arial"/>
          <w:sz w:val="17"/>
          <w:szCs w:val="17"/>
          <w:color w:val="auto"/>
        </w:rPr>
      </w:pPr>
      <w:r>
        <w:rPr>
          <w:rFonts w:ascii="Arial" w:cs="Arial" w:eastAsia="Arial" w:hAnsi="Arial"/>
          <w:sz w:val="17"/>
          <w:szCs w:val="17"/>
          <w:u w:val="single" w:color="auto"/>
          <w:color w:val="auto"/>
        </w:rPr>
        <w:t>No Waiver</w:t>
      </w:r>
      <w:r>
        <w:rPr>
          <w:rFonts w:ascii="Arial" w:cs="Arial" w:eastAsia="Arial" w:hAnsi="Arial"/>
          <w:sz w:val="17"/>
          <w:szCs w:val="17"/>
          <w:color w:val="auto"/>
        </w:rPr>
        <w:t>. The failure of a party to insist upon strict adherence to any term of this Agreement on any occasion shall not be considered a waiver of such party’s rights or deprive such party of the right thereafter to insist upon strict adherence to that term or any other term of this Agreement.</w:t>
      </w:r>
    </w:p>
    <w:p>
      <w:pPr>
        <w:spacing w:after="0" w:line="173" w:lineRule="exact"/>
        <w:rPr>
          <w:rFonts w:ascii="Arial" w:cs="Arial" w:eastAsia="Arial" w:hAnsi="Arial"/>
          <w:sz w:val="17"/>
          <w:szCs w:val="17"/>
          <w:color w:val="auto"/>
        </w:rPr>
      </w:pPr>
    </w:p>
    <w:p>
      <w:pPr>
        <w:ind w:firstLine="818"/>
        <w:spacing w:after="0" w:line="277" w:lineRule="auto"/>
        <w:tabs>
          <w:tab w:leader="none" w:pos="1065"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one or more of the provisions of this Agreement shall be or become invalid, illegal or unenforceable in any respect, the validity, legality and enforceability of the remaining provisions of this Agreement shall not be affected thereby.</w:t>
      </w:r>
    </w:p>
    <w:p>
      <w:pPr>
        <w:spacing w:after="0" w:line="197" w:lineRule="exact"/>
        <w:rPr>
          <w:rFonts w:ascii="Arial" w:cs="Arial" w:eastAsia="Arial" w:hAnsi="Arial"/>
          <w:sz w:val="18"/>
          <w:szCs w:val="18"/>
          <w:color w:val="auto"/>
        </w:rPr>
      </w:pPr>
    </w:p>
    <w:p>
      <w:pPr>
        <w:jc w:val="both"/>
        <w:ind w:firstLine="818"/>
        <w:spacing w:after="0" w:line="264" w:lineRule="auto"/>
        <w:tabs>
          <w:tab w:leader="none" w:pos="1065"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Specific Performance/Injunctive Relief</w:t>
      </w:r>
      <w:r>
        <w:rPr>
          <w:rFonts w:ascii="Arial" w:cs="Arial" w:eastAsia="Arial" w:hAnsi="Arial"/>
          <w:sz w:val="18"/>
          <w:szCs w:val="18"/>
          <w:color w:val="auto"/>
        </w:rPr>
        <w:t xml:space="preserve">. In the event of the Executive’s breach or violation of any of the Restrictive Covenants contained in </w:t>
      </w:r>
      <w:r>
        <w:rPr>
          <w:rFonts w:ascii="Arial" w:cs="Arial" w:eastAsia="Arial" w:hAnsi="Arial"/>
          <w:sz w:val="18"/>
          <w:szCs w:val="18"/>
          <w:b w:val="1"/>
          <w:bCs w:val="1"/>
          <w:u w:val="single" w:color="auto"/>
          <w:color w:val="auto"/>
        </w:rPr>
        <w:t>Exhibit D</w:t>
      </w:r>
      <w:r>
        <w:rPr>
          <w:rFonts w:ascii="Arial" w:cs="Arial" w:eastAsia="Arial" w:hAnsi="Arial"/>
          <w:sz w:val="18"/>
          <w:szCs w:val="18"/>
          <w:color w:val="auto"/>
        </w:rPr>
        <w:t>, the parties agree that, in addition to any other remedies it may have, the Employer shall be entitled to seek equitable relief for specific</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w:t>
      </w:r>
    </w:p>
    <w:p>
      <w:pPr>
        <w:spacing w:after="0" w:line="208" w:lineRule="exact"/>
        <w:rPr>
          <w:rFonts w:ascii="Arial" w:cs="Arial" w:eastAsia="Arial" w:hAnsi="Arial"/>
          <w:sz w:val="18"/>
          <w:szCs w:val="18"/>
          <w:color w:val="auto"/>
        </w:rPr>
      </w:pPr>
    </w:p>
    <w:p>
      <w:pPr>
        <w:jc w:val="both"/>
        <w:ind w:firstLine="818"/>
        <w:spacing w:after="0" w:line="257" w:lineRule="auto"/>
        <w:tabs>
          <w:tab w:leader="none" w:pos="1025"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No Assignment</w:t>
      </w:r>
      <w:r>
        <w:rPr>
          <w:rFonts w:ascii="Arial" w:cs="Arial" w:eastAsia="Arial" w:hAnsi="Arial"/>
          <w:sz w:val="18"/>
          <w:szCs w:val="18"/>
          <w:color w:val="auto"/>
        </w:rPr>
        <w:t xml:space="preserve">. Neither this Agreement nor any rights or duties hereunder shall be assignable or delegable by a party hereto without the prior written consent of the other party hereto. Any purported assignment or delegation by a party in violation of the foregoing shall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 xml:space="preserve"> and of no force and effect. Notwithstanding the prior two sentences, this Agreement may be assigned by the Employer to a person or entity which is a successor in interest to substantially all of the business operations of the Employer provided that upon such assignment, the rights and obligations of the Employer hereunder shall become the rights and obligations of such successor person or entity.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14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0" w:name="page301"/>
    <w:bookmarkEnd w:id="300"/>
    <w:p>
      <w:pPr>
        <w:ind w:firstLine="818"/>
        <w:spacing w:after="0" w:line="277" w:lineRule="auto"/>
        <w:tabs>
          <w:tab w:leader="none" w:pos="1039"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Successors; Binding Agreement</w:t>
      </w:r>
      <w:r>
        <w:rPr>
          <w:rFonts w:ascii="Arial" w:cs="Arial" w:eastAsia="Arial" w:hAnsi="Arial"/>
          <w:sz w:val="18"/>
          <w:szCs w:val="18"/>
          <w:color w:val="auto"/>
        </w:rPr>
        <w:t>. Upon the death of the Executive, this Agreement shall be binding upon personal or legal representatives, executors, administrators, successors, heirs, distributes, devisees and/or legatees.</w:t>
      </w:r>
    </w:p>
    <w:p>
      <w:pPr>
        <w:spacing w:after="0" w:line="197" w:lineRule="exact"/>
        <w:rPr>
          <w:rFonts w:ascii="Arial" w:cs="Arial" w:eastAsia="Arial" w:hAnsi="Arial"/>
          <w:sz w:val="18"/>
          <w:szCs w:val="18"/>
          <w:color w:val="auto"/>
        </w:rPr>
      </w:pPr>
    </w:p>
    <w:p>
      <w:pPr>
        <w:jc w:val="both"/>
        <w:ind w:firstLine="818"/>
        <w:spacing w:after="0" w:line="302" w:lineRule="auto"/>
        <w:tabs>
          <w:tab w:leader="none" w:pos="1065" w:val="left"/>
        </w:tabs>
        <w:numPr>
          <w:ilvl w:val="0"/>
          <w:numId w:val="220"/>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For the purpose of this Agreement, notices and all other communications provided for in this Agreement shall be in writing and shall be deemed to have been duly given when delivered by hand or overnight courier or three (3) days after it has been mailed by United States registered mail, return receipt requested, postage prepaid, addressed to the respective addresses set forth below in this Agreement, or to such other address as either party may have furnished to the other in writing in accordance herewith, except that notice of change of address shall be effective only upon receipt.</w:t>
      </w:r>
    </w:p>
    <w:p>
      <w:pPr>
        <w:spacing w:after="0" w:line="164"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1880" w:type="dxa"/>
            <w:vAlign w:val="bottom"/>
            <w:gridSpan w:val="3"/>
          </w:tcPr>
          <w:p>
            <w:pPr>
              <w:spacing w:after="0"/>
              <w:rPr>
                <w:sz w:val="20"/>
                <w:szCs w:val="20"/>
                <w:color w:val="auto"/>
              </w:rPr>
            </w:pPr>
            <w:r>
              <w:rPr>
                <w:rFonts w:ascii="Arial" w:cs="Arial" w:eastAsia="Arial" w:hAnsi="Arial"/>
                <w:sz w:val="18"/>
                <w:szCs w:val="18"/>
                <w:b w:val="1"/>
                <w:bCs w:val="1"/>
                <w:color w:val="auto"/>
              </w:rPr>
              <w:t>If to the Employer:</w:t>
            </w:r>
          </w:p>
        </w:tc>
        <w:tc>
          <w:tcPr>
            <w:tcW w:w="4180" w:type="dxa"/>
            <w:vAlign w:val="bottom"/>
          </w:tcPr>
          <w:p>
            <w:pPr>
              <w:ind w:left="400"/>
              <w:spacing w:after="0"/>
              <w:rPr>
                <w:sz w:val="20"/>
                <w:szCs w:val="20"/>
                <w:color w:val="auto"/>
              </w:rPr>
            </w:pPr>
            <w:r>
              <w:rPr>
                <w:rFonts w:ascii="Arial" w:cs="Arial" w:eastAsia="Arial" w:hAnsi="Arial"/>
                <w:sz w:val="18"/>
                <w:szCs w:val="18"/>
                <w:color w:val="auto"/>
              </w:rPr>
              <w:t>Board of Directors</w:t>
            </w:r>
          </w:p>
        </w:tc>
      </w:tr>
      <w:tr>
        <w:trPr>
          <w:trHeight w:val="222"/>
        </w:trPr>
        <w:tc>
          <w:tcPr>
            <w:tcW w:w="14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4180" w:type="dxa"/>
            <w:vAlign w:val="bottom"/>
          </w:tcPr>
          <w:p>
            <w:pPr>
              <w:ind w:left="400"/>
              <w:spacing w:after="0"/>
              <w:rPr>
                <w:sz w:val="20"/>
                <w:szCs w:val="20"/>
                <w:color w:val="auto"/>
              </w:rPr>
            </w:pPr>
            <w:r>
              <w:rPr>
                <w:rFonts w:ascii="Arial" w:cs="Arial" w:eastAsia="Arial" w:hAnsi="Arial"/>
                <w:sz w:val="18"/>
                <w:szCs w:val="18"/>
                <w:color w:val="auto"/>
              </w:rPr>
              <w:t>South Plains Financial, Inc.</w:t>
            </w:r>
          </w:p>
        </w:tc>
      </w:tr>
      <w:tr>
        <w:trPr>
          <w:trHeight w:val="216"/>
        </w:trPr>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80" w:type="dxa"/>
            <w:vAlign w:val="bottom"/>
          </w:tcPr>
          <w:p>
            <w:pPr>
              <w:ind w:left="400"/>
              <w:spacing w:after="0"/>
              <w:rPr>
                <w:sz w:val="20"/>
                <w:szCs w:val="20"/>
                <w:color w:val="auto"/>
              </w:rPr>
            </w:pPr>
            <w:r>
              <w:rPr>
                <w:rFonts w:ascii="Arial" w:cs="Arial" w:eastAsia="Arial" w:hAnsi="Arial"/>
                <w:sz w:val="18"/>
                <w:szCs w:val="18"/>
                <w:color w:val="auto"/>
              </w:rPr>
              <w:t>5219 City Bank Parkway</w:t>
            </w:r>
          </w:p>
        </w:tc>
      </w:tr>
      <w:tr>
        <w:trPr>
          <w:trHeight w:val="216"/>
        </w:trPr>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80" w:type="dxa"/>
            <w:vAlign w:val="bottom"/>
          </w:tcPr>
          <w:p>
            <w:pPr>
              <w:ind w:left="400"/>
              <w:spacing w:after="0"/>
              <w:rPr>
                <w:sz w:val="20"/>
                <w:szCs w:val="20"/>
                <w:color w:val="auto"/>
              </w:rPr>
            </w:pPr>
            <w:r>
              <w:rPr>
                <w:rFonts w:ascii="Arial" w:cs="Arial" w:eastAsia="Arial" w:hAnsi="Arial"/>
                <w:sz w:val="18"/>
                <w:szCs w:val="18"/>
                <w:color w:val="auto"/>
              </w:rPr>
              <w:t>Lubbock, Texas 79407</w:t>
            </w:r>
          </w:p>
        </w:tc>
      </w:tr>
      <w:tr>
        <w:trPr>
          <w:trHeight w:val="230"/>
        </w:trPr>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80" w:type="dxa"/>
            <w:vAlign w:val="bottom"/>
          </w:tcPr>
          <w:p>
            <w:pPr>
              <w:ind w:left="620"/>
              <w:spacing w:after="0"/>
              <w:rPr>
                <w:sz w:val="20"/>
                <w:szCs w:val="20"/>
                <w:color w:val="auto"/>
              </w:rPr>
            </w:pPr>
            <w:r>
              <w:rPr>
                <w:rFonts w:ascii="Arial" w:cs="Arial" w:eastAsia="Arial" w:hAnsi="Arial"/>
                <w:sz w:val="18"/>
                <w:szCs w:val="18"/>
                <w:color w:val="auto"/>
              </w:rPr>
              <w:t>Attn: Curtis Griffith, Chairman</w:t>
            </w:r>
          </w:p>
        </w:tc>
      </w:tr>
      <w:tr>
        <w:trPr>
          <w:trHeight w:val="418"/>
        </w:trPr>
        <w:tc>
          <w:tcPr>
            <w:tcW w:w="1880" w:type="dxa"/>
            <w:vAlign w:val="bottom"/>
            <w:gridSpan w:val="3"/>
          </w:tcPr>
          <w:p>
            <w:pPr>
              <w:spacing w:after="0"/>
              <w:rPr>
                <w:sz w:val="20"/>
                <w:szCs w:val="20"/>
                <w:color w:val="auto"/>
              </w:rPr>
            </w:pPr>
            <w:r>
              <w:rPr>
                <w:rFonts w:ascii="Arial" w:cs="Arial" w:eastAsia="Arial" w:hAnsi="Arial"/>
                <w:sz w:val="18"/>
                <w:szCs w:val="18"/>
                <w:i w:val="1"/>
                <w:iCs w:val="1"/>
                <w:color w:val="auto"/>
              </w:rPr>
              <w:t>With a Copy to:</w:t>
            </w:r>
          </w:p>
        </w:tc>
        <w:tc>
          <w:tcPr>
            <w:tcW w:w="4180" w:type="dxa"/>
            <w:vAlign w:val="bottom"/>
          </w:tcPr>
          <w:p>
            <w:pPr>
              <w:ind w:left="400"/>
              <w:spacing w:after="0"/>
              <w:rPr>
                <w:sz w:val="20"/>
                <w:szCs w:val="20"/>
                <w:color w:val="auto"/>
              </w:rPr>
            </w:pPr>
            <w:r>
              <w:rPr>
                <w:rFonts w:ascii="Arial" w:cs="Arial" w:eastAsia="Arial" w:hAnsi="Arial"/>
                <w:sz w:val="18"/>
                <w:szCs w:val="18"/>
                <w:color w:val="auto"/>
              </w:rPr>
              <w:t>Hunton Andrews Kurth LLP</w:t>
            </w:r>
          </w:p>
        </w:tc>
      </w:tr>
      <w:tr>
        <w:trPr>
          <w:trHeight w:val="216"/>
        </w:trPr>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80" w:type="dxa"/>
            <w:vAlign w:val="bottom"/>
          </w:tcPr>
          <w:p>
            <w:pPr>
              <w:ind w:left="400"/>
              <w:spacing w:after="0"/>
              <w:rPr>
                <w:sz w:val="20"/>
                <w:szCs w:val="20"/>
                <w:color w:val="auto"/>
              </w:rPr>
            </w:pPr>
            <w:r>
              <w:rPr>
                <w:rFonts w:ascii="Arial" w:cs="Arial" w:eastAsia="Arial" w:hAnsi="Arial"/>
                <w:sz w:val="18"/>
                <w:szCs w:val="18"/>
                <w:color w:val="auto"/>
              </w:rPr>
              <w:t>1445 Ross Avenue, Suite 3700</w:t>
            </w:r>
          </w:p>
        </w:tc>
      </w:tr>
      <w:tr>
        <w:trPr>
          <w:trHeight w:val="216"/>
        </w:trPr>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80" w:type="dxa"/>
            <w:vAlign w:val="bottom"/>
          </w:tcPr>
          <w:p>
            <w:pPr>
              <w:ind w:left="400"/>
              <w:spacing w:after="0"/>
              <w:rPr>
                <w:sz w:val="20"/>
                <w:szCs w:val="20"/>
                <w:color w:val="auto"/>
              </w:rPr>
            </w:pPr>
            <w:r>
              <w:rPr>
                <w:rFonts w:ascii="Arial" w:cs="Arial" w:eastAsia="Arial" w:hAnsi="Arial"/>
                <w:sz w:val="18"/>
                <w:szCs w:val="18"/>
                <w:color w:val="auto"/>
              </w:rPr>
              <w:t>Dallas, Texas 75202</w:t>
            </w:r>
          </w:p>
        </w:tc>
      </w:tr>
      <w:tr>
        <w:trPr>
          <w:trHeight w:val="230"/>
        </w:trPr>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80" w:type="dxa"/>
            <w:vAlign w:val="bottom"/>
          </w:tcPr>
          <w:p>
            <w:pPr>
              <w:ind w:left="620"/>
              <w:spacing w:after="0"/>
              <w:rPr>
                <w:sz w:val="20"/>
                <w:szCs w:val="20"/>
                <w:color w:val="auto"/>
              </w:rPr>
            </w:pPr>
            <w:r>
              <w:rPr>
                <w:rFonts w:ascii="Arial" w:cs="Arial" w:eastAsia="Arial" w:hAnsi="Arial"/>
                <w:sz w:val="18"/>
                <w:szCs w:val="18"/>
                <w:color w:val="auto"/>
              </w:rPr>
              <w:t>Attn: Heather Eastep and Anthony Eppert</w:t>
            </w:r>
          </w:p>
        </w:tc>
      </w:tr>
      <w:tr>
        <w:trPr>
          <w:trHeight w:val="392"/>
        </w:trPr>
        <w:tc>
          <w:tcPr>
            <w:tcW w:w="1880" w:type="dxa"/>
            <w:vAlign w:val="bottom"/>
            <w:gridSpan w:val="3"/>
          </w:tcPr>
          <w:p>
            <w:pPr>
              <w:spacing w:after="0"/>
              <w:rPr>
                <w:sz w:val="20"/>
                <w:szCs w:val="20"/>
                <w:color w:val="auto"/>
              </w:rPr>
            </w:pPr>
            <w:r>
              <w:rPr>
                <w:rFonts w:ascii="Arial" w:cs="Arial" w:eastAsia="Arial" w:hAnsi="Arial"/>
                <w:sz w:val="18"/>
                <w:szCs w:val="18"/>
                <w:b w:val="1"/>
                <w:bCs w:val="1"/>
                <w:color w:val="auto"/>
              </w:rPr>
              <w:t>If to the Executive:</w:t>
            </w:r>
          </w:p>
        </w:tc>
        <w:tc>
          <w:tcPr>
            <w:tcW w:w="4180" w:type="dxa"/>
            <w:vAlign w:val="bottom"/>
          </w:tcPr>
          <w:p>
            <w:pPr>
              <w:ind w:left="400"/>
              <w:spacing w:after="0"/>
              <w:rPr>
                <w:sz w:val="20"/>
                <w:szCs w:val="20"/>
                <w:color w:val="auto"/>
              </w:rPr>
            </w:pPr>
            <w:r>
              <w:rPr>
                <w:rFonts w:ascii="Arial" w:cs="Arial" w:eastAsia="Arial" w:hAnsi="Arial"/>
                <w:sz w:val="18"/>
                <w:szCs w:val="18"/>
                <w:color w:val="auto"/>
                <w:w w:val="89"/>
              </w:rPr>
              <w:t>At the address shown in the records of the Employer</w:t>
            </w:r>
          </w:p>
        </w:tc>
      </w:tr>
      <w:tr>
        <w:trPr>
          <w:trHeight w:val="438"/>
        </w:trPr>
        <w:tc>
          <w:tcPr>
            <w:tcW w:w="140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With a Copy to:</w:t>
            </w:r>
          </w:p>
        </w:tc>
        <w:tc>
          <w:tcPr>
            <w:tcW w:w="480" w:type="dxa"/>
            <w:vAlign w:val="bottom"/>
            <w:gridSpan w:val="2"/>
          </w:tcPr>
          <w:p>
            <w:pPr>
              <w:spacing w:after="0"/>
              <w:rPr>
                <w:sz w:val="24"/>
                <w:szCs w:val="24"/>
                <w:color w:val="auto"/>
              </w:rPr>
            </w:pPr>
          </w:p>
        </w:tc>
        <w:tc>
          <w:tcPr>
            <w:tcW w:w="4180" w:type="dxa"/>
            <w:vAlign w:val="bottom"/>
          </w:tcPr>
          <w:p>
            <w:pPr>
              <w:ind w:left="400"/>
              <w:spacing w:after="0"/>
              <w:rPr>
                <w:sz w:val="20"/>
                <w:szCs w:val="20"/>
                <w:color w:val="auto"/>
              </w:rPr>
            </w:pPr>
            <w:r>
              <w:rPr>
                <w:rFonts w:ascii="Arial" w:cs="Arial" w:eastAsia="Arial" w:hAnsi="Arial"/>
                <w:sz w:val="18"/>
                <w:szCs w:val="18"/>
                <w:color w:val="auto"/>
              </w:rPr>
              <w:t>Winstead PC</w:t>
            </w:r>
          </w:p>
        </w:tc>
      </w:tr>
      <w:tr>
        <w:trPr>
          <w:trHeight w:val="216"/>
        </w:trPr>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80" w:type="dxa"/>
            <w:vAlign w:val="bottom"/>
          </w:tcPr>
          <w:p>
            <w:pPr>
              <w:ind w:left="400"/>
              <w:spacing w:after="0"/>
              <w:rPr>
                <w:sz w:val="20"/>
                <w:szCs w:val="20"/>
                <w:color w:val="auto"/>
              </w:rPr>
            </w:pPr>
            <w:r>
              <w:rPr>
                <w:rFonts w:ascii="Arial" w:cs="Arial" w:eastAsia="Arial" w:hAnsi="Arial"/>
                <w:sz w:val="18"/>
                <w:szCs w:val="18"/>
                <w:color w:val="auto"/>
              </w:rPr>
              <w:t>401 Congress Avenue, Suite 2100</w:t>
            </w:r>
          </w:p>
        </w:tc>
      </w:tr>
      <w:tr>
        <w:trPr>
          <w:trHeight w:val="216"/>
        </w:trPr>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80" w:type="dxa"/>
            <w:vAlign w:val="bottom"/>
          </w:tcPr>
          <w:p>
            <w:pPr>
              <w:ind w:left="400"/>
              <w:spacing w:after="0"/>
              <w:rPr>
                <w:sz w:val="20"/>
                <w:szCs w:val="20"/>
                <w:color w:val="auto"/>
              </w:rPr>
            </w:pPr>
            <w:r>
              <w:rPr>
                <w:rFonts w:ascii="Arial" w:cs="Arial" w:eastAsia="Arial" w:hAnsi="Arial"/>
                <w:sz w:val="18"/>
                <w:szCs w:val="18"/>
                <w:color w:val="auto"/>
              </w:rPr>
              <w:t>Austin, Texas 78701</w:t>
            </w:r>
          </w:p>
        </w:tc>
      </w:tr>
      <w:tr>
        <w:trPr>
          <w:trHeight w:val="230"/>
        </w:trPr>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80" w:type="dxa"/>
            <w:vAlign w:val="bottom"/>
          </w:tcPr>
          <w:p>
            <w:pPr>
              <w:ind w:left="580"/>
              <w:spacing w:after="0"/>
              <w:rPr>
                <w:sz w:val="20"/>
                <w:szCs w:val="20"/>
                <w:color w:val="auto"/>
              </w:rPr>
            </w:pPr>
            <w:r>
              <w:rPr>
                <w:rFonts w:ascii="Arial" w:cs="Arial" w:eastAsia="Arial" w:hAnsi="Arial"/>
                <w:sz w:val="18"/>
                <w:szCs w:val="18"/>
                <w:color w:val="auto"/>
              </w:rPr>
              <w:t>Attn: Alex R. Allemann</w:t>
            </w:r>
          </w:p>
        </w:tc>
      </w:tr>
    </w:tbl>
    <w:p>
      <w:pPr>
        <w:spacing w:after="0" w:line="229" w:lineRule="exact"/>
        <w:rPr>
          <w:sz w:val="20"/>
          <w:szCs w:val="20"/>
          <w:color w:val="auto"/>
        </w:rPr>
      </w:pPr>
    </w:p>
    <w:p>
      <w:pPr>
        <w:ind w:firstLine="81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w:t>
      </w:r>
      <w:r>
        <w:rPr>
          <w:rFonts w:ascii="Arial" w:cs="Arial" w:eastAsia="Arial" w:hAnsi="Arial"/>
          <w:sz w:val="18"/>
          <w:szCs w:val="18"/>
          <w:color w:val="auto"/>
        </w:rPr>
        <w:t xml:space="preserve">) </w:t>
      </w:r>
      <w:r>
        <w:rPr>
          <w:rFonts w:ascii="Arial" w:cs="Arial" w:eastAsia="Arial" w:hAnsi="Arial"/>
          <w:sz w:val="18"/>
          <w:szCs w:val="18"/>
          <w:u w:val="single" w:color="auto"/>
          <w:color w:val="auto"/>
        </w:rPr>
        <w:t>Withholding of Taxes</w:t>
      </w:r>
      <w:r>
        <w:rPr>
          <w:rFonts w:ascii="Arial" w:cs="Arial" w:eastAsia="Arial" w:hAnsi="Arial"/>
          <w:sz w:val="18"/>
          <w:szCs w:val="18"/>
          <w:color w:val="auto"/>
        </w:rPr>
        <w:t>. The Employer may withhold from any amounts or benefits payable under this Agreement all taxes it may be required to withhold pursuant to any applicable law or regulation.</w:t>
      </w:r>
    </w:p>
    <w:p>
      <w:pPr>
        <w:spacing w:after="0" w:line="197" w:lineRule="exact"/>
        <w:rPr>
          <w:sz w:val="20"/>
          <w:szCs w:val="20"/>
          <w:color w:val="auto"/>
        </w:rPr>
      </w:pPr>
    </w:p>
    <w:p>
      <w:pPr>
        <w:ind w:firstLine="818"/>
        <w:spacing w:after="0" w:line="277" w:lineRule="auto"/>
        <w:tabs>
          <w:tab w:leader="none" w:pos="1115"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in this Agreement are inserted only as a matter of convenience, and in no way define, limit or interpret the scope of this Agreement or of any particular section.</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15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1" w:name="page302"/>
    <w:bookmarkEnd w:id="301"/>
    <w:p>
      <w:pPr>
        <w:jc w:val="both"/>
        <w:ind w:firstLine="818"/>
        <w:spacing w:after="0" w:line="264" w:lineRule="auto"/>
        <w:tabs>
          <w:tab w:leader="none" w:pos="1065"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 Whenever the context so requires herein, the masculine shall include the feminine and neuter, and the singular shall include the plural. The words “includes” and “including” as used in this Agreement shall be deemed to be followed by the phrase “without limitation.” The word “or” is not exclusive.</w:t>
      </w:r>
    </w:p>
    <w:p>
      <w:pPr>
        <w:spacing w:after="0" w:line="208" w:lineRule="exact"/>
        <w:rPr>
          <w:rFonts w:ascii="Arial" w:cs="Arial" w:eastAsia="Arial" w:hAnsi="Arial"/>
          <w:sz w:val="18"/>
          <w:szCs w:val="18"/>
          <w:color w:val="auto"/>
        </w:rPr>
      </w:pPr>
    </w:p>
    <w:p>
      <w:pPr>
        <w:ind w:firstLine="818"/>
        <w:spacing w:after="0" w:line="277" w:lineRule="auto"/>
        <w:tabs>
          <w:tab w:leader="none" w:pos="1079"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in counterparts, each of which shall be an original, with the same effect as if the signatures thereto and hereto were upon the same instrument.</w:t>
      </w:r>
    </w:p>
    <w:p>
      <w:pPr>
        <w:spacing w:after="0" w:line="197" w:lineRule="exact"/>
        <w:rPr>
          <w:rFonts w:ascii="Arial" w:cs="Arial" w:eastAsia="Arial" w:hAnsi="Arial"/>
          <w:sz w:val="18"/>
          <w:szCs w:val="18"/>
          <w:color w:val="auto"/>
        </w:rPr>
      </w:pPr>
    </w:p>
    <w:p>
      <w:pPr>
        <w:jc w:val="both"/>
        <w:ind w:firstLine="818"/>
        <w:spacing w:after="0" w:line="255" w:lineRule="auto"/>
        <w:tabs>
          <w:tab w:leader="none" w:pos="1079"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This Agreement shall terminate upon the termination of employment of the Executive; however, the following shall survive the termination of the Executive’s employment and/or the expiration or termination of this Agreement, regardless of the reasons for such expiration or termination: Section 3(n) (“</w:t>
      </w:r>
      <w:r>
        <w:rPr>
          <w:rFonts w:ascii="Arial" w:cs="Arial" w:eastAsia="Arial" w:hAnsi="Arial"/>
          <w:sz w:val="18"/>
          <w:szCs w:val="18"/>
          <w:u w:val="single" w:color="auto"/>
          <w:color w:val="auto"/>
        </w:rPr>
        <w:t>Indemnification</w:t>
      </w:r>
      <w:r>
        <w:rPr>
          <w:rFonts w:ascii="Arial" w:cs="Arial" w:eastAsia="Arial" w:hAnsi="Arial"/>
          <w:sz w:val="18"/>
          <w:szCs w:val="18"/>
          <w:color w:val="auto"/>
        </w:rPr>
        <w:t>”), Section 4 (“</w:t>
      </w:r>
      <w:r>
        <w:rPr>
          <w:rFonts w:ascii="Arial" w:cs="Arial" w:eastAsia="Arial" w:hAnsi="Arial"/>
          <w:sz w:val="18"/>
          <w:szCs w:val="18"/>
          <w:u w:val="single" w:color="auto"/>
          <w:color w:val="auto"/>
        </w:rPr>
        <w:t>Rights Upon a Termination of the Executive’s Employment</w:t>
      </w:r>
      <w:r>
        <w:rPr>
          <w:rFonts w:ascii="Arial" w:cs="Arial" w:eastAsia="Arial" w:hAnsi="Arial"/>
          <w:sz w:val="18"/>
          <w:szCs w:val="18"/>
          <w:color w:val="auto"/>
        </w:rPr>
        <w:t xml:space="preserve">”) and its corresponding </w:t>
      </w:r>
      <w:r>
        <w:rPr>
          <w:rFonts w:ascii="Arial" w:cs="Arial" w:eastAsia="Arial" w:hAnsi="Arial"/>
          <w:sz w:val="18"/>
          <w:szCs w:val="18"/>
          <w:u w:val="single" w:color="auto"/>
          <w:color w:val="auto"/>
        </w:rPr>
        <w:t>Exhibit C</w:t>
      </w:r>
      <w:r>
        <w:rPr>
          <w:rFonts w:ascii="Arial" w:cs="Arial" w:eastAsia="Arial" w:hAnsi="Arial"/>
          <w:sz w:val="18"/>
          <w:szCs w:val="18"/>
          <w:color w:val="auto"/>
        </w:rPr>
        <w:t>, Section 5 (“</w:t>
      </w:r>
      <w:r>
        <w:rPr>
          <w:rFonts w:ascii="Arial" w:cs="Arial" w:eastAsia="Arial" w:hAnsi="Arial"/>
          <w:sz w:val="18"/>
          <w:szCs w:val="18"/>
          <w:u w:val="single" w:color="auto"/>
          <w:color w:val="auto"/>
        </w:rPr>
        <w:t>Non-Competition, Non-Solicitation and Confidentiality</w:t>
      </w:r>
      <w:r>
        <w:rPr>
          <w:rFonts w:ascii="Arial" w:cs="Arial" w:eastAsia="Arial" w:hAnsi="Arial"/>
          <w:sz w:val="18"/>
          <w:szCs w:val="18"/>
          <w:color w:val="auto"/>
        </w:rPr>
        <w:t xml:space="preserve">”) and its corresponding </w:t>
      </w:r>
      <w:r>
        <w:rPr>
          <w:rFonts w:ascii="Arial" w:cs="Arial" w:eastAsia="Arial" w:hAnsi="Arial"/>
          <w:sz w:val="18"/>
          <w:szCs w:val="18"/>
          <w:b w:val="1"/>
          <w:bCs w:val="1"/>
          <w:u w:val="single" w:color="auto"/>
          <w:color w:val="auto"/>
        </w:rPr>
        <w:t>Exhibit D</w:t>
      </w:r>
      <w:r>
        <w:rPr>
          <w:rFonts w:ascii="Arial" w:cs="Arial" w:eastAsia="Arial" w:hAnsi="Arial"/>
          <w:sz w:val="18"/>
          <w:szCs w:val="18"/>
          <w:color w:val="auto"/>
        </w:rPr>
        <w:t>, Section 8(a) (“</w:t>
      </w:r>
      <w:r>
        <w:rPr>
          <w:rFonts w:ascii="Arial" w:cs="Arial" w:eastAsia="Arial" w:hAnsi="Arial"/>
          <w:sz w:val="18"/>
          <w:szCs w:val="18"/>
          <w:u w:val="single" w:color="auto"/>
          <w:color w:val="auto"/>
        </w:rPr>
        <w:t>Defense of Claims</w:t>
      </w:r>
      <w:r>
        <w:rPr>
          <w:rFonts w:ascii="Arial" w:cs="Arial" w:eastAsia="Arial" w:hAnsi="Arial"/>
          <w:sz w:val="18"/>
          <w:szCs w:val="18"/>
          <w:color w:val="auto"/>
        </w:rPr>
        <w:t>”), Section 8(d) (“</w:t>
      </w:r>
      <w:r>
        <w:rPr>
          <w:rFonts w:ascii="Arial" w:cs="Arial" w:eastAsia="Arial" w:hAnsi="Arial"/>
          <w:sz w:val="18"/>
          <w:szCs w:val="18"/>
          <w:u w:val="single" w:color="auto"/>
          <w:color w:val="auto"/>
        </w:rPr>
        <w:t>Entire Agreement</w:t>
      </w:r>
      <w:r>
        <w:rPr>
          <w:rFonts w:ascii="Arial" w:cs="Arial" w:eastAsia="Arial" w:hAnsi="Arial"/>
          <w:sz w:val="18"/>
          <w:szCs w:val="18"/>
          <w:color w:val="auto"/>
        </w:rPr>
        <w:t>”), Section 8(e) (“</w:t>
      </w:r>
      <w:r>
        <w:rPr>
          <w:rFonts w:ascii="Arial" w:cs="Arial" w:eastAsia="Arial" w:hAnsi="Arial"/>
          <w:sz w:val="18"/>
          <w:szCs w:val="18"/>
          <w:u w:val="single" w:color="auto"/>
          <w:color w:val="auto"/>
        </w:rPr>
        <w:t>Governing Law/Venue</w:t>
      </w:r>
      <w:r>
        <w:rPr>
          <w:rFonts w:ascii="Arial" w:cs="Arial" w:eastAsia="Arial" w:hAnsi="Arial"/>
          <w:sz w:val="18"/>
          <w:szCs w:val="18"/>
          <w:color w:val="auto"/>
        </w:rPr>
        <w:t>”), Section 8(h) (“</w:t>
      </w:r>
      <w:r>
        <w:rPr>
          <w:rFonts w:ascii="Arial" w:cs="Arial" w:eastAsia="Arial" w:hAnsi="Arial"/>
          <w:sz w:val="18"/>
          <w:szCs w:val="18"/>
          <w:u w:val="single" w:color="auto"/>
          <w:color w:val="auto"/>
        </w:rPr>
        <w:t>Specific Performance/Injunctive Relief</w:t>
      </w:r>
      <w:r>
        <w:rPr>
          <w:rFonts w:ascii="Arial" w:cs="Arial" w:eastAsia="Arial" w:hAnsi="Arial"/>
          <w:sz w:val="18"/>
          <w:szCs w:val="18"/>
          <w:color w:val="auto"/>
        </w:rPr>
        <w:t>”), Section 8(j) (“</w:t>
      </w:r>
      <w:r>
        <w:rPr>
          <w:rFonts w:ascii="Arial" w:cs="Arial" w:eastAsia="Arial" w:hAnsi="Arial"/>
          <w:sz w:val="18"/>
          <w:szCs w:val="18"/>
          <w:u w:val="single" w:color="auto"/>
          <w:color w:val="auto"/>
        </w:rPr>
        <w:t>Successors/Binding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Section 8(k) (“</w:t>
      </w:r>
      <w:r>
        <w:rPr>
          <w:rFonts w:ascii="Arial" w:cs="Arial" w:eastAsia="Arial" w:hAnsi="Arial"/>
          <w:sz w:val="18"/>
          <w:szCs w:val="18"/>
          <w:u w:val="single" w:color="auto"/>
          <w:color w:val="auto"/>
        </w:rPr>
        <w:t>Notices</w:t>
      </w:r>
      <w:r>
        <w:rPr>
          <w:rFonts w:ascii="Arial" w:cs="Arial" w:eastAsia="Arial" w:hAnsi="Arial"/>
          <w:sz w:val="18"/>
          <w:szCs w:val="18"/>
          <w:color w:val="auto"/>
        </w:rPr>
        <w:t>”), and this Section 8(p) (“</w:t>
      </w:r>
      <w:r>
        <w:rPr>
          <w:rFonts w:ascii="Arial" w:cs="Arial" w:eastAsia="Arial" w:hAnsi="Arial"/>
          <w:sz w:val="18"/>
          <w:szCs w:val="18"/>
          <w:u w:val="single" w:color="auto"/>
          <w:color w:val="auto"/>
        </w:rPr>
        <w:t>Survival</w:t>
      </w:r>
      <w:r>
        <w:rPr>
          <w:rFonts w:ascii="Arial" w:cs="Arial" w:eastAsia="Arial" w:hAnsi="Arial"/>
          <w:sz w:val="18"/>
          <w:szCs w:val="18"/>
          <w:color w:val="auto"/>
        </w:rPr>
        <w: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ON NEXT PAGE]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16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2" w:name="page303"/>
    <w:bookmarkEnd w:id="302"/>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hereto have duly executed this Agreement effective as of the Effective 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EXECUTIVE:</w:t>
            </w:r>
          </w:p>
        </w:tc>
        <w:tc>
          <w:tcPr>
            <w:tcW w:w="6880" w:type="dxa"/>
            <w:vAlign w:val="bottom"/>
            <w:gridSpan w:val="2"/>
          </w:tcPr>
          <w:p>
            <w:pPr>
              <w:ind w:left="2320"/>
              <w:spacing w:after="0"/>
              <w:rPr>
                <w:sz w:val="20"/>
                <w:szCs w:val="20"/>
                <w:color w:val="auto"/>
              </w:rPr>
            </w:pPr>
            <w:r>
              <w:rPr>
                <w:rFonts w:ascii="Arial" w:cs="Arial" w:eastAsia="Arial" w:hAnsi="Arial"/>
                <w:sz w:val="18"/>
                <w:szCs w:val="18"/>
                <w:b w:val="1"/>
                <w:bCs w:val="1"/>
                <w:color w:val="auto"/>
              </w:rPr>
              <w:t>CITY BANK, TEXAS:</w:t>
            </w:r>
          </w:p>
        </w:tc>
      </w:tr>
      <w:tr>
        <w:trPr>
          <w:trHeight w:val="432"/>
        </w:trPr>
        <w:tc>
          <w:tcPr>
            <w:tcW w:w="4540" w:type="dxa"/>
            <w:vAlign w:val="bottom"/>
            <w:gridSpan w:val="2"/>
          </w:tcPr>
          <w:p>
            <w:pPr>
              <w:spacing w:after="0"/>
              <w:rPr>
                <w:sz w:val="20"/>
                <w:szCs w:val="20"/>
                <w:color w:val="auto"/>
              </w:rPr>
            </w:pPr>
            <w:r>
              <w:rPr>
                <w:rFonts w:ascii="Arial" w:cs="Arial" w:eastAsia="Arial" w:hAnsi="Arial"/>
                <w:sz w:val="18"/>
                <w:szCs w:val="18"/>
                <w:color w:val="auto"/>
              </w:rPr>
              <w:t>Signature: /s/ Cory T. Newsom</w:t>
            </w:r>
          </w:p>
        </w:tc>
        <w:tc>
          <w:tcPr>
            <w:tcW w:w="6880" w:type="dxa"/>
            <w:vAlign w:val="bottom"/>
            <w:gridSpan w:val="2"/>
          </w:tcPr>
          <w:p>
            <w:pPr>
              <w:ind w:left="2320"/>
              <w:spacing w:after="0"/>
              <w:rPr>
                <w:sz w:val="20"/>
                <w:szCs w:val="20"/>
                <w:color w:val="auto"/>
              </w:rPr>
            </w:pPr>
            <w:r>
              <w:rPr>
                <w:rFonts w:ascii="Arial" w:cs="Arial" w:eastAsia="Arial" w:hAnsi="Arial"/>
                <w:sz w:val="18"/>
                <w:szCs w:val="18"/>
                <w:color w:val="auto"/>
              </w:rPr>
              <w:t>By: /s/ Curtis C. Griffith</w:t>
            </w:r>
          </w:p>
        </w:tc>
      </w:tr>
      <w:tr>
        <w:trPr>
          <w:trHeight w:val="27"/>
        </w:trPr>
        <w:tc>
          <w:tcPr>
            <w:tcW w:w="820" w:type="dxa"/>
            <w:vAlign w:val="bottom"/>
          </w:tcPr>
          <w:p>
            <w:pPr>
              <w:spacing w:after="0"/>
              <w:rPr>
                <w:sz w:val="2"/>
                <w:szCs w:val="2"/>
                <w:color w:val="auto"/>
              </w:rPr>
            </w:pPr>
          </w:p>
        </w:tc>
        <w:tc>
          <w:tcPr>
            <w:tcW w:w="3720" w:type="dxa"/>
            <w:vAlign w:val="bottom"/>
            <w:shd w:val="clear" w:color="auto" w:fill="000000"/>
          </w:tcPr>
          <w:p>
            <w:pPr>
              <w:spacing w:after="0"/>
              <w:rPr>
                <w:sz w:val="2"/>
                <w:szCs w:val="2"/>
                <w:color w:val="auto"/>
              </w:rPr>
            </w:pPr>
          </w:p>
        </w:tc>
        <w:tc>
          <w:tcPr>
            <w:tcW w:w="2660" w:type="dxa"/>
            <w:vAlign w:val="bottom"/>
            <w:tcBorders>
              <w:left w:val="single" w:sz="8" w:color="auto"/>
            </w:tcBorders>
          </w:tcPr>
          <w:p>
            <w:pPr>
              <w:spacing w:after="0"/>
              <w:rPr>
                <w:sz w:val="2"/>
                <w:szCs w:val="2"/>
                <w:color w:val="auto"/>
              </w:rPr>
            </w:pPr>
          </w:p>
        </w:tc>
        <w:tc>
          <w:tcPr>
            <w:tcW w:w="4220" w:type="dxa"/>
            <w:vAlign w:val="bottom"/>
            <w:shd w:val="clear" w:color="auto" w:fill="000000"/>
          </w:tcPr>
          <w:p>
            <w:pPr>
              <w:spacing w:after="0"/>
              <w:rPr>
                <w:sz w:val="2"/>
                <w:szCs w:val="2"/>
                <w:color w:val="auto"/>
              </w:rPr>
            </w:pPr>
          </w:p>
        </w:tc>
      </w:tr>
      <w:tr>
        <w:trPr>
          <w:trHeight w:val="445"/>
        </w:trPr>
        <w:tc>
          <w:tcPr>
            <w:tcW w:w="820" w:type="dxa"/>
            <w:vAlign w:val="bottom"/>
          </w:tcPr>
          <w:p>
            <w:pPr>
              <w:spacing w:after="0"/>
              <w:rPr>
                <w:sz w:val="20"/>
                <w:szCs w:val="20"/>
                <w:color w:val="auto"/>
              </w:rPr>
            </w:pPr>
            <w:r>
              <w:rPr>
                <w:rFonts w:ascii="Arial" w:cs="Arial" w:eastAsia="Arial" w:hAnsi="Arial"/>
                <w:sz w:val="18"/>
                <w:szCs w:val="18"/>
                <w:color w:val="auto"/>
              </w:rPr>
              <w:t>Print</w:t>
            </w:r>
          </w:p>
        </w:tc>
        <w:tc>
          <w:tcPr>
            <w:tcW w:w="3720" w:type="dxa"/>
            <w:vAlign w:val="bottom"/>
          </w:tcPr>
          <w:p>
            <w:pPr>
              <w:spacing w:after="0"/>
              <w:rPr>
                <w:sz w:val="20"/>
                <w:szCs w:val="20"/>
                <w:color w:val="auto"/>
              </w:rPr>
            </w:pPr>
            <w:r>
              <w:rPr>
                <w:rFonts w:ascii="Arial" w:cs="Arial" w:eastAsia="Arial" w:hAnsi="Arial"/>
                <w:sz w:val="18"/>
                <w:szCs w:val="18"/>
                <w:color w:val="auto"/>
              </w:rPr>
              <w:t>Cory Newsom</w:t>
            </w:r>
          </w:p>
        </w:tc>
        <w:tc>
          <w:tcPr>
            <w:tcW w:w="6880" w:type="dxa"/>
            <w:vAlign w:val="bottom"/>
            <w:gridSpan w:val="2"/>
          </w:tcPr>
          <w:p>
            <w:pPr>
              <w:ind w:left="2320"/>
              <w:spacing w:after="0"/>
              <w:rPr>
                <w:sz w:val="20"/>
                <w:szCs w:val="20"/>
                <w:color w:val="auto"/>
              </w:rPr>
            </w:pPr>
            <w:r>
              <w:rPr>
                <w:rFonts w:ascii="Arial" w:cs="Arial" w:eastAsia="Arial" w:hAnsi="Arial"/>
                <w:sz w:val="18"/>
                <w:szCs w:val="18"/>
                <w:color w:val="auto"/>
              </w:rPr>
              <w:t>Its: Chairman</w:t>
            </w:r>
          </w:p>
        </w:tc>
      </w:tr>
      <w:tr>
        <w:trPr>
          <w:trHeight w:val="237"/>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3720" w:type="dxa"/>
            <w:vAlign w:val="bottom"/>
            <w:tcBorders>
              <w:bottom w:val="single" w:sz="8" w:color="auto"/>
            </w:tcBorders>
          </w:tcPr>
          <w:p>
            <w:pPr>
              <w:spacing w:after="0"/>
              <w:rPr>
                <w:sz w:val="20"/>
                <w:szCs w:val="20"/>
                <w:color w:val="auto"/>
              </w:rPr>
            </w:pPr>
          </w:p>
        </w:tc>
        <w:tc>
          <w:tcPr>
            <w:tcW w:w="2660" w:type="dxa"/>
            <w:vAlign w:val="bottom"/>
          </w:tcPr>
          <w:p>
            <w:pPr>
              <w:spacing w:after="0"/>
              <w:rPr>
                <w:sz w:val="20"/>
                <w:szCs w:val="20"/>
                <w:color w:val="auto"/>
              </w:rPr>
            </w:pPr>
          </w:p>
        </w:tc>
        <w:tc>
          <w:tcPr>
            <w:tcW w:w="4220" w:type="dxa"/>
            <w:vAlign w:val="bottom"/>
            <w:tcBorders>
              <w:bottom w:val="single" w:sz="8" w:color="auto"/>
            </w:tcBorders>
          </w:tcPr>
          <w:p>
            <w:pPr>
              <w:spacing w:after="0"/>
              <w:rPr>
                <w:sz w:val="20"/>
                <w:szCs w:val="20"/>
                <w:color w:val="auto"/>
              </w:rPr>
            </w:pPr>
          </w:p>
        </w:tc>
      </w:tr>
      <w:tr>
        <w:trPr>
          <w:trHeight w:val="459"/>
        </w:trPr>
        <w:tc>
          <w:tcPr>
            <w:tcW w:w="820" w:type="dxa"/>
            <w:vAlign w:val="bottom"/>
          </w:tcPr>
          <w:p>
            <w:pPr>
              <w:spacing w:after="0"/>
              <w:rPr>
                <w:sz w:val="20"/>
                <w:szCs w:val="20"/>
                <w:color w:val="auto"/>
              </w:rPr>
            </w:pPr>
            <w:r>
              <w:rPr>
                <w:rFonts w:ascii="Arial" w:cs="Arial" w:eastAsia="Arial" w:hAnsi="Arial"/>
                <w:sz w:val="18"/>
                <w:szCs w:val="18"/>
                <w:color w:val="auto"/>
              </w:rPr>
              <w:t>Date:</w:t>
            </w:r>
          </w:p>
        </w:tc>
        <w:tc>
          <w:tcPr>
            <w:tcW w:w="3720" w:type="dxa"/>
            <w:vAlign w:val="bottom"/>
          </w:tcPr>
          <w:p>
            <w:pPr>
              <w:spacing w:after="0"/>
              <w:rPr>
                <w:sz w:val="20"/>
                <w:szCs w:val="20"/>
                <w:color w:val="auto"/>
              </w:rPr>
            </w:pPr>
            <w:r>
              <w:rPr>
                <w:rFonts w:ascii="Arial" w:cs="Arial" w:eastAsia="Arial" w:hAnsi="Arial"/>
                <w:sz w:val="18"/>
                <w:szCs w:val="18"/>
                <w:color w:val="auto"/>
              </w:rPr>
              <w:t>March 20, 2019</w:t>
            </w:r>
          </w:p>
        </w:tc>
        <w:tc>
          <w:tcPr>
            <w:tcW w:w="6880" w:type="dxa"/>
            <w:vAlign w:val="bottom"/>
            <w:gridSpan w:val="2"/>
          </w:tcPr>
          <w:p>
            <w:pPr>
              <w:ind w:left="2280"/>
              <w:spacing w:after="0"/>
              <w:rPr>
                <w:sz w:val="20"/>
                <w:szCs w:val="20"/>
                <w:color w:val="auto"/>
              </w:rPr>
            </w:pPr>
            <w:r>
              <w:rPr>
                <w:rFonts w:ascii="Arial" w:cs="Arial" w:eastAsia="Arial" w:hAnsi="Arial"/>
                <w:sz w:val="18"/>
                <w:szCs w:val="18"/>
                <w:color w:val="auto"/>
              </w:rPr>
              <w:t>Date:March 20, 2019</w:t>
            </w:r>
          </w:p>
        </w:tc>
      </w:tr>
      <w:tr>
        <w:trPr>
          <w:trHeight w:val="27"/>
        </w:trPr>
        <w:tc>
          <w:tcPr>
            <w:tcW w:w="820" w:type="dxa"/>
            <w:vAlign w:val="bottom"/>
            <w:tcBorders>
              <w:right w:val="single" w:sz="8" w:color="auto"/>
            </w:tcBorders>
          </w:tcPr>
          <w:p>
            <w:pPr>
              <w:spacing w:after="0"/>
              <w:rPr>
                <w:sz w:val="2"/>
                <w:szCs w:val="2"/>
                <w:color w:val="auto"/>
              </w:rPr>
            </w:pPr>
          </w:p>
        </w:tc>
        <w:tc>
          <w:tcPr>
            <w:tcW w:w="3720" w:type="dxa"/>
            <w:vAlign w:val="bottom"/>
            <w:shd w:val="clear" w:color="auto" w:fill="000000"/>
          </w:tcPr>
          <w:p>
            <w:pPr>
              <w:spacing w:after="0"/>
              <w:rPr>
                <w:sz w:val="2"/>
                <w:szCs w:val="2"/>
                <w:color w:val="auto"/>
              </w:rPr>
            </w:pPr>
          </w:p>
        </w:tc>
        <w:tc>
          <w:tcPr>
            <w:tcW w:w="2660" w:type="dxa"/>
            <w:vAlign w:val="bottom"/>
          </w:tcPr>
          <w:p>
            <w:pPr>
              <w:spacing w:after="0"/>
              <w:rPr>
                <w:sz w:val="2"/>
                <w:szCs w:val="2"/>
                <w:color w:val="auto"/>
              </w:rPr>
            </w:pPr>
          </w:p>
        </w:tc>
        <w:tc>
          <w:tcPr>
            <w:tcW w:w="422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 PLAINS FINANCIAL,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Signature: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2383790"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4">
                      <a:extLst>
                        <a:ext uri="{28A0092B-C50C-407E-A947-70E740481C1C}"/>
                      </a:extLst>
                    </a:blip>
                    <a:srcRect/>
                    <a:stretch>
                      <a:fillRect/>
                    </a:stretch>
                  </pic:blipFill>
                  <pic:spPr bwMode="auto">
                    <a:xfrm>
                      <a:off x="0" y="0"/>
                      <a:ext cx="2383790" cy="17145"/>
                    </a:xfrm>
                    <a:prstGeom prst="rect">
                      <a:avLst/>
                    </a:prstGeom>
                    <a:noFill/>
                  </pic:spPr>
                </pic:pic>
              </a:graphicData>
            </a:graphic>
          </wp:anchor>
        </w:drawing>
      </w:r>
    </w:p>
    <w:p>
      <w:pPr>
        <w:spacing w:after="0" w:line="25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238379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5">
                      <a:extLst>
                        <a:ext uri="{28A0092B-C50C-407E-A947-70E740481C1C}"/>
                      </a:extLst>
                    </a:blip>
                    <a:srcRect/>
                    <a:stretch>
                      <a:fillRect/>
                    </a:stretch>
                  </pic:blipFill>
                  <pic:spPr bwMode="auto">
                    <a:xfrm>
                      <a:off x="0" y="0"/>
                      <a:ext cx="2383790" cy="17145"/>
                    </a:xfrm>
                    <a:prstGeom prst="rect">
                      <a:avLst/>
                    </a:prstGeom>
                    <a:noFill/>
                  </pic:spPr>
                </pic:pic>
              </a:graphicData>
            </a:graphic>
          </wp:anchor>
        </w:drawing>
      </w:r>
    </w:p>
    <w:p>
      <w:pPr>
        <w:spacing w:after="0" w:line="25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20,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238379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6">
                      <a:extLst>
                        <a:ext uri="{28A0092B-C50C-407E-A947-70E740481C1C}"/>
                      </a:extLst>
                    </a:blip>
                    <a:srcRect/>
                    <a:stretch>
                      <a:fillRect/>
                    </a:stretch>
                  </pic:blipFill>
                  <pic:spPr bwMode="auto">
                    <a:xfrm>
                      <a:off x="0" y="0"/>
                      <a:ext cx="238379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17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3" w:name="page304"/>
    <w:bookmarkEnd w:id="303"/>
    <w:p>
      <w:pPr>
        <w:jc w:val="right"/>
        <w:spacing w:after="0"/>
        <w:rPr>
          <w:sz w:val="20"/>
          <w:szCs w:val="20"/>
          <w:color w:val="auto"/>
        </w:rPr>
      </w:pPr>
      <w:r>
        <w:rPr>
          <w:rFonts w:ascii="Arial" w:cs="Arial" w:eastAsia="Arial" w:hAnsi="Arial"/>
          <w:sz w:val="22"/>
          <w:szCs w:val="22"/>
          <w:b w:val="1"/>
          <w:bCs w:val="1"/>
          <w:color w:val="auto"/>
        </w:rPr>
        <w:t>EXHIBIT A</w:t>
      </w:r>
    </w:p>
    <w:p>
      <w:pPr>
        <w:spacing w:after="0" w:line="216"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FORM OF INCENTIVE STOCK OPTION AWARD</w:t>
      </w:r>
    </w:p>
    <w:p>
      <w:pPr>
        <w:spacing w:after="0" w:line="256"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[Attach a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280670</wp:posOffset>
            </wp:positionV>
            <wp:extent cx="7246620"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12" w:right="239" w:bottom="1440" w:gutter="0" w:footer="0" w:header="0"/>
        </w:sectPr>
      </w:pPr>
    </w:p>
    <w:bookmarkStart w:id="304" w:name="page305"/>
    <w:bookmarkEnd w:id="304"/>
    <w:p>
      <w:pPr>
        <w:jc w:val="right"/>
        <w:spacing w:after="0"/>
        <w:rPr>
          <w:sz w:val="20"/>
          <w:szCs w:val="20"/>
          <w:color w:val="auto"/>
        </w:rPr>
      </w:pPr>
      <w:r>
        <w:rPr>
          <w:rFonts w:ascii="Arial" w:cs="Arial" w:eastAsia="Arial" w:hAnsi="Arial"/>
          <w:sz w:val="18"/>
          <w:szCs w:val="18"/>
          <w:b w:val="1"/>
          <w:bCs w:val="1"/>
          <w:color w:val="auto"/>
        </w:rPr>
        <w:t>EXHIBIT B</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FORM OF RESTRICTED STOCK UNIT AWARD</w:t>
      </w:r>
    </w:p>
    <w:p>
      <w:pPr>
        <w:spacing w:after="0" w:line="238"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[Attach a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280670</wp:posOffset>
            </wp:positionV>
            <wp:extent cx="724662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305" w:name="page306"/>
    <w:bookmarkEnd w:id="305"/>
    <w:p>
      <w:pPr>
        <w:jc w:val="right"/>
        <w:spacing w:after="0"/>
        <w:rPr>
          <w:sz w:val="20"/>
          <w:szCs w:val="20"/>
          <w:color w:val="auto"/>
        </w:rPr>
      </w:pPr>
      <w:r>
        <w:rPr>
          <w:rFonts w:ascii="Arial" w:cs="Arial" w:eastAsia="Arial" w:hAnsi="Arial"/>
          <w:sz w:val="18"/>
          <w:szCs w:val="18"/>
          <w:b w:val="1"/>
          <w:bCs w:val="1"/>
          <w:color w:val="auto"/>
        </w:rPr>
        <w:t>EXHIBIT 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CITY BANK, TEXAS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WAIVER AND RELEASE</w:t>
      </w:r>
    </w:p>
    <w:p>
      <w:pPr>
        <w:spacing w:after="0" w:line="23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THIS WAIVER AND RELEASE AGREEMENT </w:t>
      </w:r>
      <w:r>
        <w:rPr>
          <w:rFonts w:ascii="Arial" w:cs="Arial" w:eastAsia="Arial" w:hAnsi="Arial"/>
          <w:sz w:val="18"/>
          <w:szCs w:val="18"/>
          <w:color w:val="auto"/>
        </w:rPr>
        <w:t>(this “</w:t>
      </w:r>
      <w:r>
        <w:rPr>
          <w:rFonts w:ascii="Arial" w:cs="Arial" w:eastAsia="Arial" w:hAnsi="Arial"/>
          <w:sz w:val="18"/>
          <w:szCs w:val="18"/>
          <w:b w:val="1"/>
          <w:bCs w:val="1"/>
          <w:i w:val="1"/>
          <w:iCs w:val="1"/>
          <w:color w:val="auto"/>
        </w:rPr>
        <w:t>Waiver and Release</w:t>
      </w:r>
      <w:r>
        <w:rPr>
          <w:rFonts w:ascii="Arial" w:cs="Arial" w:eastAsia="Arial" w:hAnsi="Arial"/>
          <w:sz w:val="18"/>
          <w:szCs w:val="18"/>
          <w:color w:val="auto"/>
        </w:rPr>
        <w:t>”) is made and entered into by and between City Bank, Texas and</w:t>
      </w:r>
      <w:r>
        <w:rPr>
          <w:rFonts w:ascii="Arial" w:cs="Arial" w:eastAsia="Arial" w:hAnsi="Arial"/>
          <w:sz w:val="18"/>
          <w:szCs w:val="18"/>
          <w:b w:val="1"/>
          <w:bCs w:val="1"/>
          <w:color w:val="auto"/>
        </w:rPr>
        <w:t xml:space="preserve"> </w:t>
      </w:r>
      <w:r>
        <w:rPr>
          <w:rFonts w:ascii="Arial" w:cs="Arial" w:eastAsia="Arial" w:hAnsi="Arial"/>
          <w:sz w:val="18"/>
          <w:szCs w:val="18"/>
          <w:color w:val="auto"/>
        </w:rPr>
        <w:t>South Plains Financial, Inc. (collectively, the “</w:t>
      </w:r>
      <w:r>
        <w:rPr>
          <w:rFonts w:ascii="Arial" w:cs="Arial" w:eastAsia="Arial" w:hAnsi="Arial"/>
          <w:sz w:val="18"/>
          <w:szCs w:val="18"/>
          <w:b w:val="1"/>
          <w:bCs w:val="1"/>
          <w:i w:val="1"/>
          <w:iCs w:val="1"/>
          <w:color w:val="auto"/>
        </w:rPr>
        <w:t>Employer</w:t>
      </w:r>
      <w:r>
        <w:rPr>
          <w:rFonts w:ascii="Arial" w:cs="Arial" w:eastAsia="Arial" w:hAnsi="Arial"/>
          <w:sz w:val="18"/>
          <w:szCs w:val="18"/>
          <w:color w:val="auto"/>
        </w:rPr>
        <w:t>”) and Cory Newsom (“</w:t>
      </w:r>
      <w:r>
        <w:rPr>
          <w:rFonts w:ascii="Arial" w:cs="Arial" w:eastAsia="Arial" w:hAnsi="Arial"/>
          <w:sz w:val="18"/>
          <w:szCs w:val="18"/>
          <w:b w:val="1"/>
          <w:bCs w:val="1"/>
          <w:i w:val="1"/>
          <w:iCs w:val="1"/>
          <w:color w:val="auto"/>
        </w:rPr>
        <w:t>Executive</w:t>
      </w:r>
      <w:r>
        <w:rPr>
          <w:rFonts w:ascii="Arial" w:cs="Arial" w:eastAsia="Arial" w:hAnsi="Arial"/>
          <w:sz w:val="18"/>
          <w:szCs w:val="18"/>
          <w:color w:val="auto"/>
        </w:rPr>
        <w:t>”), each referred to collectively as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and individually as “</w:t>
      </w:r>
      <w:r>
        <w:rPr>
          <w:rFonts w:ascii="Arial" w:cs="Arial" w:eastAsia="Arial" w:hAnsi="Arial"/>
          <w:sz w:val="18"/>
          <w:szCs w:val="18"/>
          <w:b w:val="1"/>
          <w:bCs w:val="1"/>
          <w:i w:val="1"/>
          <w:iCs w:val="1"/>
          <w:color w:val="auto"/>
        </w:rPr>
        <w:t>Party</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Employer and the Executive are parties to a certain Employment Agreement dated March 20, 2019 (the “</w:t>
      </w:r>
      <w:r>
        <w:rPr>
          <w:rFonts w:ascii="Arial" w:cs="Arial" w:eastAsia="Arial" w:hAnsi="Arial"/>
          <w:sz w:val="18"/>
          <w:szCs w:val="18"/>
          <w:b w:val="1"/>
          <w:bCs w:val="1"/>
          <w:i w:val="1"/>
          <w:iCs w:val="1"/>
          <w:color w:val="auto"/>
        </w:rPr>
        <w:t>Employment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pursuant to the Employment Agreement, in consideration of the right to receive the Severance Benefits (as defined in the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Executive must sign, return and not revoke this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Employer has executed and delivered this Agreement to Executive for the Executive’s review and consideration as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 the (“</w:t>
      </w:r>
      <w:r>
        <w:rPr>
          <w:rFonts w:ascii="Arial" w:cs="Arial" w:eastAsia="Arial" w:hAnsi="Arial"/>
          <w:sz w:val="18"/>
          <w:szCs w:val="18"/>
          <w:b w:val="1"/>
          <w:bCs w:val="1"/>
          <w:i w:val="1"/>
          <w:iCs w:val="1"/>
          <w:color w:val="auto"/>
        </w:rPr>
        <w:t>Delivery Date</w:t>
      </w:r>
      <w:r>
        <w:rPr>
          <w:rFonts w:ascii="Arial" w:cs="Arial" w:eastAsia="Arial" w:hAnsi="Arial"/>
          <w:sz w:val="18"/>
          <w:szCs w:val="18"/>
          <w:color w:val="auto"/>
        </w:rPr>
        <w:t>”); and</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Executive and the Employer each desire to settle all matters related to Executive’s employment by the Employer.</w:t>
      </w:r>
    </w:p>
    <w:p>
      <w:pPr>
        <w:spacing w:after="0" w:line="225"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 xml:space="preserve">NOW THEREFORE, </w:t>
      </w:r>
      <w:r>
        <w:rPr>
          <w:rFonts w:ascii="Arial" w:cs="Arial" w:eastAsia="Arial" w:hAnsi="Arial"/>
          <w:sz w:val="16"/>
          <w:szCs w:val="16"/>
          <w:color w:val="auto"/>
        </w:rPr>
        <w:t>in consideration of the foregoing and the mutual covenants and agreements contained in the Employment Agreement and in</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and for other good and valuable consideration, the sufficiency and receipt of which is hereby acknowledged, the Parties agree as follows:</w:t>
      </w:r>
    </w:p>
    <w:p>
      <w:pPr>
        <w:spacing w:after="0" w:line="147" w:lineRule="exact"/>
        <w:rPr>
          <w:sz w:val="20"/>
          <w:szCs w:val="20"/>
          <w:color w:val="auto"/>
        </w:rPr>
      </w:pPr>
    </w:p>
    <w:p>
      <w:pPr>
        <w:jc w:val="both"/>
        <w:ind w:firstLine="656"/>
        <w:spacing w:after="0" w:line="279" w:lineRule="auto"/>
        <w:tabs>
          <w:tab w:leader="none" w:pos="855" w:val="left"/>
        </w:tabs>
        <w:numPr>
          <w:ilvl w:val="0"/>
          <w:numId w:val="223"/>
        </w:numPr>
        <w:rPr>
          <w:rFonts w:ascii="Arial" w:cs="Arial" w:eastAsia="Arial" w:hAnsi="Arial"/>
          <w:sz w:val="17"/>
          <w:szCs w:val="17"/>
          <w:color w:val="auto"/>
        </w:rPr>
      </w:pPr>
      <w:r>
        <w:rPr>
          <w:rFonts w:ascii="Arial" w:cs="Arial" w:eastAsia="Arial" w:hAnsi="Arial"/>
          <w:sz w:val="17"/>
          <w:szCs w:val="17"/>
          <w:u w:val="single" w:color="auto"/>
          <w:color w:val="auto"/>
        </w:rPr>
        <w:t>Termination of Employment</w:t>
      </w:r>
      <w:r>
        <w:rPr>
          <w:rFonts w:ascii="Arial" w:cs="Arial" w:eastAsia="Arial" w:hAnsi="Arial"/>
          <w:sz w:val="17"/>
          <w:szCs w:val="17"/>
          <w:color w:val="auto"/>
        </w:rPr>
        <w:t>. The Parties agree that Executive’s employment relationship with the Employer, including all other offices and positions Executive has with the Employer and all of its subsidiaries, affiliates, joint ventures, partnerships or any other business enterprises, as well as any office or position as a fiduciary or with any trade group or other industry organization which he holds on behalf of the Employer or its subsidiaries or affiliates, shall be automatically terminated effective at ______________ on the ______________ (the “</w:t>
      </w:r>
      <w:r>
        <w:rPr>
          <w:rFonts w:ascii="Arial" w:cs="Arial" w:eastAsia="Arial" w:hAnsi="Arial"/>
          <w:sz w:val="17"/>
          <w:szCs w:val="17"/>
          <w:b w:val="1"/>
          <w:bCs w:val="1"/>
          <w:i w:val="1"/>
          <w:iCs w:val="1"/>
          <w:color w:val="auto"/>
        </w:rPr>
        <w:t>Termination Date</w:t>
      </w:r>
      <w:r>
        <w:rPr>
          <w:rFonts w:ascii="Arial" w:cs="Arial" w:eastAsia="Arial" w:hAnsi="Arial"/>
          <w:sz w:val="17"/>
          <w:szCs w:val="17"/>
          <w:color w:val="auto"/>
        </w:rPr>
        <w:t>”).</w:t>
      </w:r>
    </w:p>
    <w:p>
      <w:pPr>
        <w:spacing w:after="0" w:line="198" w:lineRule="exact"/>
        <w:rPr>
          <w:rFonts w:ascii="Arial" w:cs="Arial" w:eastAsia="Arial" w:hAnsi="Arial"/>
          <w:sz w:val="17"/>
          <w:szCs w:val="17"/>
          <w:color w:val="auto"/>
        </w:rPr>
      </w:pPr>
    </w:p>
    <w:p>
      <w:pPr>
        <w:jc w:val="both"/>
        <w:ind w:firstLine="656"/>
        <w:spacing w:after="0" w:line="270" w:lineRule="auto"/>
        <w:tabs>
          <w:tab w:leader="none" w:pos="828" w:val="left"/>
        </w:tabs>
        <w:numPr>
          <w:ilvl w:val="0"/>
          <w:numId w:val="223"/>
        </w:numPr>
        <w:rPr>
          <w:rFonts w:ascii="Arial" w:cs="Arial" w:eastAsia="Arial" w:hAnsi="Arial"/>
          <w:sz w:val="17"/>
          <w:szCs w:val="17"/>
          <w:color w:val="auto"/>
        </w:rPr>
      </w:pPr>
      <w:r>
        <w:rPr>
          <w:rFonts w:ascii="Arial" w:cs="Arial" w:eastAsia="Arial" w:hAnsi="Arial"/>
          <w:sz w:val="17"/>
          <w:szCs w:val="17"/>
          <w:u w:val="single" w:color="auto"/>
          <w:color w:val="auto"/>
        </w:rPr>
        <w:t>Release of Employer</w:t>
      </w:r>
      <w:r>
        <w:rPr>
          <w:rFonts w:ascii="Arial" w:cs="Arial" w:eastAsia="Arial" w:hAnsi="Arial"/>
          <w:sz w:val="17"/>
          <w:szCs w:val="17"/>
          <w:color w:val="auto"/>
        </w:rPr>
        <w:t>. In consideration for the right to receive the Severance Benefits in accordance with the terms of the Employment Agreement and the mutual promises contained in the Employment Agreement and in this Waiver and Release, Executive (on behalf of the Executive, the Executive’s heirs, administrators, representatives, executors, successors and assigns) hereby releases, waives, acquits and forever discharges the Employer, its predecessors, successors, parents, shareholders, subsidiaries, assigns, agents, current and former directors, officers, employees, partners, representatives, and attorneys, affiliated companies, and all persons acting by, through, under or in concert with the Employer (collectively, the “</w:t>
      </w:r>
      <w:r>
        <w:rPr>
          <w:rFonts w:ascii="Arial" w:cs="Arial" w:eastAsia="Arial" w:hAnsi="Arial"/>
          <w:sz w:val="17"/>
          <w:szCs w:val="17"/>
          <w:b w:val="1"/>
          <w:bCs w:val="1"/>
          <w:i w:val="1"/>
          <w:iCs w:val="1"/>
          <w:color w:val="auto"/>
        </w:rPr>
        <w:t>Released Parties</w:t>
      </w:r>
      <w:r>
        <w:rPr>
          <w:rFonts w:ascii="Arial" w:cs="Arial" w:eastAsia="Arial" w:hAnsi="Arial"/>
          <w:sz w:val="17"/>
          <w:szCs w:val="17"/>
          <w:color w:val="auto"/>
        </w:rPr>
        <w:t>”), from any and all demands, rights, disputes, debts, liabilities, obligations, liens, promises, acts, agreements, charges, complaints, claims, controversies, and causes of action of any nature whatsoever, whether statutory, civil, or administrative, that Executive now has or now may have against any of the Released Parties, arising in whole or in part at any time on or prior to the execution of this Waiver and Release, in connection with the Executive’s employment by the Employer or the termination thereof.</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6" w:name="page307"/>
    <w:bookmarkEnd w:id="306"/>
    <w:p>
      <w:pPr>
        <w:ind w:left="10480"/>
        <w:spacing w:after="0"/>
        <w:rPr>
          <w:sz w:val="20"/>
          <w:szCs w:val="20"/>
          <w:color w:val="auto"/>
        </w:rPr>
      </w:pPr>
      <w:r>
        <w:rPr>
          <w:rFonts w:ascii="Arial" w:cs="Arial" w:eastAsia="Arial" w:hAnsi="Arial"/>
          <w:sz w:val="18"/>
          <w:szCs w:val="18"/>
          <w:b w:val="1"/>
          <w:bCs w:val="1"/>
          <w:color w:val="auto"/>
        </w:rPr>
        <w:t>EXHIBIT C</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release specifically includes, but is not limited to, any claims of discrimination of any kind, breach of contract or any implied covenant of good faith and fair dealing, tortious interference with a contract, intentional or negligent infliction of emotional distress, breach of privacy, misrepresentation, defamation, wrongful termination, or breach of fiduciary duty; provided, however, that the foregoing release shall not release the Employer from the performance of its obligations under this Waiver and Release.</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Additionally, this release specifically includes, but is not limited to, any claim or cause of action arising under Title VII of the Civil Rights Act of 1964, 42 U.S.C.A. §§ 2000 </w:t>
      </w:r>
      <w:r>
        <w:rPr>
          <w:rFonts w:ascii="Arial" w:cs="Arial" w:eastAsia="Arial" w:hAnsi="Arial"/>
          <w:sz w:val="17"/>
          <w:szCs w:val="17"/>
          <w:i w:val="1"/>
          <w:iCs w:val="1"/>
          <w:color w:val="auto"/>
        </w:rPr>
        <w:t>et seq.</w:t>
      </w:r>
      <w:r>
        <w:rPr>
          <w:rFonts w:ascii="Arial" w:cs="Arial" w:eastAsia="Arial" w:hAnsi="Arial"/>
          <w:sz w:val="17"/>
          <w:szCs w:val="17"/>
          <w:color w:val="auto"/>
        </w:rPr>
        <w:t xml:space="preserve">, as amended by the Civil Rights Act of 1991; the Americans With Disabilities Act, 42 U.S.C. §§ 12101 </w:t>
      </w:r>
      <w:r>
        <w:rPr>
          <w:rFonts w:ascii="Arial" w:cs="Arial" w:eastAsia="Arial" w:hAnsi="Arial"/>
          <w:sz w:val="17"/>
          <w:szCs w:val="17"/>
          <w:i w:val="1"/>
          <w:iCs w:val="1"/>
          <w:color w:val="auto"/>
        </w:rPr>
        <w:t>et seq.</w:t>
      </w:r>
      <w:r>
        <w:rPr>
          <w:rFonts w:ascii="Arial" w:cs="Arial" w:eastAsia="Arial" w:hAnsi="Arial"/>
          <w:sz w:val="17"/>
          <w:szCs w:val="17"/>
          <w:color w:val="auto"/>
        </w:rPr>
        <w:t xml:space="preserve">; 42 U.S.C. §§ 1981; the Civil Rights Act of 1991, as amended; Texas Commission on Human Rights Act, Texas Labor Code §§ 21.001 et. seq.; Texas Labor Code §§ 451.001 </w:t>
      </w:r>
      <w:r>
        <w:rPr>
          <w:rFonts w:ascii="Arial" w:cs="Arial" w:eastAsia="Arial" w:hAnsi="Arial"/>
          <w:sz w:val="17"/>
          <w:szCs w:val="17"/>
          <w:i w:val="1"/>
          <w:iCs w:val="1"/>
          <w:color w:val="auto"/>
        </w:rPr>
        <w:t>et seq.</w:t>
      </w:r>
      <w:r>
        <w:rPr>
          <w:rFonts w:ascii="Arial" w:cs="Arial" w:eastAsia="Arial" w:hAnsi="Arial"/>
          <w:sz w:val="17"/>
          <w:szCs w:val="17"/>
          <w:color w:val="auto"/>
        </w:rPr>
        <w:t xml:space="preserve">; the Age Discrimination in Employment Act of 1967, as amended, 29 U.S.C. §§ 621 </w:t>
      </w:r>
      <w:r>
        <w:rPr>
          <w:rFonts w:ascii="Arial" w:cs="Arial" w:eastAsia="Arial" w:hAnsi="Arial"/>
          <w:sz w:val="17"/>
          <w:szCs w:val="17"/>
          <w:i w:val="1"/>
          <w:iCs w:val="1"/>
          <w:color w:val="auto"/>
        </w:rPr>
        <w:t>et seq</w:t>
      </w:r>
      <w:r>
        <w:rPr>
          <w:rFonts w:ascii="Arial" w:cs="Arial" w:eastAsia="Arial" w:hAnsi="Arial"/>
          <w:sz w:val="17"/>
          <w:szCs w:val="17"/>
          <w:color w:val="auto"/>
        </w:rPr>
        <w:t xml:space="preserve">.; the Older Workers Benefit Protection Act of 1990; the Employment Retirement Income Security Act of 1974, 29 U.S.C. §§ 1001 </w:t>
      </w:r>
      <w:r>
        <w:rPr>
          <w:rFonts w:ascii="Arial" w:cs="Arial" w:eastAsia="Arial" w:hAnsi="Arial"/>
          <w:sz w:val="17"/>
          <w:szCs w:val="17"/>
          <w:i w:val="1"/>
          <w:iCs w:val="1"/>
          <w:color w:val="auto"/>
        </w:rPr>
        <w:t>et seq.</w:t>
      </w:r>
      <w:r>
        <w:rPr>
          <w:rFonts w:ascii="Arial" w:cs="Arial" w:eastAsia="Arial" w:hAnsi="Arial"/>
          <w:sz w:val="17"/>
          <w:szCs w:val="17"/>
          <w:color w:val="auto"/>
        </w:rPr>
        <w:t>; the Family and Medical Leave Act; the Fair Labor Standards Act; the Worker Adjustment and Retraining Notification Act; the Rehabilitation Act of 1973;or any other federal, state or local statute or common law cause of action of similar effect regarding employment related causes of action of employees against their employer.</w:t>
      </w:r>
    </w:p>
    <w:p>
      <w:pPr>
        <w:spacing w:after="0" w:line="178" w:lineRule="exact"/>
        <w:rPr>
          <w:sz w:val="20"/>
          <w:szCs w:val="20"/>
          <w:color w:val="auto"/>
        </w:rPr>
      </w:pPr>
    </w:p>
    <w:p>
      <w:pPr>
        <w:jc w:val="both"/>
        <w:ind w:firstLine="656"/>
        <w:spacing w:after="0" w:line="279" w:lineRule="auto"/>
        <w:tabs>
          <w:tab w:leader="none" w:pos="828" w:val="left"/>
        </w:tabs>
        <w:numPr>
          <w:ilvl w:val="0"/>
          <w:numId w:val="224"/>
        </w:numPr>
        <w:rPr>
          <w:rFonts w:ascii="Arial" w:cs="Arial" w:eastAsia="Arial" w:hAnsi="Arial"/>
          <w:sz w:val="17"/>
          <w:szCs w:val="17"/>
          <w:color w:val="auto"/>
        </w:rPr>
      </w:pPr>
      <w:r>
        <w:rPr>
          <w:rFonts w:ascii="Arial" w:cs="Arial" w:eastAsia="Arial" w:hAnsi="Arial"/>
          <w:sz w:val="17"/>
          <w:szCs w:val="17"/>
          <w:u w:val="single" w:color="auto"/>
          <w:color w:val="auto"/>
        </w:rPr>
        <w:t>Waiver of Certain Claims, Rights or Benefits</w:t>
      </w:r>
      <w:r>
        <w:rPr>
          <w:rFonts w:ascii="Arial" w:cs="Arial" w:eastAsia="Arial" w:hAnsi="Arial"/>
          <w:sz w:val="17"/>
          <w:szCs w:val="17"/>
          <w:color w:val="auto"/>
        </w:rPr>
        <w:t xml:space="preserve">. Without in any way limiting the generality of Section 2 of this Waiver and Release, by executing this Waiver and Release and accepting the Severance Benefits, Executive specifically agrees to release all claims, rights, or benefits the Executive may have for age discrimination arising out of or under the Age Discrimination in Employment Act of 1967, 29 U.S.C. § 621, </w:t>
      </w:r>
      <w:r>
        <w:rPr>
          <w:rFonts w:ascii="Arial" w:cs="Arial" w:eastAsia="Arial" w:hAnsi="Arial"/>
          <w:sz w:val="17"/>
          <w:szCs w:val="17"/>
          <w:i w:val="1"/>
          <w:iCs w:val="1"/>
          <w:color w:val="auto"/>
        </w:rPr>
        <w:t>et seq.</w:t>
      </w:r>
      <w:r>
        <w:rPr>
          <w:rFonts w:ascii="Arial" w:cs="Arial" w:eastAsia="Arial" w:hAnsi="Arial"/>
          <w:sz w:val="17"/>
          <w:szCs w:val="17"/>
          <w:color w:val="auto"/>
        </w:rPr>
        <w:t>, as currently amended, or any equivalent or comparable provision of state or local law, including, but not limited to, the Texas Commission on Human Rights Act.</w:t>
      </w:r>
    </w:p>
    <w:p>
      <w:pPr>
        <w:spacing w:after="0" w:line="171" w:lineRule="exact"/>
        <w:rPr>
          <w:rFonts w:ascii="Arial" w:cs="Arial" w:eastAsia="Arial" w:hAnsi="Arial"/>
          <w:sz w:val="17"/>
          <w:szCs w:val="17"/>
          <w:color w:val="auto"/>
        </w:rPr>
      </w:pPr>
    </w:p>
    <w:p>
      <w:pPr>
        <w:ind w:left="840" w:hanging="184"/>
        <w:spacing w:after="0"/>
        <w:tabs>
          <w:tab w:leader="none" w:pos="840"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Acknowledgements and Obligations of Executive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818"/>
        <w:spacing w:after="0" w:line="257" w:lineRule="auto"/>
        <w:tabs>
          <w:tab w:leader="none" w:pos="1082" w:val="left"/>
        </w:tabs>
        <w:numPr>
          <w:ilvl w:val="1"/>
          <w:numId w:val="224"/>
        </w:numPr>
        <w:rPr>
          <w:rFonts w:ascii="Arial" w:cs="Arial" w:eastAsia="Arial" w:hAnsi="Arial"/>
          <w:sz w:val="18"/>
          <w:szCs w:val="18"/>
          <w:color w:val="auto"/>
        </w:rPr>
      </w:pPr>
      <w:r>
        <w:rPr>
          <w:rFonts w:ascii="Arial" w:cs="Arial" w:eastAsia="Arial" w:hAnsi="Arial"/>
          <w:sz w:val="18"/>
          <w:szCs w:val="18"/>
          <w:color w:val="auto"/>
        </w:rPr>
        <w:t>Executive represents and acknowledges that in executing this Waiver and Release, Executive does not rely and has not relied upon any representation or statement made by the Employer, or its agents, representatives, or attorneys regarding the subject matter, basis or effect of this Waiver and Release or otherwise, and that Executive has engaged or had the opportunity to engage an attorney of Executive’s choosing in the negotiation and execution of this Waiver and Release. Executive acknowledges that Executive has the right to consult with counsel of Executive’s choosing with regard to the review of this Waiver and Release.</w:t>
      </w:r>
    </w:p>
    <w:p>
      <w:pPr>
        <w:spacing w:after="0" w:line="184" w:lineRule="exact"/>
        <w:rPr>
          <w:rFonts w:ascii="Arial" w:cs="Arial" w:eastAsia="Arial" w:hAnsi="Arial"/>
          <w:sz w:val="18"/>
          <w:szCs w:val="18"/>
          <w:color w:val="auto"/>
        </w:rPr>
      </w:pPr>
    </w:p>
    <w:p>
      <w:pPr>
        <w:jc w:val="both"/>
        <w:ind w:firstLine="818"/>
        <w:spacing w:after="0" w:line="254" w:lineRule="auto"/>
        <w:tabs>
          <w:tab w:leader="none" w:pos="1079" w:val="left"/>
        </w:tabs>
        <w:numPr>
          <w:ilvl w:val="1"/>
          <w:numId w:val="224"/>
        </w:numPr>
        <w:rPr>
          <w:rFonts w:ascii="Arial" w:cs="Arial" w:eastAsia="Arial" w:hAnsi="Arial"/>
          <w:sz w:val="18"/>
          <w:szCs w:val="18"/>
          <w:color w:val="auto"/>
        </w:rPr>
      </w:pPr>
      <w:r>
        <w:rPr>
          <w:rFonts w:ascii="Arial" w:cs="Arial" w:eastAsia="Arial" w:hAnsi="Arial"/>
          <w:sz w:val="18"/>
          <w:szCs w:val="18"/>
          <w:b w:val="1"/>
          <w:bCs w:val="1"/>
          <w:color w:val="auto"/>
        </w:rPr>
        <w:t>EXECUTIVE UNDERSTANDS THAT BY SIGNING AND NOT REVOKING THIS WAIVER AND RELEASE, EXECUTIVE IS WAIVING ANY AND ALL RIGHTS OR CLAIMS WHICH EXECUTIVE MAY HAVE UNDER THE AGE DISCRIMINATION IN EMPLOYMENT ACT AND/OR THE OLDER WORKERS BENEFIT PROTECTION ACT FOR AGE DISCRIMINATION ARISING FROM EMPLOYMENT WITH THE COMPANY, INCLUDING, WITHOUT LIMITATION, THE RIGHT TO SUE THE COMPANY IN FEDERAL OR STATE COURT FOR AGE DISCRIMINATION. EXECUTIVE FURTHER ACKNOWLEDGES THAT EXECUTIVE (i) DOES NOT WAIVE ANY CLAIMS OR RIGHTS THAT MAY ARISE AFTER THE DATE THIS WAIVER AND RELEASE IS EXECUTED; (ii) WAIVES CLAIMS OR RIGHTS ONLY IN EXCHANGE FOR CONSIDERATION IN ADDITION TO ANYTHING OF VALUE TO WHICH EXECUTIVE IS ALREADY ENTITLED; AND (iii) AGREES THAT THIS WAIVER AND RELEASE IS WRITTEN IN A MANNER CALCULATED TO BE UNDERSTOOD BY EXECUTIVE AND EXECUTIVE, IN FACT, UNDERSTANDS THE TERMS, CONTENTS, CONDITIONS AND EFFECTS OF THIS WAIVER AND RELEASE AND HAS ENTERED INTO THIS WAIVER AND RELEASE KNOWINGLY AND VOLUNTARILY.</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2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7" w:name="page308"/>
    <w:bookmarkEnd w:id="307"/>
    <w:p>
      <w:pPr>
        <w:jc w:val="right"/>
        <w:spacing w:after="0"/>
        <w:rPr>
          <w:sz w:val="20"/>
          <w:szCs w:val="20"/>
          <w:color w:val="auto"/>
        </w:rPr>
      </w:pPr>
      <w:r>
        <w:rPr>
          <w:rFonts w:ascii="Arial" w:cs="Arial" w:eastAsia="Arial" w:hAnsi="Arial"/>
          <w:sz w:val="18"/>
          <w:szCs w:val="18"/>
          <w:b w:val="1"/>
          <w:bCs w:val="1"/>
          <w:color w:val="auto"/>
        </w:rPr>
        <w:t>EXHIBIT C</w:t>
      </w:r>
    </w:p>
    <w:p>
      <w:pPr>
        <w:spacing w:after="0" w:line="189" w:lineRule="exact"/>
        <w:rPr>
          <w:sz w:val="20"/>
          <w:szCs w:val="20"/>
          <w:color w:val="auto"/>
        </w:rPr>
      </w:pPr>
    </w:p>
    <w:p>
      <w:pPr>
        <w:jc w:val="both"/>
        <w:ind w:right="20" w:firstLine="818"/>
        <w:spacing w:after="0" w:line="264" w:lineRule="auto"/>
        <w:tabs>
          <w:tab w:leader="none" w:pos="1068" w:val="left"/>
        </w:tabs>
        <w:numPr>
          <w:ilvl w:val="1"/>
          <w:numId w:val="225"/>
        </w:numPr>
        <w:rPr>
          <w:rFonts w:ascii="Arial" w:cs="Arial" w:eastAsia="Arial" w:hAnsi="Arial"/>
          <w:sz w:val="18"/>
          <w:szCs w:val="18"/>
          <w:color w:val="auto"/>
        </w:rPr>
      </w:pPr>
      <w:r>
        <w:rPr>
          <w:rFonts w:ascii="Arial" w:cs="Arial" w:eastAsia="Arial" w:hAnsi="Arial"/>
          <w:sz w:val="18"/>
          <w:szCs w:val="18"/>
          <w:color w:val="auto"/>
        </w:rPr>
        <w:t>Executive acknowledges that the Executive has been fully compensated for all labor and services performed for the Employer and has been reimbursed for all business expenses incurred on behalf of the Employer through the Termination Date, and that the Employer does not owe Executive any expense reimbursement amounts, or wages, including vacation pay or paid time-off benefits.</w:t>
      </w:r>
    </w:p>
    <w:p>
      <w:pPr>
        <w:spacing w:after="0" w:line="181" w:lineRule="exact"/>
        <w:rPr>
          <w:rFonts w:ascii="Arial" w:cs="Arial" w:eastAsia="Arial" w:hAnsi="Arial"/>
          <w:sz w:val="18"/>
          <w:szCs w:val="18"/>
          <w:color w:val="auto"/>
        </w:rPr>
      </w:pPr>
    </w:p>
    <w:p>
      <w:pPr>
        <w:ind w:left="1080" w:hanging="262"/>
        <w:spacing w:after="0"/>
        <w:tabs>
          <w:tab w:leader="none" w:pos="1080" w:val="left"/>
        </w:tabs>
        <w:numPr>
          <w:ilvl w:val="1"/>
          <w:numId w:val="225"/>
        </w:numPr>
        <w:rPr>
          <w:rFonts w:ascii="Arial" w:cs="Arial" w:eastAsia="Arial" w:hAnsi="Arial"/>
          <w:sz w:val="16"/>
          <w:szCs w:val="16"/>
          <w:color w:val="auto"/>
        </w:rPr>
      </w:pPr>
      <w:r>
        <w:rPr>
          <w:rFonts w:ascii="Arial" w:cs="Arial" w:eastAsia="Arial" w:hAnsi="Arial"/>
          <w:sz w:val="16"/>
          <w:szCs w:val="16"/>
          <w:color w:val="auto"/>
        </w:rPr>
        <w:t>Notwithstanding anything contained in this Waiver and Release to the contrary, this Waiver and Release does not waive, release, or discharge:</w:t>
      </w:r>
    </w:p>
    <w:p>
      <w:pPr>
        <w:spacing w:after="0" w:line="46" w:lineRule="exact"/>
        <w:rPr>
          <w:rFonts w:ascii="Arial" w:cs="Arial" w:eastAsia="Arial" w:hAnsi="Arial"/>
          <w:sz w:val="16"/>
          <w:szCs w:val="16"/>
          <w:color w:val="auto"/>
        </w:rPr>
      </w:pPr>
    </w:p>
    <w:p>
      <w:pPr>
        <w:jc w:val="both"/>
        <w:ind w:firstLine="8"/>
        <w:spacing w:after="0" w:line="281" w:lineRule="auto"/>
        <w:tabs>
          <w:tab w:leader="none" w:pos="227" w:val="left"/>
        </w:tabs>
        <w:numPr>
          <w:ilvl w:val="0"/>
          <w:numId w:val="226"/>
        </w:numPr>
        <w:rPr>
          <w:rFonts w:ascii="Arial" w:cs="Arial" w:eastAsia="Arial" w:hAnsi="Arial"/>
          <w:sz w:val="16"/>
          <w:szCs w:val="16"/>
          <w:color w:val="auto"/>
        </w:rPr>
      </w:pPr>
      <w:r>
        <w:rPr>
          <w:rFonts w:ascii="Arial" w:cs="Arial" w:eastAsia="Arial" w:hAnsi="Arial"/>
          <w:sz w:val="16"/>
          <w:szCs w:val="16"/>
          <w:color w:val="auto"/>
        </w:rPr>
        <w:t>any right to file an administrative charge or complaint with, or testify, assist, or participate in an investigation, hearing, or proceeding conducted by, the Equal Employment Opportunity Commission, the Texas Workforce Commission, or other similar federal or state administrative agencies, although Executive waives any right to monetary relief related to any filed charge or administrative complaint; (ii) claims pursuant to the terms and conditions of the federal law known as COBRA or similar state law; (iii) claims that cannot be waived by law, such as claims for unemployment benefit rights and workers’ compensation;</w:t>
      </w:r>
    </w:p>
    <w:p>
      <w:pPr>
        <w:spacing w:after="0" w:line="2" w:lineRule="exact"/>
        <w:rPr>
          <w:rFonts w:ascii="Arial" w:cs="Arial" w:eastAsia="Arial" w:hAnsi="Arial"/>
          <w:sz w:val="16"/>
          <w:szCs w:val="16"/>
          <w:color w:val="auto"/>
        </w:rPr>
      </w:pPr>
    </w:p>
    <w:p>
      <w:pPr>
        <w:jc w:val="both"/>
        <w:ind w:firstLine="8"/>
        <w:spacing w:after="0" w:line="271" w:lineRule="auto"/>
        <w:tabs>
          <w:tab w:leader="none" w:pos="31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claims for indemnity under any indemnification agreement with the Employer or under its organizational documents, as provided by applicable state law or under any applicable insurance policy with respect to Executive’s liability as an employee, director or officer of the Employer or its affiliates; (v) any right to file an unfair labor practice charge under the National Labor Relations Act; (vi) any rights to vested benefits, such as pension or retirement benefits, the rights to which are governed by the terms of the applicable plan documents and award agreements; and (vii) Executive’s right to receive award or monetary recovery pursuant to the Securities and Exchange Commission’s whistleblower program.</w:t>
      </w:r>
    </w:p>
    <w:p>
      <w:pPr>
        <w:spacing w:after="0" w:line="178" w:lineRule="exact"/>
        <w:rPr>
          <w:rFonts w:ascii="Arial" w:cs="Arial" w:eastAsia="Arial" w:hAnsi="Arial"/>
          <w:sz w:val="17"/>
          <w:szCs w:val="17"/>
          <w:color w:val="auto"/>
        </w:rPr>
      </w:pPr>
    </w:p>
    <w:p>
      <w:pPr>
        <w:jc w:val="both"/>
        <w:ind w:firstLine="818"/>
        <w:spacing w:after="0" w:line="257" w:lineRule="auto"/>
        <w:tabs>
          <w:tab w:leader="none" w:pos="1068" w:val="left"/>
        </w:tabs>
        <w:numPr>
          <w:ilvl w:val="1"/>
          <w:numId w:val="227"/>
        </w:numPr>
        <w:rPr>
          <w:rFonts w:ascii="Arial" w:cs="Arial" w:eastAsia="Arial" w:hAnsi="Arial"/>
          <w:sz w:val="18"/>
          <w:szCs w:val="18"/>
          <w:color w:val="auto"/>
        </w:rPr>
      </w:pPr>
      <w:r>
        <w:rPr>
          <w:rFonts w:ascii="Arial" w:cs="Arial" w:eastAsia="Arial" w:hAnsi="Arial"/>
          <w:sz w:val="18"/>
          <w:szCs w:val="18"/>
          <w:color w:val="auto"/>
        </w:rPr>
        <w:t xml:space="preserve">Executive acknowledges and agrees that the Employment Agreement, including but not limited to, Sections 8(a), 8(d), 8(e), 8(h), 8(j), 8(k), 8(p), 8(q), and 8(r) of the Employment Agreement and the Non-Competition, Non-Solicitation and Confidentiality Agreement included as its </w:t>
      </w:r>
      <w:r>
        <w:rPr>
          <w:rFonts w:ascii="Arial" w:cs="Arial" w:eastAsia="Arial" w:hAnsi="Arial"/>
          <w:sz w:val="18"/>
          <w:szCs w:val="18"/>
          <w:b w:val="1"/>
          <w:bCs w:val="1"/>
          <w:u w:val="single" w:color="auto"/>
          <w:color w:val="auto"/>
        </w:rPr>
        <w:t>Exhibit D</w:t>
      </w:r>
      <w:r>
        <w:rPr>
          <w:rFonts w:ascii="Arial" w:cs="Arial" w:eastAsia="Arial" w:hAnsi="Arial"/>
          <w:sz w:val="18"/>
          <w:szCs w:val="18"/>
          <w:color w:val="auto"/>
        </w:rPr>
        <w:t>, sets forth certain obligations of the Executive which remain in effect following the Termination Date, and except as expressly set forth herein, nothing in this Waiver and Release shall modify such ongoing obligations, the continued performance of which by Executive are a condition of the Employer’s obligations hereunder.</w:t>
      </w:r>
    </w:p>
    <w:p>
      <w:pPr>
        <w:spacing w:after="0" w:line="188" w:lineRule="exact"/>
        <w:rPr>
          <w:rFonts w:ascii="Arial" w:cs="Arial" w:eastAsia="Arial" w:hAnsi="Arial"/>
          <w:sz w:val="18"/>
          <w:szCs w:val="18"/>
          <w:color w:val="auto"/>
        </w:rPr>
      </w:pPr>
    </w:p>
    <w:p>
      <w:pPr>
        <w:jc w:val="both"/>
        <w:ind w:firstLine="818"/>
        <w:spacing w:after="0" w:line="257" w:lineRule="auto"/>
        <w:tabs>
          <w:tab w:leader="none" w:pos="1035" w:val="left"/>
        </w:tabs>
        <w:numPr>
          <w:ilvl w:val="1"/>
          <w:numId w:val="227"/>
        </w:numPr>
        <w:rPr>
          <w:rFonts w:ascii="Arial" w:cs="Arial" w:eastAsia="Arial" w:hAnsi="Arial"/>
          <w:sz w:val="18"/>
          <w:szCs w:val="18"/>
          <w:color w:val="auto"/>
        </w:rPr>
      </w:pPr>
      <w:r>
        <w:rPr>
          <w:rFonts w:ascii="Arial" w:cs="Arial" w:eastAsia="Arial" w:hAnsi="Arial"/>
          <w:sz w:val="18"/>
          <w:szCs w:val="18"/>
          <w:color w:val="auto"/>
        </w:rPr>
        <w:t>Executive represents and warrants that Executive has returned to the Employer, by no later than the date Executive executes this Waiver and Release, all Employer property and confidential information, including, without limitation, all expense reports, notes, memoranda, records, documents, employment manuals, credit cards, keys, pass keys, computers, electronic media (including flash drives), office equipment and sales records and data, together with any and all other information or property, no matter how produced, reproduced or maintained, kept by Executive in his possession and pertaining to the business of the Employer.</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3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8" w:name="page309"/>
    <w:bookmarkEnd w:id="308"/>
    <w:p>
      <w:pPr>
        <w:jc w:val="right"/>
        <w:spacing w:after="0"/>
        <w:rPr>
          <w:sz w:val="20"/>
          <w:szCs w:val="20"/>
          <w:color w:val="auto"/>
        </w:rPr>
      </w:pPr>
      <w:r>
        <w:rPr>
          <w:rFonts w:ascii="Arial" w:cs="Arial" w:eastAsia="Arial" w:hAnsi="Arial"/>
          <w:sz w:val="18"/>
          <w:szCs w:val="18"/>
          <w:b w:val="1"/>
          <w:bCs w:val="1"/>
          <w:color w:val="auto"/>
        </w:rPr>
        <w:t>EXHIBIT C</w:t>
      </w:r>
    </w:p>
    <w:p>
      <w:pPr>
        <w:spacing w:after="0" w:line="189" w:lineRule="exact"/>
        <w:rPr>
          <w:sz w:val="20"/>
          <w:szCs w:val="20"/>
          <w:color w:val="auto"/>
        </w:rPr>
      </w:pPr>
    </w:p>
    <w:p>
      <w:pPr>
        <w:jc w:val="both"/>
        <w:ind w:firstLine="818"/>
        <w:spacing w:after="0" w:line="264" w:lineRule="auto"/>
        <w:tabs>
          <w:tab w:leader="none" w:pos="1065" w:val="left"/>
        </w:tabs>
        <w:numPr>
          <w:ilvl w:val="1"/>
          <w:numId w:val="228"/>
        </w:numPr>
        <w:rPr>
          <w:rFonts w:ascii="Arial" w:cs="Arial" w:eastAsia="Arial" w:hAnsi="Arial"/>
          <w:sz w:val="18"/>
          <w:szCs w:val="18"/>
          <w:color w:val="auto"/>
        </w:rPr>
      </w:pPr>
      <w:r>
        <w:rPr>
          <w:rFonts w:ascii="Arial" w:cs="Arial" w:eastAsia="Arial" w:hAnsi="Arial"/>
          <w:sz w:val="18"/>
          <w:szCs w:val="18"/>
          <w:color w:val="auto"/>
        </w:rPr>
        <w:t>Executive represents and warrants that, with respect to the Employer’s equity securities, any and all transactions reportable under Section 16 of the Securities Exchange Act of 1934, as amended, that occurred on or prior to the Termination Date have been timely and properly reported by Executive to the Employer in accordance with the Employer’s policies and procedures.</w:t>
      </w:r>
    </w:p>
    <w:p>
      <w:pPr>
        <w:spacing w:after="0" w:line="181" w:lineRule="exact"/>
        <w:rPr>
          <w:rFonts w:ascii="Arial" w:cs="Arial" w:eastAsia="Arial" w:hAnsi="Arial"/>
          <w:sz w:val="18"/>
          <w:szCs w:val="18"/>
          <w:color w:val="auto"/>
        </w:rPr>
      </w:pPr>
    </w:p>
    <w:p>
      <w:pPr>
        <w:jc w:val="both"/>
        <w:ind w:firstLine="656"/>
        <w:spacing w:after="0" w:line="255" w:lineRule="auto"/>
        <w:tabs>
          <w:tab w:leader="none" w:pos="828"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Executive agrees to keep this Waiver and Release, its terms, and the amount of the Severance Benefits completely confidential; provided, however, that the Executive may reveal such information to the Executive’s attorney, accountants, financial advisor, spouse, or as required by a court of competent jurisdiction, or as otherwise required by law. Nothing in this Waiver and Release prohibits Executive from reporting possible violations of federal law or regulation to any government agency or entity or making other disclosures that are protected under whistleblower provisions of law. Executive does not need prior authorization to make such reports or disclosures and is not required to notify the Employer that the Executive has made any such report or disclosure.</w:t>
      </w:r>
    </w:p>
    <w:p>
      <w:pPr>
        <w:spacing w:after="0" w:line="193" w:lineRule="exact"/>
        <w:rPr>
          <w:rFonts w:ascii="Arial" w:cs="Arial" w:eastAsia="Arial" w:hAnsi="Arial"/>
          <w:sz w:val="18"/>
          <w:szCs w:val="18"/>
          <w:color w:val="auto"/>
        </w:rPr>
      </w:pPr>
    </w:p>
    <w:p>
      <w:pPr>
        <w:jc w:val="both"/>
        <w:ind w:firstLine="656"/>
        <w:spacing w:after="0" w:line="272" w:lineRule="auto"/>
        <w:tabs>
          <w:tab w:leader="none" w:pos="842" w:val="left"/>
        </w:tabs>
        <w:numPr>
          <w:ilvl w:val="0"/>
          <w:numId w:val="229"/>
        </w:numPr>
        <w:rPr>
          <w:rFonts w:ascii="Arial" w:cs="Arial" w:eastAsia="Arial" w:hAnsi="Arial"/>
          <w:sz w:val="17"/>
          <w:szCs w:val="17"/>
          <w:color w:val="auto"/>
        </w:rPr>
      </w:pPr>
      <w:r>
        <w:rPr>
          <w:rFonts w:ascii="Arial" w:cs="Arial" w:eastAsia="Arial" w:hAnsi="Arial"/>
          <w:sz w:val="17"/>
          <w:szCs w:val="17"/>
          <w:u w:val="single" w:color="auto"/>
          <w:color w:val="auto"/>
        </w:rPr>
        <w:t>Defend Trade Secrets Act</w:t>
      </w:r>
      <w:r>
        <w:rPr>
          <w:rFonts w:ascii="Arial" w:cs="Arial" w:eastAsia="Arial" w:hAnsi="Arial"/>
          <w:sz w:val="17"/>
          <w:szCs w:val="17"/>
          <w:color w:val="auto"/>
        </w:rPr>
        <w:t>. Executive is hereby notified that under the Defend Trade Secrets Act: (a) no individual will be held criminally or civilly liable under federal or state trade secret law for disclosure of a trade secret (as defined in the Economic Espionage Act) that is made in: (i) confidence to a federal, state, or local government official, either directly or indirectly, or to an attorney, and made solely for the purpose of reporting or investigating a suspected violation of law; or (ii) a complaint or other document filed in a lawsuit or other proceeding, if such filing is made under seal so that it is not made public; and (b) an individual who pursues a lawsuit for retaliation by an employer for reporting a suspected violation of the law may disclose the trade secret to the attorney of the individual and use the trade secret information in the court proceeding, if the individual files any document containing the trade secret under seal, and does not disclose the trade secret, except as permitted by court order.</w:t>
      </w:r>
    </w:p>
    <w:p>
      <w:pPr>
        <w:spacing w:after="0" w:line="177" w:lineRule="exact"/>
        <w:rPr>
          <w:rFonts w:ascii="Arial" w:cs="Arial" w:eastAsia="Arial" w:hAnsi="Arial"/>
          <w:sz w:val="17"/>
          <w:szCs w:val="17"/>
          <w:color w:val="auto"/>
        </w:rPr>
      </w:pPr>
    </w:p>
    <w:p>
      <w:pPr>
        <w:jc w:val="both"/>
        <w:ind w:firstLine="656"/>
        <w:spacing w:after="0" w:line="269" w:lineRule="auto"/>
        <w:tabs>
          <w:tab w:leader="none" w:pos="855" w:val="left"/>
        </w:tabs>
        <w:numPr>
          <w:ilvl w:val="0"/>
          <w:numId w:val="229"/>
        </w:numPr>
        <w:rPr>
          <w:rFonts w:ascii="Arial" w:cs="Arial" w:eastAsia="Arial" w:hAnsi="Arial"/>
          <w:sz w:val="17"/>
          <w:szCs w:val="17"/>
          <w:color w:val="auto"/>
        </w:rPr>
      </w:pPr>
      <w:r>
        <w:rPr>
          <w:rFonts w:ascii="Arial" w:cs="Arial" w:eastAsia="Arial" w:hAnsi="Arial"/>
          <w:sz w:val="17"/>
          <w:szCs w:val="17"/>
          <w:u w:val="single" w:color="auto"/>
          <w:color w:val="auto"/>
        </w:rPr>
        <w:t>Time Period for Enforceability/Revocation of Agreement</w:t>
      </w:r>
      <w:r>
        <w:rPr>
          <w:rFonts w:ascii="Arial" w:cs="Arial" w:eastAsia="Arial" w:hAnsi="Arial"/>
          <w:sz w:val="17"/>
          <w:szCs w:val="17"/>
          <w:color w:val="auto"/>
        </w:rPr>
        <w:t>. The Employer’s obligations under this Waiver and Release are contingent upon Executive executing and delivering this Waiver and Release to the Employer. Executive may take up to [twenty-one (21)/forty-five (45)] days from the Delivery Date (the “</w:t>
      </w:r>
      <w:r>
        <w:rPr>
          <w:rFonts w:ascii="Arial" w:cs="Arial" w:eastAsia="Arial" w:hAnsi="Arial"/>
          <w:sz w:val="17"/>
          <w:szCs w:val="17"/>
          <w:b w:val="1"/>
          <w:bCs w:val="1"/>
          <w:i w:val="1"/>
          <w:iCs w:val="1"/>
          <w:color w:val="auto"/>
        </w:rPr>
        <w:t>Consideration Period</w:t>
      </w:r>
      <w:r>
        <w:rPr>
          <w:rFonts w:ascii="Arial" w:cs="Arial" w:eastAsia="Arial" w:hAnsi="Arial"/>
          <w:sz w:val="17"/>
          <w:szCs w:val="17"/>
          <w:color w:val="auto"/>
        </w:rPr>
        <w:t>”) to consider this Waiver and Release prior to executing it. Executive may execute and deliver this Waiver and Release at any time during the Consideration Period. Any changes made to this Waiver and Release after the Delivery Date will not restart the running of the Consideration Period. Any execution and delivery of this Waiver and Release by Executive after the expiration of the Consideration Period shall be unenforceable, and the Employer shall not be bound thereby. Executive shall have seven (7) days after execution of this Waiver and Release to revoke (“</w:t>
      </w:r>
      <w:r>
        <w:rPr>
          <w:rFonts w:ascii="Arial" w:cs="Arial" w:eastAsia="Arial" w:hAnsi="Arial"/>
          <w:sz w:val="17"/>
          <w:szCs w:val="17"/>
          <w:b w:val="1"/>
          <w:bCs w:val="1"/>
          <w:i w:val="1"/>
          <w:iCs w:val="1"/>
          <w:color w:val="auto"/>
        </w:rPr>
        <w:t>Revocation Period</w:t>
      </w:r>
      <w:r>
        <w:rPr>
          <w:rFonts w:ascii="Arial" w:cs="Arial" w:eastAsia="Arial" w:hAnsi="Arial"/>
          <w:sz w:val="17"/>
          <w:szCs w:val="17"/>
          <w:color w:val="auto"/>
        </w:rPr>
        <w:t>”) Executive’s consent to this Waiver and Release by executing and delivering a written notice of revocation to the Employer in accordance with the Notice provision of the Employment Agreement. No such revocation by Executive shall be effective unless it is in writing and signed by Executive and received by the Employer prior to the expiration of the Revocation Period. Upon delivery of a notice of revocation to the Employer, the obligations of the Parties under this Waiver and Release shall be void and unenforceable, with the exception of Executive’s obligation to keep this Waiver and Release confidential under Section 5 of this Waiver and Release.</w:t>
      </w:r>
    </w:p>
    <w:p>
      <w:pPr>
        <w:spacing w:after="0" w:line="182" w:lineRule="exact"/>
        <w:rPr>
          <w:rFonts w:ascii="Arial" w:cs="Arial" w:eastAsia="Arial" w:hAnsi="Arial"/>
          <w:sz w:val="17"/>
          <w:szCs w:val="17"/>
          <w:color w:val="auto"/>
        </w:rPr>
      </w:pPr>
    </w:p>
    <w:p>
      <w:pPr>
        <w:jc w:val="both"/>
        <w:ind w:firstLine="656"/>
        <w:spacing w:after="0" w:line="264" w:lineRule="auto"/>
        <w:tabs>
          <w:tab w:leader="none" w:pos="828"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This Waiver and Release shall become effective as of the date on which it is executed by Executive, provided that it is also signed by the Employer and provided that Executive does not timely revoke this Waiver and Release in accordance with the provisions of Section 7 of this Waiver and Release.</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4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9" w:name="page310"/>
    <w:bookmarkEnd w:id="309"/>
    <w:p>
      <w:pPr>
        <w:jc w:val="right"/>
        <w:spacing w:after="0"/>
        <w:rPr>
          <w:sz w:val="20"/>
          <w:szCs w:val="20"/>
          <w:color w:val="auto"/>
        </w:rPr>
      </w:pPr>
      <w:r>
        <w:rPr>
          <w:rFonts w:ascii="Arial" w:cs="Arial" w:eastAsia="Arial" w:hAnsi="Arial"/>
          <w:sz w:val="18"/>
          <w:szCs w:val="18"/>
          <w:b w:val="1"/>
          <w:bCs w:val="1"/>
          <w:color w:val="auto"/>
        </w:rPr>
        <w:t>EXHIBIT C</w:t>
      </w:r>
    </w:p>
    <w:p>
      <w:pPr>
        <w:spacing w:after="0" w:line="189" w:lineRule="exact"/>
        <w:rPr>
          <w:sz w:val="20"/>
          <w:szCs w:val="20"/>
          <w:color w:val="auto"/>
        </w:rPr>
      </w:pPr>
    </w:p>
    <w:p>
      <w:pPr>
        <w:jc w:val="both"/>
        <w:ind w:firstLine="656"/>
        <w:spacing w:after="0" w:line="273" w:lineRule="auto"/>
        <w:tabs>
          <w:tab w:leader="none" w:pos="828" w:val="left"/>
        </w:tabs>
        <w:numPr>
          <w:ilvl w:val="0"/>
          <w:numId w:val="230"/>
        </w:numPr>
        <w:rPr>
          <w:rFonts w:ascii="Arial" w:cs="Arial" w:eastAsia="Arial" w:hAnsi="Arial"/>
          <w:sz w:val="17"/>
          <w:szCs w:val="17"/>
          <w:color w:val="auto"/>
        </w:rPr>
      </w:pPr>
      <w:r>
        <w:rPr>
          <w:rFonts w:ascii="Arial" w:cs="Arial" w:eastAsia="Arial" w:hAnsi="Arial"/>
          <w:sz w:val="17"/>
          <w:szCs w:val="17"/>
          <w:u w:val="single" w:color="auto"/>
          <w:color w:val="auto"/>
        </w:rPr>
        <w:t>Governing Law, Jurisdiction &amp; Venue</w:t>
      </w:r>
      <w:r>
        <w:rPr>
          <w:rFonts w:ascii="Arial" w:cs="Arial" w:eastAsia="Arial" w:hAnsi="Arial"/>
          <w:sz w:val="17"/>
          <w:szCs w:val="17"/>
          <w:color w:val="auto"/>
        </w:rPr>
        <w:t>. This Waiver and Release, and any and all interactions between the Parties arising under or resulting from this Waiver and Release, is governed by and construed in accordance with the laws of the State of Texas, exclusive of its choice of law principles. Each Party irrevocably consents to the personal jurisdiction of the state or federal courts located in Lubbock County, Texas with regard to any dispute arising out of or relating to this Waiver and Release. All payments due hereunder and all obligations performable hereunder shall be payable and performable at the offices of the Employer in Lubbock, Texas. Executive represents to the Employer that Executive has not filed any charge or complaint, nor initiated any other proceedings, against the Employer or any of its employees or agents, with any governmental entity or court.</w:t>
      </w:r>
    </w:p>
    <w:p>
      <w:pPr>
        <w:spacing w:after="0" w:line="178" w:lineRule="exact"/>
        <w:rPr>
          <w:rFonts w:ascii="Arial" w:cs="Arial" w:eastAsia="Arial" w:hAnsi="Arial"/>
          <w:sz w:val="17"/>
          <w:szCs w:val="17"/>
          <w:color w:val="auto"/>
        </w:rPr>
      </w:pPr>
    </w:p>
    <w:p>
      <w:pPr>
        <w:jc w:val="both"/>
        <w:ind w:firstLine="656"/>
        <w:spacing w:after="0" w:line="259" w:lineRule="auto"/>
        <w:tabs>
          <w:tab w:leader="none" w:pos="932"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t>Injunctive Relief</w:t>
      </w:r>
      <w:r>
        <w:rPr>
          <w:rFonts w:ascii="Arial" w:cs="Arial" w:eastAsia="Arial" w:hAnsi="Arial"/>
          <w:sz w:val="18"/>
          <w:szCs w:val="18"/>
          <w:color w:val="auto"/>
        </w:rPr>
        <w:t>. Notwithstanding any other term of this Waiver and Release, it is expressly agreed that a breach of this Waiver and Release may cause irreparable harm to the Employer and that a remedy at law may be inadequate. Therefore, in addition to any and all remedies available at law, the Employer will be entitled to seek injunctive and/or other equitable remedies in the event of any threatened or actual violation of any of the provisions of this Waiver and Release.</w:t>
      </w:r>
    </w:p>
    <w:p>
      <w:pPr>
        <w:spacing w:after="0" w:line="186" w:lineRule="exact"/>
        <w:rPr>
          <w:rFonts w:ascii="Arial" w:cs="Arial" w:eastAsia="Arial" w:hAnsi="Arial"/>
          <w:sz w:val="18"/>
          <w:szCs w:val="18"/>
          <w:color w:val="auto"/>
        </w:rPr>
      </w:pPr>
    </w:p>
    <w:p>
      <w:pPr>
        <w:jc w:val="both"/>
        <w:ind w:firstLine="656"/>
        <w:spacing w:after="0" w:line="302" w:lineRule="auto"/>
        <w:tabs>
          <w:tab w:leader="none" w:pos="911" w:val="left"/>
        </w:tabs>
        <w:numPr>
          <w:ilvl w:val="0"/>
          <w:numId w:val="230"/>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xml:space="preserve">. The Employment Agreement (including all documents referenced therein) and this Waiver and Release comprise the entire agreement between the Parties pertaining to the matters encompassed therein and herein, and supersede any other agreement, written or oral, that may exist between them relating to the matters encompassed therein and herein, except that this Waiver and Release does not in any way supersede or alter the covenants contained in the Non-Competition, Non-Solicitation and Confidentiality Agreement included as </w:t>
      </w:r>
      <w:r>
        <w:rPr>
          <w:rFonts w:ascii="Arial" w:cs="Arial" w:eastAsia="Arial" w:hAnsi="Arial"/>
          <w:sz w:val="16"/>
          <w:szCs w:val="16"/>
          <w:b w:val="1"/>
          <w:bCs w:val="1"/>
          <w:u w:val="single" w:color="auto"/>
          <w:color w:val="auto"/>
        </w:rPr>
        <w:t>Exhibit D</w:t>
      </w:r>
      <w:r>
        <w:rPr>
          <w:rFonts w:ascii="Arial" w:cs="Arial" w:eastAsia="Arial" w:hAnsi="Arial"/>
          <w:sz w:val="16"/>
          <w:szCs w:val="16"/>
          <w:color w:val="auto"/>
        </w:rPr>
        <w:t xml:space="preserve"> to the Employment Agreement.</w:t>
      </w:r>
    </w:p>
    <w:p>
      <w:pPr>
        <w:spacing w:after="0" w:line="154" w:lineRule="exact"/>
        <w:rPr>
          <w:rFonts w:ascii="Arial" w:cs="Arial" w:eastAsia="Arial" w:hAnsi="Arial"/>
          <w:sz w:val="16"/>
          <w:szCs w:val="16"/>
          <w:color w:val="auto"/>
        </w:rPr>
      </w:pPr>
    </w:p>
    <w:p>
      <w:pPr>
        <w:jc w:val="both"/>
        <w:ind w:right="20" w:firstLine="656"/>
        <w:spacing w:after="0" w:line="264" w:lineRule="auto"/>
        <w:tabs>
          <w:tab w:leader="none" w:pos="918"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Waiver and Release is found to be illegal or unenforceable, such finding shall not invalidate the remainder of this Waiver and Release, and that provision shall be deemed to be severed or modified to the minimum extent necessary to equitably adjust the Parties’ respective rights and obligations under this Waiver and Release.</w:t>
      </w:r>
    </w:p>
    <w:p>
      <w:pPr>
        <w:spacing w:after="0" w:line="181" w:lineRule="exact"/>
        <w:rPr>
          <w:rFonts w:ascii="Arial" w:cs="Arial" w:eastAsia="Arial" w:hAnsi="Arial"/>
          <w:sz w:val="18"/>
          <w:szCs w:val="18"/>
          <w:color w:val="auto"/>
        </w:rPr>
      </w:pPr>
    </w:p>
    <w:p>
      <w:pPr>
        <w:ind w:right="40" w:firstLine="656"/>
        <w:spacing w:after="0" w:line="277" w:lineRule="auto"/>
        <w:tabs>
          <w:tab w:leader="none" w:pos="932"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t>Execution</w:t>
      </w:r>
      <w:r>
        <w:rPr>
          <w:rFonts w:ascii="Arial" w:cs="Arial" w:eastAsia="Arial" w:hAnsi="Arial"/>
          <w:sz w:val="18"/>
          <w:szCs w:val="18"/>
          <w:color w:val="auto"/>
        </w:rPr>
        <w:t>. This Waiver and Release may be executed in multiple counterparts, each of which will be deemed an original for all purposes. Facsimile copies of signatures to this Waiver and Release are as valid as original signatures.</w:t>
      </w:r>
    </w:p>
    <w:p>
      <w:pPr>
        <w:spacing w:after="0" w:line="170"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[SIGNATURES ON NEXT PAGE]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5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0" w:name="page311"/>
    <w:bookmarkEnd w:id="310"/>
    <w:p>
      <w:pPr>
        <w:ind w:left="10480"/>
        <w:spacing w:after="0"/>
        <w:rPr>
          <w:sz w:val="20"/>
          <w:szCs w:val="20"/>
          <w:color w:val="auto"/>
        </w:rPr>
      </w:pPr>
      <w:r>
        <w:rPr>
          <w:rFonts w:ascii="Arial" w:cs="Arial" w:eastAsia="Arial" w:hAnsi="Arial"/>
          <w:sz w:val="18"/>
          <w:szCs w:val="18"/>
          <w:b w:val="1"/>
          <w:bCs w:val="1"/>
          <w:color w:val="auto"/>
        </w:rPr>
        <w:t>EXHIBIT C</w:t>
      </w:r>
    </w:p>
    <w:p>
      <w:pPr>
        <w:spacing w:after="0" w:line="18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EXECUTIVE’S SIGNATURE BELOW MEANS THAT EXECUTIVE HAS READ THIS WAIVER AND RELEASE AND AGREES AND CONSENTS TO ALL THE TERMS AND CONDITIONS CONTAINED HEREIN.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5"/>
          </w:tcPr>
          <w:p>
            <w:pPr>
              <w:spacing w:after="0"/>
              <w:rPr>
                <w:sz w:val="20"/>
                <w:szCs w:val="20"/>
                <w:color w:val="auto"/>
              </w:rPr>
            </w:pPr>
            <w:r>
              <w:rPr>
                <w:rFonts w:ascii="Arial" w:cs="Arial" w:eastAsia="Arial" w:hAnsi="Arial"/>
                <w:sz w:val="18"/>
                <w:szCs w:val="18"/>
                <w:b w:val="1"/>
                <w:bCs w:val="1"/>
                <w:color w:val="auto"/>
              </w:rPr>
              <w:t>CITY BANK, TEXAS</w:t>
            </w:r>
          </w:p>
        </w:tc>
        <w:tc>
          <w:tcPr>
            <w:tcW w:w="6840" w:type="dxa"/>
            <w:vAlign w:val="bottom"/>
            <w:gridSpan w:val="3"/>
          </w:tcPr>
          <w:p>
            <w:pPr>
              <w:ind w:left="2280"/>
              <w:spacing w:after="0"/>
              <w:rPr>
                <w:sz w:val="20"/>
                <w:szCs w:val="20"/>
                <w:color w:val="auto"/>
              </w:rPr>
            </w:pPr>
            <w:r>
              <w:rPr>
                <w:rFonts w:ascii="Arial" w:cs="Arial" w:eastAsia="Arial" w:hAnsi="Arial"/>
                <w:sz w:val="18"/>
                <w:szCs w:val="18"/>
                <w:b w:val="1"/>
                <w:bCs w:val="1"/>
                <w:color w:val="auto"/>
              </w:rPr>
              <w:t>EXECUTIVE</w:t>
            </w:r>
          </w:p>
        </w:tc>
      </w:tr>
      <w:tr>
        <w:trPr>
          <w:trHeight w:val="439"/>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gridSpan w:val="4"/>
          </w:tcPr>
          <w:p>
            <w:pPr>
              <w:spacing w:after="0"/>
              <w:rPr>
                <w:sz w:val="24"/>
                <w:szCs w:val="24"/>
                <w:color w:val="auto"/>
              </w:rPr>
            </w:pPr>
          </w:p>
        </w:tc>
        <w:tc>
          <w:tcPr>
            <w:tcW w:w="3200" w:type="dxa"/>
            <w:vAlign w:val="bottom"/>
            <w:gridSpan w:val="2"/>
          </w:tcPr>
          <w:p>
            <w:pPr>
              <w:ind w:left="2280"/>
              <w:spacing w:after="0"/>
              <w:rPr>
                <w:sz w:val="20"/>
                <w:szCs w:val="20"/>
                <w:color w:val="auto"/>
              </w:rPr>
            </w:pPr>
            <w:r>
              <w:rPr>
                <w:rFonts w:ascii="Arial" w:cs="Arial" w:eastAsia="Arial" w:hAnsi="Arial"/>
                <w:sz w:val="18"/>
                <w:szCs w:val="18"/>
                <w:color w:val="auto"/>
              </w:rPr>
              <w:t>Signature:</w:t>
            </w:r>
          </w:p>
        </w:tc>
        <w:tc>
          <w:tcPr>
            <w:tcW w:w="3640" w:type="dxa"/>
            <w:vAlign w:val="bottom"/>
            <w:tcBorders>
              <w:bottom w:val="single" w:sz="8" w:color="auto"/>
            </w:tcBorders>
          </w:tcPr>
          <w:p>
            <w:pPr>
              <w:spacing w:after="0"/>
              <w:rPr>
                <w:sz w:val="24"/>
                <w:szCs w:val="24"/>
                <w:color w:val="auto"/>
              </w:rPr>
            </w:pPr>
          </w:p>
        </w:tc>
      </w:tr>
      <w:tr>
        <w:trPr>
          <w:trHeight w:val="466"/>
        </w:trPr>
        <w:tc>
          <w:tcPr>
            <w:tcW w:w="360" w:type="dxa"/>
            <w:vAlign w:val="bottom"/>
          </w:tcPr>
          <w:p>
            <w:pPr>
              <w:spacing w:after="0"/>
              <w:rPr>
                <w:sz w:val="20"/>
                <w:szCs w:val="20"/>
                <w:color w:val="auto"/>
              </w:rPr>
            </w:pPr>
            <w:r>
              <w:rPr>
                <w:rFonts w:ascii="Arial" w:cs="Arial" w:eastAsia="Arial" w:hAnsi="Arial"/>
                <w:sz w:val="18"/>
                <w:szCs w:val="18"/>
                <w:color w:val="auto"/>
              </w:rPr>
              <w:t>Its:</w:t>
            </w:r>
          </w:p>
        </w:tc>
        <w:tc>
          <w:tcPr>
            <w:tcW w:w="4220" w:type="dxa"/>
            <w:vAlign w:val="bottom"/>
            <w:tcBorders>
              <w:bottom w:val="single" w:sz="8" w:color="auto"/>
            </w:tcBorders>
            <w:gridSpan w:val="4"/>
          </w:tcPr>
          <w:p>
            <w:pPr>
              <w:spacing w:after="0"/>
              <w:rPr>
                <w:sz w:val="24"/>
                <w:szCs w:val="24"/>
                <w:color w:val="auto"/>
              </w:rPr>
            </w:pPr>
          </w:p>
        </w:tc>
        <w:tc>
          <w:tcPr>
            <w:tcW w:w="3200" w:type="dxa"/>
            <w:vAlign w:val="bottom"/>
            <w:gridSpan w:val="2"/>
          </w:tcPr>
          <w:p>
            <w:pPr>
              <w:ind w:left="2280"/>
              <w:spacing w:after="0"/>
              <w:rPr>
                <w:sz w:val="20"/>
                <w:szCs w:val="20"/>
                <w:color w:val="auto"/>
              </w:rPr>
            </w:pPr>
            <w:r>
              <w:rPr>
                <w:rFonts w:ascii="Arial" w:cs="Arial" w:eastAsia="Arial" w:hAnsi="Arial"/>
                <w:sz w:val="18"/>
                <w:szCs w:val="18"/>
                <w:color w:val="auto"/>
                <w:w w:val="94"/>
              </w:rPr>
              <w:t>Print Name:</w:t>
            </w:r>
          </w:p>
        </w:tc>
        <w:tc>
          <w:tcPr>
            <w:tcW w:w="3640" w:type="dxa"/>
            <w:vAlign w:val="bottom"/>
            <w:tcBorders>
              <w:bottom w:val="single" w:sz="8" w:color="auto"/>
            </w:tcBorders>
          </w:tcPr>
          <w:p>
            <w:pPr>
              <w:spacing w:after="0"/>
              <w:rPr>
                <w:sz w:val="24"/>
                <w:szCs w:val="24"/>
                <w:color w:val="auto"/>
              </w:rPr>
            </w:pPr>
          </w:p>
        </w:tc>
      </w:tr>
      <w:tr>
        <w:trPr>
          <w:trHeight w:val="459"/>
        </w:trPr>
        <w:tc>
          <w:tcPr>
            <w:tcW w:w="500" w:type="dxa"/>
            <w:vAlign w:val="bottom"/>
            <w:gridSpan w:val="3"/>
          </w:tcPr>
          <w:p>
            <w:pPr>
              <w:spacing w:after="0"/>
              <w:rPr>
                <w:sz w:val="20"/>
                <w:szCs w:val="20"/>
                <w:color w:val="auto"/>
              </w:rPr>
            </w:pPr>
            <w:r>
              <w:rPr>
                <w:rFonts w:ascii="Arial" w:cs="Arial" w:eastAsia="Arial" w:hAnsi="Arial"/>
                <w:sz w:val="18"/>
                <w:szCs w:val="18"/>
                <w:color w:val="auto"/>
                <w:w w:val="90"/>
              </w:rPr>
              <w:t>Dated:</w:t>
            </w:r>
          </w:p>
        </w:tc>
        <w:tc>
          <w:tcPr>
            <w:tcW w:w="4080" w:type="dxa"/>
            <w:vAlign w:val="bottom"/>
            <w:gridSpan w:val="2"/>
          </w:tcPr>
          <w:p>
            <w:pPr>
              <w:spacing w:after="0"/>
              <w:rPr>
                <w:sz w:val="24"/>
                <w:szCs w:val="24"/>
                <w:color w:val="auto"/>
              </w:rPr>
            </w:pPr>
          </w:p>
        </w:tc>
        <w:tc>
          <w:tcPr>
            <w:tcW w:w="6840" w:type="dxa"/>
            <w:vAlign w:val="bottom"/>
            <w:gridSpan w:val="3"/>
          </w:tcPr>
          <w:p>
            <w:pPr>
              <w:ind w:left="2260"/>
              <w:spacing w:after="0"/>
              <w:rPr>
                <w:sz w:val="20"/>
                <w:szCs w:val="20"/>
                <w:color w:val="auto"/>
              </w:rPr>
            </w:pPr>
            <w:r>
              <w:rPr>
                <w:rFonts w:ascii="Arial" w:cs="Arial" w:eastAsia="Arial" w:hAnsi="Arial"/>
                <w:sz w:val="18"/>
                <w:szCs w:val="18"/>
                <w:color w:val="auto"/>
              </w:rPr>
              <w:t>Dated:</w:t>
            </w:r>
          </w:p>
        </w:tc>
      </w:tr>
      <w:tr>
        <w:trPr>
          <w:trHeight w:val="27"/>
        </w:trPr>
        <w:tc>
          <w:tcPr>
            <w:tcW w:w="4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760" w:type="dxa"/>
            <w:vAlign w:val="bottom"/>
            <w:shd w:val="clear" w:color="auto" w:fill="000000"/>
          </w:tcPr>
          <w:p>
            <w:pPr>
              <w:spacing w:after="0"/>
              <w:rPr>
                <w:sz w:val="2"/>
                <w:szCs w:val="2"/>
                <w:color w:val="auto"/>
              </w:rPr>
            </w:pPr>
          </w:p>
        </w:tc>
        <w:tc>
          <w:tcPr>
            <w:tcW w:w="27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40" w:type="dxa"/>
            <w:vAlign w:val="bottom"/>
            <w:shd w:val="clear" w:color="auto" w:fill="000000"/>
          </w:tcPr>
          <w:p>
            <w:pPr>
              <w:spacing w:after="0"/>
              <w:rPr>
                <w:sz w:val="2"/>
                <w:szCs w:val="2"/>
                <w:color w:val="auto"/>
              </w:rPr>
            </w:pPr>
          </w:p>
        </w:tc>
      </w:tr>
      <w:tr>
        <w:trPr>
          <w:trHeight w:val="459"/>
        </w:trPr>
        <w:tc>
          <w:tcPr>
            <w:tcW w:w="4580" w:type="dxa"/>
            <w:vAlign w:val="bottom"/>
            <w:gridSpan w:val="5"/>
          </w:tcPr>
          <w:p>
            <w:pPr>
              <w:spacing w:after="0"/>
              <w:rPr>
                <w:sz w:val="20"/>
                <w:szCs w:val="20"/>
                <w:color w:val="auto"/>
              </w:rPr>
            </w:pPr>
            <w:r>
              <w:rPr>
                <w:rFonts w:ascii="Arial" w:cs="Arial" w:eastAsia="Arial" w:hAnsi="Arial"/>
                <w:sz w:val="18"/>
                <w:szCs w:val="18"/>
                <w:b w:val="1"/>
                <w:bCs w:val="1"/>
                <w:color w:val="auto"/>
              </w:rPr>
              <w:t>SOUTH PLAINS FINANCIAL, INC.:</w:t>
            </w:r>
          </w:p>
        </w:tc>
        <w:tc>
          <w:tcPr>
            <w:tcW w:w="2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439"/>
        </w:trPr>
        <w:tc>
          <w:tcPr>
            <w:tcW w:w="820" w:type="dxa"/>
            <w:vAlign w:val="bottom"/>
            <w:gridSpan w:val="4"/>
          </w:tcPr>
          <w:p>
            <w:pPr>
              <w:spacing w:after="0"/>
              <w:rPr>
                <w:sz w:val="20"/>
                <w:szCs w:val="20"/>
                <w:color w:val="auto"/>
              </w:rPr>
            </w:pPr>
            <w:r>
              <w:rPr>
                <w:rFonts w:ascii="Arial" w:cs="Arial" w:eastAsia="Arial" w:hAnsi="Arial"/>
                <w:sz w:val="18"/>
                <w:szCs w:val="18"/>
                <w:color w:val="auto"/>
                <w:w w:val="97"/>
              </w:rPr>
              <w:t>Signature:</w:t>
            </w:r>
          </w:p>
        </w:tc>
        <w:tc>
          <w:tcPr>
            <w:tcW w:w="3760" w:type="dxa"/>
            <w:vAlign w:val="bottom"/>
            <w:tcBorders>
              <w:bottom w:val="single" w:sz="8" w:color="auto"/>
            </w:tcBorders>
          </w:tcPr>
          <w:p>
            <w:pPr>
              <w:spacing w:after="0"/>
              <w:rPr>
                <w:sz w:val="24"/>
                <w:szCs w:val="24"/>
                <w:color w:val="auto"/>
              </w:rPr>
            </w:pPr>
          </w:p>
        </w:tc>
        <w:tc>
          <w:tcPr>
            <w:tcW w:w="2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466"/>
        </w:trPr>
        <w:tc>
          <w:tcPr>
            <w:tcW w:w="820" w:type="dxa"/>
            <w:vAlign w:val="bottom"/>
            <w:gridSpan w:val="4"/>
          </w:tcPr>
          <w:p>
            <w:pPr>
              <w:spacing w:after="0"/>
              <w:rPr>
                <w:sz w:val="20"/>
                <w:szCs w:val="20"/>
                <w:color w:val="auto"/>
              </w:rPr>
            </w:pPr>
            <w:r>
              <w:rPr>
                <w:rFonts w:ascii="Arial" w:cs="Arial" w:eastAsia="Arial" w:hAnsi="Arial"/>
                <w:sz w:val="18"/>
                <w:szCs w:val="18"/>
                <w:color w:val="auto"/>
              </w:rPr>
              <w:t>Its:</w:t>
            </w:r>
          </w:p>
        </w:tc>
        <w:tc>
          <w:tcPr>
            <w:tcW w:w="3760" w:type="dxa"/>
            <w:vAlign w:val="bottom"/>
            <w:tcBorders>
              <w:bottom w:val="single" w:sz="8" w:color="auto"/>
            </w:tcBorders>
          </w:tcPr>
          <w:p>
            <w:pPr>
              <w:spacing w:after="0"/>
              <w:rPr>
                <w:sz w:val="24"/>
                <w:szCs w:val="24"/>
                <w:color w:val="auto"/>
              </w:rPr>
            </w:pPr>
          </w:p>
        </w:tc>
        <w:tc>
          <w:tcPr>
            <w:tcW w:w="2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466"/>
        </w:trPr>
        <w:tc>
          <w:tcPr>
            <w:tcW w:w="460" w:type="dxa"/>
            <w:vAlign w:val="bottom"/>
            <w:gridSpan w:val="2"/>
          </w:tcPr>
          <w:p>
            <w:pPr>
              <w:spacing w:after="0"/>
              <w:rPr>
                <w:sz w:val="20"/>
                <w:szCs w:val="20"/>
                <w:color w:val="auto"/>
              </w:rPr>
            </w:pPr>
            <w:r>
              <w:rPr>
                <w:rFonts w:ascii="Arial" w:cs="Arial" w:eastAsia="Arial" w:hAnsi="Arial"/>
                <w:sz w:val="18"/>
                <w:szCs w:val="18"/>
                <w:color w:val="auto"/>
              </w:rPr>
              <w:t>Date:</w:t>
            </w:r>
          </w:p>
        </w:tc>
        <w:tc>
          <w:tcPr>
            <w:tcW w:w="4120" w:type="dxa"/>
            <w:vAlign w:val="bottom"/>
            <w:tcBorders>
              <w:bottom w:val="single" w:sz="8" w:color="auto"/>
            </w:tcBorders>
            <w:gridSpan w:val="3"/>
          </w:tcPr>
          <w:p>
            <w:pPr>
              <w:spacing w:after="0"/>
              <w:rPr>
                <w:sz w:val="24"/>
                <w:szCs w:val="24"/>
                <w:color w:val="auto"/>
              </w:rPr>
            </w:pPr>
          </w:p>
        </w:tc>
        <w:tc>
          <w:tcPr>
            <w:tcW w:w="2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40" w:type="dxa"/>
            <w:vAlign w:val="bottom"/>
          </w:tcPr>
          <w:p>
            <w:pPr>
              <w:spacing w:after="0"/>
              <w:rPr>
                <w:sz w:val="24"/>
                <w:szCs w:val="24"/>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6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1" w:name="page312"/>
    <w:bookmarkEnd w:id="311"/>
    <w:p>
      <w:pPr>
        <w:jc w:val="right"/>
        <w:spacing w:after="0"/>
        <w:rPr>
          <w:sz w:val="20"/>
          <w:szCs w:val="20"/>
          <w:color w:val="auto"/>
        </w:rPr>
      </w:pPr>
      <w:r>
        <w:rPr>
          <w:rFonts w:ascii="Arial" w:cs="Arial" w:eastAsia="Arial" w:hAnsi="Arial"/>
          <w:sz w:val="18"/>
          <w:szCs w:val="18"/>
          <w:b w:val="1"/>
          <w:bCs w:val="1"/>
          <w:color w:val="auto"/>
        </w:rPr>
        <w:t>EXHIBIT 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CITY BANK, TEXAS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NON-COMPETITION, NON-SOLICITATION AND CONFIDENTIALITY AGREEMENT</w:t>
      </w:r>
    </w:p>
    <w:p>
      <w:pPr>
        <w:spacing w:after="0" w:line="23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Non-Competition, Non-Solicitation and Confidentiality Agreement (this “</w:t>
      </w:r>
      <w:r>
        <w:rPr>
          <w:rFonts w:ascii="Arial" w:cs="Arial" w:eastAsia="Arial" w:hAnsi="Arial"/>
          <w:sz w:val="18"/>
          <w:szCs w:val="18"/>
          <w:b w:val="1"/>
          <w:bCs w:val="1"/>
          <w:i w:val="1"/>
          <w:iCs w:val="1"/>
          <w:color w:val="auto"/>
        </w:rPr>
        <w:t>Restrictive Covenants Agreement</w:t>
      </w:r>
      <w:r>
        <w:rPr>
          <w:rFonts w:ascii="Arial" w:cs="Arial" w:eastAsia="Arial" w:hAnsi="Arial"/>
          <w:sz w:val="18"/>
          <w:szCs w:val="18"/>
          <w:color w:val="auto"/>
        </w:rPr>
        <w:t>”) is made and entered into by City Bank, Texas and South Plains Financial Inc. (collectively, the “</w:t>
      </w:r>
      <w:r>
        <w:rPr>
          <w:rFonts w:ascii="Arial" w:cs="Arial" w:eastAsia="Arial" w:hAnsi="Arial"/>
          <w:sz w:val="18"/>
          <w:szCs w:val="18"/>
          <w:b w:val="1"/>
          <w:bCs w:val="1"/>
          <w:i w:val="1"/>
          <w:iCs w:val="1"/>
          <w:color w:val="auto"/>
        </w:rPr>
        <w:t>Employer</w:t>
      </w:r>
      <w:r>
        <w:rPr>
          <w:rFonts w:ascii="Arial" w:cs="Arial" w:eastAsia="Arial" w:hAnsi="Arial"/>
          <w:sz w:val="18"/>
          <w:szCs w:val="18"/>
          <w:color w:val="auto"/>
        </w:rPr>
        <w:t>”) and Cory Newsom (the “</w:t>
      </w:r>
      <w:r>
        <w:rPr>
          <w:rFonts w:ascii="Arial" w:cs="Arial" w:eastAsia="Arial" w:hAnsi="Arial"/>
          <w:sz w:val="18"/>
          <w:szCs w:val="18"/>
          <w:b w:val="1"/>
          <w:bCs w:val="1"/>
          <w:i w:val="1"/>
          <w:iCs w:val="1"/>
          <w:color w:val="auto"/>
        </w:rPr>
        <w:t>Executive</w:t>
      </w:r>
      <w:r>
        <w:rPr>
          <w:rFonts w:ascii="Arial" w:cs="Arial" w:eastAsia="Arial" w:hAnsi="Arial"/>
          <w:sz w:val="18"/>
          <w:szCs w:val="18"/>
          <w:color w:val="auto"/>
        </w:rPr>
        <w:t xml:space="preserve">”). This Restrictive Covenants Agreement is </w:t>
      </w:r>
      <w:r>
        <w:rPr>
          <w:rFonts w:ascii="Arial" w:cs="Arial" w:eastAsia="Arial" w:hAnsi="Arial"/>
          <w:sz w:val="18"/>
          <w:szCs w:val="18"/>
          <w:b w:val="1"/>
          <w:bCs w:val="1"/>
          <w:color w:val="auto"/>
        </w:rPr>
        <w:t xml:space="preserve">Exhibit D </w:t>
      </w:r>
      <w:r>
        <w:rPr>
          <w:rFonts w:ascii="Arial" w:cs="Arial" w:eastAsia="Arial" w:hAnsi="Arial"/>
          <w:sz w:val="18"/>
          <w:szCs w:val="18"/>
          <w:color w:val="auto"/>
        </w:rPr>
        <w:t>to the Employment Agreement (the “</w:t>
      </w:r>
      <w:r>
        <w:rPr>
          <w:rFonts w:ascii="Arial" w:cs="Arial" w:eastAsia="Arial" w:hAnsi="Arial"/>
          <w:sz w:val="18"/>
          <w:szCs w:val="18"/>
          <w:b w:val="1"/>
          <w:bCs w:val="1"/>
          <w:i w:val="1"/>
          <w:iCs w:val="1"/>
          <w:color w:val="auto"/>
        </w:rPr>
        <w:t>Employment Agreement</w:t>
      </w:r>
      <w:r>
        <w:rPr>
          <w:rFonts w:ascii="Arial" w:cs="Arial" w:eastAsia="Arial" w:hAnsi="Arial"/>
          <w:sz w:val="18"/>
          <w:szCs w:val="18"/>
          <w:color w:val="auto"/>
        </w:rPr>
        <w:t>”) by and among the Employer and the Executive dated March 20, 2019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and is to be read in conjunction with the Employment Agreement. In consideration of the mutual promises made herein, the parties hereto agree to the terms and conditions set forth below.</w:t>
      </w:r>
    </w:p>
    <w:p>
      <w:pPr>
        <w:spacing w:after="0" w:line="188" w:lineRule="exact"/>
        <w:rPr>
          <w:sz w:val="20"/>
          <w:szCs w:val="20"/>
          <w:color w:val="auto"/>
        </w:rPr>
      </w:pPr>
    </w:p>
    <w:p>
      <w:pPr>
        <w:ind w:left="840" w:hanging="184"/>
        <w:spacing w:after="0"/>
        <w:tabs>
          <w:tab w:leader="none" w:pos="840"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within this Restrictive Covenants Agreement, the following definitions shall apply:</w:t>
      </w:r>
    </w:p>
    <w:p>
      <w:pPr>
        <w:spacing w:after="0" w:line="225" w:lineRule="exact"/>
        <w:rPr>
          <w:rFonts w:ascii="Arial" w:cs="Arial" w:eastAsia="Arial" w:hAnsi="Arial"/>
          <w:sz w:val="18"/>
          <w:szCs w:val="18"/>
          <w:color w:val="auto"/>
        </w:rPr>
      </w:pPr>
    </w:p>
    <w:p>
      <w:pPr>
        <w:ind w:left="1060" w:hanging="242"/>
        <w:spacing w:after="0"/>
        <w:tabs>
          <w:tab w:leader="none" w:pos="106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Affiliates</w:t>
      </w:r>
      <w:r>
        <w:rPr>
          <w:rFonts w:ascii="Arial" w:cs="Arial" w:eastAsia="Arial" w:hAnsi="Arial"/>
          <w:sz w:val="18"/>
          <w:szCs w:val="18"/>
          <w:color w:val="auto"/>
        </w:rPr>
        <w:t>” means the Employer’s parents, subsidiaries, successors, assigns, and any other affiliated entities.</w:t>
      </w:r>
    </w:p>
    <w:p>
      <w:pPr>
        <w:spacing w:after="0" w:line="225" w:lineRule="exact"/>
        <w:rPr>
          <w:rFonts w:ascii="Arial" w:cs="Arial" w:eastAsia="Arial" w:hAnsi="Arial"/>
          <w:sz w:val="18"/>
          <w:szCs w:val="18"/>
          <w:color w:val="auto"/>
        </w:rPr>
      </w:pPr>
    </w:p>
    <w:p>
      <w:pPr>
        <w:ind w:right="20" w:firstLine="818"/>
        <w:spacing w:after="0" w:line="342" w:lineRule="auto"/>
        <w:tabs>
          <w:tab w:leader="none" w:pos="1079" w:val="left"/>
        </w:tabs>
        <w:numPr>
          <w:ilvl w:val="1"/>
          <w:numId w:val="23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Competitive Business</w:t>
      </w:r>
      <w:r>
        <w:rPr>
          <w:rFonts w:ascii="Arial" w:cs="Arial" w:eastAsia="Arial" w:hAnsi="Arial"/>
          <w:sz w:val="16"/>
          <w:szCs w:val="16"/>
          <w:color w:val="auto"/>
        </w:rPr>
        <w:t>” means any Person, and any parent, subsidiary, or affiliate of any Person, that engages in the banking and financial services business, which includes, without limitation, consumer savings, commercial banking, the savings and the loan business and mortgage lending.</w:t>
      </w:r>
    </w:p>
    <w:p>
      <w:pPr>
        <w:spacing w:after="0" w:line="123" w:lineRule="exact"/>
        <w:rPr>
          <w:rFonts w:ascii="Arial" w:cs="Arial" w:eastAsia="Arial" w:hAnsi="Arial"/>
          <w:sz w:val="16"/>
          <w:szCs w:val="16"/>
          <w:color w:val="auto"/>
        </w:rPr>
      </w:pPr>
    </w:p>
    <w:p>
      <w:pPr>
        <w:jc w:val="both"/>
        <w:ind w:firstLine="818"/>
        <w:spacing w:after="0" w:line="289" w:lineRule="auto"/>
        <w:tabs>
          <w:tab w:leader="none" w:pos="1055" w:val="left"/>
        </w:tabs>
        <w:numPr>
          <w:ilvl w:val="1"/>
          <w:numId w:val="23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Confidential Information</w:t>
      </w:r>
      <w:r>
        <w:rPr>
          <w:rFonts w:ascii="Arial" w:cs="Arial" w:eastAsia="Arial" w:hAnsi="Arial"/>
          <w:sz w:val="16"/>
          <w:szCs w:val="16"/>
          <w:color w:val="auto"/>
        </w:rPr>
        <w:t>” means information of any kind, nature, or description, that (i) relates to the Employer’s business or the business of Affiliates, (ii) provides the Employer or Affiliates economic value or any business advantage, (iii) is not generally known to the public, and (iv) is learned or developed by the Executive as a direct or indirect result of, or during the course of, the Executive’s employment with the Employer. Confidential Information includes, but is not limited to, the Employer’s trade secrets, Affiliates’ trade secrets, and intellectual property and may also relate to, without limitation: any customer; business, merchandise, or marketing procedures, processes, and services; hardware; software; research; marketing; developments; products; product lines; design; purchasing; finances and financial affairs; accounting; merchandising; selling; engineering; employees; training; business practices; acquisitions; potential acquisitions; customer lists; customer contact lists; vendor lists; supplier lists; pricing; pricing agreements; merchandise resources; supply resources; service resources; system designs; procedures or manuals; policies; the prices the Employer or Affiliates obtain or have obtained or at which they sell or have sold their services or products; or the name of the Employer’s or Affiliates’ personnel and those to whom the personnel report.</w:t>
      </w:r>
    </w:p>
    <w:p>
      <w:pPr>
        <w:spacing w:after="0" w:line="166" w:lineRule="exact"/>
        <w:rPr>
          <w:rFonts w:ascii="Arial" w:cs="Arial" w:eastAsia="Arial" w:hAnsi="Arial"/>
          <w:sz w:val="16"/>
          <w:szCs w:val="16"/>
          <w:color w:val="auto"/>
        </w:rPr>
      </w:pPr>
    </w:p>
    <w:p>
      <w:pPr>
        <w:ind w:right="20" w:firstLine="818"/>
        <w:spacing w:after="0" w:line="277" w:lineRule="auto"/>
        <w:tabs>
          <w:tab w:leader="none" w:pos="1065" w:val="left"/>
        </w:tabs>
        <w:numPr>
          <w:ilvl w:val="1"/>
          <w:numId w:val="2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 individual, a corporation, a bank, a limited liability company, an association, a partnership, an estate, a trust, or any other entity or organization.</w:t>
      </w:r>
    </w:p>
    <w:p>
      <w:pPr>
        <w:spacing w:after="0" w:line="170" w:lineRule="exact"/>
        <w:rPr>
          <w:rFonts w:ascii="Arial" w:cs="Arial" w:eastAsia="Arial" w:hAnsi="Arial"/>
          <w:sz w:val="18"/>
          <w:szCs w:val="18"/>
          <w:color w:val="auto"/>
        </w:rPr>
      </w:pPr>
    </w:p>
    <w:p>
      <w:pPr>
        <w:jc w:val="both"/>
        <w:ind w:firstLine="818"/>
        <w:spacing w:after="0" w:line="279" w:lineRule="auto"/>
        <w:tabs>
          <w:tab w:leader="none" w:pos="1055" w:val="left"/>
        </w:tabs>
        <w:numPr>
          <w:ilvl w:val="1"/>
          <w:numId w:val="23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Restricted Customer</w:t>
      </w:r>
      <w:r>
        <w:rPr>
          <w:rFonts w:ascii="Arial" w:cs="Arial" w:eastAsia="Arial" w:hAnsi="Arial"/>
          <w:sz w:val="17"/>
          <w:szCs w:val="17"/>
          <w:color w:val="auto"/>
        </w:rPr>
        <w:t>” means those Persons with which the Employer has contracted or to which the Employer has sold or provided products or services to at any time during the one year during and immediately prior to the Executive’s last day of employment, and with respect to which the Executive has participated in any efforts related to the provision of goods or services, had contact with or supervised employees who had contact with, or received Confidential Information about within the one year immediately prior to the Executive’s last day of employment.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2" w:name="page313"/>
    <w:bookmarkEnd w:id="312"/>
    <w:p>
      <w:pPr>
        <w:ind w:left="10480"/>
        <w:spacing w:after="0"/>
        <w:rPr>
          <w:sz w:val="20"/>
          <w:szCs w:val="20"/>
          <w:color w:val="auto"/>
        </w:rPr>
      </w:pPr>
      <w:r>
        <w:rPr>
          <w:rFonts w:ascii="Arial" w:cs="Arial" w:eastAsia="Arial" w:hAnsi="Arial"/>
          <w:sz w:val="18"/>
          <w:szCs w:val="18"/>
          <w:b w:val="1"/>
          <w:bCs w:val="1"/>
          <w:color w:val="auto"/>
        </w:rPr>
        <w:t>EXHIBIT D</w:t>
      </w:r>
    </w:p>
    <w:p>
      <w:pPr>
        <w:spacing w:after="0" w:line="189" w:lineRule="exact"/>
        <w:rPr>
          <w:sz w:val="20"/>
          <w:szCs w:val="20"/>
          <w:color w:val="auto"/>
        </w:rPr>
      </w:pPr>
    </w:p>
    <w:p>
      <w:pPr>
        <w:ind w:firstLine="818"/>
        <w:spacing w:after="0" w:line="277" w:lineRule="auto"/>
        <w:tabs>
          <w:tab w:leader="none" w:pos="1035" w:val="left"/>
        </w:tabs>
        <w:numPr>
          <w:ilvl w:val="1"/>
          <w:numId w:val="2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Period</w:t>
      </w:r>
      <w:r>
        <w:rPr>
          <w:rFonts w:ascii="Arial" w:cs="Arial" w:eastAsia="Arial" w:hAnsi="Arial"/>
          <w:sz w:val="18"/>
          <w:szCs w:val="18"/>
          <w:color w:val="auto"/>
        </w:rPr>
        <w:t>” means the period during the Executive’s employment with the Employer and the two-year period immediately following the Executive’s employment with the Employer being terminated.</w:t>
      </w:r>
    </w:p>
    <w:p>
      <w:pPr>
        <w:spacing w:after="0" w:line="170" w:lineRule="exact"/>
        <w:rPr>
          <w:rFonts w:ascii="Arial" w:cs="Arial" w:eastAsia="Arial" w:hAnsi="Arial"/>
          <w:sz w:val="18"/>
          <w:szCs w:val="18"/>
          <w:color w:val="auto"/>
        </w:rPr>
      </w:pPr>
    </w:p>
    <w:p>
      <w:pPr>
        <w:ind w:left="840" w:hanging="184"/>
        <w:spacing w:after="0"/>
        <w:tabs>
          <w:tab w:leader="none" w:pos="840" w:val="left"/>
        </w:tabs>
        <w:numPr>
          <w:ilvl w:val="0"/>
          <w:numId w:val="233"/>
        </w:numPr>
        <w:rPr>
          <w:rFonts w:ascii="Arial" w:cs="Arial" w:eastAsia="Arial" w:hAnsi="Arial"/>
          <w:sz w:val="18"/>
          <w:szCs w:val="18"/>
          <w:color w:val="auto"/>
        </w:rPr>
      </w:pPr>
      <w:r>
        <w:rPr>
          <w:rFonts w:ascii="Arial" w:cs="Arial" w:eastAsia="Arial" w:hAnsi="Arial"/>
          <w:sz w:val="18"/>
          <w:szCs w:val="18"/>
          <w:u w:val="single" w:color="auto"/>
          <w:color w:val="auto"/>
        </w:rPr>
        <w:t>Covenants of the Employer and the Executive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818"/>
        <w:spacing w:after="0" w:line="270" w:lineRule="auto"/>
        <w:tabs>
          <w:tab w:leader="none" w:pos="1068" w:val="left"/>
        </w:tabs>
        <w:numPr>
          <w:ilvl w:val="1"/>
          <w:numId w:val="233"/>
        </w:numPr>
        <w:rPr>
          <w:rFonts w:ascii="Arial" w:cs="Arial" w:eastAsia="Arial" w:hAnsi="Arial"/>
          <w:sz w:val="17"/>
          <w:szCs w:val="17"/>
          <w:color w:val="auto"/>
        </w:rPr>
      </w:pPr>
      <w:r>
        <w:rPr>
          <w:rFonts w:ascii="Arial" w:cs="Arial" w:eastAsia="Arial" w:hAnsi="Arial"/>
          <w:sz w:val="17"/>
          <w:szCs w:val="17"/>
          <w:u w:val="single" w:color="auto"/>
          <w:color w:val="auto"/>
        </w:rPr>
        <w:t>Covenants of the Employer</w:t>
      </w:r>
      <w:r>
        <w:rPr>
          <w:rFonts w:ascii="Arial" w:cs="Arial" w:eastAsia="Arial" w:hAnsi="Arial"/>
          <w:sz w:val="17"/>
          <w:szCs w:val="17"/>
          <w:color w:val="auto"/>
        </w:rPr>
        <w:t>. The Executive acknowledges that the Employer, on an ongoing basis, receives, creates, and maintains highly confidential third-party and proprietary information. As a result of the employment relationship that is continued because of this Restrictive Covenants Agreement, upon the full execution hereof, the Employer will provide the Executive with (i) Confidential Information and access to such information, (ii) specialized training, including self-study materials and course work, classroom training, on-line training, on-the-job training, or instruction as to the Employer’s products, services, operations, and methods of protecting Confidential Information, and/or (iii) goodwill support such as expense reimbursements in accordance with the Employer’s policies, Confidential Information related to the Employer’s current and prospective clients, customers, and business associates, or contact and relationships with current and potential clients, customers, and business associates, to help the Executive develop goodwill for the Employer. The foregoing is not contingent upon continued employment of the Executive for any length of time, but is contingent upon the Executive’s full compliance with the restrictions in Sections 2 and 3 of this Restrictive Covenants Agreement.</w:t>
      </w:r>
    </w:p>
    <w:p>
      <w:pPr>
        <w:spacing w:after="0" w:line="181" w:lineRule="exact"/>
        <w:rPr>
          <w:rFonts w:ascii="Arial" w:cs="Arial" w:eastAsia="Arial" w:hAnsi="Arial"/>
          <w:sz w:val="17"/>
          <w:szCs w:val="17"/>
          <w:color w:val="auto"/>
        </w:rPr>
      </w:pPr>
    </w:p>
    <w:p>
      <w:pPr>
        <w:jc w:val="both"/>
        <w:ind w:firstLine="818"/>
        <w:spacing w:after="0" w:line="257" w:lineRule="auto"/>
        <w:tabs>
          <w:tab w:leader="none" w:pos="1092" w:val="left"/>
        </w:tabs>
        <w:numPr>
          <w:ilvl w:val="1"/>
          <w:numId w:val="233"/>
        </w:numPr>
        <w:rPr>
          <w:rFonts w:ascii="Arial" w:cs="Arial" w:eastAsia="Arial" w:hAnsi="Arial"/>
          <w:sz w:val="18"/>
          <w:szCs w:val="18"/>
          <w:color w:val="auto"/>
        </w:rPr>
      </w:pPr>
      <w:r>
        <w:rPr>
          <w:rFonts w:ascii="Arial" w:cs="Arial" w:eastAsia="Arial" w:hAnsi="Arial"/>
          <w:sz w:val="18"/>
          <w:szCs w:val="18"/>
          <w:u w:val="single" w:color="auto"/>
          <w:color w:val="auto"/>
        </w:rPr>
        <w:t>Covenants of the Executive</w:t>
      </w:r>
      <w:r>
        <w:rPr>
          <w:rFonts w:ascii="Arial" w:cs="Arial" w:eastAsia="Arial" w:hAnsi="Arial"/>
          <w:sz w:val="18"/>
          <w:szCs w:val="18"/>
          <w:color w:val="auto"/>
        </w:rPr>
        <w:t>. The Executive agrees not to use or disclose any Confidential Information other than in the course of the Executive’s employment and for the benefit of the Employer (as determined by the Executive in good faith). Notwithstanding the foregoing, nothing in this Restrictive Covenants Agreement prohibits the Executive from communicating with an appropriate governmental agency or entity regarding a possible violation of federal law or regulation or making disclosures that are protected under any whistleblower provisions of law or regulation. Importantly, the Executive is encouraged to communicate any such concerns directly with the Employer.</w:t>
      </w:r>
    </w:p>
    <w:p>
      <w:pPr>
        <w:spacing w:after="0" w:line="188" w:lineRule="exact"/>
        <w:rPr>
          <w:rFonts w:ascii="Arial" w:cs="Arial" w:eastAsia="Arial" w:hAnsi="Arial"/>
          <w:sz w:val="18"/>
          <w:szCs w:val="18"/>
          <w:color w:val="auto"/>
        </w:rPr>
      </w:pPr>
    </w:p>
    <w:p>
      <w:pPr>
        <w:jc w:val="both"/>
        <w:ind w:firstLine="818"/>
        <w:spacing w:after="0" w:line="286" w:lineRule="auto"/>
        <w:tabs>
          <w:tab w:leader="none" w:pos="1055" w:val="left"/>
        </w:tabs>
        <w:numPr>
          <w:ilvl w:val="1"/>
          <w:numId w:val="233"/>
        </w:numPr>
        <w:rPr>
          <w:rFonts w:ascii="Arial" w:cs="Arial" w:eastAsia="Arial" w:hAnsi="Arial"/>
          <w:sz w:val="17"/>
          <w:szCs w:val="17"/>
          <w:color w:val="auto"/>
        </w:rPr>
      </w:pPr>
      <w:r>
        <w:rPr>
          <w:rFonts w:ascii="Arial" w:cs="Arial" w:eastAsia="Arial" w:hAnsi="Arial"/>
          <w:sz w:val="17"/>
          <w:szCs w:val="17"/>
          <w:u w:val="single" w:color="auto"/>
          <w:color w:val="auto"/>
        </w:rPr>
        <w:t>Settlement of Rights</w:t>
      </w:r>
      <w:r>
        <w:rPr>
          <w:rFonts w:ascii="Arial" w:cs="Arial" w:eastAsia="Arial" w:hAnsi="Arial"/>
          <w:sz w:val="17"/>
          <w:szCs w:val="17"/>
          <w:color w:val="auto"/>
        </w:rPr>
        <w:t>. The Executive agrees that (i) all goodwill developed with the Employer’s clients, customers, and other business contacts by the Executive during past employment with the Employer are the exclusive property of the Employer, and (ii) the Confidential Information and specialized training received by the Executive during any past employment with the Employer will be used only for the benefit of the Employer.</w:t>
      </w:r>
    </w:p>
    <w:p>
      <w:pPr>
        <w:spacing w:after="0" w:line="165" w:lineRule="exact"/>
        <w:rPr>
          <w:rFonts w:ascii="Arial" w:cs="Arial" w:eastAsia="Arial" w:hAnsi="Arial"/>
          <w:sz w:val="17"/>
          <w:szCs w:val="17"/>
          <w:color w:val="auto"/>
        </w:rPr>
      </w:pPr>
    </w:p>
    <w:p>
      <w:pPr>
        <w:jc w:val="both"/>
        <w:ind w:firstLine="818"/>
        <w:spacing w:after="0" w:line="302" w:lineRule="auto"/>
        <w:tabs>
          <w:tab w:leader="none" w:pos="1065" w:val="left"/>
        </w:tabs>
        <w:numPr>
          <w:ilvl w:val="1"/>
          <w:numId w:val="233"/>
        </w:numPr>
        <w:rPr>
          <w:rFonts w:ascii="Arial" w:cs="Arial" w:eastAsia="Arial" w:hAnsi="Arial"/>
          <w:sz w:val="16"/>
          <w:szCs w:val="16"/>
          <w:color w:val="auto"/>
        </w:rPr>
      </w:pPr>
      <w:r>
        <w:rPr>
          <w:rFonts w:ascii="Arial" w:cs="Arial" w:eastAsia="Arial" w:hAnsi="Arial"/>
          <w:sz w:val="16"/>
          <w:szCs w:val="16"/>
          <w:u w:val="single" w:color="auto"/>
          <w:color w:val="auto"/>
        </w:rPr>
        <w:t>Goodwill with Customers</w:t>
      </w:r>
      <w:r>
        <w:rPr>
          <w:rFonts w:ascii="Arial" w:cs="Arial" w:eastAsia="Arial" w:hAnsi="Arial"/>
          <w:sz w:val="16"/>
          <w:szCs w:val="16"/>
          <w:color w:val="auto"/>
        </w:rPr>
        <w:t>. The Executive acknowledges that the Employer and the Affiliates have lasting relationships with their customers and own the goodwill in the Executive’s relationships with customers that the Executive will or has developed or maintained in the course and scope of the Executive’s employment with the Employer. If the Executive owned goodwill in a relationship with a customer when the Executive commenced employment with the Employer, then the Executive hereby assigns any and all such goodwill to the Employer, and the Employer shall become the owner of such goodwill.</w:t>
      </w:r>
    </w:p>
    <w:p>
      <w:pPr>
        <w:spacing w:after="0" w:line="154" w:lineRule="exact"/>
        <w:rPr>
          <w:rFonts w:ascii="Arial" w:cs="Arial" w:eastAsia="Arial" w:hAnsi="Arial"/>
          <w:sz w:val="16"/>
          <w:szCs w:val="16"/>
          <w:color w:val="auto"/>
        </w:rPr>
      </w:pPr>
    </w:p>
    <w:p>
      <w:pPr>
        <w:jc w:val="both"/>
        <w:ind w:firstLine="818"/>
        <w:spacing w:after="0" w:line="297" w:lineRule="auto"/>
        <w:tabs>
          <w:tab w:leader="none" w:pos="1055" w:val="left"/>
        </w:tabs>
        <w:numPr>
          <w:ilvl w:val="1"/>
          <w:numId w:val="233"/>
        </w:numPr>
        <w:rPr>
          <w:rFonts w:ascii="Arial" w:cs="Arial" w:eastAsia="Arial" w:hAnsi="Arial"/>
          <w:sz w:val="16"/>
          <w:szCs w:val="16"/>
          <w:color w:val="auto"/>
        </w:rPr>
      </w:pPr>
      <w:r>
        <w:rPr>
          <w:rFonts w:ascii="Arial" w:cs="Arial" w:eastAsia="Arial" w:hAnsi="Arial"/>
          <w:sz w:val="16"/>
          <w:szCs w:val="16"/>
          <w:u w:val="single" w:color="auto"/>
          <w:color w:val="auto"/>
        </w:rPr>
        <w:t>The Employer’s Property</w:t>
      </w:r>
      <w:r>
        <w:rPr>
          <w:rFonts w:ascii="Arial" w:cs="Arial" w:eastAsia="Arial" w:hAnsi="Arial"/>
          <w:sz w:val="16"/>
          <w:szCs w:val="16"/>
          <w:color w:val="auto"/>
        </w:rPr>
        <w:t>. All documents and things provided to the Executive by the Employer or its Affiliates for use in connection with the Executive’s employment, or created by the Executive in the course and scope of the Executive’s employment with the Employer, are the property of the Employer or its Affiliates and shall be held by the Executive as a fiduciary on behalf of the Employer. Upon termination of the Executive’s employment, the Executive shall surrender to the Employer all such documents and things, including, but not limited to, all Confidential Information, together with all copies, reproductions or electronic versions of any kind to the extent that such copies, reproductions or versions contain Confidential Information.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2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3" w:name="page314"/>
    <w:bookmarkEnd w:id="313"/>
    <w:p>
      <w:pPr>
        <w:jc w:val="right"/>
        <w:spacing w:after="0"/>
        <w:rPr>
          <w:sz w:val="20"/>
          <w:szCs w:val="20"/>
          <w:color w:val="auto"/>
        </w:rPr>
      </w:pPr>
      <w:r>
        <w:rPr>
          <w:rFonts w:ascii="Arial" w:cs="Arial" w:eastAsia="Arial" w:hAnsi="Arial"/>
          <w:sz w:val="18"/>
          <w:szCs w:val="18"/>
          <w:b w:val="1"/>
          <w:bCs w:val="1"/>
          <w:color w:val="auto"/>
        </w:rPr>
        <w:t>EXHIBIT D</w:t>
      </w:r>
    </w:p>
    <w:p>
      <w:pPr>
        <w:spacing w:after="0" w:line="189" w:lineRule="exact"/>
        <w:rPr>
          <w:sz w:val="20"/>
          <w:szCs w:val="20"/>
          <w:color w:val="auto"/>
        </w:rPr>
      </w:pPr>
    </w:p>
    <w:p>
      <w:pPr>
        <w:ind w:firstLine="818"/>
        <w:spacing w:after="0" w:line="277" w:lineRule="auto"/>
        <w:tabs>
          <w:tab w:leader="none" w:pos="1035" w:val="left"/>
        </w:tabs>
        <w:numPr>
          <w:ilvl w:val="1"/>
          <w:numId w:val="234"/>
        </w:numPr>
        <w:rPr>
          <w:rFonts w:ascii="Arial" w:cs="Arial" w:eastAsia="Arial" w:hAnsi="Arial"/>
          <w:sz w:val="18"/>
          <w:szCs w:val="18"/>
          <w:color w:val="auto"/>
        </w:rPr>
      </w:pPr>
      <w:r>
        <w:rPr>
          <w:rFonts w:ascii="Arial" w:cs="Arial" w:eastAsia="Arial" w:hAnsi="Arial"/>
          <w:sz w:val="18"/>
          <w:szCs w:val="18"/>
          <w:u w:val="single" w:color="auto"/>
          <w:color w:val="auto"/>
        </w:rPr>
        <w:t>Duty of Loyalty</w:t>
      </w:r>
      <w:r>
        <w:rPr>
          <w:rFonts w:ascii="Arial" w:cs="Arial" w:eastAsia="Arial" w:hAnsi="Arial"/>
          <w:sz w:val="18"/>
          <w:szCs w:val="18"/>
          <w:color w:val="auto"/>
        </w:rPr>
        <w:t>. The Executive agrees that nothing in this Restrictive Covenants Agreement shall limit, in any way, the fiduciary duties that the Executive owes to the Employer under any applicable law.</w:t>
      </w:r>
    </w:p>
    <w:p>
      <w:pPr>
        <w:spacing w:after="0" w:line="170" w:lineRule="exact"/>
        <w:rPr>
          <w:rFonts w:ascii="Arial" w:cs="Arial" w:eastAsia="Arial" w:hAnsi="Arial"/>
          <w:sz w:val="18"/>
          <w:szCs w:val="18"/>
          <w:color w:val="auto"/>
        </w:rPr>
      </w:pPr>
    </w:p>
    <w:p>
      <w:pPr>
        <w:ind w:firstLine="656"/>
        <w:spacing w:after="0" w:line="277" w:lineRule="auto"/>
        <w:tabs>
          <w:tab w:leader="none" w:pos="842" w:val="left"/>
        </w:tabs>
        <w:numPr>
          <w:ilvl w:val="0"/>
          <w:numId w:val="235"/>
        </w:numPr>
        <w:rPr>
          <w:rFonts w:ascii="Arial" w:cs="Arial" w:eastAsia="Arial" w:hAnsi="Arial"/>
          <w:sz w:val="18"/>
          <w:szCs w:val="18"/>
          <w:color w:val="auto"/>
        </w:rPr>
      </w:pPr>
      <w:r>
        <w:rPr>
          <w:rFonts w:ascii="Arial" w:cs="Arial" w:eastAsia="Arial" w:hAnsi="Arial"/>
          <w:sz w:val="18"/>
          <w:szCs w:val="18"/>
          <w:u w:val="single" w:color="auto"/>
          <w:color w:val="auto"/>
        </w:rPr>
        <w:t>Non-Competition and Non-Solicitation</w:t>
      </w:r>
      <w:r>
        <w:rPr>
          <w:rFonts w:ascii="Arial" w:cs="Arial" w:eastAsia="Arial" w:hAnsi="Arial"/>
          <w:sz w:val="18"/>
          <w:szCs w:val="18"/>
          <w:color w:val="auto"/>
        </w:rPr>
        <w:t>. The Executive agrees that the following covenants are reasonable and necessary agreements for the protection of the business interests covered in Section 2 of this Restrictive Covenants Agreement.</w:t>
      </w:r>
    </w:p>
    <w:p>
      <w:pPr>
        <w:spacing w:after="0" w:line="170" w:lineRule="exact"/>
        <w:rPr>
          <w:rFonts w:ascii="Arial" w:cs="Arial" w:eastAsia="Arial" w:hAnsi="Arial"/>
          <w:sz w:val="18"/>
          <w:szCs w:val="18"/>
          <w:color w:val="auto"/>
        </w:rPr>
      </w:pPr>
    </w:p>
    <w:p>
      <w:pPr>
        <w:jc w:val="both"/>
        <w:ind w:firstLine="818"/>
        <w:spacing w:after="0" w:line="273" w:lineRule="auto"/>
        <w:tabs>
          <w:tab w:leader="none" w:pos="1082" w:val="left"/>
        </w:tabs>
        <w:numPr>
          <w:ilvl w:val="1"/>
          <w:numId w:val="235"/>
        </w:numPr>
        <w:rPr>
          <w:rFonts w:ascii="Arial" w:cs="Arial" w:eastAsia="Arial" w:hAnsi="Arial"/>
          <w:sz w:val="17"/>
          <w:szCs w:val="17"/>
          <w:color w:val="auto"/>
        </w:rPr>
      </w:pPr>
      <w:r>
        <w:rPr>
          <w:rFonts w:ascii="Arial" w:cs="Arial" w:eastAsia="Arial" w:hAnsi="Arial"/>
          <w:sz w:val="17"/>
          <w:szCs w:val="17"/>
          <w:u w:val="single" w:color="auto"/>
          <w:color w:val="auto"/>
        </w:rPr>
        <w:t>Non-Competition</w:t>
      </w:r>
      <w:r>
        <w:rPr>
          <w:rFonts w:ascii="Arial" w:cs="Arial" w:eastAsia="Arial" w:hAnsi="Arial"/>
          <w:sz w:val="17"/>
          <w:szCs w:val="17"/>
          <w:color w:val="auto"/>
        </w:rPr>
        <w:t>. The Executive agrees that during the Restricted Period, regardless of the reason for termination of employment, the Executive shall not, directly or indirectly, be employed by, supervise, assist, perform services, work, or otherwise engage in activities for a Competitive Business in any capacity within fifty (50) miles of any location where the Employer or Affiliates are located, which the parties stipulate is a reasonable geographic area because of the scope of the Employer’s operations and the Executive’s employment with the Employer. The Executive may not avoid the purpose and intent of this paragraph by engaging in conduct within the geographically limited area from a remote location through means such as telecommunications, written correspondence, computer generated or assisted communications, or other similar methods.</w:t>
      </w:r>
    </w:p>
    <w:p>
      <w:pPr>
        <w:spacing w:after="0" w:line="178" w:lineRule="exact"/>
        <w:rPr>
          <w:rFonts w:ascii="Arial" w:cs="Arial" w:eastAsia="Arial" w:hAnsi="Arial"/>
          <w:sz w:val="17"/>
          <w:szCs w:val="17"/>
          <w:color w:val="auto"/>
        </w:rPr>
      </w:pPr>
    </w:p>
    <w:p>
      <w:pPr>
        <w:jc w:val="both"/>
        <w:ind w:firstLine="818"/>
        <w:spacing w:after="0" w:line="272" w:lineRule="auto"/>
        <w:tabs>
          <w:tab w:leader="none" w:pos="1065" w:val="left"/>
        </w:tabs>
        <w:numPr>
          <w:ilvl w:val="1"/>
          <w:numId w:val="235"/>
        </w:numPr>
        <w:rPr>
          <w:rFonts w:ascii="Arial" w:cs="Arial" w:eastAsia="Arial" w:hAnsi="Arial"/>
          <w:sz w:val="17"/>
          <w:szCs w:val="17"/>
          <w:color w:val="auto"/>
        </w:rPr>
      </w:pPr>
      <w:r>
        <w:rPr>
          <w:rFonts w:ascii="Arial" w:cs="Arial" w:eastAsia="Arial" w:hAnsi="Arial"/>
          <w:sz w:val="17"/>
          <w:szCs w:val="17"/>
          <w:u w:val="single" w:color="auto"/>
          <w:color w:val="auto"/>
        </w:rPr>
        <w:t>Non-Solicitation of Restricted Customers</w:t>
      </w:r>
      <w:r>
        <w:rPr>
          <w:rFonts w:ascii="Arial" w:cs="Arial" w:eastAsia="Arial" w:hAnsi="Arial"/>
          <w:sz w:val="17"/>
          <w:szCs w:val="17"/>
          <w:color w:val="auto"/>
        </w:rPr>
        <w:t>. The Executive agrees that during the Restricted Period, regardless of the reason for termination of employment, the Executive shall not, on behalf of a Competitive Business, directly or indirectly solicit, cause to be solicited, sell to, contact, supervise, assist, or otherwise be involved with the solicitation of, or do or otherwise attempt to do business with a Restricted Customer. This paragraph is geographically limited to wherever any Restricted Customer can be found or is available for solicitation, which the parties stipulate is a reasonable geographic area because of the scope of the Employer’s operations and the Executive’s employment with the Employer. The Executive may not avoid the purpose and intent of this paragraph by engaging in conduct within the geographically limited area from a remote location through means such as telecommunications, written correspondence, computer generated or assisted communications, or other similar methods.</w:t>
      </w:r>
    </w:p>
    <w:p>
      <w:pPr>
        <w:spacing w:after="0" w:line="177" w:lineRule="exact"/>
        <w:rPr>
          <w:rFonts w:ascii="Arial" w:cs="Arial" w:eastAsia="Arial" w:hAnsi="Arial"/>
          <w:sz w:val="17"/>
          <w:szCs w:val="17"/>
          <w:color w:val="auto"/>
        </w:rPr>
      </w:pPr>
    </w:p>
    <w:p>
      <w:pPr>
        <w:jc w:val="both"/>
        <w:ind w:firstLine="818"/>
        <w:spacing w:after="0" w:line="255" w:lineRule="auto"/>
        <w:tabs>
          <w:tab w:leader="none" w:pos="1095" w:val="left"/>
        </w:tabs>
        <w:numPr>
          <w:ilvl w:val="1"/>
          <w:numId w:val="235"/>
        </w:numPr>
        <w:rPr>
          <w:rFonts w:ascii="Arial" w:cs="Arial" w:eastAsia="Arial" w:hAnsi="Arial"/>
          <w:sz w:val="18"/>
          <w:szCs w:val="18"/>
          <w:color w:val="auto"/>
        </w:rPr>
      </w:pPr>
      <w:r>
        <w:rPr>
          <w:rFonts w:ascii="Arial" w:cs="Arial" w:eastAsia="Arial" w:hAnsi="Arial"/>
          <w:sz w:val="18"/>
          <w:szCs w:val="18"/>
          <w:u w:val="single" w:color="auto"/>
          <w:color w:val="auto"/>
        </w:rPr>
        <w:t>Non-Solicitation of Employees and Contractors</w:t>
      </w:r>
      <w:r>
        <w:rPr>
          <w:rFonts w:ascii="Arial" w:cs="Arial" w:eastAsia="Arial" w:hAnsi="Arial"/>
          <w:sz w:val="18"/>
          <w:szCs w:val="18"/>
          <w:color w:val="auto"/>
        </w:rPr>
        <w:t>. The Executive agrees that during the Restricted Period, regardless of the reason for termination of employment, the Executive shall not directly or indirectly solicit, cause to be solicited, assist, or otherwise be involved with the solicitation of, any employee, contractor or other person to terminate that person’s employment, contract or relationship with the Employer or to breach that person’s employment agreement or contract with the Employer. Further, the Executive agrees that during the Restricted Period, regardless of the reason for termination of employment, the Executive will not, directly or indirectly, hire, recruit, solicit, or participate or assist any person or entity in hiring, recruiting or soliciting, any individual who was an employee or contractor of the Employer at any time within the last twelve (12) months of the Executive’s employment with the Employer.</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3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4" w:name="page315"/>
    <w:bookmarkEnd w:id="314"/>
    <w:p>
      <w:pPr>
        <w:jc w:val="right"/>
        <w:spacing w:after="0"/>
        <w:rPr>
          <w:sz w:val="20"/>
          <w:szCs w:val="20"/>
          <w:color w:val="auto"/>
        </w:rPr>
      </w:pPr>
      <w:r>
        <w:rPr>
          <w:rFonts w:ascii="Arial" w:cs="Arial" w:eastAsia="Arial" w:hAnsi="Arial"/>
          <w:sz w:val="18"/>
          <w:szCs w:val="18"/>
          <w:b w:val="1"/>
          <w:bCs w:val="1"/>
          <w:color w:val="auto"/>
        </w:rPr>
        <w:t>EXHIBIT D</w:t>
      </w:r>
    </w:p>
    <w:p>
      <w:pPr>
        <w:spacing w:after="0" w:line="189" w:lineRule="exact"/>
        <w:rPr>
          <w:sz w:val="20"/>
          <w:szCs w:val="20"/>
          <w:color w:val="auto"/>
        </w:rPr>
      </w:pPr>
    </w:p>
    <w:p>
      <w:pPr>
        <w:jc w:val="both"/>
        <w:ind w:firstLine="818"/>
        <w:spacing w:after="0" w:line="270" w:lineRule="auto"/>
        <w:tabs>
          <w:tab w:leader="none" w:pos="1065" w:val="left"/>
        </w:tabs>
        <w:numPr>
          <w:ilvl w:val="1"/>
          <w:numId w:val="236"/>
        </w:numPr>
        <w:rPr>
          <w:rFonts w:ascii="Arial" w:cs="Arial" w:eastAsia="Arial" w:hAnsi="Arial"/>
          <w:sz w:val="17"/>
          <w:szCs w:val="17"/>
          <w:color w:val="auto"/>
        </w:rPr>
      </w:pPr>
      <w:r>
        <w:rPr>
          <w:rFonts w:ascii="Arial" w:cs="Arial" w:eastAsia="Arial" w:hAnsi="Arial"/>
          <w:sz w:val="17"/>
          <w:szCs w:val="17"/>
          <w:u w:val="single" w:color="auto"/>
          <w:color w:val="auto"/>
        </w:rPr>
        <w:t>Early Resolution Conference</w:t>
      </w:r>
      <w:r>
        <w:rPr>
          <w:rFonts w:ascii="Arial" w:cs="Arial" w:eastAsia="Arial" w:hAnsi="Arial"/>
          <w:sz w:val="17"/>
          <w:szCs w:val="17"/>
          <w:color w:val="auto"/>
        </w:rPr>
        <w:t>. This Restrictive Covenants Agreement is understood to be clear and enforceable as written and is executed by both parties on that basis. However, should the Executive later challenge any provision as unclear, unenforceable, or inapplicable to any activity in which the Executive intends to engage, the Executive will first notify the Employer in writing and meet with the Employer’s representative and a neutral mediator (if the Employer elects to retain one at its expense) to discuss resolution of any disputes between the parties. The Executive will provide this notification at least fourteen (14) days before the Executive engages in any activity on behalf of a Competitive Business or engages in other activity that could foreseeably fall within a questioned restriction. The Executive agrees that during the term of the restrictions in Sections 3(a), 3(b) and 3(c) of this Restrictive Covenants Agreement, the Executive shall promptly inform the Employer in writing of the identity of any new employer, the job title of the Executive’s new position, and a description of any services to be rendered to that employer; and, if the new employer is a Competitive Business, will communicate the Executive’s obligations under this Restrictive Covenants Agreement to each new employer, which shall include providing each new employer with a copy of this Restrictive Covenants Agreement.</w:t>
      </w:r>
    </w:p>
    <w:p>
      <w:pPr>
        <w:spacing w:after="0" w:line="177" w:lineRule="exact"/>
        <w:rPr>
          <w:rFonts w:ascii="Arial" w:cs="Arial" w:eastAsia="Arial" w:hAnsi="Arial"/>
          <w:sz w:val="17"/>
          <w:szCs w:val="17"/>
          <w:color w:val="auto"/>
        </w:rPr>
      </w:pPr>
    </w:p>
    <w:p>
      <w:pPr>
        <w:ind w:left="840" w:hanging="184"/>
        <w:spacing w:after="0"/>
        <w:tabs>
          <w:tab w:leader="none" w:pos="840"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Survival/Enforcement of Restrictive Covenants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818"/>
        <w:spacing w:after="0" w:line="255" w:lineRule="auto"/>
        <w:tabs>
          <w:tab w:leader="none" w:pos="1055" w:val="left"/>
        </w:tabs>
        <w:numPr>
          <w:ilvl w:val="1"/>
          <w:numId w:val="237"/>
        </w:numPr>
        <w:rPr>
          <w:rFonts w:ascii="Arial" w:cs="Arial" w:eastAsia="Arial" w:hAnsi="Arial"/>
          <w:sz w:val="18"/>
          <w:szCs w:val="18"/>
          <w:color w:val="auto"/>
        </w:rPr>
      </w:pPr>
      <w:r>
        <w:rPr>
          <w:rFonts w:ascii="Arial" w:cs="Arial" w:eastAsia="Arial" w:hAnsi="Arial"/>
          <w:sz w:val="18"/>
          <w:szCs w:val="18"/>
          <w:u w:val="single" w:color="auto"/>
          <w:color w:val="auto"/>
        </w:rPr>
        <w:t>Survival of Covenants</w:t>
      </w:r>
      <w:r>
        <w:rPr>
          <w:rFonts w:ascii="Arial" w:cs="Arial" w:eastAsia="Arial" w:hAnsi="Arial"/>
          <w:sz w:val="18"/>
          <w:szCs w:val="18"/>
          <w:color w:val="auto"/>
        </w:rPr>
        <w:t>. Each restriction set forth in Sections 2 and 3 of this Restrictive Covenants Agreement shall survive the termination of the Executive’s employment with the Employer to the extent expressly set forth in this Agreement. The existence of any claim or cause of action of the Executive against the Employer, whether predicated on this Restrictive Covenants Agreement or otherwise, shall not constitute a defense to the enforcement by the Employer of any covenant contained in this Restrictive Covenants Agreement. In the event an enforcement remedy is sought under Sections 3(a), 3(b) or 3(c) of this Restrictive Covenants Agreement, the periods of time provided in those Sections shall be extended by one day for each day the Executive failed to comply with the restriction at issue, it being the intention of the parties hereto that the running of the applicable post-termination restriction period shall be tolled during any period of such violation.</w:t>
      </w:r>
    </w:p>
    <w:p>
      <w:pPr>
        <w:spacing w:after="0" w:line="189" w:lineRule="exact"/>
        <w:rPr>
          <w:rFonts w:ascii="Arial" w:cs="Arial" w:eastAsia="Arial" w:hAnsi="Arial"/>
          <w:sz w:val="18"/>
          <w:szCs w:val="18"/>
          <w:color w:val="auto"/>
        </w:rPr>
      </w:pPr>
    </w:p>
    <w:p>
      <w:pPr>
        <w:jc w:val="both"/>
        <w:ind w:firstLine="818"/>
        <w:spacing w:after="0" w:line="273" w:lineRule="auto"/>
        <w:tabs>
          <w:tab w:leader="none" w:pos="1079" w:val="left"/>
        </w:tabs>
        <w:numPr>
          <w:ilvl w:val="1"/>
          <w:numId w:val="237"/>
        </w:numPr>
        <w:rPr>
          <w:rFonts w:ascii="Arial" w:cs="Arial" w:eastAsia="Arial" w:hAnsi="Arial"/>
          <w:sz w:val="17"/>
          <w:szCs w:val="17"/>
          <w:color w:val="auto"/>
        </w:rPr>
      </w:pPr>
      <w:r>
        <w:rPr>
          <w:rFonts w:ascii="Arial" w:cs="Arial" w:eastAsia="Arial" w:hAnsi="Arial"/>
          <w:sz w:val="17"/>
          <w:szCs w:val="17"/>
          <w:u w:val="single" w:color="auto"/>
          <w:color w:val="auto"/>
        </w:rPr>
        <w:t>Remedies</w:t>
      </w:r>
      <w:r>
        <w:rPr>
          <w:rFonts w:ascii="Arial" w:cs="Arial" w:eastAsia="Arial" w:hAnsi="Arial"/>
          <w:sz w:val="17"/>
          <w:szCs w:val="17"/>
          <w:color w:val="auto"/>
        </w:rPr>
        <w:t>. In the event of breach or threatened breach by the Executive of any provision of Sections 2 or 3 of this Restrictive Covenants Agreement, the Employer shall be entitled to (i) seek injunctive relief by temporary restraining order, temporary injunction, or permanent injunction, and (ii) any other legal and equitable relief to which the Employer may be entitled, including without limitation any and all monetary costs and damages which the Employer may incur as a result of any such breach or threatened breach. The Employer may pursue any remedy available, without limitation, including declaratory relief, concurrently or consecutively in any order as to any breach, violation, or threatened breach or violation, and the pursuit of one such remedy at any time will not be deemed an election of remedies or waiver of the right to pursue any other remedy.</w:t>
      </w:r>
    </w:p>
    <w:p>
      <w:pPr>
        <w:spacing w:after="0" w:line="178" w:lineRule="exact"/>
        <w:rPr>
          <w:rFonts w:ascii="Arial" w:cs="Arial" w:eastAsia="Arial" w:hAnsi="Arial"/>
          <w:sz w:val="17"/>
          <w:szCs w:val="17"/>
          <w:color w:val="auto"/>
        </w:rPr>
      </w:pPr>
    </w:p>
    <w:p>
      <w:pPr>
        <w:ind w:firstLine="656"/>
        <w:spacing w:after="0" w:line="277" w:lineRule="auto"/>
        <w:tabs>
          <w:tab w:leader="none" w:pos="828"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The general provisions contained in Section 8 of the Employment Agreement are incorporated herein by reference and shall apply equally to this Restrictive Covenants Agreement.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ON NEXT PAGE]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4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5" w:name="page316"/>
    <w:bookmarkEnd w:id="315"/>
    <w:p>
      <w:pPr>
        <w:ind w:left="10000"/>
        <w:spacing w:after="0"/>
        <w:rPr>
          <w:sz w:val="20"/>
          <w:szCs w:val="20"/>
          <w:color w:val="auto"/>
        </w:rPr>
      </w:pPr>
      <w:r>
        <w:rPr>
          <w:rFonts w:ascii="Arial" w:cs="Arial" w:eastAsia="Arial" w:hAnsi="Arial"/>
          <w:sz w:val="18"/>
          <w:szCs w:val="18"/>
          <w:b w:val="1"/>
          <w:bCs w:val="1"/>
          <w:color w:val="auto"/>
        </w:rPr>
        <w:t>ATTACHMENT 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the parties hereto have duly executed this Restrictive Covenants Agreement effective as of the Effective Date.</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4"/>
          </w:tcPr>
          <w:p>
            <w:pPr>
              <w:spacing w:after="0"/>
              <w:rPr>
                <w:sz w:val="20"/>
                <w:szCs w:val="20"/>
                <w:color w:val="auto"/>
              </w:rPr>
            </w:pPr>
            <w:r>
              <w:rPr>
                <w:rFonts w:ascii="Arial" w:cs="Arial" w:eastAsia="Arial" w:hAnsi="Arial"/>
                <w:sz w:val="18"/>
                <w:szCs w:val="18"/>
                <w:b w:val="1"/>
                <w:bCs w:val="1"/>
                <w:color w:val="auto"/>
              </w:rPr>
              <w:t>CITY BANK, TEXAS</w:t>
            </w:r>
          </w:p>
        </w:tc>
        <w:tc>
          <w:tcPr>
            <w:tcW w:w="6840" w:type="dxa"/>
            <w:vAlign w:val="bottom"/>
            <w:gridSpan w:val="4"/>
          </w:tcPr>
          <w:p>
            <w:pPr>
              <w:ind w:left="2280"/>
              <w:spacing w:after="0"/>
              <w:rPr>
                <w:sz w:val="20"/>
                <w:szCs w:val="20"/>
                <w:color w:val="auto"/>
              </w:rPr>
            </w:pPr>
            <w:r>
              <w:rPr>
                <w:rFonts w:ascii="Arial" w:cs="Arial" w:eastAsia="Arial" w:hAnsi="Arial"/>
                <w:sz w:val="18"/>
                <w:szCs w:val="18"/>
                <w:b w:val="1"/>
                <w:bCs w:val="1"/>
                <w:color w:val="auto"/>
              </w:rPr>
              <w:t>EXECUTIVE</w:t>
            </w:r>
          </w:p>
        </w:tc>
      </w:tr>
      <w:tr>
        <w:trPr>
          <w:trHeight w:val="432"/>
        </w:trPr>
        <w:tc>
          <w:tcPr>
            <w:tcW w:w="4580" w:type="dxa"/>
            <w:vAlign w:val="bottom"/>
            <w:gridSpan w:val="4"/>
          </w:tcPr>
          <w:p>
            <w:pPr>
              <w:spacing w:after="0"/>
              <w:rPr>
                <w:sz w:val="20"/>
                <w:szCs w:val="20"/>
                <w:color w:val="auto"/>
              </w:rPr>
            </w:pPr>
            <w:r>
              <w:rPr>
                <w:rFonts w:ascii="Arial" w:cs="Arial" w:eastAsia="Arial" w:hAnsi="Arial"/>
                <w:sz w:val="18"/>
                <w:szCs w:val="18"/>
                <w:color w:val="auto"/>
              </w:rPr>
              <w:t>By: /s/ Curtis C. Griffith</w:t>
            </w:r>
          </w:p>
        </w:tc>
        <w:tc>
          <w:tcPr>
            <w:tcW w:w="3200" w:type="dxa"/>
            <w:vAlign w:val="bottom"/>
            <w:gridSpan w:val="2"/>
          </w:tcPr>
          <w:p>
            <w:pPr>
              <w:ind w:left="2280"/>
              <w:spacing w:after="0"/>
              <w:rPr>
                <w:sz w:val="20"/>
                <w:szCs w:val="20"/>
                <w:color w:val="auto"/>
              </w:rPr>
            </w:pPr>
            <w:r>
              <w:rPr>
                <w:rFonts w:ascii="Arial" w:cs="Arial" w:eastAsia="Arial" w:hAnsi="Arial"/>
                <w:sz w:val="18"/>
                <w:szCs w:val="18"/>
                <w:color w:val="auto"/>
              </w:rPr>
              <w:t>Signature:</w:t>
            </w:r>
          </w:p>
        </w:tc>
        <w:tc>
          <w:tcPr>
            <w:tcW w:w="3640" w:type="dxa"/>
            <w:vAlign w:val="bottom"/>
            <w:gridSpan w:val="2"/>
          </w:tcPr>
          <w:p>
            <w:pPr>
              <w:jc w:val="center"/>
              <w:ind w:right="2200"/>
              <w:spacing w:after="0"/>
              <w:rPr>
                <w:sz w:val="20"/>
                <w:szCs w:val="20"/>
                <w:color w:val="auto"/>
              </w:rPr>
            </w:pPr>
            <w:r>
              <w:rPr>
                <w:rFonts w:ascii="Arial" w:cs="Arial" w:eastAsia="Arial" w:hAnsi="Arial"/>
                <w:sz w:val="18"/>
                <w:szCs w:val="18"/>
                <w:color w:val="auto"/>
                <w:w w:val="91"/>
              </w:rPr>
              <w:t>/s/ Cory T. Newsom</w:t>
            </w:r>
          </w:p>
        </w:tc>
      </w:tr>
      <w:tr>
        <w:trPr>
          <w:trHeight w:val="27"/>
        </w:trPr>
        <w:tc>
          <w:tcPr>
            <w:tcW w:w="40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760" w:type="dxa"/>
            <w:vAlign w:val="bottom"/>
            <w:shd w:val="clear" w:color="auto" w:fill="000000"/>
          </w:tcPr>
          <w:p>
            <w:pPr>
              <w:spacing w:after="0"/>
              <w:rPr>
                <w:sz w:val="2"/>
                <w:szCs w:val="2"/>
                <w:color w:val="auto"/>
              </w:rPr>
            </w:pPr>
          </w:p>
        </w:tc>
        <w:tc>
          <w:tcPr>
            <w:tcW w:w="2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520" w:type="dxa"/>
            <w:vAlign w:val="bottom"/>
            <w:shd w:val="clear" w:color="auto" w:fill="000000"/>
          </w:tcPr>
          <w:p>
            <w:pPr>
              <w:spacing w:after="0"/>
              <w:rPr>
                <w:sz w:val="2"/>
                <w:szCs w:val="2"/>
                <w:color w:val="auto"/>
              </w:rPr>
            </w:pPr>
          </w:p>
        </w:tc>
      </w:tr>
      <w:tr>
        <w:trPr>
          <w:trHeight w:val="459"/>
        </w:trPr>
        <w:tc>
          <w:tcPr>
            <w:tcW w:w="4580" w:type="dxa"/>
            <w:vAlign w:val="bottom"/>
            <w:gridSpan w:val="4"/>
          </w:tcPr>
          <w:p>
            <w:pPr>
              <w:spacing w:after="0"/>
              <w:rPr>
                <w:sz w:val="20"/>
                <w:szCs w:val="20"/>
                <w:color w:val="auto"/>
              </w:rPr>
            </w:pPr>
            <w:r>
              <w:rPr>
                <w:rFonts w:ascii="Arial" w:cs="Arial" w:eastAsia="Arial" w:hAnsi="Arial"/>
                <w:sz w:val="18"/>
                <w:szCs w:val="18"/>
                <w:color w:val="auto"/>
              </w:rPr>
              <w:t>Its:  Chairman</w:t>
            </w:r>
          </w:p>
        </w:tc>
        <w:tc>
          <w:tcPr>
            <w:tcW w:w="3200" w:type="dxa"/>
            <w:vAlign w:val="bottom"/>
            <w:gridSpan w:val="2"/>
          </w:tcPr>
          <w:p>
            <w:pPr>
              <w:ind w:left="2280"/>
              <w:spacing w:after="0"/>
              <w:rPr>
                <w:sz w:val="20"/>
                <w:szCs w:val="20"/>
                <w:color w:val="auto"/>
              </w:rPr>
            </w:pPr>
            <w:r>
              <w:rPr>
                <w:rFonts w:ascii="Arial" w:cs="Arial" w:eastAsia="Arial" w:hAnsi="Arial"/>
                <w:sz w:val="18"/>
                <w:szCs w:val="18"/>
                <w:color w:val="auto"/>
                <w:w w:val="94"/>
              </w:rPr>
              <w:t>Print Name:</w:t>
            </w:r>
          </w:p>
        </w:tc>
        <w:tc>
          <w:tcPr>
            <w:tcW w:w="3640" w:type="dxa"/>
            <w:vAlign w:val="bottom"/>
            <w:gridSpan w:val="2"/>
          </w:tcPr>
          <w:p>
            <w:pPr>
              <w:jc w:val="center"/>
              <w:ind w:right="2180"/>
              <w:spacing w:after="0"/>
              <w:rPr>
                <w:sz w:val="20"/>
                <w:szCs w:val="20"/>
                <w:color w:val="auto"/>
              </w:rPr>
            </w:pPr>
            <w:r>
              <w:rPr>
                <w:rFonts w:ascii="Arial" w:cs="Arial" w:eastAsia="Arial" w:hAnsi="Arial"/>
                <w:sz w:val="18"/>
                <w:szCs w:val="18"/>
                <w:color w:val="auto"/>
                <w:w w:val="91"/>
              </w:rPr>
              <w:t>Cory T. Newsom</w:t>
            </w:r>
          </w:p>
        </w:tc>
      </w:tr>
      <w:tr>
        <w:trPr>
          <w:trHeight w:val="27"/>
        </w:trPr>
        <w:tc>
          <w:tcPr>
            <w:tcW w:w="40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760" w:type="dxa"/>
            <w:vAlign w:val="bottom"/>
            <w:shd w:val="clear" w:color="auto" w:fill="000000"/>
          </w:tcPr>
          <w:p>
            <w:pPr>
              <w:spacing w:after="0"/>
              <w:rPr>
                <w:sz w:val="2"/>
                <w:szCs w:val="2"/>
                <w:color w:val="auto"/>
              </w:rPr>
            </w:pPr>
          </w:p>
        </w:tc>
        <w:tc>
          <w:tcPr>
            <w:tcW w:w="286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3520" w:type="dxa"/>
            <w:vAlign w:val="bottom"/>
            <w:shd w:val="clear" w:color="auto" w:fill="000000"/>
          </w:tcPr>
          <w:p>
            <w:pPr>
              <w:spacing w:after="0"/>
              <w:rPr>
                <w:sz w:val="2"/>
                <w:szCs w:val="2"/>
                <w:color w:val="auto"/>
              </w:rPr>
            </w:pPr>
          </w:p>
        </w:tc>
      </w:tr>
      <w:tr>
        <w:trPr>
          <w:trHeight w:val="459"/>
        </w:trPr>
        <w:tc>
          <w:tcPr>
            <w:tcW w:w="4580" w:type="dxa"/>
            <w:vAlign w:val="bottom"/>
            <w:gridSpan w:val="4"/>
          </w:tcPr>
          <w:p>
            <w:pPr>
              <w:spacing w:after="0"/>
              <w:rPr>
                <w:sz w:val="20"/>
                <w:szCs w:val="20"/>
                <w:color w:val="auto"/>
              </w:rPr>
            </w:pPr>
            <w:r>
              <w:rPr>
                <w:rFonts w:ascii="Arial" w:cs="Arial" w:eastAsia="Arial" w:hAnsi="Arial"/>
                <w:sz w:val="18"/>
                <w:szCs w:val="18"/>
                <w:color w:val="auto"/>
              </w:rPr>
              <w:t>Dated: March 20, 2019</w:t>
            </w:r>
          </w:p>
        </w:tc>
        <w:tc>
          <w:tcPr>
            <w:tcW w:w="6840" w:type="dxa"/>
            <w:vAlign w:val="bottom"/>
            <w:gridSpan w:val="4"/>
          </w:tcPr>
          <w:p>
            <w:pPr>
              <w:ind w:left="2280"/>
              <w:spacing w:after="0"/>
              <w:rPr>
                <w:sz w:val="20"/>
                <w:szCs w:val="20"/>
                <w:color w:val="auto"/>
              </w:rPr>
            </w:pPr>
            <w:r>
              <w:rPr>
                <w:rFonts w:ascii="Arial" w:cs="Arial" w:eastAsia="Arial" w:hAnsi="Arial"/>
                <w:sz w:val="18"/>
                <w:szCs w:val="18"/>
                <w:color w:val="auto"/>
              </w:rPr>
              <w:t>Dated: March 20, 2019</w:t>
            </w:r>
          </w:p>
        </w:tc>
      </w:tr>
      <w:tr>
        <w:trPr>
          <w:trHeight w:val="27"/>
        </w:trPr>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760" w:type="dxa"/>
            <w:vAlign w:val="bottom"/>
            <w:shd w:val="clear" w:color="auto" w:fill="000000"/>
          </w:tcPr>
          <w:p>
            <w:pPr>
              <w:spacing w:after="0"/>
              <w:rPr>
                <w:sz w:val="2"/>
                <w:szCs w:val="2"/>
                <w:color w:val="auto"/>
              </w:rPr>
            </w:pPr>
          </w:p>
        </w:tc>
        <w:tc>
          <w:tcPr>
            <w:tcW w:w="28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520" w:type="dxa"/>
            <w:vAlign w:val="bottom"/>
            <w:shd w:val="clear" w:color="auto" w:fill="000000"/>
          </w:tcPr>
          <w:p>
            <w:pPr>
              <w:spacing w:after="0"/>
              <w:rPr>
                <w:sz w:val="2"/>
                <w:szCs w:val="2"/>
                <w:color w:val="auto"/>
              </w:rPr>
            </w:pPr>
          </w:p>
        </w:tc>
      </w:tr>
      <w:tr>
        <w:trPr>
          <w:trHeight w:val="459"/>
        </w:trPr>
        <w:tc>
          <w:tcPr>
            <w:tcW w:w="4580" w:type="dxa"/>
            <w:vAlign w:val="bottom"/>
            <w:gridSpan w:val="4"/>
          </w:tcPr>
          <w:p>
            <w:pPr>
              <w:spacing w:after="0"/>
              <w:rPr>
                <w:sz w:val="20"/>
                <w:szCs w:val="20"/>
                <w:color w:val="auto"/>
              </w:rPr>
            </w:pPr>
            <w:r>
              <w:rPr>
                <w:rFonts w:ascii="Arial" w:cs="Arial" w:eastAsia="Arial" w:hAnsi="Arial"/>
                <w:sz w:val="18"/>
                <w:szCs w:val="18"/>
                <w:b w:val="1"/>
                <w:bCs w:val="1"/>
                <w:color w:val="auto"/>
              </w:rPr>
              <w:t>SOUTH PLAINS FINANCIAL, INC.:</w:t>
            </w:r>
          </w:p>
        </w:tc>
        <w:tc>
          <w:tcPr>
            <w:tcW w:w="2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432"/>
        </w:trPr>
        <w:tc>
          <w:tcPr>
            <w:tcW w:w="4580" w:type="dxa"/>
            <w:vAlign w:val="bottom"/>
            <w:gridSpan w:val="4"/>
          </w:tcPr>
          <w:p>
            <w:pPr>
              <w:spacing w:after="0"/>
              <w:rPr>
                <w:sz w:val="20"/>
                <w:szCs w:val="20"/>
                <w:color w:val="auto"/>
              </w:rPr>
            </w:pPr>
            <w:r>
              <w:rPr>
                <w:rFonts w:ascii="Arial" w:cs="Arial" w:eastAsia="Arial" w:hAnsi="Arial"/>
                <w:sz w:val="18"/>
                <w:szCs w:val="18"/>
                <w:color w:val="auto"/>
              </w:rPr>
              <w:t>Signature: Curtis C. Griffith</w:t>
            </w:r>
          </w:p>
        </w:tc>
        <w:tc>
          <w:tcPr>
            <w:tcW w:w="2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7"/>
        </w:trPr>
        <w:tc>
          <w:tcPr>
            <w:tcW w:w="40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3760" w:type="dxa"/>
            <w:vAlign w:val="bottom"/>
            <w:shd w:val="clear" w:color="auto" w:fill="000000"/>
          </w:tcPr>
          <w:p>
            <w:pPr>
              <w:spacing w:after="0"/>
              <w:rPr>
                <w:sz w:val="2"/>
                <w:szCs w:val="2"/>
                <w:color w:val="auto"/>
              </w:rPr>
            </w:pPr>
          </w:p>
        </w:tc>
        <w:tc>
          <w:tcPr>
            <w:tcW w:w="2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459"/>
        </w:trPr>
        <w:tc>
          <w:tcPr>
            <w:tcW w:w="4580" w:type="dxa"/>
            <w:vAlign w:val="bottom"/>
            <w:gridSpan w:val="4"/>
          </w:tcPr>
          <w:p>
            <w:pPr>
              <w:spacing w:after="0"/>
              <w:rPr>
                <w:sz w:val="20"/>
                <w:szCs w:val="20"/>
                <w:color w:val="auto"/>
              </w:rPr>
            </w:pPr>
            <w:r>
              <w:rPr>
                <w:rFonts w:ascii="Arial" w:cs="Arial" w:eastAsia="Arial" w:hAnsi="Arial"/>
                <w:sz w:val="18"/>
                <w:szCs w:val="18"/>
                <w:color w:val="auto"/>
              </w:rPr>
              <w:t>Its:  Chief Executive Officer</w:t>
            </w:r>
          </w:p>
        </w:tc>
        <w:tc>
          <w:tcPr>
            <w:tcW w:w="2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7"/>
        </w:trPr>
        <w:tc>
          <w:tcPr>
            <w:tcW w:w="400" w:type="dxa"/>
            <w:vAlign w:val="bottom"/>
            <w:tcBorders>
              <w:right w:val="single" w:sz="8" w:color="auto"/>
            </w:tcBorders>
          </w:tcPr>
          <w:p>
            <w:pPr>
              <w:spacing w:after="0"/>
              <w:rPr>
                <w:sz w:val="2"/>
                <w:szCs w:val="2"/>
                <w:color w:val="auto"/>
              </w:rPr>
            </w:pPr>
          </w:p>
        </w:tc>
        <w:tc>
          <w:tcPr>
            <w:tcW w:w="4180" w:type="dxa"/>
            <w:vAlign w:val="bottom"/>
            <w:gridSpan w:val="3"/>
            <w:shd w:val="clear" w:color="auto" w:fill="000000"/>
          </w:tcPr>
          <w:p>
            <w:pPr>
              <w:spacing w:after="0"/>
              <w:rPr>
                <w:sz w:val="2"/>
                <w:szCs w:val="2"/>
                <w:color w:val="auto"/>
              </w:rPr>
            </w:pPr>
          </w:p>
        </w:tc>
        <w:tc>
          <w:tcPr>
            <w:tcW w:w="2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466"/>
        </w:trPr>
        <w:tc>
          <w:tcPr>
            <w:tcW w:w="4580" w:type="dxa"/>
            <w:vAlign w:val="bottom"/>
            <w:gridSpan w:val="4"/>
          </w:tcPr>
          <w:p>
            <w:pPr>
              <w:spacing w:after="0"/>
              <w:rPr>
                <w:sz w:val="20"/>
                <w:szCs w:val="20"/>
                <w:color w:val="auto"/>
              </w:rPr>
            </w:pPr>
            <w:r>
              <w:rPr>
                <w:rFonts w:ascii="Arial" w:cs="Arial" w:eastAsia="Arial" w:hAnsi="Arial"/>
                <w:sz w:val="18"/>
                <w:szCs w:val="18"/>
                <w:color w:val="auto"/>
              </w:rPr>
              <w:t>Date:March 20, 2019</w:t>
            </w:r>
          </w:p>
        </w:tc>
        <w:tc>
          <w:tcPr>
            <w:tcW w:w="2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601"/>
        </w:trPr>
        <w:tc>
          <w:tcPr>
            <w:tcW w:w="400" w:type="dxa"/>
            <w:vAlign w:val="bottom"/>
            <w:tcBorders>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3760" w:type="dxa"/>
            <w:vAlign w:val="bottom"/>
            <w:tcBorders>
              <w:top w:val="single" w:sz="8" w:color="auto"/>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16" w:name="page317"/>
    <w:bookmarkEnd w:id="31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0">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10.5</w:t>
      </w:r>
    </w:p>
    <w:p>
      <w:pPr>
        <w:spacing w:after="0" w:line="252"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CORY NEWSOM</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7"/>
          <w:szCs w:val="17"/>
          <w:b w:val="1"/>
          <w:bCs w:val="1"/>
          <w:color w:val="auto"/>
        </w:rPr>
        <w:t>DEFERRED COMPENSATION PLAN</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ADOPTION AGREEMENT</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(Including Code §409A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271780</wp:posOffset>
            </wp:positionV>
            <wp:extent cx="7246620"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283" w:right="239" w:bottom="1440" w:gutter="0" w:footer="0" w:header="0"/>
        </w:sectPr>
      </w:pPr>
    </w:p>
    <w:bookmarkStart w:id="317" w:name="page318"/>
    <w:bookmarkEnd w:id="317"/>
    <w:p>
      <w:pPr>
        <w:jc w:val="right"/>
        <w:spacing w:after="0"/>
        <w:rPr>
          <w:sz w:val="20"/>
          <w:szCs w:val="20"/>
          <w:color w:val="auto"/>
        </w:rPr>
      </w:pPr>
      <w:r>
        <w:rPr>
          <w:rFonts w:ascii="Arial" w:cs="Arial" w:eastAsia="Arial" w:hAnsi="Arial"/>
          <w:sz w:val="18"/>
          <w:szCs w:val="18"/>
          <w:color w:val="auto"/>
        </w:rPr>
        <w:t>Nonqualified Deferred Compensation Plan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Adoption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DEFERRED COMPENSATION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ADOPTION AGREEMENT</w:t>
      </w:r>
    </w:p>
    <w:p>
      <w:pPr>
        <w:spacing w:after="0" w:line="23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undersigned, CITY BANK, TEXAS (“Employer”) and CORY NEWSOM (“Participant”), by execution of this Adoption Agreement hereby establishes this Nonqualified Deferred Compensation Plan (“Plan”) consisting of the Basic Plan Document, this Adoption Agreement and all other Exhibits and documents to which they refer. The Employer makes the following elections concerning this Plan. All capitalized terms used in the Adoption Agreement have the same meaning given in the Basic Plan Document. References to “Section” followed by a number in this Adoption Agreement are references to the Basic Plan Document.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b w:val="1"/>
          <w:bCs w:val="1"/>
          <w:color w:val="auto"/>
        </w:rPr>
        <w:t>Change in Control.</w:t>
      </w:r>
      <w:r>
        <w:rPr>
          <w:rFonts w:ascii="Arial" w:cs="Arial" w:eastAsia="Arial" w:hAnsi="Arial"/>
          <w:sz w:val="18"/>
          <w:szCs w:val="18"/>
          <w:color w:val="auto"/>
        </w:rPr>
        <w:t xml:space="preserve"> Change in Control means (</w:t>
      </w:r>
      <w:r>
        <w:rPr>
          <w:rFonts w:ascii="Arial" w:cs="Arial" w:eastAsia="Arial" w:hAnsi="Arial"/>
          <w:sz w:val="18"/>
          <w:szCs w:val="18"/>
          <w:i w:val="1"/>
          <w:iCs w:val="1"/>
          <w:color w:val="auto"/>
        </w:rPr>
        <w:t>choose (a) or choose one of (b), (c) or (d)</w:t>
      </w:r>
      <w:r>
        <w:rPr>
          <w:rFonts w:ascii="Arial" w:cs="Arial" w:eastAsia="Arial" w:hAnsi="Arial"/>
          <w:sz w:val="18"/>
          <w:szCs w:val="18"/>
          <w:color w:val="auto"/>
        </w:rPr>
        <w:t>):</w:t>
      </w:r>
    </w:p>
    <w:p>
      <w:pPr>
        <w:spacing w:after="0" w:line="252" w:lineRule="exact"/>
        <w:rPr>
          <w:sz w:val="20"/>
          <w:szCs w:val="20"/>
          <w:color w:val="auto"/>
        </w:rPr>
      </w:pPr>
    </w:p>
    <w:p>
      <w:pPr>
        <w:ind w:left="660" w:hanging="652"/>
        <w:spacing w:after="0"/>
        <w:tabs>
          <w:tab w:leader="none" w:pos="660" w:val="left"/>
        </w:tabs>
        <w:numPr>
          <w:ilvl w:val="0"/>
          <w:numId w:val="238"/>
        </w:numPr>
        <w:rPr>
          <w:rFonts w:ascii="MS PGothic" w:cs="MS PGothic" w:eastAsia="MS PGothic" w:hAnsi="MS PGothic"/>
          <w:sz w:val="18"/>
          <w:szCs w:val="18"/>
          <w:color w:val="auto"/>
          <w:highlight w:val="black"/>
        </w:rPr>
      </w:pPr>
      <w:r>
        <w:rPr>
          <w:rFonts w:ascii="Arial" w:cs="Arial" w:eastAsia="Arial" w:hAnsi="Arial"/>
          <w:sz w:val="18"/>
          <w:szCs w:val="18"/>
          <w:color w:val="auto"/>
        </w:rPr>
        <w:t>(a)</w:t>
      </w:r>
      <w:r>
        <w:rPr>
          <w:rFonts w:ascii="Arial" w:cs="Arial" w:eastAsia="Arial" w:hAnsi="Arial"/>
          <w:sz w:val="16"/>
          <w:szCs w:val="16"/>
          <w:b w:val="1"/>
          <w:bCs w:val="1"/>
          <w:color w:val="auto"/>
        </w:rPr>
        <w:t xml:space="preserve">Not applicable. </w:t>
      </w:r>
      <w:r>
        <w:rPr>
          <w:rFonts w:ascii="Arial" w:cs="Arial" w:eastAsia="Arial" w:hAnsi="Arial"/>
          <w:sz w:val="16"/>
          <w:szCs w:val="16"/>
          <w:color w:val="auto"/>
        </w:rPr>
        <w:t>Change in Control does not apply for purposes of this Plan.</w:t>
      </w:r>
    </w:p>
    <w:p>
      <w:pPr>
        <w:spacing w:after="0" w:line="252" w:lineRule="exact"/>
        <w:rPr>
          <w:sz w:val="20"/>
          <w:szCs w:val="20"/>
          <w:color w:val="auto"/>
        </w:rPr>
      </w:pPr>
    </w:p>
    <w:p>
      <w:pPr>
        <w:ind w:left="660" w:hanging="652"/>
        <w:spacing w:after="0"/>
        <w:tabs>
          <w:tab w:leader="none" w:pos="660" w:val="left"/>
        </w:tabs>
        <w:numPr>
          <w:ilvl w:val="0"/>
          <w:numId w:val="239"/>
        </w:numPr>
        <w:rPr>
          <w:rFonts w:ascii="MS PGothic" w:cs="MS PGothic" w:eastAsia="MS PGothic" w:hAnsi="MS PGothic"/>
          <w:sz w:val="18"/>
          <w:szCs w:val="18"/>
          <w:color w:val="auto"/>
        </w:rPr>
      </w:pPr>
      <w:r>
        <w:rPr>
          <w:rFonts w:ascii="Arial" w:cs="Arial" w:eastAsia="Arial" w:hAnsi="Arial"/>
          <w:sz w:val="18"/>
          <w:szCs w:val="18"/>
          <w:color w:val="auto"/>
        </w:rPr>
        <w:t>(b)</w:t>
      </w:r>
      <w:r>
        <w:rPr>
          <w:rFonts w:ascii="Arial" w:cs="Arial" w:eastAsia="Arial" w:hAnsi="Arial"/>
          <w:sz w:val="16"/>
          <w:szCs w:val="16"/>
          <w:b w:val="1"/>
          <w:bCs w:val="1"/>
          <w:color w:val="auto"/>
        </w:rPr>
        <w:t xml:space="preserve">All events. </w:t>
      </w:r>
      <w:r>
        <w:rPr>
          <w:rFonts w:ascii="Arial" w:cs="Arial" w:eastAsia="Arial" w:hAnsi="Arial"/>
          <w:sz w:val="16"/>
          <w:szCs w:val="16"/>
          <w:color w:val="auto"/>
        </w:rPr>
        <w:t>Change in Control means all events under Section 1.06.</w:t>
      </w:r>
    </w:p>
    <w:p>
      <w:pPr>
        <w:spacing w:after="0" w:line="252" w:lineRule="exact"/>
        <w:rPr>
          <w:sz w:val="20"/>
          <w:szCs w:val="20"/>
          <w:color w:val="auto"/>
        </w:rPr>
      </w:pPr>
    </w:p>
    <w:p>
      <w:pPr>
        <w:ind w:left="660" w:hanging="652"/>
        <w:spacing w:after="0"/>
        <w:tabs>
          <w:tab w:leader="none" w:pos="660" w:val="left"/>
        </w:tabs>
        <w:numPr>
          <w:ilvl w:val="0"/>
          <w:numId w:val="240"/>
        </w:numPr>
        <w:rPr>
          <w:rFonts w:ascii="MS PGothic" w:cs="MS PGothic" w:eastAsia="MS PGothic" w:hAnsi="MS PGothic"/>
          <w:sz w:val="18"/>
          <w:szCs w:val="18"/>
          <w:color w:val="auto"/>
          <w:highlight w:val="black"/>
        </w:rPr>
      </w:pPr>
      <w:r>
        <w:rPr>
          <w:rFonts w:ascii="Arial" w:cs="Arial" w:eastAsia="Arial" w:hAnsi="Arial"/>
          <w:sz w:val="18"/>
          <w:szCs w:val="18"/>
          <w:color w:val="auto"/>
        </w:rPr>
        <w:t>(c)</w:t>
      </w:r>
      <w:r>
        <w:rPr>
          <w:rFonts w:ascii="Arial" w:cs="Arial" w:eastAsia="Arial" w:hAnsi="Arial"/>
          <w:sz w:val="16"/>
          <w:szCs w:val="16"/>
          <w:b w:val="1"/>
          <w:bCs w:val="1"/>
          <w:color w:val="auto"/>
        </w:rPr>
        <w:t xml:space="preserve">Limited events. </w:t>
      </w:r>
      <w:r>
        <w:rPr>
          <w:rFonts w:ascii="Arial" w:cs="Arial" w:eastAsia="Arial" w:hAnsi="Arial"/>
          <w:sz w:val="16"/>
          <w:szCs w:val="16"/>
          <w:color w:val="auto"/>
        </w:rPr>
        <w:t>Change in Control means only the following events under Section 1.06 (</w:t>
      </w:r>
      <w:r>
        <w:rPr>
          <w:rFonts w:ascii="Arial" w:cs="Arial" w:eastAsia="Arial" w:hAnsi="Arial"/>
          <w:sz w:val="16"/>
          <w:szCs w:val="16"/>
          <w:i w:val="1"/>
          <w:iCs w:val="1"/>
          <w:color w:val="auto"/>
        </w:rPr>
        <w:t>choose one or two of (i), (ii) and (iii)</w:t>
      </w:r>
      <w:r>
        <w:rPr>
          <w:rFonts w:ascii="Arial" w:cs="Arial" w:eastAsia="Arial" w:hAnsi="Arial"/>
          <w:sz w:val="16"/>
          <w:szCs w:val="16"/>
          <w:color w:val="auto"/>
        </w:rPr>
        <w:t>):</w:t>
      </w:r>
    </w:p>
    <w:p>
      <w:pPr>
        <w:spacing w:after="0" w:line="256" w:lineRule="exact"/>
        <w:rPr>
          <w:rFonts w:ascii="MS PGothic" w:cs="MS PGothic" w:eastAsia="MS PGothic" w:hAnsi="MS PGothic"/>
          <w:sz w:val="18"/>
          <w:szCs w:val="18"/>
          <w:color w:val="auto"/>
          <w:highlight w:val="black"/>
        </w:rPr>
      </w:pPr>
    </w:p>
    <w:p>
      <w:pPr>
        <w:ind w:left="1300" w:hanging="644"/>
        <w:spacing w:after="0"/>
        <w:tabs>
          <w:tab w:leader="none" w:pos="1300" w:val="left"/>
        </w:tabs>
        <w:numPr>
          <w:ilvl w:val="1"/>
          <w:numId w:val="240"/>
        </w:numPr>
        <w:rPr>
          <w:rFonts w:ascii="MS PGothic" w:cs="MS PGothic" w:eastAsia="MS PGothic" w:hAnsi="MS PGothic"/>
          <w:sz w:val="18"/>
          <w:szCs w:val="18"/>
          <w:color w:val="auto"/>
        </w:rPr>
      </w:pPr>
      <w:r>
        <w:rPr>
          <w:rFonts w:ascii="Arial" w:cs="Arial" w:eastAsia="Arial" w:hAnsi="Arial"/>
          <w:sz w:val="18"/>
          <w:szCs w:val="18"/>
          <w:color w:val="auto"/>
        </w:rPr>
        <w:t>(i) Change in ownership of the Employer.</w:t>
      </w:r>
    </w:p>
    <w:p>
      <w:pPr>
        <w:spacing w:after="0" w:line="252" w:lineRule="exact"/>
        <w:rPr>
          <w:rFonts w:ascii="MS PGothic" w:cs="MS PGothic" w:eastAsia="MS PGothic" w:hAnsi="MS PGothic"/>
          <w:sz w:val="18"/>
          <w:szCs w:val="18"/>
          <w:color w:val="auto"/>
        </w:rPr>
      </w:pPr>
    </w:p>
    <w:p>
      <w:pPr>
        <w:ind w:left="1300" w:hanging="644"/>
        <w:spacing w:after="0"/>
        <w:tabs>
          <w:tab w:leader="none" w:pos="1300" w:val="left"/>
        </w:tabs>
        <w:numPr>
          <w:ilvl w:val="1"/>
          <w:numId w:val="240"/>
        </w:numPr>
        <w:rPr>
          <w:rFonts w:ascii="MS PGothic" w:cs="MS PGothic" w:eastAsia="MS PGothic" w:hAnsi="MS PGothic"/>
          <w:sz w:val="18"/>
          <w:szCs w:val="18"/>
          <w:color w:val="auto"/>
        </w:rPr>
      </w:pPr>
      <w:r>
        <w:rPr>
          <w:rFonts w:ascii="Arial" w:cs="Arial" w:eastAsia="Arial" w:hAnsi="Arial"/>
          <w:sz w:val="18"/>
          <w:szCs w:val="18"/>
          <w:color w:val="auto"/>
        </w:rPr>
        <w:t>(ii) Change in the effective control of the Employer.</w:t>
      </w:r>
    </w:p>
    <w:p>
      <w:pPr>
        <w:spacing w:after="0" w:line="252" w:lineRule="exact"/>
        <w:rPr>
          <w:rFonts w:ascii="MS PGothic" w:cs="MS PGothic" w:eastAsia="MS PGothic" w:hAnsi="MS PGothic"/>
          <w:sz w:val="18"/>
          <w:szCs w:val="18"/>
          <w:color w:val="auto"/>
        </w:rPr>
      </w:pPr>
    </w:p>
    <w:p>
      <w:pPr>
        <w:ind w:left="1300" w:hanging="644"/>
        <w:spacing w:after="0"/>
        <w:tabs>
          <w:tab w:leader="none" w:pos="1300" w:val="left"/>
        </w:tabs>
        <w:numPr>
          <w:ilvl w:val="1"/>
          <w:numId w:val="240"/>
        </w:numPr>
        <w:rPr>
          <w:rFonts w:ascii="MS PGothic" w:cs="MS PGothic" w:eastAsia="MS PGothic" w:hAnsi="MS PGothic"/>
          <w:sz w:val="18"/>
          <w:szCs w:val="18"/>
          <w:color w:val="auto"/>
        </w:rPr>
      </w:pPr>
      <w:r>
        <w:rPr>
          <w:rFonts w:ascii="Arial" w:cs="Arial" w:eastAsia="Arial" w:hAnsi="Arial"/>
          <w:sz w:val="18"/>
          <w:szCs w:val="18"/>
          <w:color w:val="auto"/>
        </w:rPr>
        <w:t>(iii) Change in the ownership of a substantial portion of the Employer’s assets.</w:t>
      </w:r>
    </w:p>
    <w:p>
      <w:pPr>
        <w:spacing w:after="0" w:line="252" w:lineRule="exact"/>
        <w:rPr>
          <w:sz w:val="20"/>
          <w:szCs w:val="20"/>
          <w:color w:val="auto"/>
        </w:rPr>
      </w:pPr>
    </w:p>
    <w:p>
      <w:pPr>
        <w:ind w:left="1320" w:hanging="1312"/>
        <w:spacing w:after="0" w:line="259" w:lineRule="auto"/>
        <w:tabs>
          <w:tab w:leader="none" w:pos="658" w:val="left"/>
        </w:tabs>
        <w:numPr>
          <w:ilvl w:val="0"/>
          <w:numId w:val="241"/>
        </w:numPr>
        <w:rPr>
          <w:rFonts w:ascii="MS PGothic" w:cs="MS PGothic" w:eastAsia="MS PGothic" w:hAnsi="MS PGothic"/>
          <w:sz w:val="18"/>
          <w:szCs w:val="18"/>
          <w:color w:val="auto"/>
        </w:rPr>
      </w:pPr>
      <w:r>
        <w:rPr>
          <w:rFonts w:ascii="Arial" w:cs="Arial" w:eastAsia="Arial" w:hAnsi="Arial"/>
          <w:sz w:val="18"/>
          <w:szCs w:val="18"/>
          <w:color w:val="auto"/>
        </w:rPr>
        <w:t>(d)(</w:t>
      </w:r>
      <w:r>
        <w:rPr>
          <w:rFonts w:ascii="Arial" w:cs="Arial" w:eastAsia="Arial" w:hAnsi="Arial"/>
          <w:sz w:val="18"/>
          <w:szCs w:val="18"/>
          <w:i w:val="1"/>
          <w:iCs w:val="1"/>
          <w:color w:val="auto"/>
        </w:rPr>
        <w:t>Specify</w:t>
      </w:r>
      <w:r>
        <w:rPr>
          <w:rFonts w:ascii="Arial" w:cs="Arial" w:eastAsia="Arial" w:hAnsi="Arial"/>
          <w:sz w:val="18"/>
          <w:szCs w:val="18"/>
          <w:color w:val="auto"/>
        </w:rPr>
        <w:t xml:space="preserve">): </w:t>
      </w:r>
      <w:r>
        <w:rPr>
          <w:rFonts w:ascii="Arial" w:cs="Arial" w:eastAsia="Arial" w:hAnsi="Arial"/>
          <w:sz w:val="18"/>
          <w:szCs w:val="18"/>
          <w:u w:val="single" w:color="auto"/>
          <w:color w:val="auto"/>
        </w:rPr>
        <w:t>For the purposes of Sections 3.02(e) and 4.01(b)(ii) of the Adoption Agreement, Change in Control means all events under</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1.06 except transfers of stock made on account of death, gifts, transfers of stock between family members or the acquisition by any qualified retirement plan sponsored by South Plans Financial, Inc. shall not be considered in determining whether there has been a Change of Control</w:t>
      </w:r>
      <w:r>
        <w:rPr>
          <w:rFonts w:ascii="Arial" w:cs="Arial" w:eastAsia="Arial" w:hAnsi="Arial"/>
          <w:sz w:val="18"/>
          <w:szCs w:val="18"/>
          <w:color w:val="auto"/>
        </w:rPr>
        <w:t>.</w:t>
      </w:r>
    </w:p>
    <w:p>
      <w:pPr>
        <w:spacing w:after="0" w:line="21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Note: The Employer may not use the blank in (d) to specify events not described in Treas. Reg. §1.409A-3(i)(5)</w:t>
      </w:r>
      <w:r>
        <w:rPr>
          <w:rFonts w:ascii="Arial" w:cs="Arial" w:eastAsia="Arial" w:hAnsi="Arial"/>
          <w:sz w:val="18"/>
          <w:szCs w:val="18"/>
          <w:color w:val="auto"/>
        </w:rPr>
        <w:t>.</w:t>
      </w:r>
      <w:r>
        <w:rPr>
          <w:rFonts w:ascii="Arial" w:cs="Arial" w:eastAsia="Arial" w:hAnsi="Arial"/>
          <w:sz w:val="18"/>
          <w:szCs w:val="18"/>
          <w:i w:val="1"/>
          <w:iCs w:val="1"/>
          <w:color w:val="auto"/>
        </w:rPr>
        <w:t xml:space="preserve"> However, the Employer may increase the percentages required to trigger a Change in Control under one or all three of the listed events.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The effective date of the Plan is (</w:t>
      </w:r>
      <w:r>
        <w:rPr>
          <w:rFonts w:ascii="Arial" w:cs="Arial" w:eastAsia="Arial" w:hAnsi="Arial"/>
          <w:sz w:val="18"/>
          <w:szCs w:val="18"/>
          <w:i w:val="1"/>
          <w:iCs w:val="1"/>
          <w:color w:val="auto"/>
        </w:rPr>
        <w:t>choose one of (a) or (b)</w:t>
      </w:r>
      <w:r>
        <w:rPr>
          <w:rFonts w:ascii="Arial" w:cs="Arial" w:eastAsia="Arial" w:hAnsi="Arial"/>
          <w:sz w:val="18"/>
          <w:szCs w:val="18"/>
          <w:color w:val="auto"/>
        </w:rPr>
        <w:t>):</w:t>
      </w:r>
    </w:p>
    <w:p>
      <w:pPr>
        <w:spacing w:after="0" w:line="252" w:lineRule="exact"/>
        <w:rPr>
          <w:sz w:val="20"/>
          <w:szCs w:val="20"/>
          <w:color w:val="auto"/>
        </w:rPr>
      </w:pPr>
    </w:p>
    <w:p>
      <w:pPr>
        <w:ind w:left="660" w:hanging="652"/>
        <w:spacing w:after="0"/>
        <w:tabs>
          <w:tab w:leader="none" w:pos="660" w:val="left"/>
        </w:tabs>
        <w:numPr>
          <w:ilvl w:val="0"/>
          <w:numId w:val="242"/>
        </w:numPr>
        <w:rPr>
          <w:rFonts w:ascii="MS PGothic" w:cs="MS PGothic" w:eastAsia="MS PGothic" w:hAnsi="MS PGothic"/>
          <w:sz w:val="18"/>
          <w:szCs w:val="18"/>
          <w:color w:val="auto"/>
          <w:highlight w:val="black"/>
        </w:rPr>
      </w:pPr>
      <w:r>
        <w:rPr>
          <w:rFonts w:ascii="Arial" w:cs="Arial" w:eastAsia="Arial" w:hAnsi="Arial"/>
          <w:sz w:val="18"/>
          <w:szCs w:val="18"/>
          <w:color w:val="auto"/>
        </w:rPr>
        <w:t>(a)</w:t>
      </w:r>
      <w:r>
        <w:rPr>
          <w:rFonts w:ascii="Arial" w:cs="Arial" w:eastAsia="Arial" w:hAnsi="Arial"/>
          <w:sz w:val="16"/>
          <w:szCs w:val="16"/>
          <w:b w:val="1"/>
          <w:bCs w:val="1"/>
          <w:color w:val="auto"/>
        </w:rPr>
        <w:t xml:space="preserve">New Plan. </w:t>
      </w:r>
      <w:r>
        <w:rPr>
          <w:rFonts w:ascii="Arial" w:cs="Arial" w:eastAsia="Arial" w:hAnsi="Arial"/>
          <w:sz w:val="16"/>
          <w:szCs w:val="16"/>
          <w:color w:val="auto"/>
        </w:rPr>
        <w:t>This Plan is a new Plan and is effective __________________.</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The effective date should be no earlier than January 1, 2008.</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8" w:name="page319"/>
    <w:bookmarkEnd w:id="318"/>
    <w:p>
      <w:pPr>
        <w:jc w:val="right"/>
        <w:spacing w:after="0"/>
        <w:rPr>
          <w:sz w:val="20"/>
          <w:szCs w:val="20"/>
          <w:color w:val="auto"/>
        </w:rPr>
      </w:pPr>
      <w:r>
        <w:rPr>
          <w:rFonts w:ascii="Arial" w:cs="Arial" w:eastAsia="Arial" w:hAnsi="Arial"/>
          <w:sz w:val="18"/>
          <w:szCs w:val="18"/>
          <w:color w:val="auto"/>
        </w:rPr>
        <w:t>Nonqualified Deferred Compensation Plan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Adoption Agreement</w:t>
      </w:r>
    </w:p>
    <w:p>
      <w:pPr>
        <w:spacing w:after="0" w:line="166" w:lineRule="exact"/>
        <w:rPr>
          <w:sz w:val="20"/>
          <w:szCs w:val="20"/>
          <w:color w:val="auto"/>
        </w:rPr>
      </w:pPr>
    </w:p>
    <w:p>
      <w:pPr>
        <w:ind w:left="1320" w:hanging="1312"/>
        <w:spacing w:after="0" w:line="282" w:lineRule="auto"/>
        <w:tabs>
          <w:tab w:leader="none" w:pos="658" w:val="left"/>
        </w:tabs>
        <w:numPr>
          <w:ilvl w:val="0"/>
          <w:numId w:val="243"/>
        </w:numPr>
        <w:rPr>
          <w:rFonts w:ascii="MS PGothic" w:cs="MS PGothic" w:eastAsia="MS PGothic" w:hAnsi="MS PGothic"/>
          <w:sz w:val="18"/>
          <w:szCs w:val="18"/>
          <w:color w:val="auto"/>
        </w:rPr>
      </w:pPr>
      <w:r>
        <w:rPr>
          <w:rFonts w:ascii="Arial" w:cs="Arial" w:eastAsia="Arial" w:hAnsi="Arial"/>
          <w:sz w:val="18"/>
          <w:szCs w:val="18"/>
          <w:color w:val="auto"/>
        </w:rPr>
        <w:t>(b)</w:t>
      </w:r>
      <w:r>
        <w:rPr>
          <w:rFonts w:ascii="Arial" w:cs="Arial" w:eastAsia="Arial" w:hAnsi="Arial"/>
          <w:sz w:val="18"/>
          <w:szCs w:val="18"/>
          <w:b w:val="1"/>
          <w:bCs w:val="1"/>
          <w:color w:val="auto"/>
        </w:rPr>
        <w:t xml:space="preserve">Restated Plan. </w:t>
      </w:r>
      <w:r>
        <w:rPr>
          <w:rFonts w:ascii="Arial" w:cs="Arial" w:eastAsia="Arial" w:hAnsi="Arial"/>
          <w:sz w:val="18"/>
          <w:szCs w:val="18"/>
          <w:color w:val="auto"/>
        </w:rPr>
        <w:t>This Plan is a restated Plan and is restated effective as of January 1, 2008. The Plan is restated to comply with Code</w:t>
      </w:r>
      <w:r>
        <w:rPr>
          <w:rFonts w:ascii="Arial" w:cs="Arial" w:eastAsia="Arial" w:hAnsi="Arial"/>
          <w:sz w:val="18"/>
          <w:szCs w:val="18"/>
          <w:b w:val="1"/>
          <w:bCs w:val="1"/>
          <w:color w:val="auto"/>
        </w:rPr>
        <w:t xml:space="preserve"> </w:t>
      </w:r>
      <w:r>
        <w:rPr>
          <w:rFonts w:ascii="Arial" w:cs="Arial" w:eastAsia="Arial" w:hAnsi="Arial"/>
          <w:sz w:val="18"/>
          <w:szCs w:val="18"/>
          <w:color w:val="auto"/>
        </w:rPr>
        <w:t>§409A. The Plan was originally effective September 1, 2002 (Original Effective Date).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If the Plan (whether or not in written form) was in effect before January 1, 2008, the Plan is a restated Plan.</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b w:val="1"/>
          <w:bCs w:val="1"/>
          <w:color w:val="auto"/>
        </w:rPr>
        <w:t>Plan Name.</w:t>
      </w:r>
      <w:r>
        <w:rPr>
          <w:rFonts w:ascii="Arial" w:cs="Arial" w:eastAsia="Arial" w:hAnsi="Arial"/>
          <w:sz w:val="18"/>
          <w:szCs w:val="18"/>
          <w:color w:val="auto"/>
        </w:rPr>
        <w:t xml:space="preserve"> The name of the Plan as adopted by the Employer is: Cory Newsom Deferred Compensation Plan.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1.19 </w:t>
      </w:r>
      <w:r>
        <w:rPr>
          <w:rFonts w:ascii="Arial" w:cs="Arial" w:eastAsia="Arial" w:hAnsi="Arial"/>
          <w:sz w:val="18"/>
          <w:szCs w:val="18"/>
          <w:b w:val="1"/>
          <w:bCs w:val="1"/>
          <w:color w:val="auto"/>
        </w:rPr>
        <w:t>Retirement Age.</w:t>
      </w:r>
      <w:r>
        <w:rPr>
          <w:rFonts w:ascii="Arial" w:cs="Arial" w:eastAsia="Arial" w:hAnsi="Arial"/>
          <w:sz w:val="18"/>
          <w:szCs w:val="18"/>
          <w:color w:val="auto"/>
        </w:rPr>
        <w:t xml:space="preserve"> A Participant’s Retirement Age under the Plan is (</w:t>
      </w:r>
      <w:r>
        <w:rPr>
          <w:rFonts w:ascii="Arial" w:cs="Arial" w:eastAsia="Arial" w:hAnsi="Arial"/>
          <w:sz w:val="18"/>
          <w:szCs w:val="18"/>
          <w:i w:val="1"/>
          <w:iCs w:val="1"/>
          <w:color w:val="auto"/>
        </w:rPr>
        <w:t>choose only one of (a)-(d)</w:t>
      </w:r>
      <w:r>
        <w:rPr>
          <w:rFonts w:ascii="Arial" w:cs="Arial" w:eastAsia="Arial" w:hAnsi="Arial"/>
          <w:sz w:val="18"/>
          <w:szCs w:val="18"/>
          <w:color w:val="auto"/>
        </w:rPr>
        <w:t>):</w:t>
      </w:r>
    </w:p>
    <w:p>
      <w:pPr>
        <w:spacing w:after="0" w:line="252" w:lineRule="exact"/>
        <w:rPr>
          <w:sz w:val="20"/>
          <w:szCs w:val="20"/>
          <w:color w:val="auto"/>
        </w:rPr>
      </w:pPr>
    </w:p>
    <w:p>
      <w:pPr>
        <w:ind w:left="660" w:hanging="652"/>
        <w:spacing w:after="0"/>
        <w:tabs>
          <w:tab w:leader="none" w:pos="660" w:val="left"/>
        </w:tabs>
        <w:numPr>
          <w:ilvl w:val="0"/>
          <w:numId w:val="244"/>
        </w:numPr>
        <w:rPr>
          <w:rFonts w:ascii="MS PGothic" w:cs="MS PGothic" w:eastAsia="MS PGothic" w:hAnsi="MS PGothic"/>
          <w:sz w:val="18"/>
          <w:szCs w:val="18"/>
          <w:color w:val="auto"/>
          <w:highlight w:val="black"/>
        </w:rPr>
      </w:pPr>
      <w:r>
        <w:rPr>
          <w:rFonts w:ascii="Arial" w:cs="Arial" w:eastAsia="Arial" w:hAnsi="Arial"/>
          <w:sz w:val="18"/>
          <w:szCs w:val="18"/>
          <w:color w:val="auto"/>
        </w:rPr>
        <w:t>(a)</w:t>
      </w:r>
      <w:r>
        <w:rPr>
          <w:rFonts w:ascii="Arial" w:cs="Arial" w:eastAsia="Arial" w:hAnsi="Arial"/>
          <w:sz w:val="16"/>
          <w:szCs w:val="16"/>
          <w:b w:val="1"/>
          <w:bCs w:val="1"/>
          <w:color w:val="auto"/>
        </w:rPr>
        <w:t xml:space="preserve">Not applicable. </w:t>
      </w:r>
      <w:r>
        <w:rPr>
          <w:rFonts w:ascii="Arial" w:cs="Arial" w:eastAsia="Arial" w:hAnsi="Arial"/>
          <w:sz w:val="16"/>
          <w:szCs w:val="16"/>
          <w:color w:val="auto"/>
        </w:rPr>
        <w:t>Retirement Age does not apply for purposes of this Plan.</w:t>
      </w:r>
    </w:p>
    <w:p>
      <w:pPr>
        <w:spacing w:after="0" w:line="252" w:lineRule="exact"/>
        <w:rPr>
          <w:sz w:val="20"/>
          <w:szCs w:val="20"/>
          <w:color w:val="auto"/>
        </w:rPr>
      </w:pPr>
    </w:p>
    <w:p>
      <w:pPr>
        <w:ind w:left="660" w:hanging="652"/>
        <w:spacing w:after="0"/>
        <w:tabs>
          <w:tab w:leader="none" w:pos="660" w:val="left"/>
        </w:tabs>
        <w:numPr>
          <w:ilvl w:val="0"/>
          <w:numId w:val="245"/>
        </w:numPr>
        <w:rPr>
          <w:rFonts w:ascii="MS PGothic" w:cs="MS PGothic" w:eastAsia="MS PGothic" w:hAnsi="MS PGothic"/>
          <w:sz w:val="18"/>
          <w:szCs w:val="18"/>
          <w:color w:val="auto"/>
        </w:rPr>
      </w:pPr>
      <w:r>
        <w:rPr>
          <w:rFonts w:ascii="Arial" w:cs="Arial" w:eastAsia="Arial" w:hAnsi="Arial"/>
          <w:sz w:val="18"/>
          <w:szCs w:val="18"/>
          <w:color w:val="auto"/>
        </w:rPr>
        <w:t>(b)</w:t>
      </w:r>
      <w:r>
        <w:rPr>
          <w:rFonts w:ascii="Arial" w:cs="Arial" w:eastAsia="Arial" w:hAnsi="Arial"/>
          <w:sz w:val="16"/>
          <w:szCs w:val="16"/>
          <w:b w:val="1"/>
          <w:bCs w:val="1"/>
          <w:color w:val="auto"/>
        </w:rPr>
        <w:t xml:space="preserve">Age. </w:t>
      </w:r>
      <w:r>
        <w:rPr>
          <w:rFonts w:ascii="Arial" w:cs="Arial" w:eastAsia="Arial" w:hAnsi="Arial"/>
          <w:sz w:val="16"/>
          <w:szCs w:val="16"/>
          <w:color w:val="auto"/>
        </w:rPr>
        <w:t>The Participant’s attainment of age: 58.</w:t>
      </w:r>
    </w:p>
    <w:p>
      <w:pPr>
        <w:spacing w:after="0" w:line="252" w:lineRule="exact"/>
        <w:rPr>
          <w:sz w:val="20"/>
          <w:szCs w:val="20"/>
          <w:color w:val="auto"/>
        </w:rPr>
      </w:pPr>
    </w:p>
    <w:p>
      <w:pPr>
        <w:ind w:left="660" w:hanging="652"/>
        <w:spacing w:after="0"/>
        <w:tabs>
          <w:tab w:leader="none" w:pos="660" w:val="left"/>
        </w:tabs>
        <w:numPr>
          <w:ilvl w:val="0"/>
          <w:numId w:val="246"/>
        </w:numPr>
        <w:rPr>
          <w:rFonts w:ascii="MS PGothic" w:cs="MS PGothic" w:eastAsia="MS PGothic" w:hAnsi="MS PGothic"/>
          <w:sz w:val="18"/>
          <w:szCs w:val="18"/>
          <w:color w:val="auto"/>
          <w:highlight w:val="black"/>
        </w:rPr>
      </w:pPr>
      <w:r>
        <w:rPr>
          <w:rFonts w:ascii="Arial" w:cs="Arial" w:eastAsia="Arial" w:hAnsi="Arial"/>
          <w:sz w:val="18"/>
          <w:szCs w:val="18"/>
          <w:color w:val="auto"/>
        </w:rPr>
        <w:t>(c)</w:t>
      </w:r>
      <w:r>
        <w:rPr>
          <w:rFonts w:ascii="Arial" w:cs="Arial" w:eastAsia="Arial" w:hAnsi="Arial"/>
          <w:sz w:val="16"/>
          <w:szCs w:val="16"/>
          <w:b w:val="1"/>
          <w:bCs w:val="1"/>
          <w:color w:val="auto"/>
        </w:rPr>
        <w:t xml:space="preserve">Age and service. </w:t>
      </w:r>
      <w:r>
        <w:rPr>
          <w:rFonts w:ascii="Arial" w:cs="Arial" w:eastAsia="Arial" w:hAnsi="Arial"/>
          <w:sz w:val="16"/>
          <w:szCs w:val="16"/>
          <w:color w:val="auto"/>
        </w:rPr>
        <w:t>The Participant’s attainment of age ____with ____ Years of Service (defined under 1.27) with the Employer.</w:t>
      </w:r>
    </w:p>
    <w:p>
      <w:pPr>
        <w:spacing w:after="0" w:line="256" w:lineRule="exact"/>
        <w:rPr>
          <w:rFonts w:ascii="MS PGothic" w:cs="MS PGothic" w:eastAsia="MS PGothic" w:hAnsi="MS PGothic"/>
          <w:sz w:val="18"/>
          <w:szCs w:val="18"/>
          <w:color w:val="auto"/>
          <w:highlight w:val="black"/>
        </w:rPr>
      </w:pPr>
    </w:p>
    <w:p>
      <w:pPr>
        <w:ind w:left="660" w:hanging="652"/>
        <w:spacing w:after="0"/>
        <w:tabs>
          <w:tab w:leader="none" w:pos="660" w:val="left"/>
        </w:tabs>
        <w:numPr>
          <w:ilvl w:val="0"/>
          <w:numId w:val="246"/>
        </w:numPr>
        <w:rPr>
          <w:rFonts w:ascii="MS PGothic" w:cs="MS PGothic" w:eastAsia="MS PGothic" w:hAnsi="MS PGothic"/>
          <w:sz w:val="18"/>
          <w:szCs w:val="18"/>
          <w:color w:val="auto"/>
          <w:highlight w:val="black"/>
        </w:rPr>
      </w:pPr>
      <w:r>
        <w:rPr>
          <w:rFonts w:ascii="Arial" w:cs="Arial" w:eastAsia="Arial" w:hAnsi="Arial"/>
          <w:sz w:val="18"/>
          <w:szCs w:val="18"/>
          <w:color w:val="auto"/>
        </w:rPr>
        <w:t>(d)</w:t>
      </w:r>
      <w:r>
        <w:rPr>
          <w:rFonts w:ascii="Arial" w:cs="Arial" w:eastAsia="Arial" w:hAnsi="Arial"/>
          <w:sz w:val="16"/>
          <w:szCs w:val="16"/>
          <w:color w:val="auto"/>
        </w:rPr>
        <w:t>(</w:t>
      </w:r>
      <w:r>
        <w:rPr>
          <w:rFonts w:ascii="Arial" w:cs="Arial" w:eastAsia="Arial" w:hAnsi="Arial"/>
          <w:sz w:val="16"/>
          <w:szCs w:val="16"/>
          <w:i w:val="1"/>
          <w:iCs w:val="1"/>
          <w:color w:val="auto"/>
        </w:rPr>
        <w:t>Specify</w:t>
      </w:r>
      <w:r>
        <w:rPr>
          <w:rFonts w:ascii="Arial" w:cs="Arial" w:eastAsia="Arial" w:hAnsi="Arial"/>
          <w:sz w:val="16"/>
          <w:szCs w:val="16"/>
          <w:color w:val="auto"/>
        </w:rPr>
        <w:t>): __________________________________________________________.</w:t>
      </w:r>
    </w:p>
    <w:p>
      <w:pPr>
        <w:spacing w:after="0" w:line="248" w:lineRule="exact"/>
        <w:rPr>
          <w:rFonts w:ascii="MS PGothic" w:cs="MS PGothic" w:eastAsia="MS PGothic" w:hAnsi="MS PGothic"/>
          <w:sz w:val="18"/>
          <w:szCs w:val="18"/>
          <w:color w:val="auto"/>
          <w:highlight w:val="black"/>
        </w:rPr>
      </w:pPr>
    </w:p>
    <w:p>
      <w:pPr>
        <w:ind w:left="660"/>
        <w:spacing w:after="0"/>
        <w:rPr>
          <w:rFonts w:ascii="MS PGothic" w:cs="MS PGothic" w:eastAsia="MS PGothic" w:hAnsi="MS PGothic"/>
          <w:sz w:val="18"/>
          <w:szCs w:val="18"/>
          <w:color w:val="auto"/>
          <w:highlight w:val="black"/>
        </w:rPr>
      </w:pPr>
      <w:r>
        <w:rPr>
          <w:rFonts w:ascii="Arial" w:cs="Arial" w:eastAsia="Arial" w:hAnsi="Arial"/>
          <w:sz w:val="16"/>
          <w:szCs w:val="16"/>
          <w:color w:val="auto"/>
        </w:rPr>
        <w:t xml:space="preserve">1.27 </w:t>
      </w:r>
      <w:r>
        <w:rPr>
          <w:rFonts w:ascii="Arial" w:cs="Arial" w:eastAsia="Arial" w:hAnsi="Arial"/>
          <w:sz w:val="16"/>
          <w:szCs w:val="16"/>
          <w:b w:val="1"/>
          <w:bCs w:val="1"/>
          <w:color w:val="auto"/>
        </w:rPr>
        <w:t>Year of Service.</w:t>
      </w:r>
      <w:r>
        <w:rPr>
          <w:rFonts w:ascii="Arial" w:cs="Arial" w:eastAsia="Arial" w:hAnsi="Arial"/>
          <w:sz w:val="16"/>
          <w:szCs w:val="16"/>
          <w:color w:val="auto"/>
        </w:rPr>
        <w:t xml:space="preserve"> The following apply in determining credit for a Year of Service under the Plan (</w:t>
      </w:r>
      <w:r>
        <w:rPr>
          <w:rFonts w:ascii="Arial" w:cs="Arial" w:eastAsia="Arial" w:hAnsi="Arial"/>
          <w:sz w:val="16"/>
          <w:szCs w:val="16"/>
          <w:i w:val="1"/>
          <w:iCs w:val="1"/>
          <w:color w:val="auto"/>
        </w:rPr>
        <w:t>choose (a) or choose one or more of (b) - (e)</w:t>
      </w:r>
      <w:r>
        <w:rPr>
          <w:rFonts w:ascii="Arial" w:cs="Arial" w:eastAsia="Arial" w:hAnsi="Arial"/>
          <w:sz w:val="16"/>
          <w:szCs w:val="16"/>
          <w:color w:val="auto"/>
        </w:rPr>
        <w:t>):</w:t>
      </w:r>
    </w:p>
    <w:p>
      <w:pPr>
        <w:spacing w:after="0" w:line="275" w:lineRule="exact"/>
        <w:rPr>
          <w:rFonts w:ascii="MS PGothic" w:cs="MS PGothic" w:eastAsia="MS PGothic" w:hAnsi="MS PGothic"/>
          <w:sz w:val="18"/>
          <w:szCs w:val="18"/>
          <w:color w:val="auto"/>
          <w:highlight w:val="black"/>
        </w:rPr>
      </w:pPr>
    </w:p>
    <w:p>
      <w:pPr>
        <w:ind w:left="660" w:hanging="652"/>
        <w:spacing w:after="0"/>
        <w:tabs>
          <w:tab w:leader="none" w:pos="660" w:val="left"/>
        </w:tabs>
        <w:numPr>
          <w:ilvl w:val="0"/>
          <w:numId w:val="246"/>
        </w:numPr>
        <w:rPr>
          <w:rFonts w:ascii="MS PGothic" w:cs="MS PGothic" w:eastAsia="MS PGothic" w:hAnsi="MS PGothic"/>
          <w:sz w:val="18"/>
          <w:szCs w:val="18"/>
          <w:color w:val="auto"/>
          <w:highlight w:val="black"/>
        </w:rPr>
      </w:pPr>
      <w:r>
        <w:rPr>
          <w:rFonts w:ascii="Arial" w:cs="Arial" w:eastAsia="Arial" w:hAnsi="Arial"/>
          <w:sz w:val="18"/>
          <w:szCs w:val="18"/>
          <w:color w:val="auto"/>
        </w:rPr>
        <w:t>(a)</w:t>
      </w:r>
      <w:r>
        <w:rPr>
          <w:rFonts w:ascii="Arial" w:cs="Arial" w:eastAsia="Arial" w:hAnsi="Arial"/>
          <w:sz w:val="16"/>
          <w:szCs w:val="16"/>
          <w:b w:val="1"/>
          <w:bCs w:val="1"/>
          <w:color w:val="auto"/>
        </w:rPr>
        <w:t xml:space="preserve">Not applicable. </w:t>
      </w:r>
      <w:r>
        <w:rPr>
          <w:rFonts w:ascii="Arial" w:cs="Arial" w:eastAsia="Arial" w:hAnsi="Arial"/>
          <w:sz w:val="16"/>
          <w:szCs w:val="16"/>
          <w:color w:val="auto"/>
        </w:rPr>
        <w:t>Year of Service does not apply for purposes of this Plan.</w:t>
      </w:r>
    </w:p>
    <w:p>
      <w:pPr>
        <w:spacing w:after="0" w:line="252" w:lineRule="exact"/>
        <w:rPr>
          <w:sz w:val="20"/>
          <w:szCs w:val="20"/>
          <w:color w:val="auto"/>
        </w:rPr>
      </w:pPr>
    </w:p>
    <w:p>
      <w:pPr>
        <w:ind w:left="1320" w:hanging="1312"/>
        <w:spacing w:after="0" w:line="266" w:lineRule="auto"/>
        <w:tabs>
          <w:tab w:leader="none" w:pos="658" w:val="left"/>
        </w:tabs>
        <w:numPr>
          <w:ilvl w:val="0"/>
          <w:numId w:val="247"/>
        </w:numPr>
        <w:rPr>
          <w:rFonts w:ascii="MS PGothic" w:cs="MS PGothic" w:eastAsia="MS PGothic" w:hAnsi="MS PGothic"/>
          <w:sz w:val="18"/>
          <w:szCs w:val="18"/>
          <w:color w:val="auto"/>
        </w:rPr>
      </w:pPr>
      <w:r>
        <w:rPr>
          <w:rFonts w:ascii="Arial" w:cs="Arial" w:eastAsia="Arial" w:hAnsi="Arial"/>
          <w:sz w:val="18"/>
          <w:szCs w:val="18"/>
          <w:color w:val="auto"/>
        </w:rPr>
        <w:t>(b)</w:t>
      </w:r>
      <w:r>
        <w:rPr>
          <w:rFonts w:ascii="Arial" w:cs="Arial" w:eastAsia="Arial" w:hAnsi="Arial"/>
          <w:sz w:val="18"/>
          <w:szCs w:val="18"/>
          <w:b w:val="1"/>
          <w:bCs w:val="1"/>
          <w:color w:val="auto"/>
        </w:rPr>
        <w:t xml:space="preserve">Year of continuous service. </w:t>
      </w:r>
      <w:r>
        <w:rPr>
          <w:rFonts w:ascii="Arial" w:cs="Arial" w:eastAsia="Arial" w:hAnsi="Arial"/>
          <w:sz w:val="18"/>
          <w:szCs w:val="18"/>
          <w:color w:val="auto"/>
        </w:rPr>
        <w:t>To receive credit for one Year of Service, the Participant must remain in continuous employment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 (or render contract service to the Employer) for a twelve-month period, the first such period beginning on the Original Effective Date and successive periods beginning on the anniversary of such date.</w:t>
      </w:r>
    </w:p>
    <w:p>
      <w:pPr>
        <w:spacing w:after="0" w:line="203" w:lineRule="exact"/>
        <w:rPr>
          <w:sz w:val="20"/>
          <w:szCs w:val="20"/>
          <w:color w:val="auto"/>
        </w:rPr>
      </w:pPr>
    </w:p>
    <w:p>
      <w:pPr>
        <w:ind w:left="1320" w:hanging="1312"/>
        <w:spacing w:after="0" w:line="282" w:lineRule="auto"/>
        <w:tabs>
          <w:tab w:leader="none" w:pos="658" w:val="left"/>
        </w:tabs>
        <w:numPr>
          <w:ilvl w:val="0"/>
          <w:numId w:val="248"/>
        </w:numPr>
        <w:rPr>
          <w:rFonts w:ascii="MS PGothic" w:cs="MS PGothic" w:eastAsia="MS PGothic" w:hAnsi="MS PGothic"/>
          <w:sz w:val="18"/>
          <w:szCs w:val="18"/>
          <w:color w:val="auto"/>
          <w:highlight w:val="black"/>
        </w:rPr>
      </w:pPr>
      <w:r>
        <w:rPr>
          <w:rFonts w:ascii="Arial" w:cs="Arial" w:eastAsia="Arial" w:hAnsi="Arial"/>
          <w:sz w:val="18"/>
          <w:szCs w:val="18"/>
          <w:color w:val="auto"/>
        </w:rPr>
        <w:t>(c)</w:t>
      </w:r>
      <w:r>
        <w:rPr>
          <w:rFonts w:ascii="Arial" w:cs="Arial" w:eastAsia="Arial" w:hAnsi="Arial"/>
          <w:sz w:val="18"/>
          <w:szCs w:val="18"/>
          <w:b w:val="1"/>
          <w:bCs w:val="1"/>
          <w:color w:val="auto"/>
        </w:rPr>
        <w:t xml:space="preserve">Service on any day. </w:t>
      </w:r>
      <w:r>
        <w:rPr>
          <w:rFonts w:ascii="Arial" w:cs="Arial" w:eastAsia="Arial" w:hAnsi="Arial"/>
          <w:sz w:val="18"/>
          <w:szCs w:val="18"/>
          <w:color w:val="auto"/>
        </w:rPr>
        <w:t>To receive credit for one Year of Service, the Participant only need be employed by the Employer (or render contract</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to the Employer) on any day of the Participant’s Taxable Year.</w:t>
      </w:r>
    </w:p>
    <w:p>
      <w:pPr>
        <w:spacing w:after="0" w:line="189" w:lineRule="exact"/>
        <w:rPr>
          <w:sz w:val="20"/>
          <w:szCs w:val="20"/>
          <w:color w:val="auto"/>
        </w:rPr>
      </w:pPr>
    </w:p>
    <w:p>
      <w:pPr>
        <w:ind w:left="1320" w:right="20" w:hanging="1312"/>
        <w:spacing w:after="0" w:line="282" w:lineRule="auto"/>
        <w:tabs>
          <w:tab w:leader="none" w:pos="658" w:val="left"/>
        </w:tabs>
        <w:numPr>
          <w:ilvl w:val="0"/>
          <w:numId w:val="249"/>
        </w:numPr>
        <w:rPr>
          <w:rFonts w:ascii="MS PGothic" w:cs="MS PGothic" w:eastAsia="MS PGothic" w:hAnsi="MS PGothic"/>
          <w:sz w:val="18"/>
          <w:szCs w:val="18"/>
          <w:color w:val="auto"/>
        </w:rPr>
      </w:pPr>
      <w:r>
        <w:rPr>
          <w:rFonts w:ascii="Arial" w:cs="Arial" w:eastAsia="Arial" w:hAnsi="Arial"/>
          <w:sz w:val="18"/>
          <w:szCs w:val="18"/>
          <w:color w:val="auto"/>
        </w:rPr>
        <w:t>(d)</w:t>
      </w:r>
      <w:r>
        <w:rPr>
          <w:rFonts w:ascii="Arial" w:cs="Arial" w:eastAsia="Arial" w:hAnsi="Arial"/>
          <w:sz w:val="18"/>
          <w:szCs w:val="18"/>
          <w:b w:val="1"/>
          <w:bCs w:val="1"/>
          <w:color w:val="auto"/>
        </w:rPr>
        <w:t xml:space="preserve">Pre-Plan service. </w:t>
      </w:r>
      <w:r>
        <w:rPr>
          <w:rFonts w:ascii="Arial" w:cs="Arial" w:eastAsia="Arial" w:hAnsi="Arial"/>
          <w:sz w:val="18"/>
          <w:szCs w:val="18"/>
          <w:color w:val="auto"/>
        </w:rPr>
        <w:t>The Employer will treat service before the Plan’s Effective Date for determining Years of Service as follows (</w:t>
      </w:r>
      <w:r>
        <w:rPr>
          <w:rFonts w:ascii="Arial" w:cs="Arial" w:eastAsia="Arial" w:hAnsi="Arial"/>
          <w:sz w:val="18"/>
          <w:szCs w:val="18"/>
          <w:i w:val="1"/>
          <w:iCs w:val="1"/>
          <w:color w:val="auto"/>
        </w:rPr>
        <w:t>choose one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of (i) or (ii)</w:t>
      </w:r>
      <w:r>
        <w:rPr>
          <w:rFonts w:ascii="Arial" w:cs="Arial" w:eastAsia="Arial" w:hAnsi="Arial"/>
          <w:sz w:val="18"/>
          <w:szCs w:val="18"/>
          <w:color w:val="auto"/>
        </w:rPr>
        <w:t>):</w:t>
      </w:r>
    </w:p>
    <w:p>
      <w:pPr>
        <w:spacing w:after="0" w:line="188" w:lineRule="exact"/>
        <w:rPr>
          <w:rFonts w:ascii="MS PGothic" w:cs="MS PGothic" w:eastAsia="MS PGothic" w:hAnsi="MS PGothic"/>
          <w:sz w:val="18"/>
          <w:szCs w:val="18"/>
          <w:color w:val="auto"/>
        </w:rPr>
      </w:pPr>
    </w:p>
    <w:p>
      <w:pPr>
        <w:ind w:left="1960" w:hanging="655"/>
        <w:spacing w:after="0"/>
        <w:tabs>
          <w:tab w:leader="none" w:pos="1960" w:val="left"/>
        </w:tabs>
        <w:numPr>
          <w:ilvl w:val="1"/>
          <w:numId w:val="249"/>
        </w:numPr>
        <w:rPr>
          <w:rFonts w:ascii="MS PGothic" w:cs="MS PGothic" w:eastAsia="MS PGothic" w:hAnsi="MS PGothic"/>
          <w:sz w:val="18"/>
          <w:szCs w:val="18"/>
          <w:color w:val="auto"/>
          <w:highlight w:val="black"/>
        </w:rPr>
      </w:pPr>
      <w:r>
        <w:rPr>
          <w:rFonts w:ascii="Arial" w:cs="Arial" w:eastAsia="Arial" w:hAnsi="Arial"/>
          <w:sz w:val="18"/>
          <w:szCs w:val="18"/>
          <w:color w:val="auto"/>
        </w:rPr>
        <w:t xml:space="preserve">(i) </w:t>
      </w:r>
      <w:r>
        <w:rPr>
          <w:rFonts w:ascii="Arial" w:cs="Arial" w:eastAsia="Arial" w:hAnsi="Arial"/>
          <w:sz w:val="18"/>
          <w:szCs w:val="18"/>
          <w:b w:val="1"/>
          <w:bCs w:val="1"/>
          <w:color w:val="auto"/>
        </w:rPr>
        <w:t>Include.</w:t>
      </w:r>
    </w:p>
    <w:p>
      <w:pPr>
        <w:spacing w:after="0" w:line="224" w:lineRule="exact"/>
        <w:rPr>
          <w:sz w:val="20"/>
          <w:szCs w:val="20"/>
          <w:color w:val="auto"/>
        </w:rPr>
      </w:pPr>
    </w:p>
    <w:p>
      <w:pPr>
        <w:ind w:left="13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7"/>
          <w:szCs w:val="17"/>
          <w:color w:val="auto"/>
        </w:rPr>
        <w:t xml:space="preserve">(ii) </w:t>
      </w:r>
      <w:r>
        <w:rPr>
          <w:rFonts w:ascii="Arial" w:cs="Arial" w:eastAsia="Arial" w:hAnsi="Arial"/>
          <w:sz w:val="17"/>
          <w:szCs w:val="17"/>
          <w:b w:val="1"/>
          <w:bCs w:val="1"/>
          <w:color w:val="auto"/>
        </w:rPr>
        <w:t>Disregard.</w:t>
      </w:r>
    </w:p>
    <w:p>
      <w:pPr>
        <w:spacing w:after="0" w:line="284" w:lineRule="exact"/>
        <w:rPr>
          <w:sz w:val="20"/>
          <w:szCs w:val="20"/>
          <w:color w:val="auto"/>
        </w:rPr>
      </w:pPr>
    </w:p>
    <w:p>
      <w:pPr>
        <w:ind w:left="1300" w:hanging="1292"/>
        <w:spacing w:after="0"/>
        <w:tabs>
          <w:tab w:leader="none" w:pos="1300" w:val="left"/>
        </w:tabs>
        <w:numPr>
          <w:ilvl w:val="0"/>
          <w:numId w:val="250"/>
        </w:numPr>
        <w:rPr>
          <w:rFonts w:ascii="MS PGothic" w:cs="MS PGothic" w:eastAsia="MS PGothic" w:hAnsi="MS PGothic"/>
          <w:sz w:val="18"/>
          <w:szCs w:val="18"/>
          <w:color w:val="auto"/>
          <w:highlight w:val="black"/>
        </w:rPr>
      </w:pPr>
      <w:r>
        <w:rPr>
          <w:rFonts w:ascii="Arial" w:cs="Arial" w:eastAsia="Arial" w:hAnsi="Arial"/>
          <w:sz w:val="18"/>
          <w:szCs w:val="18"/>
          <w:color w:val="auto"/>
        </w:rPr>
        <w:t>(e)</w:t>
      </w:r>
      <w:r>
        <w:rPr>
          <w:rFonts w:ascii="Arial" w:cs="Arial" w:eastAsia="Arial" w:hAnsi="Arial"/>
          <w:sz w:val="16"/>
          <w:szCs w:val="16"/>
          <w:color w:val="auto"/>
        </w:rPr>
        <w:t>(</w:t>
      </w:r>
      <w:r>
        <w:rPr>
          <w:rFonts w:ascii="Arial" w:cs="Arial" w:eastAsia="Arial" w:hAnsi="Arial"/>
          <w:sz w:val="16"/>
          <w:szCs w:val="16"/>
          <w:i w:val="1"/>
          <w:iCs w:val="1"/>
          <w:color w:val="auto"/>
        </w:rPr>
        <w:t>Specify</w:t>
      </w:r>
      <w:r>
        <w:rPr>
          <w:rFonts w:ascii="Arial" w:cs="Arial" w:eastAsia="Arial" w:hAnsi="Arial"/>
          <w:sz w:val="16"/>
          <w:szCs w:val="16"/>
          <w:color w:val="auto"/>
        </w:rPr>
        <w:t>): _______________________________________________________.</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9" w:name="page320"/>
    <w:bookmarkEnd w:id="319"/>
    <w:p>
      <w:pPr>
        <w:jc w:val="right"/>
        <w:spacing w:after="0"/>
        <w:rPr>
          <w:sz w:val="20"/>
          <w:szCs w:val="20"/>
          <w:color w:val="auto"/>
        </w:rPr>
      </w:pPr>
      <w:r>
        <w:rPr>
          <w:rFonts w:ascii="Arial" w:cs="Arial" w:eastAsia="Arial" w:hAnsi="Arial"/>
          <w:sz w:val="18"/>
          <w:szCs w:val="18"/>
          <w:color w:val="auto"/>
        </w:rPr>
        <w:t>Nonqualified Deferred Compensation Plan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Adoption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VESTING AND SUBSTANTIAL RISK OF FORFEITURE</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3.01 </w:t>
      </w:r>
      <w:r>
        <w:rPr>
          <w:rFonts w:ascii="Arial" w:cs="Arial" w:eastAsia="Arial" w:hAnsi="Arial"/>
          <w:sz w:val="16"/>
          <w:szCs w:val="16"/>
          <w:b w:val="1"/>
          <w:bCs w:val="1"/>
          <w:color w:val="auto"/>
        </w:rPr>
        <w:t>Vesting Schedule/Other Substantial Risk of Forfeiture.</w:t>
      </w:r>
      <w:r>
        <w:rPr>
          <w:rFonts w:ascii="Arial" w:cs="Arial" w:eastAsia="Arial" w:hAnsi="Arial"/>
          <w:sz w:val="16"/>
          <w:szCs w:val="16"/>
          <w:color w:val="auto"/>
        </w:rPr>
        <w:t xml:space="preserve"> The following vesting schedule or other Substantial Risk of Forfeiture applies to 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Participant’s Termination Benefit (</w:t>
      </w:r>
      <w:r>
        <w:rPr>
          <w:rFonts w:ascii="Arial" w:cs="Arial" w:eastAsia="Arial" w:hAnsi="Arial"/>
          <w:sz w:val="18"/>
          <w:szCs w:val="18"/>
          <w:i w:val="1"/>
          <w:iCs w:val="1"/>
          <w:color w:val="auto"/>
        </w:rPr>
        <w:t>choose (a) or choose one or more of (b) - (f)</w:t>
      </w:r>
      <w:r>
        <w:rPr>
          <w:rFonts w:ascii="Arial" w:cs="Arial" w:eastAsia="Arial" w:hAnsi="Arial"/>
          <w:sz w:val="18"/>
          <w:szCs w:val="18"/>
          <w:color w:val="auto"/>
        </w:rPr>
        <w:t>):</w:t>
      </w:r>
    </w:p>
    <w:p>
      <w:pPr>
        <w:spacing w:after="0" w:line="234" w:lineRule="exact"/>
        <w:rPr>
          <w:sz w:val="20"/>
          <w:szCs w:val="20"/>
          <w:color w:val="auto"/>
        </w:rPr>
      </w:pPr>
    </w:p>
    <w:p>
      <w:pPr>
        <w:ind w:left="660" w:hanging="652"/>
        <w:spacing w:after="0"/>
        <w:tabs>
          <w:tab w:leader="none" w:pos="660" w:val="left"/>
        </w:tabs>
        <w:numPr>
          <w:ilvl w:val="0"/>
          <w:numId w:val="251"/>
        </w:numPr>
        <w:rPr>
          <w:rFonts w:ascii="MS PGothic" w:cs="MS PGothic" w:eastAsia="MS PGothic" w:hAnsi="MS PGothic"/>
          <w:sz w:val="18"/>
          <w:szCs w:val="18"/>
          <w:color w:val="auto"/>
          <w:highlight w:val="black"/>
        </w:rPr>
      </w:pPr>
      <w:r>
        <w:rPr>
          <w:rFonts w:ascii="Arial" w:cs="Arial" w:eastAsia="Arial" w:hAnsi="Arial"/>
          <w:sz w:val="18"/>
          <w:szCs w:val="18"/>
          <w:color w:val="auto"/>
        </w:rPr>
        <w:t>(a)</w:t>
      </w:r>
      <w:r>
        <w:rPr>
          <w:rFonts w:ascii="Arial" w:cs="Arial" w:eastAsia="Arial" w:hAnsi="Arial"/>
          <w:sz w:val="16"/>
          <w:szCs w:val="16"/>
          <w:b w:val="1"/>
          <w:bCs w:val="1"/>
          <w:color w:val="auto"/>
        </w:rPr>
        <w:t xml:space="preserve">Immediate vesting. </w:t>
      </w:r>
      <w:r>
        <w:rPr>
          <w:rFonts w:ascii="Arial" w:cs="Arial" w:eastAsia="Arial" w:hAnsi="Arial"/>
          <w:sz w:val="16"/>
          <w:szCs w:val="16"/>
          <w:color w:val="auto"/>
        </w:rPr>
        <w:t>100% Vested at all times with respect to the applicable Benefit.</w:t>
      </w:r>
    </w:p>
    <w:p>
      <w:pPr>
        <w:spacing w:after="0" w:line="252" w:lineRule="exact"/>
        <w:rPr>
          <w:sz w:val="20"/>
          <w:szCs w:val="20"/>
          <w:color w:val="auto"/>
        </w:rPr>
      </w:pPr>
    </w:p>
    <w:p>
      <w:pPr>
        <w:ind w:left="660" w:hanging="652"/>
        <w:spacing w:after="0"/>
        <w:tabs>
          <w:tab w:leader="none" w:pos="660" w:val="left"/>
        </w:tabs>
        <w:numPr>
          <w:ilvl w:val="0"/>
          <w:numId w:val="252"/>
        </w:numPr>
        <w:rPr>
          <w:rFonts w:ascii="MS PGothic" w:cs="MS PGothic" w:eastAsia="MS PGothic" w:hAnsi="MS PGothic"/>
          <w:sz w:val="18"/>
          <w:szCs w:val="18"/>
          <w:color w:val="auto"/>
          <w:highlight w:val="black"/>
        </w:rPr>
      </w:pPr>
      <w:r>
        <w:rPr>
          <w:rFonts w:ascii="Arial" w:cs="Arial" w:eastAsia="Arial" w:hAnsi="Arial"/>
          <w:sz w:val="18"/>
          <w:szCs w:val="18"/>
          <w:color w:val="auto"/>
        </w:rPr>
        <w:t>(b)</w:t>
      </w:r>
      <w:r>
        <w:rPr>
          <w:rFonts w:ascii="Arial" w:cs="Arial" w:eastAsia="Arial" w:hAnsi="Arial"/>
          <w:sz w:val="16"/>
          <w:szCs w:val="16"/>
          <w:b w:val="1"/>
          <w:bCs w:val="1"/>
          <w:color w:val="auto"/>
        </w:rPr>
        <w:t xml:space="preserve">Vesting schedule — Separation from Service Benefit. </w:t>
      </w:r>
      <w:r>
        <w:rPr>
          <w:rFonts w:ascii="Arial" w:cs="Arial" w:eastAsia="Arial" w:hAnsi="Arial"/>
          <w:sz w:val="16"/>
          <w:szCs w:val="16"/>
          <w:color w:val="auto"/>
        </w:rPr>
        <w:t>The Participant’s applicable Benefit is subject to the following vesting schedule:</w:t>
      </w:r>
    </w:p>
    <w:p>
      <w:pPr>
        <w:spacing w:after="0" w:line="256" w:lineRule="exact"/>
        <w:rPr>
          <w:sz w:val="20"/>
          <w:szCs w:val="20"/>
          <w:color w:val="auto"/>
        </w:rPr>
      </w:pPr>
    </w:p>
    <w:tbl>
      <w:tblPr>
        <w:tblLayout w:type="fixed"/>
        <w:tblInd w:w="196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4100" w:type="dxa"/>
            <w:vAlign w:val="bottom"/>
            <w:gridSpan w:val="2"/>
          </w:tcPr>
          <w:p>
            <w:pPr>
              <w:jc w:val="center"/>
              <w:ind w:right="920"/>
              <w:spacing w:after="0"/>
              <w:rPr>
                <w:sz w:val="20"/>
                <w:szCs w:val="20"/>
                <w:color w:val="auto"/>
              </w:rPr>
            </w:pPr>
            <w:r>
              <w:rPr>
                <w:rFonts w:ascii="Arial" w:cs="Arial" w:eastAsia="Arial" w:hAnsi="Arial"/>
                <w:sz w:val="18"/>
                <w:szCs w:val="18"/>
                <w:color w:val="auto"/>
                <w:w w:val="89"/>
              </w:rPr>
              <w:t>Years of Service</w:t>
            </w: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190"/>
        </w:trPr>
        <w:tc>
          <w:tcPr>
            <w:tcW w:w="1380" w:type="dxa"/>
            <w:vAlign w:val="bottom"/>
          </w:tcPr>
          <w:p>
            <w:pPr>
              <w:spacing w:after="0"/>
              <w:rPr>
                <w:sz w:val="16"/>
                <w:szCs w:val="16"/>
                <w:color w:val="auto"/>
              </w:rPr>
            </w:pPr>
          </w:p>
        </w:tc>
        <w:tc>
          <w:tcPr>
            <w:tcW w:w="4100" w:type="dxa"/>
            <w:vAlign w:val="bottom"/>
            <w:gridSpan w:val="2"/>
          </w:tcPr>
          <w:p>
            <w:pPr>
              <w:jc w:val="center"/>
              <w:ind w:right="900"/>
              <w:spacing w:after="0" w:line="190" w:lineRule="exact"/>
              <w:rPr>
                <w:sz w:val="20"/>
                <w:szCs w:val="20"/>
                <w:color w:val="auto"/>
              </w:rPr>
            </w:pPr>
            <w:r>
              <w:rPr>
                <w:rFonts w:ascii="Arial" w:cs="Arial" w:eastAsia="Arial" w:hAnsi="Arial"/>
                <w:sz w:val="18"/>
                <w:szCs w:val="18"/>
                <w:color w:val="auto"/>
                <w:w w:val="92"/>
              </w:rPr>
              <w:t>From the Original Effective Date of the Plan</w:t>
            </w:r>
          </w:p>
        </w:tc>
        <w:tc>
          <w:tcPr>
            <w:tcW w:w="2040" w:type="dxa"/>
            <w:vAlign w:val="bottom"/>
            <w:gridSpan w:val="3"/>
          </w:tcPr>
          <w:p>
            <w:pPr>
              <w:jc w:val="right"/>
              <w:ind w:right="420"/>
              <w:spacing w:after="0" w:line="190" w:lineRule="exact"/>
              <w:rPr>
                <w:sz w:val="20"/>
                <w:szCs w:val="20"/>
                <w:color w:val="auto"/>
              </w:rPr>
            </w:pPr>
            <w:r>
              <w:rPr>
                <w:rFonts w:ascii="Arial" w:cs="Arial" w:eastAsia="Arial" w:hAnsi="Arial"/>
                <w:sz w:val="18"/>
                <w:szCs w:val="18"/>
                <w:color w:val="auto"/>
              </w:rPr>
              <w:t>Vesting %</w:t>
            </w:r>
          </w:p>
        </w:tc>
      </w:tr>
      <w:tr>
        <w:trPr>
          <w:trHeight w:val="21"/>
        </w:trPr>
        <w:tc>
          <w:tcPr>
            <w:tcW w:w="1380" w:type="dxa"/>
            <w:vAlign w:val="bottom"/>
          </w:tcPr>
          <w:p>
            <w:pPr>
              <w:spacing w:after="0" w:line="20" w:lineRule="exact"/>
              <w:rPr>
                <w:sz w:val="1"/>
                <w:szCs w:val="1"/>
                <w:color w:val="auto"/>
              </w:rPr>
            </w:pPr>
          </w:p>
        </w:tc>
        <w:tc>
          <w:tcPr>
            <w:tcW w:w="3200" w:type="dxa"/>
            <w:vAlign w:val="bottom"/>
            <w:tcBorders>
              <w:top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6"/>
        </w:trPr>
        <w:tc>
          <w:tcPr>
            <w:tcW w:w="4580" w:type="dxa"/>
            <w:vAlign w:val="bottom"/>
            <w:gridSpan w:val="2"/>
            <w:shd w:val="clear" w:color="auto" w:fill="CCEEFF"/>
          </w:tcPr>
          <w:p>
            <w:pPr>
              <w:jc w:val="center"/>
              <w:ind w:left="1290"/>
              <w:spacing w:after="0"/>
              <w:rPr>
                <w:sz w:val="20"/>
                <w:szCs w:val="20"/>
                <w:color w:val="auto"/>
              </w:rPr>
            </w:pPr>
            <w:r>
              <w:rPr>
                <w:rFonts w:ascii="Arial" w:cs="Arial" w:eastAsia="Arial" w:hAnsi="Arial"/>
                <w:sz w:val="18"/>
                <w:szCs w:val="18"/>
                <w:color w:val="auto"/>
                <w:w w:val="79"/>
              </w:rPr>
              <w:t>0</w:t>
            </w:r>
          </w:p>
        </w:tc>
        <w:tc>
          <w:tcPr>
            <w:tcW w:w="900" w:type="dxa"/>
            <w:vAlign w:val="bottom"/>
            <w:shd w:val="clear" w:color="auto" w:fill="CCEEFF"/>
          </w:tcPr>
          <w:p>
            <w:pPr>
              <w:spacing w:after="0"/>
              <w:rPr>
                <w:sz w:val="18"/>
                <w:szCs w:val="18"/>
                <w:color w:val="auto"/>
              </w:rPr>
            </w:pPr>
          </w:p>
        </w:tc>
        <w:tc>
          <w:tcPr>
            <w:tcW w:w="2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r>
      <w:tr>
        <w:trPr>
          <w:trHeight w:val="216"/>
        </w:trPr>
        <w:tc>
          <w:tcPr>
            <w:tcW w:w="4580" w:type="dxa"/>
            <w:vAlign w:val="bottom"/>
            <w:gridSpan w:val="2"/>
          </w:tcPr>
          <w:p>
            <w:pPr>
              <w:jc w:val="center"/>
              <w:ind w:left="1290"/>
              <w:spacing w:after="0"/>
              <w:rPr>
                <w:sz w:val="20"/>
                <w:szCs w:val="20"/>
                <w:color w:val="auto"/>
              </w:rPr>
            </w:pPr>
            <w:r>
              <w:rPr>
                <w:rFonts w:ascii="Arial" w:cs="Arial" w:eastAsia="Arial" w:hAnsi="Arial"/>
                <w:sz w:val="18"/>
                <w:szCs w:val="18"/>
                <w:color w:val="auto"/>
                <w:w w:val="79"/>
              </w:rPr>
              <w:t>1</w:t>
            </w:r>
          </w:p>
        </w:tc>
        <w:tc>
          <w:tcPr>
            <w:tcW w:w="900" w:type="dxa"/>
            <w:vAlign w:val="bottom"/>
          </w:tcPr>
          <w:p>
            <w:pPr>
              <w:spacing w:after="0"/>
              <w:rPr>
                <w:sz w:val="18"/>
                <w:szCs w:val="18"/>
                <w:color w:val="auto"/>
              </w:rPr>
            </w:pPr>
          </w:p>
        </w:tc>
        <w:tc>
          <w:tcPr>
            <w:tcW w:w="2040" w:type="dxa"/>
            <w:vAlign w:val="bottom"/>
            <w:gridSpan w:val="3"/>
          </w:tcPr>
          <w:p>
            <w:pPr>
              <w:jc w:val="right"/>
              <w:ind w:right="60"/>
              <w:spacing w:after="0"/>
              <w:rPr>
                <w:sz w:val="20"/>
                <w:szCs w:val="20"/>
                <w:color w:val="auto"/>
              </w:rPr>
            </w:pPr>
            <w:r>
              <w:rPr>
                <w:rFonts w:ascii="Arial" w:cs="Arial" w:eastAsia="Arial" w:hAnsi="Arial"/>
                <w:sz w:val="18"/>
                <w:szCs w:val="18"/>
                <w:color w:val="auto"/>
              </w:rPr>
              <w:t>55%</w:t>
            </w:r>
          </w:p>
        </w:tc>
      </w:tr>
      <w:tr>
        <w:trPr>
          <w:trHeight w:val="216"/>
        </w:trPr>
        <w:tc>
          <w:tcPr>
            <w:tcW w:w="4580" w:type="dxa"/>
            <w:vAlign w:val="bottom"/>
            <w:gridSpan w:val="2"/>
            <w:shd w:val="clear" w:color="auto" w:fill="CCEEFF"/>
          </w:tcPr>
          <w:p>
            <w:pPr>
              <w:jc w:val="center"/>
              <w:ind w:left="1290"/>
              <w:spacing w:after="0"/>
              <w:rPr>
                <w:sz w:val="20"/>
                <w:szCs w:val="20"/>
                <w:color w:val="auto"/>
              </w:rPr>
            </w:pPr>
            <w:r>
              <w:rPr>
                <w:rFonts w:ascii="Arial" w:cs="Arial" w:eastAsia="Arial" w:hAnsi="Arial"/>
                <w:sz w:val="18"/>
                <w:szCs w:val="18"/>
                <w:color w:val="auto"/>
                <w:w w:val="79"/>
              </w:rPr>
              <w:t>2</w:t>
            </w:r>
          </w:p>
        </w:tc>
        <w:tc>
          <w:tcPr>
            <w:tcW w:w="900" w:type="dxa"/>
            <w:vAlign w:val="bottom"/>
            <w:shd w:val="clear" w:color="auto" w:fill="CCEEFF"/>
          </w:tcPr>
          <w:p>
            <w:pPr>
              <w:spacing w:after="0"/>
              <w:rPr>
                <w:sz w:val="18"/>
                <w:szCs w:val="18"/>
                <w:color w:val="auto"/>
              </w:rPr>
            </w:pPr>
          </w:p>
        </w:tc>
        <w:tc>
          <w:tcPr>
            <w:tcW w:w="2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r>
      <w:tr>
        <w:trPr>
          <w:trHeight w:val="216"/>
        </w:trPr>
        <w:tc>
          <w:tcPr>
            <w:tcW w:w="4580" w:type="dxa"/>
            <w:vAlign w:val="bottom"/>
            <w:gridSpan w:val="2"/>
          </w:tcPr>
          <w:p>
            <w:pPr>
              <w:jc w:val="center"/>
              <w:ind w:left="1290"/>
              <w:spacing w:after="0"/>
              <w:rPr>
                <w:sz w:val="20"/>
                <w:szCs w:val="20"/>
                <w:color w:val="auto"/>
              </w:rPr>
            </w:pPr>
            <w:r>
              <w:rPr>
                <w:rFonts w:ascii="Arial" w:cs="Arial" w:eastAsia="Arial" w:hAnsi="Arial"/>
                <w:sz w:val="18"/>
                <w:szCs w:val="18"/>
                <w:color w:val="auto"/>
                <w:w w:val="79"/>
              </w:rPr>
              <w:t>3</w:t>
            </w:r>
          </w:p>
        </w:tc>
        <w:tc>
          <w:tcPr>
            <w:tcW w:w="900" w:type="dxa"/>
            <w:vAlign w:val="bottom"/>
          </w:tcPr>
          <w:p>
            <w:pPr>
              <w:spacing w:after="0"/>
              <w:rPr>
                <w:sz w:val="18"/>
                <w:szCs w:val="18"/>
                <w:color w:val="auto"/>
              </w:rPr>
            </w:pPr>
          </w:p>
        </w:tc>
        <w:tc>
          <w:tcPr>
            <w:tcW w:w="2040" w:type="dxa"/>
            <w:vAlign w:val="bottom"/>
            <w:gridSpan w:val="3"/>
          </w:tcPr>
          <w:p>
            <w:pPr>
              <w:jc w:val="right"/>
              <w:ind w:right="60"/>
              <w:spacing w:after="0"/>
              <w:rPr>
                <w:sz w:val="20"/>
                <w:szCs w:val="20"/>
                <w:color w:val="auto"/>
              </w:rPr>
            </w:pPr>
            <w:r>
              <w:rPr>
                <w:rFonts w:ascii="Arial" w:cs="Arial" w:eastAsia="Arial" w:hAnsi="Arial"/>
                <w:sz w:val="18"/>
                <w:szCs w:val="18"/>
                <w:color w:val="auto"/>
              </w:rPr>
              <w:t>65%</w:t>
            </w:r>
          </w:p>
        </w:tc>
      </w:tr>
      <w:tr>
        <w:trPr>
          <w:trHeight w:val="216"/>
        </w:trPr>
        <w:tc>
          <w:tcPr>
            <w:tcW w:w="4580" w:type="dxa"/>
            <w:vAlign w:val="bottom"/>
            <w:gridSpan w:val="2"/>
            <w:shd w:val="clear" w:color="auto" w:fill="CCEEFF"/>
          </w:tcPr>
          <w:p>
            <w:pPr>
              <w:jc w:val="center"/>
              <w:ind w:left="1290"/>
              <w:spacing w:after="0"/>
              <w:rPr>
                <w:sz w:val="20"/>
                <w:szCs w:val="20"/>
                <w:color w:val="auto"/>
              </w:rPr>
            </w:pPr>
            <w:r>
              <w:rPr>
                <w:rFonts w:ascii="Arial" w:cs="Arial" w:eastAsia="Arial" w:hAnsi="Arial"/>
                <w:sz w:val="18"/>
                <w:szCs w:val="18"/>
                <w:color w:val="auto"/>
                <w:w w:val="79"/>
              </w:rPr>
              <w:t>4</w:t>
            </w:r>
          </w:p>
        </w:tc>
        <w:tc>
          <w:tcPr>
            <w:tcW w:w="900" w:type="dxa"/>
            <w:vAlign w:val="bottom"/>
            <w:shd w:val="clear" w:color="auto" w:fill="CCEEFF"/>
          </w:tcPr>
          <w:p>
            <w:pPr>
              <w:spacing w:after="0"/>
              <w:rPr>
                <w:sz w:val="18"/>
                <w:szCs w:val="18"/>
                <w:color w:val="auto"/>
              </w:rPr>
            </w:pPr>
          </w:p>
        </w:tc>
        <w:tc>
          <w:tcPr>
            <w:tcW w:w="2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r>
      <w:tr>
        <w:trPr>
          <w:trHeight w:val="216"/>
        </w:trPr>
        <w:tc>
          <w:tcPr>
            <w:tcW w:w="4580" w:type="dxa"/>
            <w:vAlign w:val="bottom"/>
            <w:gridSpan w:val="2"/>
          </w:tcPr>
          <w:p>
            <w:pPr>
              <w:jc w:val="center"/>
              <w:ind w:left="1290"/>
              <w:spacing w:after="0"/>
              <w:rPr>
                <w:sz w:val="20"/>
                <w:szCs w:val="20"/>
                <w:color w:val="auto"/>
              </w:rPr>
            </w:pPr>
            <w:r>
              <w:rPr>
                <w:rFonts w:ascii="Arial" w:cs="Arial" w:eastAsia="Arial" w:hAnsi="Arial"/>
                <w:sz w:val="18"/>
                <w:szCs w:val="18"/>
                <w:color w:val="auto"/>
                <w:w w:val="79"/>
              </w:rPr>
              <w:t>5</w:t>
            </w:r>
          </w:p>
        </w:tc>
        <w:tc>
          <w:tcPr>
            <w:tcW w:w="900" w:type="dxa"/>
            <w:vAlign w:val="bottom"/>
          </w:tcPr>
          <w:p>
            <w:pPr>
              <w:spacing w:after="0"/>
              <w:rPr>
                <w:sz w:val="18"/>
                <w:szCs w:val="18"/>
                <w:color w:val="auto"/>
              </w:rPr>
            </w:pPr>
          </w:p>
        </w:tc>
        <w:tc>
          <w:tcPr>
            <w:tcW w:w="2040" w:type="dxa"/>
            <w:vAlign w:val="bottom"/>
            <w:gridSpan w:val="3"/>
          </w:tcPr>
          <w:p>
            <w:pPr>
              <w:jc w:val="right"/>
              <w:ind w:right="60"/>
              <w:spacing w:after="0"/>
              <w:rPr>
                <w:sz w:val="20"/>
                <w:szCs w:val="20"/>
                <w:color w:val="auto"/>
              </w:rPr>
            </w:pPr>
            <w:r>
              <w:rPr>
                <w:rFonts w:ascii="Arial" w:cs="Arial" w:eastAsia="Arial" w:hAnsi="Arial"/>
                <w:sz w:val="18"/>
                <w:szCs w:val="18"/>
                <w:color w:val="auto"/>
              </w:rPr>
              <w:t>75%</w:t>
            </w:r>
          </w:p>
        </w:tc>
      </w:tr>
      <w:tr>
        <w:trPr>
          <w:trHeight w:val="216"/>
        </w:trPr>
        <w:tc>
          <w:tcPr>
            <w:tcW w:w="4580" w:type="dxa"/>
            <w:vAlign w:val="bottom"/>
            <w:gridSpan w:val="2"/>
            <w:shd w:val="clear" w:color="auto" w:fill="CCEEFF"/>
          </w:tcPr>
          <w:p>
            <w:pPr>
              <w:jc w:val="center"/>
              <w:ind w:left="1290"/>
              <w:spacing w:after="0"/>
              <w:rPr>
                <w:sz w:val="20"/>
                <w:szCs w:val="20"/>
                <w:color w:val="auto"/>
              </w:rPr>
            </w:pPr>
            <w:r>
              <w:rPr>
                <w:rFonts w:ascii="Arial" w:cs="Arial" w:eastAsia="Arial" w:hAnsi="Arial"/>
                <w:sz w:val="18"/>
                <w:szCs w:val="18"/>
                <w:color w:val="auto"/>
                <w:w w:val="79"/>
              </w:rPr>
              <w:t>6</w:t>
            </w:r>
          </w:p>
        </w:tc>
        <w:tc>
          <w:tcPr>
            <w:tcW w:w="900" w:type="dxa"/>
            <w:vAlign w:val="bottom"/>
            <w:shd w:val="clear" w:color="auto" w:fill="CCEEFF"/>
          </w:tcPr>
          <w:p>
            <w:pPr>
              <w:spacing w:after="0"/>
              <w:rPr>
                <w:sz w:val="18"/>
                <w:szCs w:val="18"/>
                <w:color w:val="auto"/>
              </w:rPr>
            </w:pPr>
          </w:p>
        </w:tc>
        <w:tc>
          <w:tcPr>
            <w:tcW w:w="2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r>
      <w:tr>
        <w:trPr>
          <w:trHeight w:val="216"/>
        </w:trPr>
        <w:tc>
          <w:tcPr>
            <w:tcW w:w="4580" w:type="dxa"/>
            <w:vAlign w:val="bottom"/>
            <w:gridSpan w:val="2"/>
          </w:tcPr>
          <w:p>
            <w:pPr>
              <w:jc w:val="center"/>
              <w:ind w:left="1290"/>
              <w:spacing w:after="0"/>
              <w:rPr>
                <w:sz w:val="20"/>
                <w:szCs w:val="20"/>
                <w:color w:val="auto"/>
              </w:rPr>
            </w:pPr>
            <w:r>
              <w:rPr>
                <w:rFonts w:ascii="Arial" w:cs="Arial" w:eastAsia="Arial" w:hAnsi="Arial"/>
                <w:sz w:val="18"/>
                <w:szCs w:val="18"/>
                <w:color w:val="auto"/>
                <w:w w:val="79"/>
              </w:rPr>
              <w:t>7</w:t>
            </w:r>
          </w:p>
        </w:tc>
        <w:tc>
          <w:tcPr>
            <w:tcW w:w="900" w:type="dxa"/>
            <w:vAlign w:val="bottom"/>
          </w:tcPr>
          <w:p>
            <w:pPr>
              <w:spacing w:after="0"/>
              <w:rPr>
                <w:sz w:val="18"/>
                <w:szCs w:val="18"/>
                <w:color w:val="auto"/>
              </w:rPr>
            </w:pPr>
          </w:p>
        </w:tc>
        <w:tc>
          <w:tcPr>
            <w:tcW w:w="2040" w:type="dxa"/>
            <w:vAlign w:val="bottom"/>
            <w:gridSpan w:val="3"/>
          </w:tcPr>
          <w:p>
            <w:pPr>
              <w:jc w:val="right"/>
              <w:ind w:right="60"/>
              <w:spacing w:after="0"/>
              <w:rPr>
                <w:sz w:val="20"/>
                <w:szCs w:val="20"/>
                <w:color w:val="auto"/>
              </w:rPr>
            </w:pPr>
            <w:r>
              <w:rPr>
                <w:rFonts w:ascii="Arial" w:cs="Arial" w:eastAsia="Arial" w:hAnsi="Arial"/>
                <w:sz w:val="18"/>
                <w:szCs w:val="18"/>
                <w:color w:val="auto"/>
              </w:rPr>
              <w:t>85%</w:t>
            </w:r>
          </w:p>
        </w:tc>
      </w:tr>
      <w:tr>
        <w:trPr>
          <w:trHeight w:val="216"/>
        </w:trPr>
        <w:tc>
          <w:tcPr>
            <w:tcW w:w="4580" w:type="dxa"/>
            <w:vAlign w:val="bottom"/>
            <w:gridSpan w:val="2"/>
            <w:shd w:val="clear" w:color="auto" w:fill="CCEEFF"/>
          </w:tcPr>
          <w:p>
            <w:pPr>
              <w:jc w:val="center"/>
              <w:ind w:left="1290"/>
              <w:spacing w:after="0"/>
              <w:rPr>
                <w:sz w:val="20"/>
                <w:szCs w:val="20"/>
                <w:color w:val="auto"/>
              </w:rPr>
            </w:pPr>
            <w:r>
              <w:rPr>
                <w:rFonts w:ascii="Arial" w:cs="Arial" w:eastAsia="Arial" w:hAnsi="Arial"/>
                <w:sz w:val="18"/>
                <w:szCs w:val="18"/>
                <w:color w:val="auto"/>
                <w:w w:val="79"/>
              </w:rPr>
              <w:t>8</w:t>
            </w:r>
          </w:p>
        </w:tc>
        <w:tc>
          <w:tcPr>
            <w:tcW w:w="900" w:type="dxa"/>
            <w:vAlign w:val="bottom"/>
            <w:shd w:val="clear" w:color="auto" w:fill="CCEEFF"/>
          </w:tcPr>
          <w:p>
            <w:pPr>
              <w:spacing w:after="0"/>
              <w:rPr>
                <w:sz w:val="18"/>
                <w:szCs w:val="18"/>
                <w:color w:val="auto"/>
              </w:rPr>
            </w:pPr>
          </w:p>
        </w:tc>
        <w:tc>
          <w:tcPr>
            <w:tcW w:w="2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r>
      <w:tr>
        <w:trPr>
          <w:trHeight w:val="216"/>
        </w:trPr>
        <w:tc>
          <w:tcPr>
            <w:tcW w:w="4580" w:type="dxa"/>
            <w:vAlign w:val="bottom"/>
            <w:gridSpan w:val="2"/>
          </w:tcPr>
          <w:p>
            <w:pPr>
              <w:jc w:val="center"/>
              <w:ind w:left="1290"/>
              <w:spacing w:after="0"/>
              <w:rPr>
                <w:sz w:val="20"/>
                <w:szCs w:val="20"/>
                <w:color w:val="auto"/>
              </w:rPr>
            </w:pPr>
            <w:r>
              <w:rPr>
                <w:rFonts w:ascii="Arial" w:cs="Arial" w:eastAsia="Arial" w:hAnsi="Arial"/>
                <w:sz w:val="18"/>
                <w:szCs w:val="18"/>
                <w:color w:val="auto"/>
                <w:w w:val="79"/>
              </w:rPr>
              <w:t>9</w:t>
            </w:r>
          </w:p>
        </w:tc>
        <w:tc>
          <w:tcPr>
            <w:tcW w:w="900" w:type="dxa"/>
            <w:vAlign w:val="bottom"/>
          </w:tcPr>
          <w:p>
            <w:pPr>
              <w:spacing w:after="0"/>
              <w:rPr>
                <w:sz w:val="18"/>
                <w:szCs w:val="18"/>
                <w:color w:val="auto"/>
              </w:rPr>
            </w:pPr>
          </w:p>
        </w:tc>
        <w:tc>
          <w:tcPr>
            <w:tcW w:w="2040" w:type="dxa"/>
            <w:vAlign w:val="bottom"/>
            <w:gridSpan w:val="3"/>
          </w:tcPr>
          <w:p>
            <w:pPr>
              <w:jc w:val="right"/>
              <w:ind w:right="60"/>
              <w:spacing w:after="0"/>
              <w:rPr>
                <w:sz w:val="20"/>
                <w:szCs w:val="20"/>
                <w:color w:val="auto"/>
              </w:rPr>
            </w:pPr>
            <w:r>
              <w:rPr>
                <w:rFonts w:ascii="Arial" w:cs="Arial" w:eastAsia="Arial" w:hAnsi="Arial"/>
                <w:sz w:val="18"/>
                <w:szCs w:val="18"/>
                <w:color w:val="auto"/>
              </w:rPr>
              <w:t>95%</w:t>
            </w:r>
          </w:p>
        </w:tc>
      </w:tr>
      <w:tr>
        <w:trPr>
          <w:trHeight w:val="216"/>
        </w:trPr>
        <w:tc>
          <w:tcPr>
            <w:tcW w:w="4580" w:type="dxa"/>
            <w:vAlign w:val="bottom"/>
            <w:gridSpan w:val="2"/>
            <w:shd w:val="clear" w:color="auto" w:fill="CCEEFF"/>
          </w:tcPr>
          <w:p>
            <w:pPr>
              <w:jc w:val="center"/>
              <w:ind w:left="1310"/>
              <w:spacing w:after="0"/>
              <w:rPr>
                <w:sz w:val="20"/>
                <w:szCs w:val="20"/>
                <w:color w:val="auto"/>
              </w:rPr>
            </w:pPr>
            <w:r>
              <w:rPr>
                <w:rFonts w:ascii="Arial" w:cs="Arial" w:eastAsia="Arial" w:hAnsi="Arial"/>
                <w:sz w:val="18"/>
                <w:szCs w:val="18"/>
                <w:color w:val="auto"/>
                <w:w w:val="89"/>
              </w:rPr>
              <w:t>10</w:t>
            </w:r>
          </w:p>
        </w:tc>
        <w:tc>
          <w:tcPr>
            <w:tcW w:w="900" w:type="dxa"/>
            <w:vAlign w:val="bottom"/>
            <w:shd w:val="clear" w:color="auto" w:fill="CCEEFF"/>
          </w:tcPr>
          <w:p>
            <w:pPr>
              <w:spacing w:after="0"/>
              <w:rPr>
                <w:sz w:val="18"/>
                <w:szCs w:val="18"/>
                <w:color w:val="auto"/>
              </w:rPr>
            </w:pPr>
          </w:p>
        </w:tc>
        <w:tc>
          <w:tcPr>
            <w:tcW w:w="2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3500120</wp:posOffset>
            </wp:positionH>
            <wp:positionV relativeFrom="paragraph">
              <wp:posOffset>-1671955</wp:posOffset>
            </wp:positionV>
            <wp:extent cx="2857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5" w:lineRule="exact"/>
        <w:rPr>
          <w:sz w:val="20"/>
          <w:szCs w:val="20"/>
          <w:color w:val="auto"/>
        </w:rPr>
      </w:pPr>
    </w:p>
    <w:p>
      <w:pPr>
        <w:ind w:left="1320" w:hanging="1312"/>
        <w:spacing w:after="0" w:line="266" w:lineRule="auto"/>
        <w:tabs>
          <w:tab w:leader="none" w:pos="658" w:val="left"/>
        </w:tabs>
        <w:numPr>
          <w:ilvl w:val="0"/>
          <w:numId w:val="253"/>
        </w:numPr>
        <w:rPr>
          <w:rFonts w:ascii="MS PGothic" w:cs="MS PGothic" w:eastAsia="MS PGothic" w:hAnsi="MS PGothic"/>
          <w:sz w:val="18"/>
          <w:szCs w:val="18"/>
          <w:color w:val="auto"/>
        </w:rPr>
      </w:pPr>
      <w:r>
        <w:rPr>
          <w:rFonts w:ascii="Arial" w:cs="Arial" w:eastAsia="Arial" w:hAnsi="Arial"/>
          <w:sz w:val="18"/>
          <w:szCs w:val="18"/>
          <w:color w:val="auto"/>
        </w:rPr>
        <w:t>(c)</w:t>
      </w:r>
      <w:r>
        <w:rPr>
          <w:rFonts w:ascii="Arial" w:cs="Arial" w:eastAsia="Arial" w:hAnsi="Arial"/>
          <w:sz w:val="18"/>
          <w:szCs w:val="18"/>
          <w:b w:val="1"/>
          <w:bCs w:val="1"/>
          <w:color w:val="auto"/>
        </w:rPr>
        <w:t xml:space="preserve">Other Substantial Risk of Forfeiture. </w:t>
      </w:r>
      <w:r>
        <w:rPr>
          <w:rFonts w:ascii="Arial" w:cs="Arial" w:eastAsia="Arial" w:hAnsi="Arial"/>
          <w:sz w:val="18"/>
          <w:szCs w:val="18"/>
          <w:color w:val="auto"/>
        </w:rPr>
        <w:t>(</w:t>
      </w:r>
      <w:r>
        <w:rPr>
          <w:rFonts w:ascii="Arial" w:cs="Arial" w:eastAsia="Arial" w:hAnsi="Arial"/>
          <w:sz w:val="18"/>
          <w:szCs w:val="18"/>
          <w:i w:val="1"/>
          <w:iCs w:val="1"/>
          <w:color w:val="auto"/>
        </w:rPr>
        <w:t>Specify</w:t>
      </w:r>
      <w:r>
        <w:rPr>
          <w:rFonts w:ascii="Arial" w:cs="Arial" w:eastAsia="Arial" w:hAnsi="Arial"/>
          <w:sz w:val="18"/>
          <w:szCs w:val="18"/>
          <w:color w:val="auto"/>
        </w:rPr>
        <w:t>): Any of the following conditions, determined in the sole judgment of the Employer, shall</w:t>
      </w:r>
      <w:r>
        <w:rPr>
          <w:rFonts w:ascii="Arial" w:cs="Arial" w:eastAsia="Arial" w:hAnsi="Arial"/>
          <w:sz w:val="18"/>
          <w:szCs w:val="18"/>
          <w:b w:val="1"/>
          <w:bCs w:val="1"/>
          <w:color w:val="auto"/>
        </w:rPr>
        <w:t xml:space="preserve"> </w:t>
      </w:r>
      <w:r>
        <w:rPr>
          <w:rFonts w:ascii="Arial" w:cs="Arial" w:eastAsia="Arial" w:hAnsi="Arial"/>
          <w:sz w:val="18"/>
          <w:szCs w:val="18"/>
          <w:color w:val="auto"/>
        </w:rPr>
        <w:t>result in a forfeiture of Participant’s Benefit and shall apply even if any of the conditions specified is determined to not constitute a Substantial Risk of Forfeiture as defined in Treas. Reg. §1.409A-1(d).</w:t>
      </w:r>
    </w:p>
    <w:p>
      <w:pPr>
        <w:spacing w:after="0" w:line="207" w:lineRule="exact"/>
        <w:rPr>
          <w:rFonts w:ascii="MS PGothic" w:cs="MS PGothic" w:eastAsia="MS PGothic" w:hAnsi="MS PGothic"/>
          <w:sz w:val="18"/>
          <w:szCs w:val="18"/>
          <w:color w:val="auto"/>
        </w:rPr>
      </w:pPr>
    </w:p>
    <w:p>
      <w:pPr>
        <w:ind w:left="1960" w:right="20" w:hanging="655"/>
        <w:spacing w:after="0" w:line="277" w:lineRule="auto"/>
        <w:tabs>
          <w:tab w:leader="none" w:pos="1960" w:val="left"/>
        </w:tabs>
        <w:numPr>
          <w:ilvl w:val="1"/>
          <w:numId w:val="253"/>
        </w:numPr>
        <w:rPr>
          <w:rFonts w:ascii="Arial" w:cs="Arial" w:eastAsia="Arial" w:hAnsi="Arial"/>
          <w:sz w:val="18"/>
          <w:szCs w:val="18"/>
          <w:color w:val="auto"/>
        </w:rPr>
      </w:pPr>
      <w:r>
        <w:rPr>
          <w:rFonts w:ascii="Arial" w:cs="Arial" w:eastAsia="Arial" w:hAnsi="Arial"/>
          <w:sz w:val="18"/>
          <w:szCs w:val="18"/>
          <w:color w:val="auto"/>
        </w:rPr>
        <w:t>Discharge for Cause. If the Participant is Discharged for Cause, Participant’s Benefit is forfeited. “Discharge for Cause” shall mean the termination of Participant’s employment with the Employer as a result of any of the following:</w:t>
      </w:r>
    </w:p>
    <w:p>
      <w:pPr>
        <w:spacing w:after="0" w:line="197" w:lineRule="exact"/>
        <w:rPr>
          <w:rFonts w:ascii="Arial" w:cs="Arial" w:eastAsia="Arial" w:hAnsi="Arial"/>
          <w:sz w:val="18"/>
          <w:szCs w:val="18"/>
          <w:color w:val="auto"/>
        </w:rPr>
      </w:pPr>
    </w:p>
    <w:p>
      <w:pPr>
        <w:ind w:left="2600" w:hanging="647"/>
        <w:spacing w:after="0"/>
        <w:tabs>
          <w:tab w:leader="none" w:pos="2600" w:val="left"/>
        </w:tabs>
        <w:numPr>
          <w:ilvl w:val="2"/>
          <w:numId w:val="253"/>
        </w:numPr>
        <w:rPr>
          <w:rFonts w:ascii="Arial" w:cs="Arial" w:eastAsia="Arial" w:hAnsi="Arial"/>
          <w:sz w:val="18"/>
          <w:szCs w:val="18"/>
          <w:color w:val="auto"/>
        </w:rPr>
      </w:pPr>
      <w:r>
        <w:rPr>
          <w:rFonts w:ascii="Arial" w:cs="Arial" w:eastAsia="Arial" w:hAnsi="Arial"/>
          <w:sz w:val="18"/>
          <w:szCs w:val="18"/>
          <w:color w:val="auto"/>
        </w:rPr>
        <w:t>the Participant’s commission of a felony or gross misdemeanor involving fraud or dishonesty;</w:t>
      </w:r>
    </w:p>
    <w:p>
      <w:pPr>
        <w:spacing w:after="0" w:line="252" w:lineRule="exact"/>
        <w:rPr>
          <w:rFonts w:ascii="Arial" w:cs="Arial" w:eastAsia="Arial" w:hAnsi="Arial"/>
          <w:sz w:val="18"/>
          <w:szCs w:val="18"/>
          <w:color w:val="auto"/>
        </w:rPr>
      </w:pPr>
    </w:p>
    <w:p>
      <w:pPr>
        <w:ind w:left="2600" w:hanging="647"/>
        <w:spacing w:after="0"/>
        <w:tabs>
          <w:tab w:leader="none" w:pos="2600" w:val="left"/>
        </w:tabs>
        <w:numPr>
          <w:ilvl w:val="2"/>
          <w:numId w:val="253"/>
        </w:numPr>
        <w:rPr>
          <w:rFonts w:ascii="Arial" w:cs="Arial" w:eastAsia="Arial" w:hAnsi="Arial"/>
          <w:sz w:val="18"/>
          <w:szCs w:val="18"/>
          <w:color w:val="auto"/>
        </w:rPr>
      </w:pPr>
      <w:r>
        <w:rPr>
          <w:rFonts w:ascii="Arial" w:cs="Arial" w:eastAsia="Arial" w:hAnsi="Arial"/>
          <w:sz w:val="18"/>
          <w:szCs w:val="18"/>
          <w:color w:val="auto"/>
        </w:rPr>
        <w:t>the Participant’s willful violation of any banking law, rule, or banking regulation;</w:t>
      </w:r>
    </w:p>
    <w:p>
      <w:pPr>
        <w:spacing w:after="0" w:line="252" w:lineRule="exact"/>
        <w:rPr>
          <w:rFonts w:ascii="Arial" w:cs="Arial" w:eastAsia="Arial" w:hAnsi="Arial"/>
          <w:sz w:val="18"/>
          <w:szCs w:val="18"/>
          <w:color w:val="auto"/>
        </w:rPr>
      </w:pPr>
    </w:p>
    <w:p>
      <w:pPr>
        <w:ind w:left="2600" w:hanging="647"/>
        <w:spacing w:after="0"/>
        <w:tabs>
          <w:tab w:leader="none" w:pos="2600" w:val="left"/>
        </w:tabs>
        <w:numPr>
          <w:ilvl w:val="2"/>
          <w:numId w:val="253"/>
        </w:numPr>
        <w:rPr>
          <w:rFonts w:ascii="Arial" w:cs="Arial" w:eastAsia="Arial" w:hAnsi="Arial"/>
          <w:sz w:val="18"/>
          <w:szCs w:val="18"/>
          <w:color w:val="auto"/>
        </w:rPr>
      </w:pPr>
      <w:r>
        <w:rPr>
          <w:rFonts w:ascii="Arial" w:cs="Arial" w:eastAsia="Arial" w:hAnsi="Arial"/>
          <w:sz w:val="18"/>
          <w:szCs w:val="18"/>
          <w:color w:val="auto"/>
        </w:rPr>
        <w:t>an intentional failure by Participant to perform stated duties; or</w:t>
      </w:r>
    </w:p>
    <w:p>
      <w:pPr>
        <w:spacing w:after="0" w:line="252" w:lineRule="exact"/>
        <w:rPr>
          <w:rFonts w:ascii="Arial" w:cs="Arial" w:eastAsia="Arial" w:hAnsi="Arial"/>
          <w:sz w:val="18"/>
          <w:szCs w:val="18"/>
          <w:color w:val="auto"/>
        </w:rPr>
      </w:pPr>
    </w:p>
    <w:p>
      <w:pPr>
        <w:ind w:left="2600" w:hanging="647"/>
        <w:spacing w:after="0"/>
        <w:tabs>
          <w:tab w:leader="none" w:pos="2600" w:val="left"/>
        </w:tabs>
        <w:numPr>
          <w:ilvl w:val="2"/>
          <w:numId w:val="253"/>
        </w:numPr>
        <w:rPr>
          <w:rFonts w:ascii="Arial" w:cs="Arial" w:eastAsia="Arial" w:hAnsi="Arial"/>
          <w:sz w:val="18"/>
          <w:szCs w:val="18"/>
          <w:color w:val="auto"/>
        </w:rPr>
      </w:pPr>
      <w:r>
        <w:rPr>
          <w:rFonts w:ascii="Arial" w:cs="Arial" w:eastAsia="Arial" w:hAnsi="Arial"/>
          <w:sz w:val="18"/>
          <w:szCs w:val="18"/>
          <w:color w:val="auto"/>
        </w:rPr>
        <w:t>a breach of fiduciary duty by Participant involving personal profit.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0" w:name="page321"/>
    <w:bookmarkEnd w:id="320"/>
    <w:p>
      <w:pPr>
        <w:jc w:val="right"/>
        <w:spacing w:after="0"/>
        <w:rPr>
          <w:sz w:val="20"/>
          <w:szCs w:val="20"/>
          <w:color w:val="auto"/>
        </w:rPr>
      </w:pPr>
      <w:r>
        <w:rPr>
          <w:rFonts w:ascii="Arial" w:cs="Arial" w:eastAsia="Arial" w:hAnsi="Arial"/>
          <w:sz w:val="18"/>
          <w:szCs w:val="18"/>
          <w:color w:val="auto"/>
        </w:rPr>
        <w:t>Nonqualified Deferred Compensation Plan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Adoption Agreement</w:t>
      </w:r>
    </w:p>
    <w:p>
      <w:pPr>
        <w:spacing w:after="0" w:line="170"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color w:val="auto"/>
        </w:rPr>
        <w:t>If a dispute arises as to whether a termination of Participant’s employment constitutes “Discharge for Cause,” such dispute shall be resolved by arbitration as set forth in Section 6.10 of the Basic Plan Document. If the Participant resigns due to any of the conduct described above, the Employer may deny Participant’s Benefit.</w:t>
      </w:r>
    </w:p>
    <w:p>
      <w:pPr>
        <w:spacing w:after="0" w:line="208" w:lineRule="exact"/>
        <w:rPr>
          <w:sz w:val="20"/>
          <w:szCs w:val="20"/>
          <w:color w:val="auto"/>
        </w:rPr>
      </w:pPr>
    </w:p>
    <w:p>
      <w:pPr>
        <w:ind w:left="760" w:hanging="655"/>
        <w:spacing w:after="0"/>
        <w:tabs>
          <w:tab w:leader="none" w:pos="7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Death. If the Participant dies, Participant’s Benefit is forfeited.</w:t>
      </w:r>
    </w:p>
    <w:p>
      <w:pPr>
        <w:spacing w:after="0" w:line="252" w:lineRule="exact"/>
        <w:rPr>
          <w:rFonts w:ascii="Arial" w:cs="Arial" w:eastAsia="Arial" w:hAnsi="Arial"/>
          <w:sz w:val="18"/>
          <w:szCs w:val="18"/>
          <w:color w:val="auto"/>
        </w:rPr>
      </w:pPr>
    </w:p>
    <w:p>
      <w:pPr>
        <w:jc w:val="both"/>
        <w:ind w:left="760" w:hanging="655"/>
        <w:spacing w:after="0" w:line="252" w:lineRule="auto"/>
        <w:tabs>
          <w:tab w:leader="none" w:pos="7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Proprietary Information of Employer. Employer promises to give Participant “trade secrets” and confidential information during the course of Participant’s employment. In return, Participant agrees not to use or disclose Employer’s “trade secrets” or confidential information after Participant’s Separation from Service. If Participant, directly or indirectly, makes known, discloses, furnishes or utilizes any of the “trade secrets” or confidential information of the Employer other than in the proper performance of Participant’s duties or as required by a court of competent jurisdiction or other administrative or legislative body, provided that, prior to disclosing any of the confidential information to a court or other administrative or legislative body, Participant shall promptly notify the Employer so it may seek a protective order or other appropriate remedy, Participant’s Benefit is forfeited. “Trade Secret” shall mean any devices, secret inventions, processes and compilations of information and records owned by Employer and regularly used in the operation of the business of the Employer. Participant acknowledges direct and indirect disclosure of any such confidential information to existing or potential competitors of Employer would place Employer at a competitive disadvantage and would do damage, monetary or otherwise, to Employer. Participant agrees to return all confidential information, including all photocopies, extracts and summaries thereof, and any such information stored electronically on tapes, computer disks or in any other manner to the Employer at any time upon request by the Employer and upon Separation from Service.</w:t>
      </w:r>
    </w:p>
    <w:p>
      <w:pPr>
        <w:spacing w:after="0" w:line="225" w:lineRule="exact"/>
        <w:rPr>
          <w:rFonts w:ascii="Arial" w:cs="Arial" w:eastAsia="Arial" w:hAnsi="Arial"/>
          <w:sz w:val="18"/>
          <w:szCs w:val="18"/>
          <w:color w:val="auto"/>
        </w:rPr>
      </w:pPr>
    </w:p>
    <w:p>
      <w:pPr>
        <w:jc w:val="both"/>
        <w:ind w:left="760" w:hanging="655"/>
        <w:spacing w:after="0" w:line="270" w:lineRule="auto"/>
        <w:tabs>
          <w:tab w:leader="none" w:pos="76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Non-Competition. Ancillary to the agreements in (iii), Participant agrees not to engage in “Competition” with the Employer in any county where the Employer maintains a branch office from the Effective Date until the second anniversary following the earliest payment event to occur under Article IV of the Adoption Agreement (the Non-Competition Period). If Participant engages in “Competition” with the Employer in any county where the Employer maintains a branch office during the Non-Competition Period, Participant’s Benefit is forfeited. “Competition” shall mean the Participant’s engaging in, or directly or indirectly being employed by or acting as a consultant or lender to, or being a director, officer, employee, principal, licensor, trustee, broker, agent, stockholder, member, owner, joint venturer or partner of, or permitting his name to be used in connection with the activities of any other business or organization which is engaged in the same business as the business of the Employer. It shall not be a violation of the Non-Competition clause for Participant to:</w:t>
      </w:r>
    </w:p>
    <w:p>
      <w:pPr>
        <w:spacing w:after="0" w:line="393"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321" w:name="page322"/>
    <w:bookmarkEnd w:id="321"/>
    <w:p>
      <w:pPr>
        <w:jc w:val="right"/>
        <w:spacing w:after="0"/>
        <w:rPr>
          <w:sz w:val="20"/>
          <w:szCs w:val="20"/>
          <w:color w:val="auto"/>
        </w:rPr>
      </w:pPr>
      <w:r>
        <w:rPr>
          <w:rFonts w:ascii="Arial" w:cs="Arial" w:eastAsia="Arial" w:hAnsi="Arial"/>
          <w:sz w:val="18"/>
          <w:szCs w:val="18"/>
          <w:color w:val="auto"/>
        </w:rPr>
        <w:t>Nonqualified Deferred Compensation Plan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Adoption Agreement</w:t>
      </w:r>
    </w:p>
    <w:p>
      <w:pPr>
        <w:spacing w:after="0" w:line="170" w:lineRule="exact"/>
        <w:rPr>
          <w:sz w:val="20"/>
          <w:szCs w:val="20"/>
          <w:color w:val="auto"/>
        </w:rPr>
      </w:pPr>
    </w:p>
    <w:p>
      <w:pPr>
        <w:ind w:left="1400" w:hanging="647"/>
        <w:spacing w:after="0" w:line="277" w:lineRule="auto"/>
        <w:tabs>
          <w:tab w:leader="none" w:pos="140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become the registered or beneficial owner of less than five percent (5%) of any class of capital stock of a competing corporation registered under the Securities Exchange Act of 1934, as amended; or</w:t>
      </w:r>
    </w:p>
    <w:p>
      <w:pPr>
        <w:spacing w:after="0" w:line="197" w:lineRule="exact"/>
        <w:rPr>
          <w:rFonts w:ascii="Arial" w:cs="Arial" w:eastAsia="Arial" w:hAnsi="Arial"/>
          <w:sz w:val="18"/>
          <w:szCs w:val="18"/>
          <w:color w:val="auto"/>
        </w:rPr>
      </w:pPr>
    </w:p>
    <w:p>
      <w:pPr>
        <w:jc w:val="both"/>
        <w:ind w:left="1400" w:hanging="647"/>
        <w:spacing w:after="0" w:line="264" w:lineRule="auto"/>
        <w:tabs>
          <w:tab w:leader="none" w:pos="140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be employed by an entity which engages in the same business as the business of the Employer so long as Participant does not directly perform services for or work within a division or business unit of such entity which engages in the business of the Employer.</w:t>
      </w:r>
    </w:p>
    <w:p>
      <w:pPr>
        <w:spacing w:after="0" w:line="208" w:lineRule="exact"/>
        <w:rPr>
          <w:rFonts w:ascii="Arial" w:cs="Arial" w:eastAsia="Arial" w:hAnsi="Arial"/>
          <w:sz w:val="18"/>
          <w:szCs w:val="18"/>
          <w:color w:val="auto"/>
        </w:rPr>
      </w:pPr>
    </w:p>
    <w:p>
      <w:pPr>
        <w:ind w:left="760" w:hanging="655"/>
        <w:spacing w:after="0" w:line="277" w:lineRule="auto"/>
        <w:tabs>
          <w:tab w:leader="none" w:pos="7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Solicitation of Employer’s Customers. During the Non-Competition Period, if the Participant does any of the following, directly or indirectly, Participant’s Benefit is forfeited:</w:t>
      </w:r>
    </w:p>
    <w:p>
      <w:pPr>
        <w:spacing w:after="0" w:line="197" w:lineRule="exact"/>
        <w:rPr>
          <w:rFonts w:ascii="Arial" w:cs="Arial" w:eastAsia="Arial" w:hAnsi="Arial"/>
          <w:sz w:val="18"/>
          <w:szCs w:val="18"/>
          <w:color w:val="auto"/>
        </w:rPr>
      </w:pPr>
    </w:p>
    <w:p>
      <w:pPr>
        <w:ind w:left="1400" w:right="20" w:hanging="647"/>
        <w:spacing w:after="0" w:line="277" w:lineRule="auto"/>
        <w:tabs>
          <w:tab w:leader="none" w:pos="140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solicit from any of Employer’s customers business of the same or similar nature to the business between Employer and customer;</w:t>
      </w:r>
    </w:p>
    <w:p>
      <w:pPr>
        <w:spacing w:after="0" w:line="197" w:lineRule="exact"/>
        <w:rPr>
          <w:rFonts w:ascii="Arial" w:cs="Arial" w:eastAsia="Arial" w:hAnsi="Arial"/>
          <w:sz w:val="18"/>
          <w:szCs w:val="18"/>
          <w:color w:val="auto"/>
        </w:rPr>
      </w:pPr>
    </w:p>
    <w:p>
      <w:pPr>
        <w:ind w:left="1400" w:hanging="647"/>
        <w:spacing w:after="0"/>
        <w:tabs>
          <w:tab w:leader="none" w:pos="1400" w:val="left"/>
        </w:tabs>
        <w:numPr>
          <w:ilvl w:val="1"/>
          <w:numId w:val="256"/>
        </w:numPr>
        <w:rPr>
          <w:rFonts w:ascii="Arial" w:cs="Arial" w:eastAsia="Arial" w:hAnsi="Arial"/>
          <w:sz w:val="17"/>
          <w:szCs w:val="17"/>
          <w:color w:val="auto"/>
        </w:rPr>
      </w:pPr>
      <w:r>
        <w:rPr>
          <w:rFonts w:ascii="Arial" w:cs="Arial" w:eastAsia="Arial" w:hAnsi="Arial"/>
          <w:sz w:val="17"/>
          <w:szCs w:val="17"/>
          <w:color w:val="auto"/>
        </w:rPr>
        <w:t>solicit the employment or services of any person who at the time is employed by or a consultant to the Employer; or</w:t>
      </w:r>
    </w:p>
    <w:p>
      <w:pPr>
        <w:spacing w:after="0" w:line="263" w:lineRule="exact"/>
        <w:rPr>
          <w:rFonts w:ascii="Arial" w:cs="Arial" w:eastAsia="Arial" w:hAnsi="Arial"/>
          <w:sz w:val="17"/>
          <w:szCs w:val="17"/>
          <w:color w:val="auto"/>
        </w:rPr>
      </w:pPr>
    </w:p>
    <w:p>
      <w:pPr>
        <w:ind w:left="1400" w:hanging="647"/>
        <w:spacing w:after="0" w:line="277" w:lineRule="auto"/>
        <w:tabs>
          <w:tab w:leader="none" w:pos="140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make any statements or comments of a defamatory or disparaging nature to third parties regarding Employer or its officers, directors, personnel, product, or services.</w:t>
      </w:r>
    </w:p>
    <w:p>
      <w:pPr>
        <w:spacing w:after="0" w:line="197" w:lineRule="exact"/>
        <w:rPr>
          <w:rFonts w:ascii="Arial" w:cs="Arial" w:eastAsia="Arial" w:hAnsi="Arial"/>
          <w:sz w:val="18"/>
          <w:szCs w:val="18"/>
          <w:color w:val="auto"/>
        </w:rPr>
      </w:pPr>
    </w:p>
    <w:p>
      <w:pPr>
        <w:ind w:left="760" w:hanging="655"/>
        <w:spacing w:after="0"/>
        <w:tabs>
          <w:tab w:leader="none" w:pos="7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Forfeiture.</w:t>
      </w:r>
    </w:p>
    <w:p>
      <w:pPr>
        <w:spacing w:after="0" w:line="252" w:lineRule="exact"/>
        <w:rPr>
          <w:rFonts w:ascii="Arial" w:cs="Arial" w:eastAsia="Arial" w:hAnsi="Arial"/>
          <w:sz w:val="18"/>
          <w:szCs w:val="18"/>
          <w:color w:val="auto"/>
        </w:rPr>
      </w:pPr>
    </w:p>
    <w:p>
      <w:pPr>
        <w:jc w:val="both"/>
        <w:ind w:left="1400" w:hanging="647"/>
        <w:spacing w:after="0" w:line="302" w:lineRule="auto"/>
        <w:tabs>
          <w:tab w:leader="none" w:pos="1400" w:val="left"/>
        </w:tabs>
        <w:numPr>
          <w:ilvl w:val="1"/>
          <w:numId w:val="256"/>
        </w:numPr>
        <w:rPr>
          <w:rFonts w:ascii="Arial" w:cs="Arial" w:eastAsia="Arial" w:hAnsi="Arial"/>
          <w:sz w:val="16"/>
          <w:szCs w:val="16"/>
          <w:color w:val="auto"/>
        </w:rPr>
      </w:pPr>
      <w:r>
        <w:rPr>
          <w:rFonts w:ascii="Arial" w:cs="Arial" w:eastAsia="Arial" w:hAnsi="Arial"/>
          <w:sz w:val="16"/>
          <w:szCs w:val="16"/>
          <w:color w:val="auto"/>
        </w:rPr>
        <w:t>Forfeiture. If at any time it is determined in the sole judgment of the Employer the Participant has engaged in any provision of Section 3.01(c)(iii), (iv), or (v) of the Adoption Agreement, the Participant’s Benefits shall be forfeited and the Participant shall repay to the Employer any and all Benefits already received, including Benefits paid as a lump sum, without prejudice to the Employer’s right to pursue other equitable and legal remedies for enforcement and recovery.</w:t>
      </w:r>
    </w:p>
    <w:p>
      <w:pPr>
        <w:spacing w:after="0" w:line="181" w:lineRule="exact"/>
        <w:rPr>
          <w:rFonts w:ascii="Arial" w:cs="Arial" w:eastAsia="Arial" w:hAnsi="Arial"/>
          <w:sz w:val="16"/>
          <w:szCs w:val="16"/>
          <w:color w:val="auto"/>
        </w:rPr>
      </w:pPr>
    </w:p>
    <w:p>
      <w:pPr>
        <w:jc w:val="both"/>
        <w:ind w:left="1400" w:hanging="647"/>
        <w:spacing w:after="0" w:line="297" w:lineRule="auto"/>
        <w:tabs>
          <w:tab w:leader="none" w:pos="1400" w:val="left"/>
        </w:tabs>
        <w:numPr>
          <w:ilvl w:val="1"/>
          <w:numId w:val="256"/>
        </w:numPr>
        <w:rPr>
          <w:rFonts w:ascii="Arial" w:cs="Arial" w:eastAsia="Arial" w:hAnsi="Arial"/>
          <w:sz w:val="16"/>
          <w:szCs w:val="16"/>
          <w:color w:val="auto"/>
        </w:rPr>
      </w:pPr>
      <w:r>
        <w:rPr>
          <w:rFonts w:ascii="Arial" w:cs="Arial" w:eastAsia="Arial" w:hAnsi="Arial"/>
          <w:sz w:val="16"/>
          <w:szCs w:val="16"/>
          <w:color w:val="auto"/>
        </w:rPr>
        <w:t>Other Relief. A material breach by Participant of any of the provisions of Section 3.01(c)(iii), (iv), or (v) of the Adoption Agreement will cause the Employer irreparable injury and would not be reasonably or adequately compensated for by damages in an action at law. Participant therefore agrees the Employer shall be entitled, in addition to any other right or remedy, to a temporary, preliminary and permanent injunction without the necessity of proving the inadequacy of monetary damages or the posting of any bond or security, enjoining or restraining Participant from any such violation.</w:t>
      </w:r>
    </w:p>
    <w:p>
      <w:pPr>
        <w:spacing w:after="0" w:line="185" w:lineRule="exact"/>
        <w:rPr>
          <w:rFonts w:ascii="Arial" w:cs="Arial" w:eastAsia="Arial" w:hAnsi="Arial"/>
          <w:sz w:val="16"/>
          <w:szCs w:val="16"/>
          <w:color w:val="auto"/>
        </w:rPr>
      </w:pPr>
    </w:p>
    <w:p>
      <w:pPr>
        <w:jc w:val="both"/>
        <w:ind w:left="1400" w:hanging="647"/>
        <w:spacing w:after="0" w:line="302" w:lineRule="auto"/>
        <w:tabs>
          <w:tab w:leader="none" w:pos="1400" w:val="left"/>
        </w:tabs>
        <w:numPr>
          <w:ilvl w:val="1"/>
          <w:numId w:val="256"/>
        </w:numPr>
        <w:rPr>
          <w:rFonts w:ascii="Arial" w:cs="Arial" w:eastAsia="Arial" w:hAnsi="Arial"/>
          <w:sz w:val="16"/>
          <w:szCs w:val="16"/>
          <w:color w:val="auto"/>
        </w:rPr>
      </w:pPr>
      <w:r>
        <w:rPr>
          <w:rFonts w:ascii="Arial" w:cs="Arial" w:eastAsia="Arial" w:hAnsi="Arial"/>
          <w:sz w:val="16"/>
          <w:szCs w:val="16"/>
          <w:color w:val="auto"/>
        </w:rPr>
        <w:t>Construction. It is the intent of the Participant and Employer that if, in the opinion of any court of competent jurisdiction or arbitrator, any provision set forth in the Plan is not reasonable in any respect, or any provision should be deemed to exceed the time, geographic or occupational limits permitted by applicable law, such court or arbitrator shall have the right, power and authority to modify any and all such provisions and to enforce the remainder of the Plan as so modified.</w:t>
      </w:r>
    </w:p>
    <w:p>
      <w:pPr>
        <w:spacing w:after="0" w:line="366"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322" w:name="page323"/>
    <w:bookmarkEnd w:id="322"/>
    <w:p>
      <w:pPr>
        <w:jc w:val="right"/>
        <w:spacing w:after="0"/>
        <w:rPr>
          <w:sz w:val="20"/>
          <w:szCs w:val="20"/>
          <w:color w:val="auto"/>
        </w:rPr>
      </w:pPr>
      <w:r>
        <w:rPr>
          <w:rFonts w:ascii="Arial" w:cs="Arial" w:eastAsia="Arial" w:hAnsi="Arial"/>
          <w:sz w:val="18"/>
          <w:szCs w:val="18"/>
          <w:color w:val="auto"/>
        </w:rPr>
        <w:t>Nonqualified Deferred Compensation Plan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Adoption Agreement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Note: An Employer may elect both a vesting schedule and an additional Substantial Risk of Forfeiture. In such event, a Participant failing to satisfy the conditions resulting in a Substantial Risk of Forfeiture will forfeit his/her Benefit, even if 100% Vested under any vesting schedule.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3.02 </w:t>
      </w:r>
      <w:r>
        <w:rPr>
          <w:rFonts w:ascii="Arial" w:cs="Arial" w:eastAsia="Arial" w:hAnsi="Arial"/>
          <w:sz w:val="16"/>
          <w:szCs w:val="16"/>
          <w:b w:val="1"/>
          <w:bCs w:val="1"/>
          <w:color w:val="auto"/>
        </w:rPr>
        <w:t>Immediate Vesting upon Specified Events.</w:t>
      </w:r>
      <w:r>
        <w:rPr>
          <w:rFonts w:ascii="Arial" w:cs="Arial" w:eastAsia="Arial" w:hAnsi="Arial"/>
          <w:sz w:val="16"/>
          <w:szCs w:val="16"/>
          <w:color w:val="auto"/>
        </w:rPr>
        <w:t xml:space="preserve"> A Participant’s applicable Benefit is 100% Vested without regard to Years of Service as follows: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(choose (a) or choose one or more of (b) — (e)):</w:t>
      </w:r>
    </w:p>
    <w:p>
      <w:pPr>
        <w:spacing w:after="0" w:line="234" w:lineRule="exact"/>
        <w:rPr>
          <w:sz w:val="20"/>
          <w:szCs w:val="20"/>
          <w:color w:val="auto"/>
        </w:rPr>
      </w:pPr>
    </w:p>
    <w:p>
      <w:pPr>
        <w:ind w:left="660" w:hanging="652"/>
        <w:spacing w:after="0"/>
        <w:tabs>
          <w:tab w:leader="none" w:pos="660" w:val="left"/>
        </w:tabs>
        <w:numPr>
          <w:ilvl w:val="0"/>
          <w:numId w:val="257"/>
        </w:numPr>
        <w:rPr>
          <w:rFonts w:ascii="MS PGothic" w:cs="MS PGothic" w:eastAsia="MS PGothic" w:hAnsi="MS PGothic"/>
          <w:sz w:val="18"/>
          <w:szCs w:val="18"/>
          <w:color w:val="auto"/>
          <w:highlight w:val="black"/>
        </w:rPr>
      </w:pPr>
      <w:r>
        <w:rPr>
          <w:rFonts w:ascii="Arial" w:cs="Arial" w:eastAsia="Arial" w:hAnsi="Arial"/>
          <w:sz w:val="18"/>
          <w:szCs w:val="18"/>
          <w:color w:val="auto"/>
        </w:rPr>
        <w:t>(a)</w:t>
      </w:r>
      <w:r>
        <w:rPr>
          <w:rFonts w:ascii="Arial" w:cs="Arial" w:eastAsia="Arial" w:hAnsi="Arial"/>
          <w:sz w:val="16"/>
          <w:szCs w:val="16"/>
          <w:b w:val="1"/>
          <w:bCs w:val="1"/>
          <w:color w:val="auto"/>
        </w:rPr>
        <w:t>Not Applicable.</w:t>
      </w:r>
    </w:p>
    <w:p>
      <w:pPr>
        <w:spacing w:after="0" w:line="252" w:lineRule="exact"/>
        <w:rPr>
          <w:rFonts w:ascii="MS PGothic" w:cs="MS PGothic" w:eastAsia="MS PGothic" w:hAnsi="MS PGothic"/>
          <w:sz w:val="18"/>
          <w:szCs w:val="18"/>
          <w:color w:val="auto"/>
          <w:highlight w:val="black"/>
        </w:rPr>
      </w:pPr>
    </w:p>
    <w:p>
      <w:pPr>
        <w:ind w:left="660" w:hanging="652"/>
        <w:spacing w:after="0"/>
        <w:tabs>
          <w:tab w:leader="none" w:pos="660" w:val="left"/>
        </w:tabs>
        <w:numPr>
          <w:ilvl w:val="0"/>
          <w:numId w:val="257"/>
        </w:numPr>
        <w:rPr>
          <w:rFonts w:ascii="MS PGothic" w:cs="MS PGothic" w:eastAsia="MS PGothic" w:hAnsi="MS PGothic"/>
          <w:sz w:val="18"/>
          <w:szCs w:val="18"/>
          <w:color w:val="auto"/>
          <w:highlight w:val="black"/>
        </w:rPr>
      </w:pPr>
      <w:r>
        <w:rPr>
          <w:rFonts w:ascii="Arial" w:cs="Arial" w:eastAsia="Arial" w:hAnsi="Arial"/>
          <w:sz w:val="18"/>
          <w:szCs w:val="18"/>
          <w:color w:val="auto"/>
        </w:rPr>
        <w:t>(b)</w:t>
      </w:r>
      <w:r>
        <w:rPr>
          <w:rFonts w:ascii="Arial" w:cs="Arial" w:eastAsia="Arial" w:hAnsi="Arial"/>
          <w:sz w:val="16"/>
          <w:szCs w:val="16"/>
          <w:b w:val="1"/>
          <w:bCs w:val="1"/>
          <w:color w:val="auto"/>
        </w:rPr>
        <w:t xml:space="preserve">Retirement Age. </w:t>
      </w:r>
      <w:r>
        <w:rPr>
          <w:rFonts w:ascii="Arial" w:cs="Arial" w:eastAsia="Arial" w:hAnsi="Arial"/>
          <w:sz w:val="16"/>
          <w:szCs w:val="16"/>
          <w:color w:val="auto"/>
        </w:rPr>
        <w:t>Upon the date the Participant attains Normal Retirement Age.</w:t>
      </w:r>
    </w:p>
    <w:p>
      <w:pPr>
        <w:spacing w:after="0" w:line="252" w:lineRule="exact"/>
        <w:rPr>
          <w:rFonts w:ascii="MS PGothic" w:cs="MS PGothic" w:eastAsia="MS PGothic" w:hAnsi="MS PGothic"/>
          <w:sz w:val="18"/>
          <w:szCs w:val="18"/>
          <w:color w:val="auto"/>
          <w:highlight w:val="black"/>
        </w:rPr>
      </w:pPr>
    </w:p>
    <w:p>
      <w:pPr>
        <w:ind w:left="660" w:hanging="652"/>
        <w:spacing w:after="0"/>
        <w:tabs>
          <w:tab w:leader="none" w:pos="660" w:val="left"/>
        </w:tabs>
        <w:numPr>
          <w:ilvl w:val="0"/>
          <w:numId w:val="257"/>
        </w:numPr>
        <w:rPr>
          <w:rFonts w:ascii="MS PGothic" w:cs="MS PGothic" w:eastAsia="MS PGothic" w:hAnsi="MS PGothic"/>
          <w:sz w:val="18"/>
          <w:szCs w:val="18"/>
          <w:color w:val="auto"/>
          <w:highlight w:val="black"/>
        </w:rPr>
      </w:pPr>
      <w:r>
        <w:rPr>
          <w:rFonts w:ascii="Arial" w:cs="Arial" w:eastAsia="Arial" w:hAnsi="Arial"/>
          <w:sz w:val="18"/>
          <w:szCs w:val="18"/>
          <w:color w:val="auto"/>
        </w:rPr>
        <w:t>(c)</w:t>
      </w:r>
      <w:r>
        <w:rPr>
          <w:rFonts w:ascii="Arial" w:cs="Arial" w:eastAsia="Arial" w:hAnsi="Arial"/>
          <w:sz w:val="16"/>
          <w:szCs w:val="16"/>
          <w:b w:val="1"/>
          <w:bCs w:val="1"/>
          <w:color w:val="auto"/>
        </w:rPr>
        <w:t xml:space="preserve">Death. </w:t>
      </w:r>
      <w:r>
        <w:rPr>
          <w:rFonts w:ascii="Arial" w:cs="Arial" w:eastAsia="Arial" w:hAnsi="Arial"/>
          <w:sz w:val="16"/>
          <w:szCs w:val="16"/>
          <w:color w:val="auto"/>
        </w:rPr>
        <w:t>Upon the Participant’s date of death.</w:t>
      </w:r>
    </w:p>
    <w:p>
      <w:pPr>
        <w:spacing w:after="0" w:line="252" w:lineRule="exact"/>
        <w:rPr>
          <w:sz w:val="20"/>
          <w:szCs w:val="20"/>
          <w:color w:val="auto"/>
        </w:rPr>
      </w:pPr>
    </w:p>
    <w:p>
      <w:pPr>
        <w:ind w:left="660" w:hanging="652"/>
        <w:spacing w:after="0"/>
        <w:tabs>
          <w:tab w:leader="none" w:pos="660" w:val="left"/>
        </w:tabs>
        <w:numPr>
          <w:ilvl w:val="0"/>
          <w:numId w:val="258"/>
        </w:numPr>
        <w:rPr>
          <w:rFonts w:ascii="MS PGothic" w:cs="MS PGothic" w:eastAsia="MS PGothic" w:hAnsi="MS PGothic"/>
          <w:sz w:val="18"/>
          <w:szCs w:val="18"/>
          <w:color w:val="auto"/>
        </w:rPr>
      </w:pPr>
      <w:r>
        <w:rPr>
          <w:rFonts w:ascii="Arial" w:cs="Arial" w:eastAsia="Arial" w:hAnsi="Arial"/>
          <w:sz w:val="18"/>
          <w:szCs w:val="18"/>
          <w:color w:val="auto"/>
        </w:rPr>
        <w:t>(d)</w:t>
      </w:r>
      <w:r>
        <w:rPr>
          <w:rFonts w:ascii="Arial" w:cs="Arial" w:eastAsia="Arial" w:hAnsi="Arial"/>
          <w:sz w:val="16"/>
          <w:szCs w:val="16"/>
          <w:b w:val="1"/>
          <w:bCs w:val="1"/>
          <w:color w:val="auto"/>
        </w:rPr>
        <w:t xml:space="preserve">Disability. </w:t>
      </w:r>
      <w:r>
        <w:rPr>
          <w:rFonts w:ascii="Arial" w:cs="Arial" w:eastAsia="Arial" w:hAnsi="Arial"/>
          <w:sz w:val="16"/>
          <w:szCs w:val="16"/>
          <w:color w:val="auto"/>
        </w:rPr>
        <w:t>Upon a determination of Participant’s Disability prior to the Participant’s Separation from Service.</w:t>
      </w:r>
    </w:p>
    <w:p>
      <w:pPr>
        <w:spacing w:after="0" w:line="256" w:lineRule="exact"/>
        <w:rPr>
          <w:rFonts w:ascii="MS PGothic" w:cs="MS PGothic" w:eastAsia="MS PGothic" w:hAnsi="MS PGothic"/>
          <w:sz w:val="18"/>
          <w:szCs w:val="18"/>
          <w:color w:val="auto"/>
        </w:rPr>
      </w:pPr>
    </w:p>
    <w:p>
      <w:pPr>
        <w:ind w:left="660" w:hanging="652"/>
        <w:spacing w:after="0"/>
        <w:tabs>
          <w:tab w:leader="none" w:pos="660" w:val="left"/>
        </w:tabs>
        <w:numPr>
          <w:ilvl w:val="0"/>
          <w:numId w:val="258"/>
        </w:numPr>
        <w:rPr>
          <w:rFonts w:ascii="MS PGothic" w:cs="MS PGothic" w:eastAsia="MS PGothic" w:hAnsi="MS PGothic"/>
          <w:sz w:val="18"/>
          <w:szCs w:val="18"/>
          <w:color w:val="auto"/>
        </w:rPr>
      </w:pPr>
      <w:r>
        <w:rPr>
          <w:rFonts w:ascii="Arial" w:cs="Arial" w:eastAsia="Arial" w:hAnsi="Arial"/>
          <w:sz w:val="18"/>
          <w:szCs w:val="18"/>
          <w:color w:val="auto"/>
        </w:rPr>
        <w:t>(e)</w:t>
      </w:r>
      <w:r>
        <w:rPr>
          <w:rFonts w:ascii="Arial" w:cs="Arial" w:eastAsia="Arial" w:hAnsi="Arial"/>
          <w:sz w:val="16"/>
          <w:szCs w:val="16"/>
          <w:color w:val="auto"/>
        </w:rPr>
        <w:t>(</w:t>
      </w:r>
      <w:r>
        <w:rPr>
          <w:rFonts w:ascii="Arial" w:cs="Arial" w:eastAsia="Arial" w:hAnsi="Arial"/>
          <w:sz w:val="16"/>
          <w:szCs w:val="16"/>
          <w:i w:val="1"/>
          <w:iCs w:val="1"/>
          <w:color w:val="auto"/>
        </w:rPr>
        <w:t>Specify</w:t>
      </w:r>
      <w:r>
        <w:rPr>
          <w:rFonts w:ascii="Arial" w:cs="Arial" w:eastAsia="Arial" w:hAnsi="Arial"/>
          <w:sz w:val="16"/>
          <w:szCs w:val="16"/>
          <w:color w:val="auto"/>
        </w:rPr>
        <w:t xml:space="preserve">): </w:t>
      </w:r>
      <w:r>
        <w:rPr>
          <w:rFonts w:ascii="Arial" w:cs="Arial" w:eastAsia="Arial" w:hAnsi="Arial"/>
          <w:sz w:val="16"/>
          <w:szCs w:val="16"/>
          <w:u w:val="single" w:color="auto"/>
          <w:color w:val="auto"/>
        </w:rPr>
        <w:t>Upon a Change in Control prior to the Participant’s Separation from Service</w:t>
      </w:r>
      <w:r>
        <w:rPr>
          <w:rFonts w:ascii="Arial" w:cs="Arial" w:eastAsia="Arial" w:hAnsi="Arial"/>
          <w:sz w:val="16"/>
          <w:szCs w:val="16"/>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An early vesting provision generally does not result in prohibited acceleration of benefits under Code §409A. See Section 4.02(C).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BENEFIT PAYMENTS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4.01 Participant’s Benefit shall be either (a), (b), or (c), based on the earliest payment event to occur:</w:t>
      </w:r>
    </w:p>
    <w:p>
      <w:pPr>
        <w:spacing w:after="0" w:line="248" w:lineRule="exact"/>
        <w:rPr>
          <w:sz w:val="20"/>
          <w:szCs w:val="20"/>
          <w:color w:val="auto"/>
        </w:rPr>
      </w:pPr>
    </w:p>
    <w:p>
      <w:pPr>
        <w:ind w:left="1320" w:hanging="1312"/>
        <w:spacing w:after="0" w:line="282" w:lineRule="auto"/>
        <w:tabs>
          <w:tab w:leader="none" w:pos="658" w:val="left"/>
        </w:tabs>
        <w:numPr>
          <w:ilvl w:val="0"/>
          <w:numId w:val="259"/>
        </w:numPr>
        <w:rPr>
          <w:rFonts w:ascii="MS PGothic" w:cs="MS PGothic" w:eastAsia="MS PGothic" w:hAnsi="MS PGothic"/>
          <w:sz w:val="18"/>
          <w:szCs w:val="18"/>
          <w:color w:val="auto"/>
        </w:rPr>
      </w:pPr>
      <w:r>
        <w:rPr>
          <w:rFonts w:ascii="Arial" w:cs="Arial" w:eastAsia="Arial" w:hAnsi="Arial"/>
          <w:sz w:val="18"/>
          <w:szCs w:val="18"/>
          <w:color w:val="auto"/>
        </w:rPr>
        <w:t>(a)</w:t>
      </w:r>
      <w:r>
        <w:rPr>
          <w:rFonts w:ascii="Arial" w:cs="Arial" w:eastAsia="Arial" w:hAnsi="Arial"/>
          <w:sz w:val="18"/>
          <w:szCs w:val="18"/>
          <w:b w:val="1"/>
          <w:bCs w:val="1"/>
          <w:color w:val="auto"/>
        </w:rPr>
        <w:t xml:space="preserve">Retirement Benefit. </w:t>
      </w:r>
      <w:r>
        <w:rPr>
          <w:rFonts w:ascii="Arial" w:cs="Arial" w:eastAsia="Arial" w:hAnsi="Arial"/>
          <w:sz w:val="18"/>
          <w:szCs w:val="18"/>
          <w:color w:val="auto"/>
        </w:rPr>
        <w:t>If the Participant has not Separated from Service with Employer and has attained Normal Retirement Age,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 shall pay to Participant:</w:t>
      </w:r>
    </w:p>
    <w:p>
      <w:pPr>
        <w:spacing w:after="0" w:line="192" w:lineRule="exact"/>
        <w:rPr>
          <w:rFonts w:ascii="MS PGothic" w:cs="MS PGothic" w:eastAsia="MS PGothic" w:hAnsi="MS PGothic"/>
          <w:sz w:val="18"/>
          <w:szCs w:val="18"/>
          <w:color w:val="auto"/>
        </w:rPr>
      </w:pPr>
    </w:p>
    <w:p>
      <w:pPr>
        <w:ind w:left="1960" w:hanging="655"/>
        <w:spacing w:after="0"/>
        <w:tabs>
          <w:tab w:leader="none" w:pos="196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Annual payments each in the amount of $118,070,</w:t>
      </w:r>
    </w:p>
    <w:p>
      <w:pPr>
        <w:spacing w:after="0" w:line="252"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Commencing upon the first day of the second month following Participant’s attainment of Normal Retirement Age and thereafter annually on each successive anniversary of the first payment date.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3" w:name="page324"/>
    <w:bookmarkEnd w:id="323"/>
    <w:p>
      <w:pPr>
        <w:jc w:val="right"/>
        <w:spacing w:after="0"/>
        <w:rPr>
          <w:sz w:val="20"/>
          <w:szCs w:val="20"/>
          <w:color w:val="auto"/>
        </w:rPr>
      </w:pPr>
      <w:r>
        <w:rPr>
          <w:rFonts w:ascii="Arial" w:cs="Arial" w:eastAsia="Arial" w:hAnsi="Arial"/>
          <w:sz w:val="18"/>
          <w:szCs w:val="18"/>
          <w:color w:val="auto"/>
        </w:rPr>
        <w:t>Nonqualified Deferred Compensation Plan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Adoption Agreement</w:t>
      </w:r>
    </w:p>
    <w:p>
      <w:pPr>
        <w:spacing w:after="0" w:line="170" w:lineRule="exact"/>
        <w:rPr>
          <w:sz w:val="20"/>
          <w:szCs w:val="20"/>
          <w:color w:val="auto"/>
        </w:rPr>
      </w:pPr>
    </w:p>
    <w:p>
      <w:pPr>
        <w:ind w:left="1960" w:hanging="655"/>
        <w:spacing w:after="0" w:line="277" w:lineRule="auto"/>
        <w:tabs>
          <w:tab w:leader="none" w:pos="196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At Participant’s death after payments have begun, the Plan shall terminate and all benefits shall cease and be forfeited, including any future benefits or vested benefits.</w:t>
      </w:r>
    </w:p>
    <w:p>
      <w:pPr>
        <w:spacing w:after="0" w:line="193" w:lineRule="exact"/>
        <w:rPr>
          <w:rFonts w:ascii="Arial" w:cs="Arial" w:eastAsia="Arial" w:hAnsi="Arial"/>
          <w:sz w:val="18"/>
          <w:szCs w:val="18"/>
          <w:color w:val="auto"/>
        </w:rPr>
      </w:pPr>
    </w:p>
    <w:p>
      <w:pPr>
        <w:ind w:left="1300" w:hanging="1292"/>
        <w:spacing w:after="0"/>
        <w:tabs>
          <w:tab w:leader="none" w:pos="1300" w:val="left"/>
        </w:tabs>
        <w:numPr>
          <w:ilvl w:val="0"/>
          <w:numId w:val="260"/>
        </w:numPr>
        <w:rPr>
          <w:rFonts w:ascii="MS PGothic" w:cs="MS PGothic" w:eastAsia="MS PGothic" w:hAnsi="MS PGothic"/>
          <w:sz w:val="18"/>
          <w:szCs w:val="18"/>
          <w:color w:val="auto"/>
          <w:highlight w:val="black"/>
        </w:rPr>
      </w:pPr>
      <w:r>
        <w:rPr>
          <w:rFonts w:ascii="Arial" w:cs="Arial" w:eastAsia="Arial" w:hAnsi="Arial"/>
          <w:sz w:val="18"/>
          <w:szCs w:val="18"/>
          <w:color w:val="auto"/>
        </w:rPr>
        <w:t>(b)</w:t>
      </w:r>
      <w:r>
        <w:rPr>
          <w:rFonts w:ascii="Arial" w:cs="Arial" w:eastAsia="Arial" w:hAnsi="Arial"/>
          <w:sz w:val="16"/>
          <w:szCs w:val="16"/>
          <w:b w:val="1"/>
          <w:bCs w:val="1"/>
          <w:color w:val="auto"/>
        </w:rPr>
        <w:t>Separation from Service Benefit.</w:t>
      </w:r>
    </w:p>
    <w:p>
      <w:pPr>
        <w:spacing w:after="0" w:line="256" w:lineRule="exact"/>
        <w:rPr>
          <w:rFonts w:ascii="MS PGothic" w:cs="MS PGothic" w:eastAsia="MS PGothic" w:hAnsi="MS PGothic"/>
          <w:sz w:val="18"/>
          <w:szCs w:val="18"/>
          <w:color w:val="auto"/>
          <w:highlight w:val="black"/>
        </w:rPr>
      </w:pPr>
    </w:p>
    <w:p>
      <w:pPr>
        <w:ind w:left="1960" w:hanging="655"/>
        <w:spacing w:after="0" w:line="277" w:lineRule="auto"/>
        <w:tabs>
          <w:tab w:leader="none" w:pos="196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Except as provided in (ii), if the Participant Separates from Service with the Employer for any reason other than death, Disability, or Discharge for Cause prior to attaining Normal Retirement Age, Employer shall pay to Participant:</w:t>
      </w:r>
    </w:p>
    <w:p>
      <w:pPr>
        <w:spacing w:after="0" w:line="197" w:lineRule="exact"/>
        <w:rPr>
          <w:rFonts w:ascii="Arial" w:cs="Arial" w:eastAsia="Arial" w:hAnsi="Arial"/>
          <w:sz w:val="18"/>
          <w:szCs w:val="18"/>
          <w:color w:val="auto"/>
        </w:rPr>
      </w:pPr>
    </w:p>
    <w:p>
      <w:pPr>
        <w:jc w:val="both"/>
        <w:ind w:left="2600" w:right="20" w:hanging="647"/>
        <w:spacing w:after="0" w:line="264" w:lineRule="auto"/>
        <w:tabs>
          <w:tab w:leader="none" w:pos="2600" w:val="left"/>
        </w:tabs>
        <w:numPr>
          <w:ilvl w:val="2"/>
          <w:numId w:val="261"/>
        </w:numPr>
        <w:rPr>
          <w:rFonts w:ascii="Arial" w:cs="Arial" w:eastAsia="Arial" w:hAnsi="Arial"/>
          <w:sz w:val="18"/>
          <w:szCs w:val="18"/>
          <w:color w:val="auto"/>
        </w:rPr>
      </w:pPr>
      <w:r>
        <w:rPr>
          <w:rFonts w:ascii="Arial" w:cs="Arial" w:eastAsia="Arial" w:hAnsi="Arial"/>
          <w:sz w:val="18"/>
          <w:szCs w:val="18"/>
          <w:color w:val="auto"/>
        </w:rPr>
        <w:t>A lump sum amount equal to the Benefit Liability Balance as of the end of the year preceding the year in which the Participant Separated from Service multiplied by the Participant’s Vested Percentage, The schedule of the “Benefit Liability Balances” are set forth on Exhibit “A.”</w:t>
      </w:r>
    </w:p>
    <w:p>
      <w:pPr>
        <w:spacing w:after="0" w:line="208" w:lineRule="exact"/>
        <w:rPr>
          <w:rFonts w:ascii="Arial" w:cs="Arial" w:eastAsia="Arial" w:hAnsi="Arial"/>
          <w:sz w:val="18"/>
          <w:szCs w:val="18"/>
          <w:color w:val="auto"/>
        </w:rPr>
      </w:pPr>
    </w:p>
    <w:p>
      <w:pPr>
        <w:ind w:left="2600" w:hanging="647"/>
        <w:spacing w:after="0"/>
        <w:tabs>
          <w:tab w:leader="none" w:pos="2600" w:val="left"/>
        </w:tabs>
        <w:numPr>
          <w:ilvl w:val="2"/>
          <w:numId w:val="261"/>
        </w:numPr>
        <w:rPr>
          <w:rFonts w:ascii="Arial" w:cs="Arial" w:eastAsia="Arial" w:hAnsi="Arial"/>
          <w:sz w:val="17"/>
          <w:szCs w:val="17"/>
          <w:color w:val="auto"/>
        </w:rPr>
      </w:pPr>
      <w:r>
        <w:rPr>
          <w:rFonts w:ascii="Arial" w:cs="Arial" w:eastAsia="Arial" w:hAnsi="Arial"/>
          <w:sz w:val="17"/>
          <w:szCs w:val="17"/>
          <w:color w:val="auto"/>
        </w:rPr>
        <w:t>On the first day of the twenty-fourth month following the Participant’s Separation from Service from the Employer.</w:t>
      </w:r>
    </w:p>
    <w:p>
      <w:pPr>
        <w:spacing w:after="0" w:line="263" w:lineRule="exact"/>
        <w:rPr>
          <w:rFonts w:ascii="Arial" w:cs="Arial" w:eastAsia="Arial" w:hAnsi="Arial"/>
          <w:sz w:val="17"/>
          <w:szCs w:val="17"/>
          <w:color w:val="auto"/>
        </w:rPr>
      </w:pPr>
    </w:p>
    <w:p>
      <w:pPr>
        <w:ind w:left="2600" w:hanging="647"/>
        <w:spacing w:after="0" w:line="277" w:lineRule="auto"/>
        <w:tabs>
          <w:tab w:leader="none" w:pos="2600" w:val="left"/>
        </w:tabs>
        <w:numPr>
          <w:ilvl w:val="2"/>
          <w:numId w:val="261"/>
        </w:numPr>
        <w:rPr>
          <w:rFonts w:ascii="Arial" w:cs="Arial" w:eastAsia="Arial" w:hAnsi="Arial"/>
          <w:sz w:val="18"/>
          <w:szCs w:val="18"/>
          <w:color w:val="auto"/>
        </w:rPr>
      </w:pPr>
      <w:r>
        <w:rPr>
          <w:rFonts w:ascii="Arial" w:cs="Arial" w:eastAsia="Arial" w:hAnsi="Arial"/>
          <w:sz w:val="18"/>
          <w:szCs w:val="18"/>
          <w:color w:val="auto"/>
        </w:rPr>
        <w:t>If the Participant dies before the payment is made, the Plan shall terminate and all benefits shall cease and be forfeited, including any future benefits or vested benefits.</w:t>
      </w:r>
    </w:p>
    <w:p>
      <w:pPr>
        <w:spacing w:after="0" w:line="197"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If the Participant Separates from Service within two years after a Change of Control for any reason other than Discharge for Cause or Disability, the Employer shall pay to Participant:</w:t>
      </w:r>
    </w:p>
    <w:p>
      <w:pPr>
        <w:spacing w:after="0" w:line="197" w:lineRule="exact"/>
        <w:rPr>
          <w:rFonts w:ascii="Arial" w:cs="Arial" w:eastAsia="Arial" w:hAnsi="Arial"/>
          <w:sz w:val="18"/>
          <w:szCs w:val="18"/>
          <w:color w:val="auto"/>
        </w:rPr>
      </w:pPr>
    </w:p>
    <w:p>
      <w:pPr>
        <w:ind w:left="2600" w:hanging="647"/>
        <w:spacing w:after="0"/>
        <w:tabs>
          <w:tab w:leader="none" w:pos="2600" w:val="left"/>
        </w:tabs>
        <w:numPr>
          <w:ilvl w:val="2"/>
          <w:numId w:val="261"/>
        </w:numPr>
        <w:rPr>
          <w:rFonts w:ascii="Arial" w:cs="Arial" w:eastAsia="Arial" w:hAnsi="Arial"/>
          <w:sz w:val="18"/>
          <w:szCs w:val="18"/>
          <w:color w:val="auto"/>
        </w:rPr>
      </w:pPr>
      <w:r>
        <w:rPr>
          <w:rFonts w:ascii="Arial" w:cs="Arial" w:eastAsia="Arial" w:hAnsi="Arial"/>
          <w:sz w:val="18"/>
          <w:szCs w:val="18"/>
          <w:color w:val="auto"/>
        </w:rPr>
        <w:t>Annual payments each in the amount of $118,070,</w:t>
      </w:r>
    </w:p>
    <w:p>
      <w:pPr>
        <w:spacing w:after="0" w:line="252" w:lineRule="exact"/>
        <w:rPr>
          <w:rFonts w:ascii="Arial" w:cs="Arial" w:eastAsia="Arial" w:hAnsi="Arial"/>
          <w:sz w:val="18"/>
          <w:szCs w:val="18"/>
          <w:color w:val="auto"/>
        </w:rPr>
      </w:pPr>
    </w:p>
    <w:p>
      <w:pPr>
        <w:ind w:left="2600" w:hanging="647"/>
        <w:spacing w:after="0" w:line="277" w:lineRule="auto"/>
        <w:tabs>
          <w:tab w:leader="none" w:pos="2600" w:val="left"/>
        </w:tabs>
        <w:numPr>
          <w:ilvl w:val="2"/>
          <w:numId w:val="261"/>
        </w:numPr>
        <w:rPr>
          <w:rFonts w:ascii="Arial" w:cs="Arial" w:eastAsia="Arial" w:hAnsi="Arial"/>
          <w:sz w:val="18"/>
          <w:szCs w:val="18"/>
          <w:color w:val="auto"/>
        </w:rPr>
      </w:pPr>
      <w:r>
        <w:rPr>
          <w:rFonts w:ascii="Arial" w:cs="Arial" w:eastAsia="Arial" w:hAnsi="Arial"/>
          <w:sz w:val="18"/>
          <w:szCs w:val="18"/>
          <w:color w:val="auto"/>
        </w:rPr>
        <w:t>Commencing upon the first day of the second month following Participant’s attainment of Normal Retirement Age and thereafter annually on each successive anniversary of the first payment date,</w:t>
      </w:r>
    </w:p>
    <w:p>
      <w:pPr>
        <w:spacing w:after="0" w:line="197" w:lineRule="exact"/>
        <w:rPr>
          <w:rFonts w:ascii="Arial" w:cs="Arial" w:eastAsia="Arial" w:hAnsi="Arial"/>
          <w:sz w:val="18"/>
          <w:szCs w:val="18"/>
          <w:color w:val="auto"/>
        </w:rPr>
      </w:pPr>
    </w:p>
    <w:p>
      <w:pPr>
        <w:ind w:left="2600" w:hanging="647"/>
        <w:spacing w:after="0" w:line="277" w:lineRule="auto"/>
        <w:tabs>
          <w:tab w:leader="none" w:pos="2600" w:val="left"/>
        </w:tabs>
        <w:numPr>
          <w:ilvl w:val="2"/>
          <w:numId w:val="261"/>
        </w:numPr>
        <w:rPr>
          <w:rFonts w:ascii="Arial" w:cs="Arial" w:eastAsia="Arial" w:hAnsi="Arial"/>
          <w:sz w:val="18"/>
          <w:szCs w:val="18"/>
          <w:color w:val="auto"/>
        </w:rPr>
      </w:pPr>
      <w:r>
        <w:rPr>
          <w:rFonts w:ascii="Arial" w:cs="Arial" w:eastAsia="Arial" w:hAnsi="Arial"/>
          <w:sz w:val="18"/>
          <w:szCs w:val="18"/>
          <w:color w:val="auto"/>
        </w:rPr>
        <w:t>If the Participant dies before the payments begin or after payments have begun, the Plan shall terminate and all benefits shall cease and be forfeited, including any future benefits or vested benefits.</w:t>
      </w:r>
    </w:p>
    <w:p>
      <w:pPr>
        <w:spacing w:after="0" w:line="193" w:lineRule="exact"/>
        <w:rPr>
          <w:rFonts w:ascii="Arial" w:cs="Arial" w:eastAsia="Arial" w:hAnsi="Arial"/>
          <w:sz w:val="18"/>
          <w:szCs w:val="18"/>
          <w:color w:val="auto"/>
        </w:rPr>
      </w:pPr>
    </w:p>
    <w:p>
      <w:pPr>
        <w:ind w:left="1320" w:hanging="1312"/>
        <w:spacing w:after="0" w:line="282" w:lineRule="auto"/>
        <w:tabs>
          <w:tab w:leader="none" w:pos="658" w:val="left"/>
        </w:tabs>
        <w:numPr>
          <w:ilvl w:val="0"/>
          <w:numId w:val="261"/>
        </w:numPr>
        <w:rPr>
          <w:rFonts w:ascii="MS PGothic" w:cs="MS PGothic" w:eastAsia="MS PGothic" w:hAnsi="MS PGothic"/>
          <w:sz w:val="18"/>
          <w:szCs w:val="18"/>
          <w:color w:val="auto"/>
        </w:rPr>
      </w:pPr>
      <w:r>
        <w:rPr>
          <w:rFonts w:ascii="Arial" w:cs="Arial" w:eastAsia="Arial" w:hAnsi="Arial"/>
          <w:sz w:val="18"/>
          <w:szCs w:val="18"/>
          <w:color w:val="auto"/>
        </w:rPr>
        <w:t>(c)</w:t>
      </w:r>
      <w:r>
        <w:rPr>
          <w:rFonts w:ascii="Arial" w:cs="Arial" w:eastAsia="Arial" w:hAnsi="Arial"/>
          <w:sz w:val="18"/>
          <w:szCs w:val="18"/>
          <w:b w:val="1"/>
          <w:bCs w:val="1"/>
          <w:color w:val="auto"/>
        </w:rPr>
        <w:t xml:space="preserve">Disability Benefit. </w:t>
      </w:r>
      <w:r>
        <w:rPr>
          <w:rFonts w:ascii="Arial" w:cs="Arial" w:eastAsia="Arial" w:hAnsi="Arial"/>
          <w:sz w:val="18"/>
          <w:szCs w:val="18"/>
          <w:color w:val="auto"/>
        </w:rPr>
        <w:t>In the event the Participant is determined to be Disabled before the attainment of Normal Retirement Age or Separation</w:t>
      </w:r>
      <w:r>
        <w:rPr>
          <w:rFonts w:ascii="Arial" w:cs="Arial" w:eastAsia="Arial" w:hAnsi="Arial"/>
          <w:sz w:val="18"/>
          <w:szCs w:val="18"/>
          <w:b w:val="1"/>
          <w:bCs w:val="1"/>
          <w:color w:val="auto"/>
        </w:rPr>
        <w:t xml:space="preserve"> </w:t>
      </w:r>
      <w:r>
        <w:rPr>
          <w:rFonts w:ascii="Arial" w:cs="Arial" w:eastAsia="Arial" w:hAnsi="Arial"/>
          <w:sz w:val="18"/>
          <w:szCs w:val="18"/>
          <w:color w:val="auto"/>
        </w:rPr>
        <w:t>from Service, the Employer shall pay to the Contingent Disability Trust:</w:t>
      </w:r>
    </w:p>
    <w:p>
      <w:pPr>
        <w:spacing w:after="0" w:line="192" w:lineRule="exact"/>
        <w:rPr>
          <w:rFonts w:ascii="MS PGothic" w:cs="MS PGothic" w:eastAsia="MS PGothic" w:hAnsi="MS PGothic"/>
          <w:sz w:val="18"/>
          <w:szCs w:val="18"/>
          <w:color w:val="auto"/>
        </w:rPr>
      </w:pPr>
    </w:p>
    <w:p>
      <w:pPr>
        <w:ind w:left="1960" w:right="20" w:hanging="655"/>
        <w:spacing w:after="0" w:line="277" w:lineRule="auto"/>
        <w:tabs>
          <w:tab w:leader="none" w:pos="196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a lump sum payment of the Benefit Liability Balance as of the end of the year preceding the year in which the Participant is determined to be Disabled. The schedule of the “Benefit Liability Balances” are set forth on Exhibit “A.”</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4" w:name="page325"/>
    <w:bookmarkEnd w:id="324"/>
    <w:p>
      <w:pPr>
        <w:jc w:val="right"/>
        <w:spacing w:after="0"/>
        <w:rPr>
          <w:sz w:val="20"/>
          <w:szCs w:val="20"/>
          <w:color w:val="auto"/>
        </w:rPr>
      </w:pPr>
      <w:r>
        <w:rPr>
          <w:rFonts w:ascii="Arial" w:cs="Arial" w:eastAsia="Arial" w:hAnsi="Arial"/>
          <w:sz w:val="18"/>
          <w:szCs w:val="18"/>
          <w:color w:val="auto"/>
        </w:rPr>
        <w:t>Nonqualified Deferred Compensation Plan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Adoption Agreement</w:t>
      </w:r>
    </w:p>
    <w:p>
      <w:pPr>
        <w:spacing w:after="0" w:line="170" w:lineRule="exact"/>
        <w:rPr>
          <w:sz w:val="20"/>
          <w:szCs w:val="20"/>
          <w:color w:val="auto"/>
        </w:rPr>
      </w:pPr>
    </w:p>
    <w:p>
      <w:pPr>
        <w:ind w:left="1960" w:hanging="655"/>
        <w:spacing w:after="0"/>
        <w:tabs>
          <w:tab w:leader="none" w:pos="196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on the first day of the second month following the date the Participant is determined to be Disabled.</w:t>
      </w:r>
    </w:p>
    <w:p>
      <w:pPr>
        <w:spacing w:after="0" w:line="252" w:lineRule="exact"/>
        <w:rPr>
          <w:rFonts w:ascii="Arial" w:cs="Arial" w:eastAsia="Arial" w:hAnsi="Arial"/>
          <w:sz w:val="18"/>
          <w:szCs w:val="18"/>
          <w:color w:val="auto"/>
        </w:rPr>
      </w:pPr>
    </w:p>
    <w:p>
      <w:pPr>
        <w:ind w:left="1960" w:hanging="655"/>
        <w:spacing w:after="0" w:line="277" w:lineRule="auto"/>
        <w:tabs>
          <w:tab w:leader="none" w:pos="196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If the Participant dies before the payment is made, the Plan shall terminate and all benefits shall cease and be forfeited, including any future benefits or vested benefits.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4.02 </w:t>
      </w:r>
      <w:r>
        <w:rPr>
          <w:rFonts w:ascii="Arial" w:cs="Arial" w:eastAsia="Arial" w:hAnsi="Arial"/>
          <w:sz w:val="18"/>
          <w:szCs w:val="18"/>
          <w:b w:val="1"/>
          <w:bCs w:val="1"/>
          <w:color w:val="auto"/>
        </w:rPr>
        <w:t>Medium of Payment.</w:t>
      </w:r>
      <w:r>
        <w:rPr>
          <w:rFonts w:ascii="Arial" w:cs="Arial" w:eastAsia="Arial" w:hAnsi="Arial"/>
          <w:sz w:val="18"/>
          <w:szCs w:val="18"/>
          <w:color w:val="auto"/>
        </w:rPr>
        <w:t xml:space="preserve"> The form of payment will be </w:t>
      </w:r>
      <w:r>
        <w:rPr>
          <w:rFonts w:ascii="Arial" w:cs="Arial" w:eastAsia="Arial" w:hAnsi="Arial"/>
          <w:sz w:val="18"/>
          <w:szCs w:val="18"/>
          <w:i w:val="1"/>
          <w:iCs w:val="1"/>
          <w:color w:val="auto"/>
        </w:rPr>
        <w:t>(choose only one of (a) - (c):</w:t>
      </w:r>
    </w:p>
    <w:p>
      <w:pPr>
        <w:spacing w:after="0" w:line="252" w:lineRule="exact"/>
        <w:rPr>
          <w:sz w:val="20"/>
          <w:szCs w:val="20"/>
          <w:color w:val="auto"/>
        </w:rPr>
      </w:pPr>
    </w:p>
    <w:p>
      <w:pPr>
        <w:ind w:left="660" w:hanging="652"/>
        <w:spacing w:after="0"/>
        <w:tabs>
          <w:tab w:leader="none" w:pos="660" w:val="left"/>
        </w:tabs>
        <w:numPr>
          <w:ilvl w:val="0"/>
          <w:numId w:val="263"/>
        </w:numPr>
        <w:rPr>
          <w:rFonts w:ascii="MS PGothic" w:cs="MS PGothic" w:eastAsia="MS PGothic" w:hAnsi="MS PGothic"/>
          <w:sz w:val="18"/>
          <w:szCs w:val="18"/>
          <w:color w:val="auto"/>
          <w:highlight w:val="black"/>
        </w:rPr>
      </w:pPr>
      <w:r>
        <w:rPr>
          <w:rFonts w:ascii="Arial" w:cs="Arial" w:eastAsia="Arial" w:hAnsi="Arial"/>
          <w:sz w:val="18"/>
          <w:szCs w:val="18"/>
          <w:color w:val="auto"/>
        </w:rPr>
        <w:t>(a)</w:t>
      </w:r>
      <w:r>
        <w:rPr>
          <w:rFonts w:ascii="Arial" w:cs="Arial" w:eastAsia="Arial" w:hAnsi="Arial"/>
          <w:sz w:val="15"/>
          <w:szCs w:val="15"/>
          <w:b w:val="1"/>
          <w:bCs w:val="1"/>
          <w:color w:val="auto"/>
        </w:rPr>
        <w:t>Cash only.</w:t>
      </w:r>
    </w:p>
    <w:p>
      <w:pPr>
        <w:spacing w:after="0" w:line="252" w:lineRule="exact"/>
        <w:rPr>
          <w:sz w:val="20"/>
          <w:szCs w:val="20"/>
          <w:color w:val="auto"/>
        </w:rPr>
      </w:pPr>
    </w:p>
    <w:p>
      <w:pPr>
        <w:ind w:left="660" w:hanging="652"/>
        <w:spacing w:after="0"/>
        <w:tabs>
          <w:tab w:leader="none" w:pos="660" w:val="left"/>
        </w:tabs>
        <w:numPr>
          <w:ilvl w:val="0"/>
          <w:numId w:val="264"/>
        </w:numPr>
        <w:rPr>
          <w:rFonts w:ascii="MS PGothic" w:cs="MS PGothic" w:eastAsia="MS PGothic" w:hAnsi="MS PGothic"/>
          <w:sz w:val="18"/>
          <w:szCs w:val="18"/>
          <w:color w:val="auto"/>
          <w:highlight w:val="black"/>
        </w:rPr>
      </w:pPr>
      <w:r>
        <w:rPr>
          <w:rFonts w:ascii="Arial" w:cs="Arial" w:eastAsia="Arial" w:hAnsi="Arial"/>
          <w:sz w:val="18"/>
          <w:szCs w:val="18"/>
          <w:color w:val="auto"/>
        </w:rPr>
        <w:t>(b)</w:t>
      </w:r>
      <w:r>
        <w:rPr>
          <w:rFonts w:ascii="Arial" w:cs="Arial" w:eastAsia="Arial" w:hAnsi="Arial"/>
          <w:sz w:val="16"/>
          <w:szCs w:val="16"/>
          <w:b w:val="1"/>
          <w:bCs w:val="1"/>
          <w:color w:val="auto"/>
        </w:rPr>
        <w:t>Property only.</w:t>
      </w:r>
    </w:p>
    <w:p>
      <w:pPr>
        <w:spacing w:after="0" w:line="252" w:lineRule="exact"/>
        <w:rPr>
          <w:rFonts w:ascii="MS PGothic" w:cs="MS PGothic" w:eastAsia="MS PGothic" w:hAnsi="MS PGothic"/>
          <w:sz w:val="18"/>
          <w:szCs w:val="18"/>
          <w:color w:val="auto"/>
          <w:highlight w:val="black"/>
        </w:rPr>
      </w:pPr>
    </w:p>
    <w:p>
      <w:pPr>
        <w:ind w:left="660" w:hanging="652"/>
        <w:spacing w:after="0"/>
        <w:tabs>
          <w:tab w:leader="none" w:pos="660" w:val="left"/>
        </w:tabs>
        <w:numPr>
          <w:ilvl w:val="0"/>
          <w:numId w:val="264"/>
        </w:numPr>
        <w:rPr>
          <w:rFonts w:ascii="MS PGothic" w:cs="MS PGothic" w:eastAsia="MS PGothic" w:hAnsi="MS PGothic"/>
          <w:sz w:val="18"/>
          <w:szCs w:val="18"/>
          <w:color w:val="auto"/>
          <w:highlight w:val="black"/>
        </w:rPr>
      </w:pPr>
      <w:r>
        <w:rPr>
          <w:rFonts w:ascii="Arial" w:cs="Arial" w:eastAsia="Arial" w:hAnsi="Arial"/>
          <w:sz w:val="18"/>
          <w:szCs w:val="18"/>
          <w:color w:val="auto"/>
        </w:rPr>
        <w:t>(c)</w:t>
      </w:r>
      <w:r>
        <w:rPr>
          <w:rFonts w:ascii="Arial" w:cs="Arial" w:eastAsia="Arial" w:hAnsi="Arial"/>
          <w:sz w:val="16"/>
          <w:szCs w:val="16"/>
          <w:b w:val="1"/>
          <w:bCs w:val="1"/>
          <w:color w:val="auto"/>
        </w:rPr>
        <w:t xml:space="preserve">Property or cash </w:t>
      </w:r>
      <w:r>
        <w:rPr>
          <w:rFonts w:ascii="Arial" w:cs="Arial" w:eastAsia="Arial" w:hAnsi="Arial"/>
          <w:sz w:val="16"/>
          <w:szCs w:val="16"/>
          <w:color w:val="auto"/>
        </w:rPr>
        <w:t>(or both).</w:t>
      </w:r>
    </w:p>
    <w:p>
      <w:pPr>
        <w:spacing w:after="0" w:line="2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Note: A choice between cash or property is not subject to Code §409A. See Treas. Reg. §1.409A-2(a)(1). The Plan treats this election as not being subject to the timing rules applicable to payment elections.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4.02(B) </w:t>
      </w:r>
      <w:r>
        <w:rPr>
          <w:rFonts w:ascii="Arial" w:cs="Arial" w:eastAsia="Arial" w:hAnsi="Arial"/>
          <w:sz w:val="18"/>
          <w:szCs w:val="18"/>
          <w:b w:val="1"/>
          <w:bCs w:val="1"/>
          <w:color w:val="auto"/>
        </w:rPr>
        <w:t>Change payment elections.</w:t>
      </w:r>
      <w:r>
        <w:rPr>
          <w:rFonts w:ascii="Arial" w:cs="Arial" w:eastAsia="Arial" w:hAnsi="Arial"/>
          <w:sz w:val="18"/>
          <w:szCs w:val="18"/>
          <w:color w:val="auto"/>
        </w:rPr>
        <w:t xml:space="preserve"> The Plan (</w:t>
      </w:r>
      <w:r>
        <w:rPr>
          <w:rFonts w:ascii="Arial" w:cs="Arial" w:eastAsia="Arial" w:hAnsi="Arial"/>
          <w:sz w:val="18"/>
          <w:szCs w:val="18"/>
          <w:i w:val="1"/>
          <w:iCs w:val="1"/>
          <w:color w:val="auto"/>
        </w:rPr>
        <w:t>choose only one of (a) or (b); choose (c) if (b) applies and choose (d) if applicable</w:t>
      </w:r>
      <w:r>
        <w:rPr>
          <w:rFonts w:ascii="Arial" w:cs="Arial" w:eastAsia="Arial" w:hAnsi="Arial"/>
          <w:sz w:val="18"/>
          <w:szCs w:val="18"/>
          <w:color w:val="auto"/>
        </w:rPr>
        <w:t>):</w:t>
      </w:r>
    </w:p>
    <w:p>
      <w:pPr>
        <w:spacing w:after="0" w:line="252" w:lineRule="exact"/>
        <w:rPr>
          <w:sz w:val="20"/>
          <w:szCs w:val="20"/>
          <w:color w:val="auto"/>
        </w:rPr>
      </w:pPr>
    </w:p>
    <w:p>
      <w:pPr>
        <w:ind w:left="1320" w:hanging="1312"/>
        <w:spacing w:after="0" w:line="282" w:lineRule="auto"/>
        <w:tabs>
          <w:tab w:leader="none" w:pos="658" w:val="left"/>
        </w:tabs>
        <w:numPr>
          <w:ilvl w:val="0"/>
          <w:numId w:val="265"/>
        </w:numPr>
        <w:rPr>
          <w:rFonts w:ascii="MS PGothic" w:cs="MS PGothic" w:eastAsia="MS PGothic" w:hAnsi="MS PGothic"/>
          <w:sz w:val="18"/>
          <w:szCs w:val="18"/>
          <w:color w:val="auto"/>
          <w:highlight w:val="black"/>
        </w:rPr>
      </w:pPr>
      <w:r>
        <w:rPr>
          <w:rFonts w:ascii="Arial" w:cs="Arial" w:eastAsia="Arial" w:hAnsi="Arial"/>
          <w:sz w:val="18"/>
          <w:szCs w:val="18"/>
          <w:color w:val="auto"/>
        </w:rPr>
        <w:t>(a)</w:t>
      </w:r>
      <w:r>
        <w:rPr>
          <w:rFonts w:ascii="Arial" w:cs="Arial" w:eastAsia="Arial" w:hAnsi="Arial"/>
          <w:sz w:val="18"/>
          <w:szCs w:val="18"/>
          <w:b w:val="1"/>
          <w:bCs w:val="1"/>
          <w:color w:val="auto"/>
        </w:rPr>
        <w:t xml:space="preserve">Change payment elections not permitted. </w:t>
      </w:r>
      <w:r>
        <w:rPr>
          <w:rFonts w:ascii="Arial" w:cs="Arial" w:eastAsia="Arial" w:hAnsi="Arial"/>
          <w:sz w:val="18"/>
          <w:szCs w:val="18"/>
          <w:color w:val="auto"/>
        </w:rPr>
        <w:t>Does not permit a Participant, a Beneficiary or the Employer to make a change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election in accordance with Section 4.02(B).</w:t>
      </w:r>
    </w:p>
    <w:p>
      <w:pPr>
        <w:spacing w:after="0" w:line="189" w:lineRule="exact"/>
        <w:rPr>
          <w:sz w:val="20"/>
          <w:szCs w:val="20"/>
          <w:color w:val="auto"/>
        </w:rPr>
      </w:pPr>
    </w:p>
    <w:p>
      <w:pPr>
        <w:ind w:left="1320" w:hanging="1312"/>
        <w:spacing w:after="0" w:line="282" w:lineRule="auto"/>
        <w:tabs>
          <w:tab w:leader="none" w:pos="658" w:val="left"/>
        </w:tabs>
        <w:numPr>
          <w:ilvl w:val="0"/>
          <w:numId w:val="266"/>
        </w:numPr>
        <w:rPr>
          <w:rFonts w:ascii="MS PGothic" w:cs="MS PGothic" w:eastAsia="MS PGothic" w:hAnsi="MS PGothic"/>
          <w:sz w:val="18"/>
          <w:szCs w:val="18"/>
          <w:color w:val="auto"/>
        </w:rPr>
      </w:pPr>
      <w:r>
        <w:rPr>
          <w:rFonts w:ascii="Arial" w:cs="Arial" w:eastAsia="Arial" w:hAnsi="Arial"/>
          <w:sz w:val="18"/>
          <w:szCs w:val="18"/>
          <w:color w:val="auto"/>
        </w:rPr>
        <w:t>(b)</w:t>
      </w:r>
      <w:r>
        <w:rPr>
          <w:rFonts w:ascii="Arial" w:cs="Arial" w:eastAsia="Arial" w:hAnsi="Arial"/>
          <w:sz w:val="18"/>
          <w:szCs w:val="18"/>
          <w:b w:val="1"/>
          <w:bCs w:val="1"/>
          <w:color w:val="auto"/>
        </w:rPr>
        <w:t xml:space="preserve">Permits change payment elections. </w:t>
      </w:r>
      <w:r>
        <w:rPr>
          <w:rFonts w:ascii="Arial" w:cs="Arial" w:eastAsia="Arial" w:hAnsi="Arial"/>
          <w:sz w:val="18"/>
          <w:szCs w:val="18"/>
          <w:color w:val="auto"/>
        </w:rPr>
        <w:t>Permits changes payment elections or changes to a change payment elections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4.02(B) and as follows (</w:t>
      </w:r>
      <w:r>
        <w:rPr>
          <w:rFonts w:ascii="Arial" w:cs="Arial" w:eastAsia="Arial" w:hAnsi="Arial"/>
          <w:sz w:val="18"/>
          <w:szCs w:val="18"/>
          <w:i w:val="1"/>
          <w:iCs w:val="1"/>
          <w:color w:val="auto"/>
        </w:rPr>
        <w:t>choose one or more of (i) -(iv)</w:t>
      </w:r>
      <w:r>
        <w:rPr>
          <w:rFonts w:ascii="Arial" w:cs="Arial" w:eastAsia="Arial" w:hAnsi="Arial"/>
          <w:sz w:val="18"/>
          <w:szCs w:val="18"/>
          <w:color w:val="auto"/>
        </w:rPr>
        <w:t>):</w:t>
      </w:r>
    </w:p>
    <w:p>
      <w:pPr>
        <w:spacing w:after="0" w:line="188" w:lineRule="exact"/>
        <w:rPr>
          <w:rFonts w:ascii="MS PGothic" w:cs="MS PGothic" w:eastAsia="MS PGothic" w:hAnsi="MS PGothic"/>
          <w:sz w:val="18"/>
          <w:szCs w:val="18"/>
          <w:color w:val="auto"/>
        </w:rPr>
      </w:pPr>
    </w:p>
    <w:p>
      <w:pPr>
        <w:ind w:left="1300" w:hanging="644"/>
        <w:spacing w:after="0"/>
        <w:tabs>
          <w:tab w:leader="none" w:pos="1300" w:val="left"/>
        </w:tabs>
        <w:numPr>
          <w:ilvl w:val="1"/>
          <w:numId w:val="266"/>
        </w:numPr>
        <w:rPr>
          <w:rFonts w:ascii="MS PGothic" w:cs="MS PGothic" w:eastAsia="MS PGothic" w:hAnsi="MS PGothic"/>
          <w:sz w:val="18"/>
          <w:szCs w:val="18"/>
          <w:color w:val="auto"/>
          <w:highlight w:val="black"/>
        </w:rPr>
      </w:pPr>
      <w:r>
        <w:rPr>
          <w:rFonts w:ascii="Arial" w:cs="Arial" w:eastAsia="Arial" w:hAnsi="Arial"/>
          <w:sz w:val="18"/>
          <w:szCs w:val="18"/>
          <w:color w:val="auto"/>
        </w:rPr>
        <w:t>(i)</w:t>
      </w:r>
      <w:r>
        <w:rPr>
          <w:rFonts w:ascii="Arial" w:cs="Arial" w:eastAsia="Arial" w:hAnsi="Arial"/>
          <w:sz w:val="16"/>
          <w:szCs w:val="16"/>
          <w:b w:val="1"/>
          <w:bCs w:val="1"/>
          <w:color w:val="auto"/>
        </w:rPr>
        <w:t xml:space="preserve">Participant election. </w:t>
      </w:r>
      <w:r>
        <w:rPr>
          <w:rFonts w:ascii="Arial" w:cs="Arial" w:eastAsia="Arial" w:hAnsi="Arial"/>
          <w:sz w:val="16"/>
          <w:szCs w:val="16"/>
          <w:color w:val="auto"/>
        </w:rPr>
        <w:t>Permits a Participant to make change payment elections.</w:t>
      </w:r>
    </w:p>
    <w:p>
      <w:pPr>
        <w:spacing w:after="0" w:line="252" w:lineRule="exact"/>
        <w:rPr>
          <w:sz w:val="20"/>
          <w:szCs w:val="20"/>
          <w:color w:val="auto"/>
        </w:rPr>
      </w:pPr>
    </w:p>
    <w:p>
      <w:pPr>
        <w:ind w:left="1300" w:hanging="644"/>
        <w:spacing w:after="0"/>
        <w:tabs>
          <w:tab w:leader="none" w:pos="1300" w:val="left"/>
        </w:tabs>
        <w:numPr>
          <w:ilvl w:val="0"/>
          <w:numId w:val="267"/>
        </w:numPr>
        <w:rPr>
          <w:rFonts w:ascii="MS PGothic" w:cs="MS PGothic" w:eastAsia="MS PGothic" w:hAnsi="MS PGothic"/>
          <w:sz w:val="18"/>
          <w:szCs w:val="18"/>
          <w:color w:val="auto"/>
        </w:rPr>
      </w:pPr>
      <w:r>
        <w:rPr>
          <w:rFonts w:ascii="Arial" w:cs="Arial" w:eastAsia="Arial" w:hAnsi="Arial"/>
          <w:sz w:val="18"/>
          <w:szCs w:val="18"/>
          <w:color w:val="auto"/>
        </w:rPr>
        <w:t>(ii)</w:t>
      </w:r>
      <w:r>
        <w:rPr>
          <w:rFonts w:ascii="Arial" w:cs="Arial" w:eastAsia="Arial" w:hAnsi="Arial"/>
          <w:sz w:val="16"/>
          <w:szCs w:val="16"/>
          <w:b w:val="1"/>
          <w:bCs w:val="1"/>
          <w:color w:val="auto"/>
        </w:rPr>
        <w:t xml:space="preserve">Employer election. </w:t>
      </w:r>
      <w:r>
        <w:rPr>
          <w:rFonts w:ascii="Arial" w:cs="Arial" w:eastAsia="Arial" w:hAnsi="Arial"/>
          <w:sz w:val="16"/>
          <w:szCs w:val="16"/>
          <w:color w:val="auto"/>
        </w:rPr>
        <w:t>Permits the Employer to make change payment elections.</w:t>
      </w:r>
    </w:p>
    <w:p>
      <w:pPr>
        <w:spacing w:after="0" w:line="252" w:lineRule="exact"/>
        <w:rPr>
          <w:sz w:val="20"/>
          <w:szCs w:val="20"/>
          <w:color w:val="auto"/>
        </w:rPr>
      </w:pPr>
    </w:p>
    <w:p>
      <w:pPr>
        <w:ind w:left="1300" w:hanging="644"/>
        <w:spacing w:after="0"/>
        <w:tabs>
          <w:tab w:leader="none" w:pos="1300" w:val="left"/>
        </w:tabs>
        <w:numPr>
          <w:ilvl w:val="1"/>
          <w:numId w:val="268"/>
        </w:numPr>
        <w:rPr>
          <w:rFonts w:ascii="MS PGothic" w:cs="MS PGothic" w:eastAsia="MS PGothic" w:hAnsi="MS PGothic"/>
          <w:sz w:val="18"/>
          <w:szCs w:val="18"/>
          <w:color w:val="auto"/>
          <w:highlight w:val="black"/>
        </w:rPr>
      </w:pPr>
      <w:r>
        <w:rPr>
          <w:rFonts w:ascii="Arial" w:cs="Arial" w:eastAsia="Arial" w:hAnsi="Arial"/>
          <w:sz w:val="18"/>
          <w:szCs w:val="18"/>
          <w:color w:val="auto"/>
        </w:rPr>
        <w:t>(iii)</w:t>
      </w:r>
      <w:r>
        <w:rPr>
          <w:rFonts w:ascii="Arial" w:cs="Arial" w:eastAsia="Arial" w:hAnsi="Arial"/>
          <w:sz w:val="16"/>
          <w:szCs w:val="16"/>
          <w:b w:val="1"/>
          <w:bCs w:val="1"/>
          <w:color w:val="auto"/>
        </w:rPr>
        <w:t xml:space="preserve">Beneficiary election. </w:t>
      </w:r>
      <w:r>
        <w:rPr>
          <w:rFonts w:ascii="Arial" w:cs="Arial" w:eastAsia="Arial" w:hAnsi="Arial"/>
          <w:sz w:val="16"/>
          <w:szCs w:val="16"/>
          <w:color w:val="auto"/>
        </w:rPr>
        <w:t>Permits a Beneficiary following the Participant’s death to make change payment elections.</w:t>
      </w:r>
    </w:p>
    <w:p>
      <w:pPr>
        <w:spacing w:after="0" w:line="256" w:lineRule="exact"/>
        <w:rPr>
          <w:rFonts w:ascii="MS PGothic" w:cs="MS PGothic" w:eastAsia="MS PGothic" w:hAnsi="MS PGothic"/>
          <w:sz w:val="18"/>
          <w:szCs w:val="18"/>
          <w:color w:val="auto"/>
          <w:highlight w:val="black"/>
        </w:rPr>
      </w:pPr>
    </w:p>
    <w:p>
      <w:pPr>
        <w:ind w:left="2020" w:hanging="1364"/>
        <w:spacing w:after="0" w:line="308" w:lineRule="auto"/>
        <w:tabs>
          <w:tab w:leader="none" w:pos="1304" w:val="left"/>
        </w:tabs>
        <w:numPr>
          <w:ilvl w:val="1"/>
          <w:numId w:val="268"/>
        </w:numPr>
        <w:rPr>
          <w:rFonts w:ascii="MS PGothic" w:cs="MS PGothic" w:eastAsia="MS PGothic" w:hAnsi="MS PGothic"/>
          <w:sz w:val="18"/>
          <w:szCs w:val="18"/>
          <w:color w:val="auto"/>
          <w:highlight w:val="black"/>
        </w:rPr>
      </w:pPr>
      <w:r>
        <w:rPr>
          <w:rFonts w:ascii="Arial" w:cs="Arial" w:eastAsia="Arial" w:hAnsi="Arial"/>
          <w:sz w:val="18"/>
          <w:szCs w:val="18"/>
          <w:color w:val="auto"/>
        </w:rPr>
        <w:t>(iv)</w:t>
      </w:r>
      <w:r>
        <w:rPr>
          <w:rFonts w:ascii="Arial" w:cs="Arial" w:eastAsia="Arial" w:hAnsi="Arial"/>
          <w:sz w:val="17"/>
          <w:szCs w:val="17"/>
          <w:i w:val="1"/>
          <w:iCs w:val="1"/>
          <w:color w:val="auto"/>
        </w:rPr>
        <w:t>(Specify)</w:t>
      </w:r>
      <w:r>
        <w:rPr>
          <w:rFonts w:ascii="Arial" w:cs="Arial" w:eastAsia="Arial" w:hAnsi="Arial"/>
          <w:sz w:val="17"/>
          <w:szCs w:val="17"/>
          <w:color w:val="auto"/>
        </w:rPr>
        <w:t>: _________________________________ (</w:t>
      </w:r>
      <w:r>
        <w:rPr>
          <w:rFonts w:ascii="Arial" w:cs="Arial" w:eastAsia="Arial" w:hAnsi="Arial"/>
          <w:sz w:val="17"/>
          <w:szCs w:val="17"/>
          <w:i w:val="1"/>
          <w:iCs w:val="1"/>
          <w:color w:val="auto"/>
        </w:rPr>
        <w:t>e.g.</w:t>
      </w:r>
      <w:r>
        <w:rPr>
          <w:rFonts w:ascii="Arial" w:cs="Arial" w:eastAsia="Arial" w:hAnsi="Arial"/>
          <w:sz w:val="17"/>
          <w:szCs w:val="17"/>
          <w:color w:val="auto"/>
        </w:rPr>
        <w:t>, a Beneficiary may make a change payment election only if the</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Participant had the right to do so, OR a Participant may make a change payment election only after attaining age 60).</w:t>
      </w:r>
    </w:p>
    <w:p>
      <w:pPr>
        <w:spacing w:after="0" w:line="169" w:lineRule="exact"/>
        <w:rPr>
          <w:rFonts w:ascii="MS PGothic" w:cs="MS PGothic" w:eastAsia="MS PGothic" w:hAnsi="MS PGothic"/>
          <w:sz w:val="18"/>
          <w:szCs w:val="18"/>
          <w:color w:val="auto"/>
          <w:highlight w:val="black"/>
        </w:rPr>
      </w:pPr>
    </w:p>
    <w:p>
      <w:pPr>
        <w:ind w:left="1320" w:right="20" w:hanging="1312"/>
        <w:spacing w:after="0" w:line="282" w:lineRule="auto"/>
        <w:tabs>
          <w:tab w:leader="none" w:pos="658" w:val="left"/>
        </w:tabs>
        <w:numPr>
          <w:ilvl w:val="0"/>
          <w:numId w:val="268"/>
        </w:numPr>
        <w:rPr>
          <w:rFonts w:ascii="MS PGothic" w:cs="MS PGothic" w:eastAsia="MS PGothic" w:hAnsi="MS PGothic"/>
          <w:sz w:val="18"/>
          <w:szCs w:val="18"/>
          <w:color w:val="auto"/>
        </w:rPr>
      </w:pPr>
      <w:r>
        <w:rPr>
          <w:rFonts w:ascii="Arial" w:cs="Arial" w:eastAsia="Arial" w:hAnsi="Arial"/>
          <w:sz w:val="18"/>
          <w:szCs w:val="18"/>
          <w:color w:val="auto"/>
        </w:rPr>
        <w:t>(c)</w:t>
      </w:r>
      <w:r>
        <w:rPr>
          <w:rFonts w:ascii="Arial" w:cs="Arial" w:eastAsia="Arial" w:hAnsi="Arial"/>
          <w:sz w:val="18"/>
          <w:szCs w:val="18"/>
          <w:b w:val="1"/>
          <w:bCs w:val="1"/>
          <w:color w:val="auto"/>
        </w:rPr>
        <w:t xml:space="preserve">Limit on number of change payment elections. </w:t>
      </w:r>
      <w:r>
        <w:rPr>
          <w:rFonts w:ascii="Arial" w:cs="Arial" w:eastAsia="Arial" w:hAnsi="Arial"/>
          <w:sz w:val="18"/>
          <w:szCs w:val="18"/>
          <w:color w:val="auto"/>
        </w:rPr>
        <w:t>The number of change payment elections (as to any initial payment election) that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a Beneficiary or the Employer (as applicable) may make is (choose one of (i) or (ii)):</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5" w:name="page326"/>
    <w:bookmarkEnd w:id="325"/>
    <w:p>
      <w:pPr>
        <w:jc w:val="right"/>
        <w:spacing w:after="0"/>
        <w:rPr>
          <w:sz w:val="20"/>
          <w:szCs w:val="20"/>
          <w:color w:val="auto"/>
        </w:rPr>
      </w:pPr>
      <w:r>
        <w:rPr>
          <w:rFonts w:ascii="Arial" w:cs="Arial" w:eastAsia="Arial" w:hAnsi="Arial"/>
          <w:sz w:val="18"/>
          <w:szCs w:val="18"/>
          <w:color w:val="auto"/>
        </w:rPr>
        <w:t>Nonqualified Deferred Compensation Plan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Adoption Agreement</w:t>
      </w:r>
    </w:p>
    <w:p>
      <w:pPr>
        <w:spacing w:after="0" w:line="166" w:lineRule="exact"/>
        <w:rPr>
          <w:sz w:val="20"/>
          <w:szCs w:val="20"/>
          <w:color w:val="auto"/>
        </w:rPr>
      </w:pPr>
    </w:p>
    <w:p>
      <w:pPr>
        <w:ind w:left="1300" w:hanging="644"/>
        <w:spacing w:after="0"/>
        <w:tabs>
          <w:tab w:leader="none" w:pos="1300" w:val="left"/>
        </w:tabs>
        <w:numPr>
          <w:ilvl w:val="0"/>
          <w:numId w:val="269"/>
        </w:numPr>
        <w:rPr>
          <w:rFonts w:ascii="MS PGothic" w:cs="MS PGothic" w:eastAsia="MS PGothic" w:hAnsi="MS PGothic"/>
          <w:sz w:val="18"/>
          <w:szCs w:val="18"/>
          <w:color w:val="auto"/>
        </w:rPr>
      </w:pPr>
      <w:r>
        <w:rPr>
          <w:rFonts w:ascii="Arial" w:cs="Arial" w:eastAsia="Arial" w:hAnsi="Arial"/>
          <w:sz w:val="18"/>
          <w:szCs w:val="18"/>
          <w:color w:val="auto"/>
        </w:rPr>
        <w:t>(i)</w:t>
      </w:r>
      <w:r>
        <w:rPr>
          <w:rFonts w:ascii="Arial" w:cs="Arial" w:eastAsia="Arial" w:hAnsi="Arial"/>
          <w:sz w:val="16"/>
          <w:szCs w:val="16"/>
          <w:b w:val="1"/>
          <w:bCs w:val="1"/>
          <w:color w:val="auto"/>
        </w:rPr>
        <w:t xml:space="preserve">Unlimited. </w:t>
      </w:r>
      <w:r>
        <w:rPr>
          <w:rFonts w:ascii="Arial" w:cs="Arial" w:eastAsia="Arial" w:hAnsi="Arial"/>
          <w:sz w:val="16"/>
          <w:szCs w:val="16"/>
          <w:color w:val="auto"/>
        </w:rPr>
        <w:t>Not limited except as required under Section 4.02(B).</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Limited.</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Limited to: ______________ (</w:t>
      </w:r>
      <w:r>
        <w:rPr>
          <w:rFonts w:ascii="Arial" w:cs="Arial" w:eastAsia="Arial" w:hAnsi="Arial"/>
          <w:sz w:val="16"/>
          <w:szCs w:val="16"/>
          <w:i w:val="1"/>
          <w:iCs w:val="1"/>
          <w:color w:val="auto"/>
        </w:rPr>
        <w:t>specify number</w:t>
      </w:r>
      <w:r>
        <w:rPr>
          <w:rFonts w:ascii="Arial" w:cs="Arial" w:eastAsia="Arial" w:hAnsi="Arial"/>
          <w:sz w:val="16"/>
          <w:szCs w:val="16"/>
          <w:color w:val="auto"/>
        </w:rPr>
        <w:t>).</w:t>
      </w:r>
    </w:p>
    <w:p>
      <w:pPr>
        <w:spacing w:after="0" w:line="222" w:lineRule="exact"/>
        <w:rPr>
          <w:sz w:val="20"/>
          <w:szCs w:val="20"/>
          <w:color w:val="auto"/>
        </w:rPr>
      </w:pPr>
    </w:p>
    <w:p>
      <w:pPr>
        <w:sectPr>
          <w:pgSz w:w="11900" w:h="16838" w:orient="portrait"/>
          <w:cols w:equalWidth="0" w:num="4">
            <w:col w:w="920" w:space="380"/>
            <w:col w:w="220" w:space="460"/>
            <w:col w:w="660" w:space="80"/>
            <w:col w:w="8700"/>
          </w:cols>
          <w:pgMar w:left="240" w:top="125"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Specify</w:t>
      </w:r>
      <w:r>
        <w:rPr>
          <w:rFonts w:ascii="Arial" w:cs="Arial" w:eastAsia="Arial" w:hAnsi="Arial"/>
          <w:sz w:val="16"/>
          <w:szCs w:val="16"/>
          <w:color w:val="auto"/>
        </w:rPr>
        <w:t xml:space="preserve">): __________________________________ </w:t>
      </w:r>
      <w:r>
        <w:rPr>
          <w:rFonts w:ascii="Arial" w:cs="Arial" w:eastAsia="Arial" w:hAnsi="Arial"/>
          <w:sz w:val="16"/>
          <w:szCs w:val="16"/>
          <w:i w:val="1"/>
          <w:iCs w:val="1"/>
          <w:color w:val="auto"/>
        </w:rPr>
        <w:t>(e.g.,</w:t>
      </w:r>
      <w:r>
        <w:rPr>
          <w:rFonts w:ascii="Arial" w:cs="Arial" w:eastAsia="Arial" w:hAnsi="Arial"/>
          <w:sz w:val="16"/>
          <w:szCs w:val="16"/>
          <w:color w:val="auto"/>
        </w:rPr>
        <w:t xml:space="preserve"> permits change payment elections only as to specified Benefits).</w:t>
      </w:r>
    </w:p>
    <w:p>
      <w:pPr>
        <w:spacing w:after="0" w:line="218" w:lineRule="exact"/>
        <w:rPr>
          <w:sz w:val="20"/>
          <w:szCs w:val="20"/>
          <w:color w:val="auto"/>
        </w:rPr>
      </w:pPr>
    </w:p>
    <w:p>
      <w:pPr>
        <w:sectPr>
          <w:pgSz w:w="11900" w:h="16838" w:orient="portrait"/>
          <w:cols w:equalWidth="0" w:num="3">
            <w:col w:w="260" w:space="400"/>
            <w:col w:w="200" w:space="460"/>
            <w:col w:w="10100"/>
          </w:cols>
          <w:pgMar w:left="240" w:top="125" w:right="239" w:bottom="1440" w:gutter="0" w:footer="0" w:header="0"/>
          <w:type w:val="continuous"/>
        </w:sectPr>
      </w:pPr>
    </w:p>
    <w:p>
      <w:pPr>
        <w:spacing w:after="0" w:line="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4.05(B) </w:t>
      </w:r>
      <w:r>
        <w:rPr>
          <w:rFonts w:ascii="Arial" w:cs="Arial" w:eastAsia="Arial" w:hAnsi="Arial"/>
          <w:sz w:val="18"/>
          <w:szCs w:val="18"/>
          <w:b w:val="1"/>
          <w:bCs w:val="1"/>
          <w:color w:val="auto"/>
        </w:rPr>
        <w:t>Election changes/Irrevocability.</w:t>
      </w:r>
      <w:r>
        <w:rPr>
          <w:rFonts w:ascii="Arial" w:cs="Arial" w:eastAsia="Arial" w:hAnsi="Arial"/>
          <w:sz w:val="18"/>
          <w:szCs w:val="18"/>
          <w:color w:val="auto"/>
        </w:rPr>
        <w:t xml:space="preserve"> A Participant who makes a change payment election which the Employer has accepted:</w:t>
      </w:r>
    </w:p>
    <w:p>
      <w:pPr>
        <w:spacing w:after="0" w:line="283" w:lineRule="exact"/>
        <w:rPr>
          <w:sz w:val="20"/>
          <w:szCs w:val="20"/>
          <w:color w:val="auto"/>
        </w:rPr>
      </w:pPr>
    </w:p>
    <w:p>
      <w:pPr>
        <w:ind w:left="1260" w:hanging="733"/>
        <w:spacing w:after="0"/>
        <w:tabs>
          <w:tab w:leader="none" w:pos="126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Change payment elections. (</w:t>
      </w:r>
      <w:r>
        <w:rPr>
          <w:rFonts w:ascii="Arial" w:cs="Arial" w:eastAsia="Arial" w:hAnsi="Arial"/>
          <w:sz w:val="18"/>
          <w:szCs w:val="18"/>
          <w:i w:val="1"/>
          <w:iCs w:val="1"/>
          <w:color w:val="auto"/>
        </w:rPr>
        <w:t>choose one of (i), (ii) or (iii)</w:t>
      </w:r>
      <w:r>
        <w:rPr>
          <w:rFonts w:ascii="Arial" w:cs="Arial" w:eastAsia="Arial" w:hAnsi="Arial"/>
          <w:sz w:val="18"/>
          <w:szCs w:val="18"/>
          <w:color w:val="auto"/>
        </w:rPr>
        <w:t>):</w:t>
      </w:r>
    </w:p>
    <w:p>
      <w:pPr>
        <w:spacing w:after="0" w:line="248" w:lineRule="exact"/>
        <w:rPr>
          <w:rFonts w:ascii="Arial" w:cs="Arial" w:eastAsia="Arial" w:hAnsi="Arial"/>
          <w:sz w:val="18"/>
          <w:szCs w:val="18"/>
          <w:color w:val="auto"/>
        </w:rPr>
      </w:pPr>
    </w:p>
    <w:p>
      <w:pPr>
        <w:ind w:left="2600" w:hanging="1295"/>
        <w:spacing w:after="0" w:line="295" w:lineRule="auto"/>
        <w:tabs>
          <w:tab w:leader="none" w:pos="1952" w:val="left"/>
        </w:tabs>
        <w:numPr>
          <w:ilvl w:val="1"/>
          <w:numId w:val="270"/>
        </w:numPr>
        <w:rPr>
          <w:rFonts w:ascii="MS PGothic" w:cs="MS PGothic" w:eastAsia="MS PGothic" w:hAnsi="MS PGothic"/>
          <w:sz w:val="18"/>
          <w:szCs w:val="18"/>
          <w:color w:val="auto"/>
          <w:highlight w:val="black"/>
        </w:rPr>
      </w:pPr>
      <w:r>
        <w:rPr>
          <w:rFonts w:ascii="Arial" w:cs="Arial" w:eastAsia="Arial" w:hAnsi="Arial"/>
          <w:sz w:val="18"/>
          <w:szCs w:val="18"/>
          <w:color w:val="auto"/>
        </w:rPr>
        <w:t>(i)</w:t>
      </w:r>
      <w:r>
        <w:rPr>
          <w:rFonts w:ascii="Arial" w:cs="Arial" w:eastAsia="Arial" w:hAnsi="Arial"/>
          <w:sz w:val="16"/>
          <w:szCs w:val="16"/>
          <w:b w:val="1"/>
          <w:bCs w:val="1"/>
          <w:color w:val="auto"/>
        </w:rPr>
        <w:t xml:space="preserve">May change. </w:t>
      </w:r>
      <w:r>
        <w:rPr>
          <w:rFonts w:ascii="Arial" w:cs="Arial" w:eastAsia="Arial" w:hAnsi="Arial"/>
          <w:sz w:val="16"/>
          <w:szCs w:val="16"/>
          <w:color w:val="auto"/>
        </w:rPr>
        <w:t>May change the change payment election as to the Deferred Compensation to which the election applies.</w:t>
      </w:r>
      <w:r>
        <w:rPr>
          <w:rFonts w:ascii="Arial" w:cs="Arial" w:eastAsia="Arial" w:hAnsi="Arial"/>
          <w:sz w:val="16"/>
          <w:szCs w:val="16"/>
          <w:b w:val="1"/>
          <w:bCs w:val="1"/>
          <w:color w:val="auto"/>
        </w:rPr>
        <w:t xml:space="preserve"> </w:t>
      </w:r>
      <w:r>
        <w:rPr>
          <w:rFonts w:ascii="Arial" w:cs="Arial" w:eastAsia="Arial" w:hAnsi="Arial"/>
          <w:sz w:val="16"/>
          <w:szCs w:val="16"/>
          <w:color w:val="auto"/>
        </w:rPr>
        <w:t>Where the payment event is a Specified Time or a Fixed Schedule, the Participant may change the election until the applicable deadline under Section 4.02(B)(1)(a). Where the change payment election relates to any other payment event (not a Specified Time or a Fixed Schedule), the Participant must make the change within 30 days following the Participant’s making of the change payment election which the Participant seeks to change. Any change to a change payment election made after the change payment election becomes irrevocable is a new change payment election.</w:t>
      </w:r>
    </w:p>
    <w:p>
      <w:pPr>
        <w:spacing w:after="0" w:line="182" w:lineRule="exact"/>
        <w:rPr>
          <w:rFonts w:ascii="MS PGothic" w:cs="MS PGothic" w:eastAsia="MS PGothic" w:hAnsi="MS PGothic"/>
          <w:sz w:val="18"/>
          <w:szCs w:val="18"/>
          <w:color w:val="auto"/>
          <w:highlight w:val="black"/>
        </w:rPr>
      </w:pPr>
    </w:p>
    <w:p>
      <w:pPr>
        <w:ind w:left="2620" w:hanging="1315"/>
        <w:spacing w:after="0" w:line="282" w:lineRule="auto"/>
        <w:tabs>
          <w:tab w:leader="none" w:pos="1945" w:val="left"/>
        </w:tabs>
        <w:numPr>
          <w:ilvl w:val="1"/>
          <w:numId w:val="270"/>
        </w:numPr>
        <w:rPr>
          <w:rFonts w:ascii="MS PGothic" w:cs="MS PGothic" w:eastAsia="MS PGothic" w:hAnsi="MS PGothic"/>
          <w:sz w:val="18"/>
          <w:szCs w:val="18"/>
          <w:color w:val="auto"/>
          <w:highlight w:val="black"/>
        </w:rPr>
      </w:pPr>
      <w:r>
        <w:rPr>
          <w:rFonts w:ascii="Arial" w:cs="Arial" w:eastAsia="Arial" w:hAnsi="Arial"/>
          <w:sz w:val="18"/>
          <w:szCs w:val="18"/>
          <w:color w:val="auto"/>
        </w:rPr>
        <w:t>(ii)</w:t>
      </w:r>
      <w:r>
        <w:rPr>
          <w:rFonts w:ascii="Arial" w:cs="Arial" w:eastAsia="Arial" w:hAnsi="Arial"/>
          <w:sz w:val="18"/>
          <w:szCs w:val="18"/>
          <w:b w:val="1"/>
          <w:bCs w:val="1"/>
          <w:color w:val="auto"/>
        </w:rPr>
        <w:t xml:space="preserve">May not change. </w:t>
      </w:r>
      <w:r>
        <w:rPr>
          <w:rFonts w:ascii="Arial" w:cs="Arial" w:eastAsia="Arial" w:hAnsi="Arial"/>
          <w:sz w:val="18"/>
          <w:szCs w:val="18"/>
          <w:color w:val="auto"/>
        </w:rPr>
        <w:t>May not change the change payment election as to the Deferred Compensation to which the election</w:t>
      </w:r>
      <w:r>
        <w:rPr>
          <w:rFonts w:ascii="Arial" w:cs="Arial" w:eastAsia="Arial" w:hAnsi="Arial"/>
          <w:sz w:val="18"/>
          <w:szCs w:val="18"/>
          <w:b w:val="1"/>
          <w:bCs w:val="1"/>
          <w:color w:val="auto"/>
        </w:rPr>
        <w:t xml:space="preserve"> </w:t>
      </w:r>
      <w:r>
        <w:rPr>
          <w:rFonts w:ascii="Arial" w:cs="Arial" w:eastAsia="Arial" w:hAnsi="Arial"/>
          <w:sz w:val="18"/>
          <w:szCs w:val="18"/>
          <w:color w:val="auto"/>
        </w:rPr>
        <w:t>applies.</w:t>
      </w:r>
    </w:p>
    <w:p>
      <w:pPr>
        <w:spacing w:after="0" w:line="189" w:lineRule="exact"/>
        <w:rPr>
          <w:sz w:val="20"/>
          <w:szCs w:val="20"/>
          <w:color w:val="auto"/>
        </w:rPr>
      </w:pPr>
    </w:p>
    <w:p>
      <w:pPr>
        <w:ind w:left="1960" w:hanging="655"/>
        <w:spacing w:after="0"/>
        <w:tabs>
          <w:tab w:leader="none" w:pos="1960" w:val="left"/>
        </w:tabs>
        <w:numPr>
          <w:ilvl w:val="0"/>
          <w:numId w:val="271"/>
        </w:numPr>
        <w:rPr>
          <w:rFonts w:ascii="MS PGothic" w:cs="MS PGothic" w:eastAsia="MS PGothic" w:hAnsi="MS PGothic"/>
          <w:sz w:val="18"/>
          <w:szCs w:val="18"/>
          <w:color w:val="auto"/>
        </w:rPr>
      </w:pPr>
      <w:r>
        <w:rPr>
          <w:rFonts w:ascii="Arial" w:cs="Arial" w:eastAsia="Arial" w:hAnsi="Arial"/>
          <w:sz w:val="18"/>
          <w:szCs w:val="18"/>
          <w:color w:val="auto"/>
        </w:rPr>
        <w:t>(iii)</w:t>
      </w:r>
      <w:r>
        <w:rPr>
          <w:rFonts w:ascii="Arial" w:cs="Arial" w:eastAsia="Arial" w:hAnsi="Arial"/>
          <w:sz w:val="16"/>
          <w:szCs w:val="16"/>
          <w:b w:val="1"/>
          <w:bCs w:val="1"/>
          <w:color w:val="auto"/>
        </w:rPr>
        <w:t xml:space="preserve">Not applicable. </w:t>
      </w:r>
      <w:r>
        <w:rPr>
          <w:rFonts w:ascii="Arial" w:cs="Arial" w:eastAsia="Arial" w:hAnsi="Arial"/>
          <w:sz w:val="16"/>
          <w:szCs w:val="16"/>
          <w:color w:val="auto"/>
        </w:rPr>
        <w:t>As elected above, a Participant may not make a change payment election.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326" w:name="page327"/>
    <w:bookmarkEnd w:id="326"/>
    <w:p>
      <w:pPr>
        <w:jc w:val="right"/>
        <w:spacing w:after="0"/>
        <w:rPr>
          <w:sz w:val="20"/>
          <w:szCs w:val="20"/>
          <w:color w:val="auto"/>
        </w:rPr>
      </w:pPr>
      <w:r>
        <w:rPr>
          <w:rFonts w:ascii="Arial" w:cs="Arial" w:eastAsia="Arial" w:hAnsi="Arial"/>
          <w:sz w:val="18"/>
          <w:szCs w:val="18"/>
          <w:color w:val="auto"/>
        </w:rPr>
        <w:t>Nonqualified Deferred Compensation Plan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Adoption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EMPLOYER SIGNATURE</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The Employer hereby agrees to the provisions of this Plan, and in witness of its agreement, the Employer, by its duly authorized officer, has executed this Adoption Agreement on </w:t>
      </w:r>
      <w:r>
        <w:rPr>
          <w:rFonts w:ascii="Arial" w:cs="Arial" w:eastAsia="Arial" w:hAnsi="Arial"/>
          <w:sz w:val="18"/>
          <w:szCs w:val="18"/>
          <w:u w:val="single" w:color="auto"/>
          <w:color w:val="auto"/>
        </w:rPr>
        <w:t>April 9, 2008</w:t>
      </w:r>
      <w:r>
        <w:rPr>
          <w:rFonts w:ascii="Arial" w:cs="Arial" w:eastAsia="Arial" w:hAnsi="Arial"/>
          <w:sz w:val="18"/>
          <w:szCs w:val="18"/>
          <w:color w:val="auto"/>
        </w:rPr>
        <w:t>.</w:t>
      </w:r>
    </w:p>
    <w:p>
      <w:pPr>
        <w:spacing w:after="0" w:line="19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of 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23495</wp:posOffset>
            </wp:positionV>
            <wp:extent cx="2607310"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2">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246"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23495</wp:posOffset>
            </wp:positionV>
            <wp:extent cx="3181350"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3">
                      <a:extLst>
                        <a:ext uri="{28A0092B-C50C-407E-A947-70E740481C1C}"/>
                      </a:extLst>
                    </a:blip>
                    <a:srcRect/>
                    <a:stretch>
                      <a:fillRect/>
                    </a:stretch>
                  </pic:blipFill>
                  <pic:spPr bwMode="auto">
                    <a:xfrm>
                      <a:off x="0" y="0"/>
                      <a:ext cx="3181350" cy="17145"/>
                    </a:xfrm>
                    <a:prstGeom prst="rect">
                      <a:avLst/>
                    </a:prstGeom>
                    <a:noFill/>
                  </pic:spPr>
                </pic:pic>
              </a:graphicData>
            </a:graphic>
          </wp:anchor>
        </w:drawing>
      </w:r>
    </w:p>
    <w:p>
      <w:pPr>
        <w:spacing w:after="0" w:line="2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4">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PARTICIPANT SIGNATURE</w:t>
      </w:r>
    </w:p>
    <w:p>
      <w:pPr>
        <w:spacing w:after="0" w:line="25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The Participant hereby agrees to the provisions of this Plan and in witness of its agreement, the Participant has executed this Adoption Agreement on </w:t>
      </w:r>
      <w:r>
        <w:rPr>
          <w:rFonts w:ascii="Arial" w:cs="Arial" w:eastAsia="Arial" w:hAnsi="Arial"/>
          <w:sz w:val="18"/>
          <w:szCs w:val="18"/>
          <w:u w:val="single" w:color="auto"/>
          <w:color w:val="auto"/>
        </w:rPr>
        <w:t>April 9, 2008</w:t>
      </w:r>
      <w:r>
        <w:rPr>
          <w:rFonts w:ascii="Arial" w:cs="Arial" w:eastAsia="Arial" w:hAnsi="Arial"/>
          <w:sz w:val="18"/>
          <w:szCs w:val="18"/>
          <w:color w:val="auto"/>
        </w:rPr>
        <w:t>.</w:t>
      </w:r>
    </w:p>
    <w:p>
      <w:pPr>
        <w:spacing w:after="0" w:line="19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of Participant: CORY NEWSOM</w:t>
      </w:r>
    </w:p>
    <w:p>
      <w:pPr>
        <w:spacing w:after="0" w:line="225" w:lineRule="exact"/>
        <w:rPr>
          <w:sz w:val="20"/>
          <w:szCs w:val="20"/>
          <w:color w:val="auto"/>
        </w:rPr>
      </w:pPr>
    </w:p>
    <w:p>
      <w:pPr>
        <w:ind w:left="5720"/>
        <w:spacing w:after="0"/>
        <w:tabs>
          <w:tab w:leader="none" w:pos="6380" w:val="left"/>
        </w:tabs>
        <w:rPr>
          <w:sz w:val="20"/>
          <w:szCs w:val="20"/>
          <w:color w:val="auto"/>
        </w:rPr>
      </w:pPr>
      <w:r>
        <w:rPr>
          <w:rFonts w:ascii="Arial" w:cs="Arial" w:eastAsia="Arial" w:hAnsi="Arial"/>
          <w:sz w:val="18"/>
          <w:szCs w:val="18"/>
          <w:color w:val="auto"/>
        </w:rPr>
        <w:t>Signed:</w:t>
      </w:r>
      <w:r>
        <w:rPr>
          <w:sz w:val="20"/>
          <w:szCs w:val="20"/>
          <w:color w:val="auto"/>
        </w:rPr>
        <w:tab/>
      </w:r>
      <w:r>
        <w:rPr>
          <w:rFonts w:ascii="Arial" w:cs="Arial" w:eastAsia="Arial" w:hAnsi="Arial"/>
          <w:sz w:val="16"/>
          <w:szCs w:val="16"/>
          <w:color w:val="auto"/>
        </w:rPr>
        <w:t>/s/ Cory T. Newsom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23495</wp:posOffset>
            </wp:positionV>
            <wp:extent cx="2101215"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5">
                      <a:extLst>
                        <a:ext uri="{28A0092B-C50C-407E-A947-70E740481C1C}"/>
                      </a:extLst>
                    </a:blip>
                    <a:srcRect/>
                    <a:stretch>
                      <a:fillRect/>
                    </a:stretch>
                  </pic:blipFill>
                  <pic:spPr bwMode="auto">
                    <a:xfrm>
                      <a:off x="0" y="0"/>
                      <a:ext cx="2101215" cy="1714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7" w:name="page328"/>
    <w:bookmarkEnd w:id="327"/>
    <w:p>
      <w:pPr>
        <w:jc w:val="center"/>
        <w:spacing w:after="0"/>
        <w:rPr>
          <w:sz w:val="20"/>
          <w:szCs w:val="20"/>
          <w:color w:val="auto"/>
        </w:rPr>
      </w:pPr>
      <w:r>
        <w:rPr>
          <w:rFonts w:ascii="Arial" w:cs="Arial" w:eastAsia="Arial" w:hAnsi="Arial"/>
          <w:sz w:val="18"/>
          <w:szCs w:val="18"/>
          <w:b w:val="1"/>
          <w:bCs w:val="1"/>
          <w:color w:val="auto"/>
        </w:rPr>
        <w:t>City Bank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Newsom, Cory 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February 4,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 of Year Age: 40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Retirement Age: 58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Age At Death: 85</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480" w:type="dxa"/>
            <w:vAlign w:val="bottom"/>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480" w:type="dxa"/>
            <w:vAlign w:val="bottom"/>
          </w:tcPr>
          <w:p>
            <w:pPr>
              <w:jc w:val="center"/>
              <w:ind w:left="870"/>
              <w:spacing w:after="0"/>
              <w:rPr>
                <w:sz w:val="20"/>
                <w:szCs w:val="20"/>
                <w:color w:val="auto"/>
              </w:rPr>
            </w:pPr>
            <w:r>
              <w:rPr>
                <w:rFonts w:ascii="Arial" w:cs="Arial" w:eastAsia="Arial" w:hAnsi="Arial"/>
                <w:sz w:val="18"/>
                <w:szCs w:val="18"/>
                <w:b w:val="1"/>
                <w:bCs w:val="1"/>
                <w:color w:val="auto"/>
                <w:w w:val="91"/>
              </w:rPr>
              <w:t>Benefit</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60" w:type="dxa"/>
            <w:vAlign w:val="bottom"/>
          </w:tcPr>
          <w:p>
            <w:pPr>
              <w:jc w:val="center"/>
              <w:ind w:left="910"/>
              <w:spacing w:after="0"/>
              <w:rPr>
                <w:sz w:val="20"/>
                <w:szCs w:val="20"/>
                <w:color w:val="auto"/>
              </w:rPr>
            </w:pPr>
            <w:r>
              <w:rPr>
                <w:rFonts w:ascii="Arial" w:cs="Arial" w:eastAsia="Arial" w:hAnsi="Arial"/>
                <w:sz w:val="18"/>
                <w:szCs w:val="18"/>
                <w:b w:val="1"/>
                <w:bCs w:val="1"/>
                <w:color w:val="auto"/>
                <w:w w:val="92"/>
              </w:rPr>
              <w:t>End of</w:t>
            </w:r>
          </w:p>
        </w:tc>
        <w:tc>
          <w:tcPr>
            <w:tcW w:w="2480" w:type="dxa"/>
            <w:vAlign w:val="bottom"/>
          </w:tcPr>
          <w:p>
            <w:pPr>
              <w:jc w:val="center"/>
              <w:ind w:left="930"/>
              <w:spacing w:after="0"/>
              <w:rPr>
                <w:sz w:val="20"/>
                <w:szCs w:val="20"/>
                <w:color w:val="auto"/>
              </w:rPr>
            </w:pPr>
            <w:r>
              <w:rPr>
                <w:rFonts w:ascii="Arial" w:cs="Arial" w:eastAsia="Arial" w:hAnsi="Arial"/>
                <w:sz w:val="18"/>
                <w:szCs w:val="18"/>
                <w:b w:val="1"/>
                <w:bCs w:val="1"/>
                <w:color w:val="auto"/>
                <w:w w:val="96"/>
              </w:rPr>
              <w:t>Liability</w:t>
            </w:r>
          </w:p>
        </w:tc>
        <w:tc>
          <w:tcPr>
            <w:tcW w:w="2280" w:type="dxa"/>
            <w:vAlign w:val="bottom"/>
          </w:tcPr>
          <w:p>
            <w:pPr>
              <w:spacing w:after="0"/>
              <w:rPr>
                <w:sz w:val="18"/>
                <w:szCs w:val="18"/>
                <w:color w:val="auto"/>
              </w:rPr>
            </w:pPr>
          </w:p>
        </w:tc>
      </w:tr>
      <w:tr>
        <w:trPr>
          <w:trHeight w:val="234"/>
        </w:trPr>
        <w:tc>
          <w:tcPr>
            <w:tcW w:w="2300" w:type="dxa"/>
            <w:vAlign w:val="bottom"/>
          </w:tcPr>
          <w:p>
            <w:pPr>
              <w:spacing w:after="0"/>
              <w:rPr>
                <w:sz w:val="20"/>
                <w:szCs w:val="20"/>
                <w:color w:val="auto"/>
              </w:rPr>
            </w:pPr>
          </w:p>
        </w:tc>
        <w:tc>
          <w:tcPr>
            <w:tcW w:w="4360" w:type="dxa"/>
            <w:vAlign w:val="bottom"/>
          </w:tcPr>
          <w:p>
            <w:pPr>
              <w:jc w:val="center"/>
              <w:ind w:left="910"/>
              <w:spacing w:after="0"/>
              <w:rPr>
                <w:sz w:val="20"/>
                <w:szCs w:val="20"/>
                <w:color w:val="auto"/>
              </w:rPr>
            </w:pPr>
            <w:r>
              <w:rPr>
                <w:rFonts w:ascii="Arial" w:cs="Arial" w:eastAsia="Arial" w:hAnsi="Arial"/>
                <w:sz w:val="18"/>
                <w:szCs w:val="18"/>
                <w:b w:val="1"/>
                <w:bCs w:val="1"/>
                <w:color w:val="auto"/>
                <w:w w:val="92"/>
              </w:rPr>
              <w:t>Year</w:t>
            </w:r>
          </w:p>
        </w:tc>
        <w:tc>
          <w:tcPr>
            <w:tcW w:w="2480" w:type="dxa"/>
            <w:vAlign w:val="bottom"/>
          </w:tcPr>
          <w:p>
            <w:pPr>
              <w:jc w:val="center"/>
              <w:ind w:left="910"/>
              <w:spacing w:after="0"/>
              <w:rPr>
                <w:sz w:val="20"/>
                <w:szCs w:val="20"/>
                <w:color w:val="auto"/>
              </w:rPr>
            </w:pPr>
            <w:r>
              <w:rPr>
                <w:rFonts w:ascii="Arial" w:cs="Arial" w:eastAsia="Arial" w:hAnsi="Arial"/>
                <w:sz w:val="18"/>
                <w:szCs w:val="18"/>
                <w:b w:val="1"/>
                <w:bCs w:val="1"/>
                <w:color w:val="auto"/>
                <w:w w:val="86"/>
              </w:rPr>
              <w:t>Balance</w:t>
            </w:r>
          </w:p>
        </w:tc>
        <w:tc>
          <w:tcPr>
            <w:tcW w:w="2280" w:type="dxa"/>
            <w:vAlign w:val="bottom"/>
          </w:tcPr>
          <w:p>
            <w:pPr>
              <w:spacing w:after="0"/>
              <w:rPr>
                <w:sz w:val="20"/>
                <w:szCs w:val="20"/>
                <w:color w:val="auto"/>
              </w:rPr>
            </w:pPr>
          </w:p>
        </w:tc>
      </w:tr>
      <w:tr>
        <w:trPr>
          <w:trHeight w:val="216"/>
        </w:trPr>
        <w:tc>
          <w:tcPr>
            <w:tcW w:w="2300" w:type="dxa"/>
            <w:vAlign w:val="bottom"/>
          </w:tcPr>
          <w:p>
            <w:pPr>
              <w:spacing w:after="0"/>
              <w:rPr>
                <w:sz w:val="18"/>
                <w:szCs w:val="18"/>
                <w:color w:val="auto"/>
              </w:rPr>
            </w:pPr>
          </w:p>
        </w:tc>
        <w:tc>
          <w:tcPr>
            <w:tcW w:w="4360" w:type="dxa"/>
            <w:vAlign w:val="bottom"/>
            <w:shd w:val="clear" w:color="auto" w:fill="CCEEFF"/>
          </w:tcPr>
          <w:p>
            <w:pPr>
              <w:jc w:val="center"/>
              <w:ind w:left="910"/>
              <w:spacing w:after="0"/>
              <w:rPr>
                <w:sz w:val="20"/>
                <w:szCs w:val="20"/>
                <w:color w:val="auto"/>
              </w:rPr>
            </w:pPr>
            <w:r>
              <w:rPr>
                <w:rFonts w:ascii="Arial" w:cs="Arial" w:eastAsia="Arial" w:hAnsi="Arial"/>
                <w:sz w:val="18"/>
                <w:szCs w:val="18"/>
                <w:color w:val="auto"/>
                <w:w w:val="89"/>
              </w:rPr>
              <w:t>2007</w:t>
            </w:r>
          </w:p>
        </w:tc>
        <w:tc>
          <w:tcPr>
            <w:tcW w:w="2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79,136</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60" w:type="dxa"/>
            <w:vAlign w:val="bottom"/>
          </w:tcPr>
          <w:p>
            <w:pPr>
              <w:jc w:val="center"/>
              <w:ind w:left="910"/>
              <w:spacing w:after="0"/>
              <w:rPr>
                <w:sz w:val="20"/>
                <w:szCs w:val="20"/>
                <w:color w:val="auto"/>
              </w:rPr>
            </w:pPr>
            <w:r>
              <w:rPr>
                <w:rFonts w:ascii="Arial" w:cs="Arial" w:eastAsia="Arial" w:hAnsi="Arial"/>
                <w:sz w:val="18"/>
                <w:szCs w:val="18"/>
                <w:color w:val="auto"/>
                <w:w w:val="89"/>
              </w:rPr>
              <w:t>2008</w:t>
            </w:r>
          </w:p>
        </w:tc>
        <w:tc>
          <w:tcPr>
            <w:tcW w:w="2480" w:type="dxa"/>
            <w:vAlign w:val="bottom"/>
          </w:tcPr>
          <w:p>
            <w:pPr>
              <w:jc w:val="right"/>
              <w:ind w:right="30"/>
              <w:spacing w:after="0"/>
              <w:rPr>
                <w:sz w:val="20"/>
                <w:szCs w:val="20"/>
                <w:color w:val="auto"/>
              </w:rPr>
            </w:pPr>
            <w:r>
              <w:rPr>
                <w:rFonts w:ascii="Arial" w:cs="Arial" w:eastAsia="Arial" w:hAnsi="Arial"/>
                <w:sz w:val="18"/>
                <w:szCs w:val="18"/>
                <w:color w:val="auto"/>
              </w:rPr>
              <w:t>104,043</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60" w:type="dxa"/>
            <w:vAlign w:val="bottom"/>
            <w:shd w:val="clear" w:color="auto" w:fill="CCEEFF"/>
          </w:tcPr>
          <w:p>
            <w:pPr>
              <w:jc w:val="center"/>
              <w:ind w:left="910"/>
              <w:spacing w:after="0"/>
              <w:rPr>
                <w:sz w:val="20"/>
                <w:szCs w:val="20"/>
                <w:color w:val="auto"/>
              </w:rPr>
            </w:pPr>
            <w:r>
              <w:rPr>
                <w:rFonts w:ascii="Arial" w:cs="Arial" w:eastAsia="Arial" w:hAnsi="Arial"/>
                <w:sz w:val="18"/>
                <w:szCs w:val="18"/>
                <w:color w:val="auto"/>
                <w:w w:val="89"/>
              </w:rPr>
              <w:t>2009</w:t>
            </w:r>
          </w:p>
        </w:tc>
        <w:tc>
          <w:tcPr>
            <w:tcW w:w="2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132,220</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60" w:type="dxa"/>
            <w:vAlign w:val="bottom"/>
          </w:tcPr>
          <w:p>
            <w:pPr>
              <w:jc w:val="center"/>
              <w:ind w:left="910"/>
              <w:spacing w:after="0"/>
              <w:rPr>
                <w:sz w:val="20"/>
                <w:szCs w:val="20"/>
                <w:color w:val="auto"/>
              </w:rPr>
            </w:pPr>
            <w:r>
              <w:rPr>
                <w:rFonts w:ascii="Arial" w:cs="Arial" w:eastAsia="Arial" w:hAnsi="Arial"/>
                <w:sz w:val="18"/>
                <w:szCs w:val="18"/>
                <w:color w:val="auto"/>
                <w:w w:val="89"/>
              </w:rPr>
              <w:t>2010</w:t>
            </w:r>
          </w:p>
        </w:tc>
        <w:tc>
          <w:tcPr>
            <w:tcW w:w="2480" w:type="dxa"/>
            <w:vAlign w:val="bottom"/>
          </w:tcPr>
          <w:p>
            <w:pPr>
              <w:jc w:val="right"/>
              <w:ind w:right="30"/>
              <w:spacing w:after="0"/>
              <w:rPr>
                <w:sz w:val="20"/>
                <w:szCs w:val="20"/>
                <w:color w:val="auto"/>
              </w:rPr>
            </w:pPr>
            <w:r>
              <w:rPr>
                <w:rFonts w:ascii="Arial" w:cs="Arial" w:eastAsia="Arial" w:hAnsi="Arial"/>
                <w:sz w:val="18"/>
                <w:szCs w:val="18"/>
                <w:color w:val="auto"/>
              </w:rPr>
              <w:t>164,019</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60" w:type="dxa"/>
            <w:vAlign w:val="bottom"/>
            <w:shd w:val="clear" w:color="auto" w:fill="CCEEFF"/>
          </w:tcPr>
          <w:p>
            <w:pPr>
              <w:jc w:val="center"/>
              <w:ind w:left="910"/>
              <w:spacing w:after="0"/>
              <w:rPr>
                <w:sz w:val="20"/>
                <w:szCs w:val="20"/>
                <w:color w:val="auto"/>
              </w:rPr>
            </w:pPr>
            <w:r>
              <w:rPr>
                <w:rFonts w:ascii="Arial" w:cs="Arial" w:eastAsia="Arial" w:hAnsi="Arial"/>
                <w:sz w:val="18"/>
                <w:szCs w:val="18"/>
                <w:color w:val="auto"/>
                <w:w w:val="89"/>
              </w:rPr>
              <w:t>2011</w:t>
            </w:r>
          </w:p>
        </w:tc>
        <w:tc>
          <w:tcPr>
            <w:tcW w:w="2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199,823</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60" w:type="dxa"/>
            <w:vAlign w:val="bottom"/>
          </w:tcPr>
          <w:p>
            <w:pPr>
              <w:jc w:val="center"/>
              <w:ind w:left="910"/>
              <w:spacing w:after="0"/>
              <w:rPr>
                <w:sz w:val="20"/>
                <w:szCs w:val="20"/>
                <w:color w:val="auto"/>
              </w:rPr>
            </w:pPr>
            <w:r>
              <w:rPr>
                <w:rFonts w:ascii="Arial" w:cs="Arial" w:eastAsia="Arial" w:hAnsi="Arial"/>
                <w:sz w:val="18"/>
                <w:szCs w:val="18"/>
                <w:color w:val="auto"/>
                <w:w w:val="89"/>
              </w:rPr>
              <w:t>2012</w:t>
            </w:r>
          </w:p>
        </w:tc>
        <w:tc>
          <w:tcPr>
            <w:tcW w:w="2480" w:type="dxa"/>
            <w:vAlign w:val="bottom"/>
          </w:tcPr>
          <w:p>
            <w:pPr>
              <w:jc w:val="right"/>
              <w:ind w:right="30"/>
              <w:spacing w:after="0"/>
              <w:rPr>
                <w:sz w:val="20"/>
                <w:szCs w:val="20"/>
                <w:color w:val="auto"/>
              </w:rPr>
            </w:pPr>
            <w:r>
              <w:rPr>
                <w:rFonts w:ascii="Arial" w:cs="Arial" w:eastAsia="Arial" w:hAnsi="Arial"/>
                <w:sz w:val="18"/>
                <w:szCs w:val="18"/>
                <w:color w:val="auto"/>
              </w:rPr>
              <w:t>240,057</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60" w:type="dxa"/>
            <w:vAlign w:val="bottom"/>
            <w:shd w:val="clear" w:color="auto" w:fill="CCEEFF"/>
          </w:tcPr>
          <w:p>
            <w:pPr>
              <w:jc w:val="center"/>
              <w:ind w:left="910"/>
              <w:spacing w:after="0"/>
              <w:rPr>
                <w:sz w:val="20"/>
                <w:szCs w:val="20"/>
                <w:color w:val="auto"/>
              </w:rPr>
            </w:pPr>
            <w:r>
              <w:rPr>
                <w:rFonts w:ascii="Arial" w:cs="Arial" w:eastAsia="Arial" w:hAnsi="Arial"/>
                <w:sz w:val="18"/>
                <w:szCs w:val="18"/>
                <w:color w:val="auto"/>
                <w:w w:val="89"/>
              </w:rPr>
              <w:t>2013</w:t>
            </w:r>
          </w:p>
        </w:tc>
        <w:tc>
          <w:tcPr>
            <w:tcW w:w="2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285,182</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60" w:type="dxa"/>
            <w:vAlign w:val="bottom"/>
          </w:tcPr>
          <w:p>
            <w:pPr>
              <w:jc w:val="center"/>
              <w:ind w:left="910"/>
              <w:spacing w:after="0"/>
              <w:rPr>
                <w:sz w:val="20"/>
                <w:szCs w:val="20"/>
                <w:color w:val="auto"/>
              </w:rPr>
            </w:pPr>
            <w:r>
              <w:rPr>
                <w:rFonts w:ascii="Arial" w:cs="Arial" w:eastAsia="Arial" w:hAnsi="Arial"/>
                <w:sz w:val="18"/>
                <w:szCs w:val="18"/>
                <w:color w:val="auto"/>
                <w:w w:val="89"/>
              </w:rPr>
              <w:t>2014</w:t>
            </w:r>
          </w:p>
        </w:tc>
        <w:tc>
          <w:tcPr>
            <w:tcW w:w="2480" w:type="dxa"/>
            <w:vAlign w:val="bottom"/>
          </w:tcPr>
          <w:p>
            <w:pPr>
              <w:jc w:val="right"/>
              <w:ind w:right="30"/>
              <w:spacing w:after="0"/>
              <w:rPr>
                <w:sz w:val="20"/>
                <w:szCs w:val="20"/>
                <w:color w:val="auto"/>
              </w:rPr>
            </w:pPr>
            <w:r>
              <w:rPr>
                <w:rFonts w:ascii="Arial" w:cs="Arial" w:eastAsia="Arial" w:hAnsi="Arial"/>
                <w:sz w:val="18"/>
                <w:szCs w:val="18"/>
                <w:color w:val="auto"/>
              </w:rPr>
              <w:t>335,707</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60" w:type="dxa"/>
            <w:vAlign w:val="bottom"/>
            <w:shd w:val="clear" w:color="auto" w:fill="CCEEFF"/>
          </w:tcPr>
          <w:p>
            <w:pPr>
              <w:jc w:val="center"/>
              <w:ind w:left="910"/>
              <w:spacing w:after="0"/>
              <w:rPr>
                <w:sz w:val="20"/>
                <w:szCs w:val="20"/>
                <w:color w:val="auto"/>
              </w:rPr>
            </w:pPr>
            <w:r>
              <w:rPr>
                <w:rFonts w:ascii="Arial" w:cs="Arial" w:eastAsia="Arial" w:hAnsi="Arial"/>
                <w:sz w:val="18"/>
                <w:szCs w:val="18"/>
                <w:color w:val="auto"/>
                <w:w w:val="89"/>
              </w:rPr>
              <w:t>2015</w:t>
            </w:r>
          </w:p>
        </w:tc>
        <w:tc>
          <w:tcPr>
            <w:tcW w:w="2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392,189</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60" w:type="dxa"/>
            <w:vAlign w:val="bottom"/>
          </w:tcPr>
          <w:p>
            <w:pPr>
              <w:jc w:val="center"/>
              <w:ind w:left="910"/>
              <w:spacing w:after="0"/>
              <w:rPr>
                <w:sz w:val="20"/>
                <w:szCs w:val="20"/>
                <w:color w:val="auto"/>
              </w:rPr>
            </w:pPr>
            <w:r>
              <w:rPr>
                <w:rFonts w:ascii="Arial" w:cs="Arial" w:eastAsia="Arial" w:hAnsi="Arial"/>
                <w:sz w:val="18"/>
                <w:szCs w:val="18"/>
                <w:color w:val="auto"/>
                <w:w w:val="89"/>
              </w:rPr>
              <w:t>2016</w:t>
            </w:r>
          </w:p>
        </w:tc>
        <w:tc>
          <w:tcPr>
            <w:tcW w:w="2480" w:type="dxa"/>
            <w:vAlign w:val="bottom"/>
          </w:tcPr>
          <w:p>
            <w:pPr>
              <w:jc w:val="right"/>
              <w:ind w:right="30"/>
              <w:spacing w:after="0"/>
              <w:rPr>
                <w:sz w:val="20"/>
                <w:szCs w:val="20"/>
                <w:color w:val="auto"/>
              </w:rPr>
            </w:pPr>
            <w:r>
              <w:rPr>
                <w:rFonts w:ascii="Arial" w:cs="Arial" w:eastAsia="Arial" w:hAnsi="Arial"/>
                <w:sz w:val="18"/>
                <w:szCs w:val="18"/>
                <w:color w:val="auto"/>
              </w:rPr>
              <w:t>455,237</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60" w:type="dxa"/>
            <w:vAlign w:val="bottom"/>
            <w:shd w:val="clear" w:color="auto" w:fill="CCEEFF"/>
          </w:tcPr>
          <w:p>
            <w:pPr>
              <w:jc w:val="center"/>
              <w:ind w:left="910"/>
              <w:spacing w:after="0"/>
              <w:rPr>
                <w:sz w:val="20"/>
                <w:szCs w:val="20"/>
                <w:color w:val="auto"/>
              </w:rPr>
            </w:pPr>
            <w:r>
              <w:rPr>
                <w:rFonts w:ascii="Arial" w:cs="Arial" w:eastAsia="Arial" w:hAnsi="Arial"/>
                <w:sz w:val="18"/>
                <w:szCs w:val="18"/>
                <w:color w:val="auto"/>
                <w:w w:val="89"/>
              </w:rPr>
              <w:t>2017</w:t>
            </w:r>
          </w:p>
        </w:tc>
        <w:tc>
          <w:tcPr>
            <w:tcW w:w="2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525,521</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60" w:type="dxa"/>
            <w:vAlign w:val="bottom"/>
          </w:tcPr>
          <w:p>
            <w:pPr>
              <w:jc w:val="center"/>
              <w:ind w:left="910"/>
              <w:spacing w:after="0"/>
              <w:rPr>
                <w:sz w:val="20"/>
                <w:szCs w:val="20"/>
                <w:color w:val="auto"/>
              </w:rPr>
            </w:pPr>
            <w:r>
              <w:rPr>
                <w:rFonts w:ascii="Arial" w:cs="Arial" w:eastAsia="Arial" w:hAnsi="Arial"/>
                <w:sz w:val="18"/>
                <w:szCs w:val="18"/>
                <w:color w:val="auto"/>
                <w:w w:val="89"/>
              </w:rPr>
              <w:t>2018</w:t>
            </w:r>
          </w:p>
        </w:tc>
        <w:tc>
          <w:tcPr>
            <w:tcW w:w="2480" w:type="dxa"/>
            <w:vAlign w:val="bottom"/>
          </w:tcPr>
          <w:p>
            <w:pPr>
              <w:jc w:val="right"/>
              <w:ind w:right="30"/>
              <w:spacing w:after="0"/>
              <w:rPr>
                <w:sz w:val="20"/>
                <w:szCs w:val="20"/>
                <w:color w:val="auto"/>
              </w:rPr>
            </w:pPr>
            <w:r>
              <w:rPr>
                <w:rFonts w:ascii="Arial" w:cs="Arial" w:eastAsia="Arial" w:hAnsi="Arial"/>
                <w:sz w:val="18"/>
                <w:szCs w:val="18"/>
                <w:color w:val="auto"/>
              </w:rPr>
              <w:t>603,769</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60" w:type="dxa"/>
            <w:vAlign w:val="bottom"/>
            <w:shd w:val="clear" w:color="auto" w:fill="CCEEFF"/>
          </w:tcPr>
          <w:p>
            <w:pPr>
              <w:jc w:val="center"/>
              <w:ind w:left="910"/>
              <w:spacing w:after="0"/>
              <w:rPr>
                <w:sz w:val="20"/>
                <w:szCs w:val="20"/>
                <w:color w:val="auto"/>
              </w:rPr>
            </w:pPr>
            <w:r>
              <w:rPr>
                <w:rFonts w:ascii="Arial" w:cs="Arial" w:eastAsia="Arial" w:hAnsi="Arial"/>
                <w:sz w:val="18"/>
                <w:szCs w:val="18"/>
                <w:color w:val="auto"/>
                <w:w w:val="89"/>
              </w:rPr>
              <w:t>2019</w:t>
            </w:r>
          </w:p>
        </w:tc>
        <w:tc>
          <w:tcPr>
            <w:tcW w:w="2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690,781</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60" w:type="dxa"/>
            <w:vAlign w:val="bottom"/>
          </w:tcPr>
          <w:p>
            <w:pPr>
              <w:jc w:val="center"/>
              <w:ind w:left="910"/>
              <w:spacing w:after="0"/>
              <w:rPr>
                <w:sz w:val="20"/>
                <w:szCs w:val="20"/>
                <w:color w:val="auto"/>
              </w:rPr>
            </w:pPr>
            <w:r>
              <w:rPr>
                <w:rFonts w:ascii="Arial" w:cs="Arial" w:eastAsia="Arial" w:hAnsi="Arial"/>
                <w:sz w:val="18"/>
                <w:szCs w:val="18"/>
                <w:color w:val="auto"/>
                <w:w w:val="89"/>
              </w:rPr>
              <w:t>2020</w:t>
            </w:r>
          </w:p>
        </w:tc>
        <w:tc>
          <w:tcPr>
            <w:tcW w:w="2480" w:type="dxa"/>
            <w:vAlign w:val="bottom"/>
          </w:tcPr>
          <w:p>
            <w:pPr>
              <w:jc w:val="right"/>
              <w:ind w:right="30"/>
              <w:spacing w:after="0"/>
              <w:rPr>
                <w:sz w:val="20"/>
                <w:szCs w:val="20"/>
                <w:color w:val="auto"/>
              </w:rPr>
            </w:pPr>
            <w:r>
              <w:rPr>
                <w:rFonts w:ascii="Arial" w:cs="Arial" w:eastAsia="Arial" w:hAnsi="Arial"/>
                <w:sz w:val="18"/>
                <w:szCs w:val="18"/>
                <w:color w:val="auto"/>
              </w:rPr>
              <w:t>787,434</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60" w:type="dxa"/>
            <w:vAlign w:val="bottom"/>
            <w:shd w:val="clear" w:color="auto" w:fill="CCEEFF"/>
          </w:tcPr>
          <w:p>
            <w:pPr>
              <w:jc w:val="center"/>
              <w:ind w:left="910"/>
              <w:spacing w:after="0"/>
              <w:rPr>
                <w:sz w:val="20"/>
                <w:szCs w:val="20"/>
                <w:color w:val="auto"/>
              </w:rPr>
            </w:pPr>
            <w:r>
              <w:rPr>
                <w:rFonts w:ascii="Arial" w:cs="Arial" w:eastAsia="Arial" w:hAnsi="Arial"/>
                <w:sz w:val="18"/>
                <w:szCs w:val="18"/>
                <w:color w:val="auto"/>
                <w:w w:val="89"/>
              </w:rPr>
              <w:t>2021</w:t>
            </w:r>
          </w:p>
        </w:tc>
        <w:tc>
          <w:tcPr>
            <w:tcW w:w="2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894,684</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60" w:type="dxa"/>
            <w:vAlign w:val="bottom"/>
          </w:tcPr>
          <w:p>
            <w:pPr>
              <w:jc w:val="center"/>
              <w:ind w:left="910"/>
              <w:spacing w:after="0"/>
              <w:rPr>
                <w:sz w:val="20"/>
                <w:szCs w:val="20"/>
                <w:color w:val="auto"/>
              </w:rPr>
            </w:pPr>
            <w:r>
              <w:rPr>
                <w:rFonts w:ascii="Arial" w:cs="Arial" w:eastAsia="Arial" w:hAnsi="Arial"/>
                <w:sz w:val="18"/>
                <w:szCs w:val="18"/>
                <w:color w:val="auto"/>
                <w:w w:val="89"/>
              </w:rPr>
              <w:t>2022</w:t>
            </w:r>
          </w:p>
        </w:tc>
        <w:tc>
          <w:tcPr>
            <w:tcW w:w="2480" w:type="dxa"/>
            <w:vAlign w:val="bottom"/>
          </w:tcPr>
          <w:p>
            <w:pPr>
              <w:jc w:val="right"/>
              <w:ind w:right="30"/>
              <w:spacing w:after="0"/>
              <w:rPr>
                <w:sz w:val="20"/>
                <w:szCs w:val="20"/>
                <w:color w:val="auto"/>
              </w:rPr>
            </w:pPr>
            <w:r>
              <w:rPr>
                <w:rFonts w:ascii="Arial" w:cs="Arial" w:eastAsia="Arial" w:hAnsi="Arial"/>
                <w:sz w:val="18"/>
                <w:szCs w:val="18"/>
                <w:color w:val="auto"/>
              </w:rPr>
              <w:t>1,013,578</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60" w:type="dxa"/>
            <w:vAlign w:val="bottom"/>
            <w:shd w:val="clear" w:color="auto" w:fill="CCEEFF"/>
          </w:tcPr>
          <w:p>
            <w:pPr>
              <w:jc w:val="center"/>
              <w:ind w:left="910"/>
              <w:spacing w:after="0"/>
              <w:rPr>
                <w:sz w:val="20"/>
                <w:szCs w:val="20"/>
                <w:color w:val="auto"/>
              </w:rPr>
            </w:pPr>
            <w:r>
              <w:rPr>
                <w:rFonts w:ascii="Arial" w:cs="Arial" w:eastAsia="Arial" w:hAnsi="Arial"/>
                <w:sz w:val="18"/>
                <w:szCs w:val="18"/>
                <w:color w:val="auto"/>
                <w:w w:val="89"/>
              </w:rPr>
              <w:t>2023</w:t>
            </w:r>
          </w:p>
        </w:tc>
        <w:tc>
          <w:tcPr>
            <w:tcW w:w="2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1,145,259</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60" w:type="dxa"/>
            <w:vAlign w:val="bottom"/>
          </w:tcPr>
          <w:p>
            <w:pPr>
              <w:jc w:val="center"/>
              <w:ind w:left="910"/>
              <w:spacing w:after="0"/>
              <w:rPr>
                <w:sz w:val="20"/>
                <w:szCs w:val="20"/>
                <w:color w:val="auto"/>
              </w:rPr>
            </w:pPr>
            <w:r>
              <w:rPr>
                <w:rFonts w:ascii="Arial" w:cs="Arial" w:eastAsia="Arial" w:hAnsi="Arial"/>
                <w:sz w:val="18"/>
                <w:szCs w:val="18"/>
                <w:color w:val="auto"/>
                <w:w w:val="89"/>
              </w:rPr>
              <w:t>2024</w:t>
            </w:r>
          </w:p>
        </w:tc>
        <w:tc>
          <w:tcPr>
            <w:tcW w:w="2480" w:type="dxa"/>
            <w:vAlign w:val="bottom"/>
          </w:tcPr>
          <w:p>
            <w:pPr>
              <w:jc w:val="right"/>
              <w:ind w:right="30"/>
              <w:spacing w:after="0"/>
              <w:rPr>
                <w:sz w:val="20"/>
                <w:szCs w:val="20"/>
                <w:color w:val="auto"/>
              </w:rPr>
            </w:pPr>
            <w:r>
              <w:rPr>
                <w:rFonts w:ascii="Arial" w:cs="Arial" w:eastAsia="Arial" w:hAnsi="Arial"/>
                <w:sz w:val="18"/>
                <w:szCs w:val="18"/>
                <w:color w:val="auto"/>
              </w:rPr>
              <w:t>1,290,976</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60" w:type="dxa"/>
            <w:vAlign w:val="bottom"/>
            <w:shd w:val="clear" w:color="auto" w:fill="CCEEFF"/>
          </w:tcPr>
          <w:p>
            <w:pPr>
              <w:jc w:val="center"/>
              <w:ind w:left="910"/>
              <w:spacing w:after="0"/>
              <w:rPr>
                <w:sz w:val="20"/>
                <w:szCs w:val="20"/>
                <w:color w:val="auto"/>
              </w:rPr>
            </w:pPr>
            <w:r>
              <w:rPr>
                <w:rFonts w:ascii="Arial" w:cs="Arial" w:eastAsia="Arial" w:hAnsi="Arial"/>
                <w:sz w:val="18"/>
                <w:szCs w:val="18"/>
                <w:color w:val="auto"/>
                <w:w w:val="89"/>
              </w:rPr>
              <w:t>2025</w:t>
            </w:r>
          </w:p>
        </w:tc>
        <w:tc>
          <w:tcPr>
            <w:tcW w:w="2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1,394,014</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60" w:type="dxa"/>
            <w:vAlign w:val="bottom"/>
          </w:tcPr>
          <w:p>
            <w:pPr>
              <w:jc w:val="center"/>
              <w:ind w:left="910"/>
              <w:spacing w:after="0"/>
              <w:rPr>
                <w:sz w:val="20"/>
                <w:szCs w:val="20"/>
                <w:color w:val="auto"/>
              </w:rPr>
            </w:pPr>
            <w:r>
              <w:rPr>
                <w:rFonts w:ascii="Arial" w:cs="Arial" w:eastAsia="Arial" w:hAnsi="Arial"/>
                <w:sz w:val="18"/>
                <w:szCs w:val="18"/>
                <w:color w:val="auto"/>
                <w:w w:val="89"/>
              </w:rPr>
              <w:t>2026</w:t>
            </w:r>
          </w:p>
        </w:tc>
        <w:tc>
          <w:tcPr>
            <w:tcW w:w="2480" w:type="dxa"/>
            <w:vAlign w:val="bottom"/>
          </w:tcPr>
          <w:p>
            <w:pPr>
              <w:jc w:val="right"/>
              <w:ind w:right="30"/>
              <w:spacing w:after="0"/>
              <w:rPr>
                <w:sz w:val="20"/>
                <w:szCs w:val="20"/>
                <w:color w:val="auto"/>
              </w:rPr>
            </w:pPr>
            <w:r>
              <w:rPr>
                <w:rFonts w:ascii="Arial" w:cs="Arial" w:eastAsia="Arial" w:hAnsi="Arial"/>
                <w:sz w:val="18"/>
                <w:szCs w:val="18"/>
                <w:color w:val="auto"/>
              </w:rPr>
              <w:t>1,371,640</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60" w:type="dxa"/>
            <w:vAlign w:val="bottom"/>
            <w:shd w:val="clear" w:color="auto" w:fill="CCEEFF"/>
          </w:tcPr>
          <w:p>
            <w:pPr>
              <w:jc w:val="center"/>
              <w:ind w:left="910"/>
              <w:spacing w:after="0"/>
              <w:rPr>
                <w:sz w:val="20"/>
                <w:szCs w:val="20"/>
                <w:color w:val="auto"/>
              </w:rPr>
            </w:pPr>
            <w:r>
              <w:rPr>
                <w:rFonts w:ascii="Arial" w:cs="Arial" w:eastAsia="Arial" w:hAnsi="Arial"/>
                <w:sz w:val="18"/>
                <w:szCs w:val="18"/>
                <w:color w:val="auto"/>
                <w:w w:val="89"/>
              </w:rPr>
              <w:t>2027</w:t>
            </w:r>
          </w:p>
        </w:tc>
        <w:tc>
          <w:tcPr>
            <w:tcW w:w="2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1,347,588</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60" w:type="dxa"/>
            <w:vAlign w:val="bottom"/>
          </w:tcPr>
          <w:p>
            <w:pPr>
              <w:jc w:val="center"/>
              <w:ind w:left="910"/>
              <w:spacing w:after="0"/>
              <w:rPr>
                <w:sz w:val="20"/>
                <w:szCs w:val="20"/>
                <w:color w:val="auto"/>
              </w:rPr>
            </w:pPr>
            <w:r>
              <w:rPr>
                <w:rFonts w:ascii="Arial" w:cs="Arial" w:eastAsia="Arial" w:hAnsi="Arial"/>
                <w:sz w:val="18"/>
                <w:szCs w:val="18"/>
                <w:color w:val="auto"/>
                <w:w w:val="89"/>
              </w:rPr>
              <w:t>2028</w:t>
            </w:r>
          </w:p>
        </w:tc>
        <w:tc>
          <w:tcPr>
            <w:tcW w:w="2480" w:type="dxa"/>
            <w:vAlign w:val="bottom"/>
          </w:tcPr>
          <w:p>
            <w:pPr>
              <w:jc w:val="right"/>
              <w:ind w:right="30"/>
              <w:spacing w:after="0"/>
              <w:rPr>
                <w:sz w:val="20"/>
                <w:szCs w:val="20"/>
                <w:color w:val="auto"/>
              </w:rPr>
            </w:pPr>
            <w:r>
              <w:rPr>
                <w:rFonts w:ascii="Arial" w:cs="Arial" w:eastAsia="Arial" w:hAnsi="Arial"/>
                <w:sz w:val="18"/>
                <w:szCs w:val="18"/>
                <w:color w:val="auto"/>
              </w:rPr>
              <w:t>1,321,732</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60" w:type="dxa"/>
            <w:vAlign w:val="bottom"/>
            <w:shd w:val="clear" w:color="auto" w:fill="CCEEFF"/>
          </w:tcPr>
          <w:p>
            <w:pPr>
              <w:jc w:val="center"/>
              <w:ind w:left="910"/>
              <w:spacing w:after="0"/>
              <w:rPr>
                <w:sz w:val="20"/>
                <w:szCs w:val="20"/>
                <w:color w:val="auto"/>
              </w:rPr>
            </w:pPr>
            <w:r>
              <w:rPr>
                <w:rFonts w:ascii="Arial" w:cs="Arial" w:eastAsia="Arial" w:hAnsi="Arial"/>
                <w:sz w:val="18"/>
                <w:szCs w:val="18"/>
                <w:color w:val="auto"/>
                <w:w w:val="89"/>
              </w:rPr>
              <w:t>2029</w:t>
            </w:r>
          </w:p>
        </w:tc>
        <w:tc>
          <w:tcPr>
            <w:tcW w:w="2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1,293,937</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60" w:type="dxa"/>
            <w:vAlign w:val="bottom"/>
          </w:tcPr>
          <w:p>
            <w:pPr>
              <w:jc w:val="center"/>
              <w:ind w:left="910"/>
              <w:spacing w:after="0"/>
              <w:rPr>
                <w:sz w:val="20"/>
                <w:szCs w:val="20"/>
                <w:color w:val="auto"/>
              </w:rPr>
            </w:pPr>
            <w:r>
              <w:rPr>
                <w:rFonts w:ascii="Arial" w:cs="Arial" w:eastAsia="Arial" w:hAnsi="Arial"/>
                <w:sz w:val="18"/>
                <w:szCs w:val="18"/>
                <w:color w:val="auto"/>
                <w:w w:val="89"/>
              </w:rPr>
              <w:t>2030</w:t>
            </w:r>
          </w:p>
        </w:tc>
        <w:tc>
          <w:tcPr>
            <w:tcW w:w="2480" w:type="dxa"/>
            <w:vAlign w:val="bottom"/>
          </w:tcPr>
          <w:p>
            <w:pPr>
              <w:jc w:val="right"/>
              <w:ind w:right="30"/>
              <w:spacing w:after="0"/>
              <w:rPr>
                <w:sz w:val="20"/>
                <w:szCs w:val="20"/>
                <w:color w:val="auto"/>
              </w:rPr>
            </w:pPr>
            <w:r>
              <w:rPr>
                <w:rFonts w:ascii="Arial" w:cs="Arial" w:eastAsia="Arial" w:hAnsi="Arial"/>
                <w:sz w:val="18"/>
                <w:szCs w:val="18"/>
                <w:color w:val="auto"/>
              </w:rPr>
              <w:t>1,264,057</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60" w:type="dxa"/>
            <w:vAlign w:val="bottom"/>
            <w:shd w:val="clear" w:color="auto" w:fill="CCEEFF"/>
          </w:tcPr>
          <w:p>
            <w:pPr>
              <w:jc w:val="center"/>
              <w:ind w:left="910"/>
              <w:spacing w:after="0"/>
              <w:rPr>
                <w:sz w:val="20"/>
                <w:szCs w:val="20"/>
                <w:color w:val="auto"/>
              </w:rPr>
            </w:pPr>
            <w:r>
              <w:rPr>
                <w:rFonts w:ascii="Arial" w:cs="Arial" w:eastAsia="Arial" w:hAnsi="Arial"/>
                <w:sz w:val="18"/>
                <w:szCs w:val="18"/>
                <w:color w:val="auto"/>
                <w:w w:val="89"/>
              </w:rPr>
              <w:t>2031</w:t>
            </w:r>
          </w:p>
        </w:tc>
        <w:tc>
          <w:tcPr>
            <w:tcW w:w="2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1,231,937</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60" w:type="dxa"/>
            <w:vAlign w:val="bottom"/>
          </w:tcPr>
          <w:p>
            <w:pPr>
              <w:jc w:val="center"/>
              <w:ind w:left="910"/>
              <w:spacing w:after="0"/>
              <w:rPr>
                <w:sz w:val="20"/>
                <w:szCs w:val="20"/>
                <w:color w:val="auto"/>
              </w:rPr>
            </w:pPr>
            <w:r>
              <w:rPr>
                <w:rFonts w:ascii="Arial" w:cs="Arial" w:eastAsia="Arial" w:hAnsi="Arial"/>
                <w:sz w:val="18"/>
                <w:szCs w:val="18"/>
                <w:color w:val="auto"/>
                <w:w w:val="89"/>
              </w:rPr>
              <w:t>2032</w:t>
            </w:r>
          </w:p>
        </w:tc>
        <w:tc>
          <w:tcPr>
            <w:tcW w:w="2480" w:type="dxa"/>
            <w:vAlign w:val="bottom"/>
          </w:tcPr>
          <w:p>
            <w:pPr>
              <w:jc w:val="right"/>
              <w:ind w:right="30"/>
              <w:spacing w:after="0"/>
              <w:rPr>
                <w:sz w:val="20"/>
                <w:szCs w:val="20"/>
                <w:color w:val="auto"/>
              </w:rPr>
            </w:pPr>
            <w:r>
              <w:rPr>
                <w:rFonts w:ascii="Arial" w:cs="Arial" w:eastAsia="Arial" w:hAnsi="Arial"/>
                <w:sz w:val="18"/>
                <w:szCs w:val="18"/>
                <w:color w:val="auto"/>
              </w:rPr>
              <w:t>1,197,407</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60" w:type="dxa"/>
            <w:vAlign w:val="bottom"/>
            <w:shd w:val="clear" w:color="auto" w:fill="CCEEFF"/>
          </w:tcPr>
          <w:p>
            <w:pPr>
              <w:jc w:val="center"/>
              <w:ind w:left="910"/>
              <w:spacing w:after="0"/>
              <w:rPr>
                <w:sz w:val="20"/>
                <w:szCs w:val="20"/>
                <w:color w:val="auto"/>
              </w:rPr>
            </w:pPr>
            <w:r>
              <w:rPr>
                <w:rFonts w:ascii="Arial" w:cs="Arial" w:eastAsia="Arial" w:hAnsi="Arial"/>
                <w:sz w:val="18"/>
                <w:szCs w:val="18"/>
                <w:color w:val="auto"/>
                <w:w w:val="89"/>
              </w:rPr>
              <w:t>2033</w:t>
            </w:r>
          </w:p>
        </w:tc>
        <w:tc>
          <w:tcPr>
            <w:tcW w:w="2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1,160,287</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60" w:type="dxa"/>
            <w:vAlign w:val="bottom"/>
          </w:tcPr>
          <w:p>
            <w:pPr>
              <w:jc w:val="center"/>
              <w:ind w:left="910"/>
              <w:spacing w:after="0"/>
              <w:rPr>
                <w:sz w:val="20"/>
                <w:szCs w:val="20"/>
                <w:color w:val="auto"/>
              </w:rPr>
            </w:pPr>
            <w:r>
              <w:rPr>
                <w:rFonts w:ascii="Arial" w:cs="Arial" w:eastAsia="Arial" w:hAnsi="Arial"/>
                <w:sz w:val="18"/>
                <w:szCs w:val="18"/>
                <w:color w:val="auto"/>
                <w:w w:val="89"/>
              </w:rPr>
              <w:t>2034</w:t>
            </w:r>
          </w:p>
        </w:tc>
        <w:tc>
          <w:tcPr>
            <w:tcW w:w="2480" w:type="dxa"/>
            <w:vAlign w:val="bottom"/>
          </w:tcPr>
          <w:p>
            <w:pPr>
              <w:jc w:val="right"/>
              <w:ind w:right="30"/>
              <w:spacing w:after="0"/>
              <w:rPr>
                <w:sz w:val="20"/>
                <w:szCs w:val="20"/>
                <w:color w:val="auto"/>
              </w:rPr>
            </w:pPr>
            <w:r>
              <w:rPr>
                <w:rFonts w:ascii="Arial" w:cs="Arial" w:eastAsia="Arial" w:hAnsi="Arial"/>
                <w:sz w:val="18"/>
                <w:szCs w:val="18"/>
                <w:color w:val="auto"/>
              </w:rPr>
              <w:t>1,120,384</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60" w:type="dxa"/>
            <w:vAlign w:val="bottom"/>
            <w:shd w:val="clear" w:color="auto" w:fill="CCEEFF"/>
          </w:tcPr>
          <w:p>
            <w:pPr>
              <w:jc w:val="center"/>
              <w:ind w:left="910"/>
              <w:spacing w:after="0"/>
              <w:rPr>
                <w:sz w:val="20"/>
                <w:szCs w:val="20"/>
                <w:color w:val="auto"/>
              </w:rPr>
            </w:pPr>
            <w:r>
              <w:rPr>
                <w:rFonts w:ascii="Arial" w:cs="Arial" w:eastAsia="Arial" w:hAnsi="Arial"/>
                <w:sz w:val="18"/>
                <w:szCs w:val="18"/>
                <w:color w:val="auto"/>
                <w:w w:val="89"/>
              </w:rPr>
              <w:t>2035</w:t>
            </w:r>
          </w:p>
        </w:tc>
        <w:tc>
          <w:tcPr>
            <w:tcW w:w="2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1,077,487</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60" w:type="dxa"/>
            <w:vAlign w:val="bottom"/>
          </w:tcPr>
          <w:p>
            <w:pPr>
              <w:jc w:val="center"/>
              <w:ind w:left="910"/>
              <w:spacing w:after="0"/>
              <w:rPr>
                <w:sz w:val="20"/>
                <w:szCs w:val="20"/>
                <w:color w:val="auto"/>
              </w:rPr>
            </w:pPr>
            <w:r>
              <w:rPr>
                <w:rFonts w:ascii="Arial" w:cs="Arial" w:eastAsia="Arial" w:hAnsi="Arial"/>
                <w:sz w:val="18"/>
                <w:szCs w:val="18"/>
                <w:color w:val="auto"/>
                <w:w w:val="89"/>
              </w:rPr>
              <w:t>2036</w:t>
            </w:r>
          </w:p>
        </w:tc>
        <w:tc>
          <w:tcPr>
            <w:tcW w:w="2480" w:type="dxa"/>
            <w:vAlign w:val="bottom"/>
          </w:tcPr>
          <w:p>
            <w:pPr>
              <w:jc w:val="right"/>
              <w:ind w:right="30"/>
              <w:spacing w:after="0"/>
              <w:rPr>
                <w:sz w:val="20"/>
                <w:szCs w:val="20"/>
                <w:color w:val="auto"/>
              </w:rPr>
            </w:pPr>
            <w:r>
              <w:rPr>
                <w:rFonts w:ascii="Arial" w:cs="Arial" w:eastAsia="Arial" w:hAnsi="Arial"/>
                <w:sz w:val="18"/>
                <w:szCs w:val="18"/>
                <w:color w:val="auto"/>
              </w:rPr>
              <w:t>1,031,374</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60" w:type="dxa"/>
            <w:vAlign w:val="bottom"/>
            <w:shd w:val="clear" w:color="auto" w:fill="CCEEFF"/>
          </w:tcPr>
          <w:p>
            <w:pPr>
              <w:jc w:val="center"/>
              <w:ind w:left="910"/>
              <w:spacing w:after="0"/>
              <w:rPr>
                <w:sz w:val="20"/>
                <w:szCs w:val="20"/>
                <w:color w:val="auto"/>
              </w:rPr>
            </w:pPr>
            <w:r>
              <w:rPr>
                <w:rFonts w:ascii="Arial" w:cs="Arial" w:eastAsia="Arial" w:hAnsi="Arial"/>
                <w:sz w:val="18"/>
                <w:szCs w:val="18"/>
                <w:color w:val="auto"/>
                <w:w w:val="89"/>
              </w:rPr>
              <w:t>2037</w:t>
            </w:r>
          </w:p>
        </w:tc>
        <w:tc>
          <w:tcPr>
            <w:tcW w:w="2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981,801</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60" w:type="dxa"/>
            <w:vAlign w:val="bottom"/>
          </w:tcPr>
          <w:p>
            <w:pPr>
              <w:jc w:val="center"/>
              <w:ind w:left="910"/>
              <w:spacing w:after="0"/>
              <w:rPr>
                <w:sz w:val="20"/>
                <w:szCs w:val="20"/>
                <w:color w:val="auto"/>
              </w:rPr>
            </w:pPr>
            <w:r>
              <w:rPr>
                <w:rFonts w:ascii="Arial" w:cs="Arial" w:eastAsia="Arial" w:hAnsi="Arial"/>
                <w:sz w:val="18"/>
                <w:szCs w:val="18"/>
                <w:color w:val="auto"/>
                <w:w w:val="89"/>
              </w:rPr>
              <w:t>2038</w:t>
            </w:r>
          </w:p>
        </w:tc>
        <w:tc>
          <w:tcPr>
            <w:tcW w:w="2480" w:type="dxa"/>
            <w:vAlign w:val="bottom"/>
          </w:tcPr>
          <w:p>
            <w:pPr>
              <w:jc w:val="right"/>
              <w:ind w:right="30"/>
              <w:spacing w:after="0"/>
              <w:rPr>
                <w:sz w:val="20"/>
                <w:szCs w:val="20"/>
                <w:color w:val="auto"/>
              </w:rPr>
            </w:pPr>
            <w:r>
              <w:rPr>
                <w:rFonts w:ascii="Arial" w:cs="Arial" w:eastAsia="Arial" w:hAnsi="Arial"/>
                <w:sz w:val="18"/>
                <w:szCs w:val="18"/>
                <w:color w:val="auto"/>
              </w:rPr>
              <w:t>928,511</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60" w:type="dxa"/>
            <w:vAlign w:val="bottom"/>
            <w:shd w:val="clear" w:color="auto" w:fill="CCEEFF"/>
          </w:tcPr>
          <w:p>
            <w:pPr>
              <w:jc w:val="center"/>
              <w:ind w:left="910"/>
              <w:spacing w:after="0"/>
              <w:rPr>
                <w:sz w:val="20"/>
                <w:szCs w:val="20"/>
                <w:color w:val="auto"/>
              </w:rPr>
            </w:pPr>
            <w:r>
              <w:rPr>
                <w:rFonts w:ascii="Arial" w:cs="Arial" w:eastAsia="Arial" w:hAnsi="Arial"/>
                <w:sz w:val="18"/>
                <w:szCs w:val="18"/>
                <w:color w:val="auto"/>
                <w:w w:val="89"/>
              </w:rPr>
              <w:t>2039</w:t>
            </w:r>
          </w:p>
        </w:tc>
        <w:tc>
          <w:tcPr>
            <w:tcW w:w="2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871,224</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60" w:type="dxa"/>
            <w:vAlign w:val="bottom"/>
          </w:tcPr>
          <w:p>
            <w:pPr>
              <w:jc w:val="center"/>
              <w:ind w:left="910"/>
              <w:spacing w:after="0"/>
              <w:rPr>
                <w:sz w:val="20"/>
                <w:szCs w:val="20"/>
                <w:color w:val="auto"/>
              </w:rPr>
            </w:pPr>
            <w:r>
              <w:rPr>
                <w:rFonts w:ascii="Arial" w:cs="Arial" w:eastAsia="Arial" w:hAnsi="Arial"/>
                <w:sz w:val="18"/>
                <w:szCs w:val="18"/>
                <w:color w:val="auto"/>
                <w:w w:val="89"/>
              </w:rPr>
              <w:t>2040</w:t>
            </w:r>
          </w:p>
        </w:tc>
        <w:tc>
          <w:tcPr>
            <w:tcW w:w="2480" w:type="dxa"/>
            <w:vAlign w:val="bottom"/>
          </w:tcPr>
          <w:p>
            <w:pPr>
              <w:jc w:val="right"/>
              <w:ind w:right="30"/>
              <w:spacing w:after="0"/>
              <w:rPr>
                <w:sz w:val="20"/>
                <w:szCs w:val="20"/>
                <w:color w:val="auto"/>
              </w:rPr>
            </w:pPr>
            <w:r>
              <w:rPr>
                <w:rFonts w:ascii="Arial" w:cs="Arial" w:eastAsia="Arial" w:hAnsi="Arial"/>
                <w:sz w:val="18"/>
                <w:szCs w:val="18"/>
                <w:color w:val="auto"/>
              </w:rPr>
              <w:t>809,640</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60" w:type="dxa"/>
            <w:vAlign w:val="bottom"/>
            <w:shd w:val="clear" w:color="auto" w:fill="CCEEFF"/>
          </w:tcPr>
          <w:p>
            <w:pPr>
              <w:jc w:val="center"/>
              <w:ind w:left="910"/>
              <w:spacing w:after="0"/>
              <w:rPr>
                <w:sz w:val="20"/>
                <w:szCs w:val="20"/>
                <w:color w:val="auto"/>
              </w:rPr>
            </w:pPr>
            <w:r>
              <w:rPr>
                <w:rFonts w:ascii="Arial" w:cs="Arial" w:eastAsia="Arial" w:hAnsi="Arial"/>
                <w:sz w:val="18"/>
                <w:szCs w:val="18"/>
                <w:color w:val="auto"/>
                <w:w w:val="89"/>
              </w:rPr>
              <w:t>2041</w:t>
            </w:r>
          </w:p>
        </w:tc>
        <w:tc>
          <w:tcPr>
            <w:tcW w:w="2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743,438</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60" w:type="dxa"/>
            <w:vAlign w:val="bottom"/>
          </w:tcPr>
          <w:p>
            <w:pPr>
              <w:jc w:val="center"/>
              <w:ind w:left="910"/>
              <w:spacing w:after="0"/>
              <w:rPr>
                <w:sz w:val="20"/>
                <w:szCs w:val="20"/>
                <w:color w:val="auto"/>
              </w:rPr>
            </w:pPr>
            <w:r>
              <w:rPr>
                <w:rFonts w:ascii="Arial" w:cs="Arial" w:eastAsia="Arial" w:hAnsi="Arial"/>
                <w:sz w:val="18"/>
                <w:szCs w:val="18"/>
                <w:color w:val="auto"/>
                <w:w w:val="89"/>
              </w:rPr>
              <w:t>2042</w:t>
            </w:r>
          </w:p>
        </w:tc>
        <w:tc>
          <w:tcPr>
            <w:tcW w:w="2480" w:type="dxa"/>
            <w:vAlign w:val="bottom"/>
          </w:tcPr>
          <w:p>
            <w:pPr>
              <w:jc w:val="right"/>
              <w:ind w:right="30"/>
              <w:spacing w:after="0"/>
              <w:rPr>
                <w:sz w:val="20"/>
                <w:szCs w:val="20"/>
                <w:color w:val="auto"/>
              </w:rPr>
            </w:pPr>
            <w:r>
              <w:rPr>
                <w:rFonts w:ascii="Arial" w:cs="Arial" w:eastAsia="Arial" w:hAnsi="Arial"/>
                <w:sz w:val="18"/>
                <w:szCs w:val="18"/>
                <w:color w:val="auto"/>
              </w:rPr>
              <w:t>672,270</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60" w:type="dxa"/>
            <w:vAlign w:val="bottom"/>
            <w:shd w:val="clear" w:color="auto" w:fill="CCEEFF"/>
          </w:tcPr>
          <w:p>
            <w:pPr>
              <w:jc w:val="center"/>
              <w:ind w:left="910"/>
              <w:spacing w:after="0"/>
              <w:rPr>
                <w:sz w:val="20"/>
                <w:szCs w:val="20"/>
                <w:color w:val="auto"/>
              </w:rPr>
            </w:pPr>
            <w:r>
              <w:rPr>
                <w:rFonts w:ascii="Arial" w:cs="Arial" w:eastAsia="Arial" w:hAnsi="Arial"/>
                <w:sz w:val="18"/>
                <w:szCs w:val="18"/>
                <w:color w:val="auto"/>
                <w:w w:val="89"/>
              </w:rPr>
              <w:t>2043</w:t>
            </w:r>
          </w:p>
        </w:tc>
        <w:tc>
          <w:tcPr>
            <w:tcW w:w="2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595,766</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60" w:type="dxa"/>
            <w:vAlign w:val="bottom"/>
          </w:tcPr>
          <w:p>
            <w:pPr>
              <w:jc w:val="center"/>
              <w:ind w:left="910"/>
              <w:spacing w:after="0"/>
              <w:rPr>
                <w:sz w:val="20"/>
                <w:szCs w:val="20"/>
                <w:color w:val="auto"/>
              </w:rPr>
            </w:pPr>
            <w:r>
              <w:rPr>
                <w:rFonts w:ascii="Arial" w:cs="Arial" w:eastAsia="Arial" w:hAnsi="Arial"/>
                <w:sz w:val="18"/>
                <w:szCs w:val="18"/>
                <w:color w:val="auto"/>
                <w:w w:val="89"/>
              </w:rPr>
              <w:t>2044</w:t>
            </w:r>
          </w:p>
        </w:tc>
        <w:tc>
          <w:tcPr>
            <w:tcW w:w="2480" w:type="dxa"/>
            <w:vAlign w:val="bottom"/>
          </w:tcPr>
          <w:p>
            <w:pPr>
              <w:jc w:val="right"/>
              <w:ind w:right="30"/>
              <w:spacing w:after="0"/>
              <w:rPr>
                <w:sz w:val="20"/>
                <w:szCs w:val="20"/>
                <w:color w:val="auto"/>
              </w:rPr>
            </w:pPr>
            <w:r>
              <w:rPr>
                <w:rFonts w:ascii="Arial" w:cs="Arial" w:eastAsia="Arial" w:hAnsi="Arial"/>
                <w:sz w:val="18"/>
                <w:szCs w:val="18"/>
                <w:color w:val="auto"/>
              </w:rPr>
              <w:t>513,523</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60" w:type="dxa"/>
            <w:vAlign w:val="bottom"/>
            <w:shd w:val="clear" w:color="auto" w:fill="CCEEFF"/>
          </w:tcPr>
          <w:p>
            <w:pPr>
              <w:jc w:val="center"/>
              <w:ind w:left="910"/>
              <w:spacing w:after="0"/>
              <w:rPr>
                <w:sz w:val="20"/>
                <w:szCs w:val="20"/>
                <w:color w:val="auto"/>
              </w:rPr>
            </w:pPr>
            <w:r>
              <w:rPr>
                <w:rFonts w:ascii="Arial" w:cs="Arial" w:eastAsia="Arial" w:hAnsi="Arial"/>
                <w:sz w:val="18"/>
                <w:szCs w:val="18"/>
                <w:color w:val="auto"/>
                <w:w w:val="89"/>
              </w:rPr>
              <w:t>2045</w:t>
            </w:r>
          </w:p>
        </w:tc>
        <w:tc>
          <w:tcPr>
            <w:tcW w:w="2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425,112</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60" w:type="dxa"/>
            <w:vAlign w:val="bottom"/>
          </w:tcPr>
          <w:p>
            <w:pPr>
              <w:jc w:val="center"/>
              <w:ind w:left="910"/>
              <w:spacing w:after="0"/>
              <w:rPr>
                <w:sz w:val="20"/>
                <w:szCs w:val="20"/>
                <w:color w:val="auto"/>
              </w:rPr>
            </w:pPr>
            <w:r>
              <w:rPr>
                <w:rFonts w:ascii="Arial" w:cs="Arial" w:eastAsia="Arial" w:hAnsi="Arial"/>
                <w:sz w:val="18"/>
                <w:szCs w:val="18"/>
                <w:color w:val="auto"/>
                <w:w w:val="89"/>
              </w:rPr>
              <w:t>2046</w:t>
            </w:r>
          </w:p>
        </w:tc>
        <w:tc>
          <w:tcPr>
            <w:tcW w:w="2480" w:type="dxa"/>
            <w:vAlign w:val="bottom"/>
          </w:tcPr>
          <w:p>
            <w:pPr>
              <w:jc w:val="right"/>
              <w:ind w:right="30"/>
              <w:spacing w:after="0"/>
              <w:rPr>
                <w:sz w:val="20"/>
                <w:szCs w:val="20"/>
                <w:color w:val="auto"/>
              </w:rPr>
            </w:pPr>
            <w:r>
              <w:rPr>
                <w:rFonts w:ascii="Arial" w:cs="Arial" w:eastAsia="Arial" w:hAnsi="Arial"/>
                <w:sz w:val="18"/>
                <w:szCs w:val="18"/>
                <w:color w:val="auto"/>
              </w:rPr>
              <w:t>330,071</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60" w:type="dxa"/>
            <w:vAlign w:val="bottom"/>
            <w:shd w:val="clear" w:color="auto" w:fill="CCEEFF"/>
          </w:tcPr>
          <w:p>
            <w:pPr>
              <w:jc w:val="center"/>
              <w:ind w:left="910"/>
              <w:spacing w:after="0"/>
              <w:rPr>
                <w:sz w:val="20"/>
                <w:szCs w:val="20"/>
                <w:color w:val="auto"/>
              </w:rPr>
            </w:pPr>
            <w:r>
              <w:rPr>
                <w:rFonts w:ascii="Arial" w:cs="Arial" w:eastAsia="Arial" w:hAnsi="Arial"/>
                <w:sz w:val="18"/>
                <w:szCs w:val="18"/>
                <w:color w:val="auto"/>
                <w:w w:val="89"/>
              </w:rPr>
              <w:t>2047</w:t>
            </w:r>
          </w:p>
        </w:tc>
        <w:tc>
          <w:tcPr>
            <w:tcW w:w="2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227,901</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60" w:type="dxa"/>
            <w:vAlign w:val="bottom"/>
          </w:tcPr>
          <w:p>
            <w:pPr>
              <w:jc w:val="center"/>
              <w:ind w:left="910"/>
              <w:spacing w:after="0"/>
              <w:rPr>
                <w:sz w:val="20"/>
                <w:szCs w:val="20"/>
                <w:color w:val="auto"/>
              </w:rPr>
            </w:pPr>
            <w:r>
              <w:rPr>
                <w:rFonts w:ascii="Arial" w:cs="Arial" w:eastAsia="Arial" w:hAnsi="Arial"/>
                <w:sz w:val="18"/>
                <w:szCs w:val="18"/>
                <w:color w:val="auto"/>
                <w:w w:val="89"/>
              </w:rPr>
              <w:t>2048</w:t>
            </w:r>
          </w:p>
        </w:tc>
        <w:tc>
          <w:tcPr>
            <w:tcW w:w="2480" w:type="dxa"/>
            <w:vAlign w:val="bottom"/>
          </w:tcPr>
          <w:p>
            <w:pPr>
              <w:jc w:val="right"/>
              <w:ind w:right="30"/>
              <w:spacing w:after="0"/>
              <w:rPr>
                <w:sz w:val="20"/>
                <w:szCs w:val="20"/>
                <w:color w:val="auto"/>
              </w:rPr>
            </w:pPr>
            <w:r>
              <w:rPr>
                <w:rFonts w:ascii="Arial" w:cs="Arial" w:eastAsia="Arial" w:hAnsi="Arial"/>
                <w:sz w:val="18"/>
                <w:szCs w:val="18"/>
                <w:color w:val="auto"/>
              </w:rPr>
              <w:t>118,069</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60" w:type="dxa"/>
            <w:vAlign w:val="bottom"/>
            <w:shd w:val="clear" w:color="auto" w:fill="CCEEFF"/>
          </w:tcPr>
          <w:p>
            <w:pPr>
              <w:jc w:val="center"/>
              <w:ind w:left="910"/>
              <w:spacing w:after="0"/>
              <w:rPr>
                <w:sz w:val="20"/>
                <w:szCs w:val="20"/>
                <w:color w:val="auto"/>
              </w:rPr>
            </w:pPr>
            <w:r>
              <w:rPr>
                <w:rFonts w:ascii="Arial" w:cs="Arial" w:eastAsia="Arial" w:hAnsi="Arial"/>
                <w:sz w:val="18"/>
                <w:szCs w:val="18"/>
                <w:color w:val="auto"/>
                <w:w w:val="89"/>
              </w:rPr>
              <w:t>2049</w:t>
            </w:r>
          </w:p>
        </w:tc>
        <w:tc>
          <w:tcPr>
            <w:tcW w:w="248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60" w:type="dxa"/>
            <w:vAlign w:val="bottom"/>
          </w:tcPr>
          <w:p>
            <w:pPr>
              <w:jc w:val="center"/>
              <w:ind w:left="910"/>
              <w:spacing w:after="0"/>
              <w:rPr>
                <w:sz w:val="20"/>
                <w:szCs w:val="20"/>
                <w:color w:val="auto"/>
              </w:rPr>
            </w:pPr>
            <w:r>
              <w:rPr>
                <w:rFonts w:ascii="Arial" w:cs="Arial" w:eastAsia="Arial" w:hAnsi="Arial"/>
                <w:sz w:val="18"/>
                <w:szCs w:val="18"/>
                <w:color w:val="auto"/>
                <w:w w:val="89"/>
              </w:rPr>
              <w:t>2050</w:t>
            </w:r>
          </w:p>
        </w:tc>
        <w:tc>
          <w:tcPr>
            <w:tcW w:w="24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60" w:type="dxa"/>
            <w:vAlign w:val="bottom"/>
            <w:shd w:val="clear" w:color="auto" w:fill="CCEEFF"/>
          </w:tcPr>
          <w:p>
            <w:pPr>
              <w:jc w:val="center"/>
              <w:ind w:left="910"/>
              <w:spacing w:after="0"/>
              <w:rPr>
                <w:sz w:val="20"/>
                <w:szCs w:val="20"/>
                <w:color w:val="auto"/>
              </w:rPr>
            </w:pPr>
            <w:r>
              <w:rPr>
                <w:rFonts w:ascii="Arial" w:cs="Arial" w:eastAsia="Arial" w:hAnsi="Arial"/>
                <w:sz w:val="18"/>
                <w:szCs w:val="18"/>
                <w:color w:val="auto"/>
                <w:w w:val="89"/>
              </w:rPr>
              <w:t>2051</w:t>
            </w:r>
          </w:p>
        </w:tc>
        <w:tc>
          <w:tcPr>
            <w:tcW w:w="248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426"/>
        </w:trPr>
        <w:tc>
          <w:tcPr>
            <w:tcW w:w="230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28" w:name="page329"/>
    <w:bookmarkEnd w:id="328"/>
    <w:p>
      <w:pPr>
        <w:jc w:val="center"/>
        <w:spacing w:after="0"/>
        <w:rPr>
          <w:sz w:val="20"/>
          <w:szCs w:val="20"/>
          <w:color w:val="auto"/>
        </w:rPr>
      </w:pPr>
      <w:r>
        <w:rPr>
          <w:rFonts w:ascii="Arial" w:cs="Arial" w:eastAsia="Arial" w:hAnsi="Arial"/>
          <w:sz w:val="18"/>
          <w:szCs w:val="18"/>
          <w:color w:val="auto"/>
        </w:rPr>
        <w:t>AMENDMENT TO CORY NEWSOM DEFERRED COMPENSATION PLAN</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This Amendment is made this </w:t>
      </w:r>
      <w:r>
        <w:rPr>
          <w:rFonts w:ascii="Arial" w:cs="Arial" w:eastAsia="Arial" w:hAnsi="Arial"/>
          <w:sz w:val="18"/>
          <w:szCs w:val="18"/>
          <w:u w:val="single" w:color="auto"/>
          <w:color w:val="auto"/>
        </w:rPr>
        <w:t>19th</w:t>
      </w:r>
      <w:r>
        <w:rPr>
          <w:rFonts w:ascii="Arial" w:cs="Arial" w:eastAsia="Arial" w:hAnsi="Arial"/>
          <w:sz w:val="18"/>
          <w:szCs w:val="18"/>
          <w:color w:val="auto"/>
        </w:rPr>
        <w:t xml:space="preserve"> day of December, 2014 to be effective January 1, 2015, by CITY BANK, TEXAS (“Employer”) to the CORY NEWSOM DEFERRED COMPENSATION PLAN (the “Plan”).</w:t>
      </w:r>
    </w:p>
    <w:p>
      <w:pPr>
        <w:spacing w:after="0" w:line="19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 I T N E S S E T H:</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Employer has heretofore adopted and maintained the Plan; and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Employer now desires to amend the Plan.</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NOW, THEREFORE, to carry such Amendment in to effect, the Plan and all instruments thereof heretofore executed are hereby amended effective immediately as follows: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4.01 shall be amended to read as follows: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4.01 Participant’s Benefit shall be either (a), (b), or (c), based on the earliest payment event to occur:</w:t>
      </w:r>
    </w:p>
    <w:p>
      <w:pPr>
        <w:spacing w:after="0" w:line="248" w:lineRule="exact"/>
        <w:rPr>
          <w:sz w:val="20"/>
          <w:szCs w:val="20"/>
          <w:color w:val="auto"/>
        </w:rPr>
      </w:pPr>
    </w:p>
    <w:p>
      <w:pPr>
        <w:ind w:left="1320" w:hanging="1312"/>
        <w:spacing w:after="0" w:line="282" w:lineRule="auto"/>
        <w:tabs>
          <w:tab w:leader="none" w:pos="658" w:val="left"/>
        </w:tabs>
        <w:numPr>
          <w:ilvl w:val="0"/>
          <w:numId w:val="272"/>
        </w:numPr>
        <w:rPr>
          <w:rFonts w:ascii="MS PGothic" w:cs="MS PGothic" w:eastAsia="MS PGothic" w:hAnsi="MS PGothic"/>
          <w:sz w:val="18"/>
          <w:szCs w:val="18"/>
          <w:color w:val="auto"/>
        </w:rPr>
      </w:pPr>
      <w:r>
        <w:rPr>
          <w:rFonts w:ascii="Arial" w:cs="Arial" w:eastAsia="Arial" w:hAnsi="Arial"/>
          <w:sz w:val="18"/>
          <w:szCs w:val="18"/>
          <w:color w:val="auto"/>
        </w:rPr>
        <w:t>(a)</w:t>
      </w:r>
      <w:r>
        <w:rPr>
          <w:rFonts w:ascii="Arial" w:cs="Arial" w:eastAsia="Arial" w:hAnsi="Arial"/>
          <w:sz w:val="18"/>
          <w:szCs w:val="18"/>
          <w:b w:val="1"/>
          <w:bCs w:val="1"/>
          <w:color w:val="auto"/>
        </w:rPr>
        <w:t xml:space="preserve">Retirement Benefit. </w:t>
      </w:r>
      <w:r>
        <w:rPr>
          <w:rFonts w:ascii="Arial" w:cs="Arial" w:eastAsia="Arial" w:hAnsi="Arial"/>
          <w:sz w:val="18"/>
          <w:szCs w:val="18"/>
          <w:color w:val="auto"/>
        </w:rPr>
        <w:t>If the Participant has not Separated from Service with Employer and has attained Normal Retirement Age,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 shall pay to Participant:</w:t>
      </w:r>
    </w:p>
    <w:p>
      <w:pPr>
        <w:spacing w:after="0" w:line="192" w:lineRule="exact"/>
        <w:rPr>
          <w:rFonts w:ascii="MS PGothic" w:cs="MS PGothic" w:eastAsia="MS PGothic" w:hAnsi="MS PGothic"/>
          <w:sz w:val="18"/>
          <w:szCs w:val="18"/>
          <w:color w:val="auto"/>
        </w:rPr>
      </w:pPr>
    </w:p>
    <w:p>
      <w:pPr>
        <w:ind w:left="1960" w:hanging="655"/>
        <w:spacing w:after="0"/>
        <w:tabs>
          <w:tab w:leader="none" w:pos="1960" w:val="left"/>
        </w:tabs>
        <w:numPr>
          <w:ilvl w:val="1"/>
          <w:numId w:val="272"/>
        </w:numPr>
        <w:rPr>
          <w:rFonts w:ascii="Arial" w:cs="Arial" w:eastAsia="Arial" w:hAnsi="Arial"/>
          <w:sz w:val="18"/>
          <w:szCs w:val="18"/>
          <w:color w:val="auto"/>
        </w:rPr>
      </w:pPr>
      <w:r>
        <w:rPr>
          <w:rFonts w:ascii="Arial" w:cs="Arial" w:eastAsia="Arial" w:hAnsi="Arial"/>
          <w:sz w:val="18"/>
          <w:szCs w:val="18"/>
          <w:color w:val="auto"/>
        </w:rPr>
        <w:t>Annual payments each in the amount of $150,000.00,</w:t>
      </w:r>
    </w:p>
    <w:p>
      <w:pPr>
        <w:spacing w:after="0" w:line="252"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272"/>
        </w:numPr>
        <w:rPr>
          <w:rFonts w:ascii="Arial" w:cs="Arial" w:eastAsia="Arial" w:hAnsi="Arial"/>
          <w:sz w:val="18"/>
          <w:szCs w:val="18"/>
          <w:color w:val="auto"/>
        </w:rPr>
      </w:pPr>
      <w:r>
        <w:rPr>
          <w:rFonts w:ascii="Arial" w:cs="Arial" w:eastAsia="Arial" w:hAnsi="Arial"/>
          <w:sz w:val="18"/>
          <w:szCs w:val="18"/>
          <w:color w:val="auto"/>
        </w:rPr>
        <w:t>Commencing upon the first day of the second month following Participant’s attainment of Normal Retirement Age and thereafter annually on each successive anniversary of the first payment date.</w:t>
      </w:r>
    </w:p>
    <w:p>
      <w:pPr>
        <w:spacing w:after="0" w:line="197"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272"/>
        </w:numPr>
        <w:rPr>
          <w:rFonts w:ascii="Arial" w:cs="Arial" w:eastAsia="Arial" w:hAnsi="Arial"/>
          <w:sz w:val="18"/>
          <w:szCs w:val="18"/>
          <w:color w:val="auto"/>
        </w:rPr>
      </w:pPr>
      <w:r>
        <w:rPr>
          <w:rFonts w:ascii="Arial" w:cs="Arial" w:eastAsia="Arial" w:hAnsi="Arial"/>
          <w:sz w:val="18"/>
          <w:szCs w:val="18"/>
          <w:color w:val="auto"/>
        </w:rPr>
        <w:t>At Participant’s death after payments have begun, the Plan shall terminate and all benefits shall cease and be forfeited, including any future benefits or vested benefits.</w:t>
      </w:r>
    </w:p>
    <w:p>
      <w:pPr>
        <w:spacing w:after="0" w:line="193" w:lineRule="exact"/>
        <w:rPr>
          <w:rFonts w:ascii="Arial" w:cs="Arial" w:eastAsia="Arial" w:hAnsi="Arial"/>
          <w:sz w:val="18"/>
          <w:szCs w:val="18"/>
          <w:color w:val="auto"/>
        </w:rPr>
      </w:pPr>
    </w:p>
    <w:p>
      <w:pPr>
        <w:ind w:left="660" w:hanging="652"/>
        <w:spacing w:after="0"/>
        <w:tabs>
          <w:tab w:leader="none" w:pos="660" w:val="left"/>
        </w:tabs>
        <w:numPr>
          <w:ilvl w:val="0"/>
          <w:numId w:val="272"/>
        </w:numPr>
        <w:rPr>
          <w:rFonts w:ascii="MS PGothic" w:cs="MS PGothic" w:eastAsia="MS PGothic" w:hAnsi="MS PGothic"/>
          <w:sz w:val="18"/>
          <w:szCs w:val="18"/>
          <w:color w:val="auto"/>
        </w:rPr>
      </w:pPr>
      <w:r>
        <w:rPr>
          <w:rFonts w:ascii="Arial" w:cs="Arial" w:eastAsia="Arial" w:hAnsi="Arial"/>
          <w:sz w:val="18"/>
          <w:szCs w:val="18"/>
          <w:color w:val="auto"/>
        </w:rPr>
        <w:t>(b)</w:t>
      </w:r>
      <w:r>
        <w:rPr>
          <w:rFonts w:ascii="Arial" w:cs="Arial" w:eastAsia="Arial" w:hAnsi="Arial"/>
          <w:sz w:val="16"/>
          <w:szCs w:val="16"/>
          <w:b w:val="1"/>
          <w:bCs w:val="1"/>
          <w:color w:val="auto"/>
        </w:rPr>
        <w:t>Separation from Service Benefit.</w:t>
      </w:r>
    </w:p>
    <w:p>
      <w:pPr>
        <w:spacing w:after="0" w:line="256" w:lineRule="exact"/>
        <w:rPr>
          <w:rFonts w:ascii="MS PGothic" w:cs="MS PGothic" w:eastAsia="MS PGothic" w:hAnsi="MS PGothic"/>
          <w:sz w:val="18"/>
          <w:szCs w:val="18"/>
          <w:color w:val="auto"/>
        </w:rPr>
      </w:pPr>
    </w:p>
    <w:p>
      <w:pPr>
        <w:ind w:left="1960" w:hanging="655"/>
        <w:spacing w:after="0" w:line="277" w:lineRule="auto"/>
        <w:tabs>
          <w:tab w:leader="none" w:pos="1960" w:val="left"/>
        </w:tabs>
        <w:numPr>
          <w:ilvl w:val="1"/>
          <w:numId w:val="272"/>
        </w:numPr>
        <w:rPr>
          <w:rFonts w:ascii="Arial" w:cs="Arial" w:eastAsia="Arial" w:hAnsi="Arial"/>
          <w:sz w:val="18"/>
          <w:szCs w:val="18"/>
          <w:color w:val="auto"/>
        </w:rPr>
      </w:pPr>
      <w:r>
        <w:rPr>
          <w:rFonts w:ascii="Arial" w:cs="Arial" w:eastAsia="Arial" w:hAnsi="Arial"/>
          <w:sz w:val="18"/>
          <w:szCs w:val="18"/>
          <w:color w:val="auto"/>
        </w:rPr>
        <w:t>Except as provided in (ii), if the Participant Separates from Service with the Employer for any reason other than death, Disability, or Discharge for Cause prior to attaining Normal Retirement Age, Employer shall pay to Participant:</w:t>
      </w:r>
    </w:p>
    <w:p>
      <w:pPr>
        <w:spacing w:after="0" w:line="197" w:lineRule="exact"/>
        <w:rPr>
          <w:rFonts w:ascii="Arial" w:cs="Arial" w:eastAsia="Arial" w:hAnsi="Arial"/>
          <w:sz w:val="18"/>
          <w:szCs w:val="18"/>
          <w:color w:val="auto"/>
        </w:rPr>
      </w:pPr>
    </w:p>
    <w:p>
      <w:pPr>
        <w:jc w:val="both"/>
        <w:ind w:left="2600" w:hanging="647"/>
        <w:spacing w:after="0" w:line="264" w:lineRule="auto"/>
        <w:tabs>
          <w:tab w:leader="none" w:pos="2600" w:val="left"/>
        </w:tabs>
        <w:numPr>
          <w:ilvl w:val="2"/>
          <w:numId w:val="272"/>
        </w:numPr>
        <w:rPr>
          <w:rFonts w:ascii="Arial" w:cs="Arial" w:eastAsia="Arial" w:hAnsi="Arial"/>
          <w:sz w:val="18"/>
          <w:szCs w:val="18"/>
          <w:color w:val="auto"/>
        </w:rPr>
      </w:pPr>
      <w:r>
        <w:rPr>
          <w:rFonts w:ascii="Arial" w:cs="Arial" w:eastAsia="Arial" w:hAnsi="Arial"/>
          <w:sz w:val="18"/>
          <w:szCs w:val="18"/>
          <w:color w:val="auto"/>
        </w:rPr>
        <w:t>A lump sum amount equal to the Benefit Liability Balance as of the end of the year preceding the year in which the Participant Separated from Service multiplied by the Participant’s Vested Percentage. The schedule of the “Benefit Liability Balances” are set forth on 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9" w:name="page330"/>
    <w:bookmarkEnd w:id="329"/>
    <w:p>
      <w:pPr>
        <w:ind w:left="2592" w:hanging="647"/>
        <w:spacing w:after="0"/>
        <w:tabs>
          <w:tab w:leader="none" w:pos="2592" w:val="left"/>
        </w:tabs>
        <w:numPr>
          <w:ilvl w:val="2"/>
          <w:numId w:val="273"/>
        </w:numPr>
        <w:rPr>
          <w:rFonts w:ascii="Arial" w:cs="Arial" w:eastAsia="Arial" w:hAnsi="Arial"/>
          <w:sz w:val="17"/>
          <w:szCs w:val="17"/>
          <w:color w:val="auto"/>
        </w:rPr>
      </w:pPr>
      <w:r>
        <w:rPr>
          <w:rFonts w:ascii="Arial" w:cs="Arial" w:eastAsia="Arial" w:hAnsi="Arial"/>
          <w:sz w:val="17"/>
          <w:szCs w:val="17"/>
          <w:color w:val="auto"/>
        </w:rPr>
        <w:t>On the first day of the twenty-fourth month following the Participant’s Separation from Service from the Employer.</w:t>
      </w:r>
    </w:p>
    <w:p>
      <w:pPr>
        <w:spacing w:after="0" w:line="263" w:lineRule="exact"/>
        <w:rPr>
          <w:rFonts w:ascii="Arial" w:cs="Arial" w:eastAsia="Arial" w:hAnsi="Arial"/>
          <w:sz w:val="17"/>
          <w:szCs w:val="17"/>
          <w:color w:val="auto"/>
        </w:rPr>
      </w:pPr>
    </w:p>
    <w:p>
      <w:pPr>
        <w:ind w:left="2592" w:hanging="647"/>
        <w:spacing w:after="0" w:line="277" w:lineRule="auto"/>
        <w:tabs>
          <w:tab w:leader="none" w:pos="2592" w:val="left"/>
        </w:tabs>
        <w:numPr>
          <w:ilvl w:val="2"/>
          <w:numId w:val="273"/>
        </w:numPr>
        <w:rPr>
          <w:rFonts w:ascii="Arial" w:cs="Arial" w:eastAsia="Arial" w:hAnsi="Arial"/>
          <w:sz w:val="18"/>
          <w:szCs w:val="18"/>
          <w:color w:val="auto"/>
        </w:rPr>
      </w:pPr>
      <w:r>
        <w:rPr>
          <w:rFonts w:ascii="Arial" w:cs="Arial" w:eastAsia="Arial" w:hAnsi="Arial"/>
          <w:sz w:val="18"/>
          <w:szCs w:val="18"/>
          <w:color w:val="auto"/>
        </w:rPr>
        <w:t>If the Participant dies before the payment is made, the Plan shall terminate and all benefits shall cease and be forfeited, including any future benefits or vested benefits.</w:t>
      </w:r>
    </w:p>
    <w:p>
      <w:pPr>
        <w:spacing w:after="0" w:line="197" w:lineRule="exact"/>
        <w:rPr>
          <w:rFonts w:ascii="Arial" w:cs="Arial" w:eastAsia="Arial" w:hAnsi="Arial"/>
          <w:sz w:val="18"/>
          <w:szCs w:val="18"/>
          <w:color w:val="auto"/>
        </w:rPr>
      </w:pPr>
    </w:p>
    <w:p>
      <w:pPr>
        <w:ind w:left="1952" w:hanging="655"/>
        <w:spacing w:after="0" w:line="277" w:lineRule="auto"/>
        <w:tabs>
          <w:tab w:leader="none" w:pos="1952" w:val="left"/>
        </w:tabs>
        <w:numPr>
          <w:ilvl w:val="1"/>
          <w:numId w:val="274"/>
        </w:numPr>
        <w:rPr>
          <w:rFonts w:ascii="Arial" w:cs="Arial" w:eastAsia="Arial" w:hAnsi="Arial"/>
          <w:sz w:val="18"/>
          <w:szCs w:val="18"/>
          <w:color w:val="auto"/>
        </w:rPr>
      </w:pPr>
      <w:r>
        <w:rPr>
          <w:rFonts w:ascii="Arial" w:cs="Arial" w:eastAsia="Arial" w:hAnsi="Arial"/>
          <w:sz w:val="18"/>
          <w:szCs w:val="18"/>
          <w:color w:val="auto"/>
        </w:rPr>
        <w:t>If the Participant Separates from Service within two years after a Change of Control for any reason other than Discharge for Cause or Disability, the Employer shall pay to Participant:</w:t>
      </w:r>
    </w:p>
    <w:p>
      <w:pPr>
        <w:spacing w:after="0" w:line="197" w:lineRule="exact"/>
        <w:rPr>
          <w:rFonts w:ascii="Arial" w:cs="Arial" w:eastAsia="Arial" w:hAnsi="Arial"/>
          <w:sz w:val="18"/>
          <w:szCs w:val="18"/>
          <w:color w:val="auto"/>
        </w:rPr>
      </w:pPr>
    </w:p>
    <w:p>
      <w:pPr>
        <w:ind w:left="2592" w:hanging="647"/>
        <w:spacing w:after="0"/>
        <w:tabs>
          <w:tab w:leader="none" w:pos="2592" w:val="left"/>
        </w:tabs>
        <w:numPr>
          <w:ilvl w:val="2"/>
          <w:numId w:val="274"/>
        </w:numPr>
        <w:rPr>
          <w:rFonts w:ascii="Arial" w:cs="Arial" w:eastAsia="Arial" w:hAnsi="Arial"/>
          <w:sz w:val="18"/>
          <w:szCs w:val="18"/>
          <w:color w:val="auto"/>
        </w:rPr>
      </w:pPr>
      <w:r>
        <w:rPr>
          <w:rFonts w:ascii="Arial" w:cs="Arial" w:eastAsia="Arial" w:hAnsi="Arial"/>
          <w:sz w:val="18"/>
          <w:szCs w:val="18"/>
          <w:color w:val="auto"/>
        </w:rPr>
        <w:t>Annual payments each in the amount of $150,000.00,</w:t>
      </w:r>
    </w:p>
    <w:p>
      <w:pPr>
        <w:spacing w:after="0" w:line="252" w:lineRule="exact"/>
        <w:rPr>
          <w:rFonts w:ascii="Arial" w:cs="Arial" w:eastAsia="Arial" w:hAnsi="Arial"/>
          <w:sz w:val="18"/>
          <w:szCs w:val="18"/>
          <w:color w:val="auto"/>
        </w:rPr>
      </w:pPr>
    </w:p>
    <w:p>
      <w:pPr>
        <w:ind w:left="2592" w:hanging="647"/>
        <w:spacing w:after="0" w:line="277" w:lineRule="auto"/>
        <w:tabs>
          <w:tab w:leader="none" w:pos="2592" w:val="left"/>
        </w:tabs>
        <w:numPr>
          <w:ilvl w:val="2"/>
          <w:numId w:val="274"/>
        </w:numPr>
        <w:rPr>
          <w:rFonts w:ascii="Arial" w:cs="Arial" w:eastAsia="Arial" w:hAnsi="Arial"/>
          <w:sz w:val="18"/>
          <w:szCs w:val="18"/>
          <w:color w:val="auto"/>
        </w:rPr>
      </w:pPr>
      <w:r>
        <w:rPr>
          <w:rFonts w:ascii="Arial" w:cs="Arial" w:eastAsia="Arial" w:hAnsi="Arial"/>
          <w:sz w:val="18"/>
          <w:szCs w:val="18"/>
          <w:color w:val="auto"/>
        </w:rPr>
        <w:t>Commencing upon the first day of the second month following Participant’s attainment of Normal Retirement Age and thereafter annually on each successive anniversary of the first payment date.</w:t>
      </w:r>
    </w:p>
    <w:p>
      <w:pPr>
        <w:spacing w:after="0" w:line="197" w:lineRule="exact"/>
        <w:rPr>
          <w:rFonts w:ascii="Arial" w:cs="Arial" w:eastAsia="Arial" w:hAnsi="Arial"/>
          <w:sz w:val="18"/>
          <w:szCs w:val="18"/>
          <w:color w:val="auto"/>
        </w:rPr>
      </w:pPr>
    </w:p>
    <w:p>
      <w:pPr>
        <w:ind w:left="2592" w:hanging="647"/>
        <w:spacing w:after="0" w:line="277" w:lineRule="auto"/>
        <w:tabs>
          <w:tab w:leader="none" w:pos="2592" w:val="left"/>
        </w:tabs>
        <w:numPr>
          <w:ilvl w:val="2"/>
          <w:numId w:val="274"/>
        </w:numPr>
        <w:rPr>
          <w:rFonts w:ascii="Arial" w:cs="Arial" w:eastAsia="Arial" w:hAnsi="Arial"/>
          <w:sz w:val="18"/>
          <w:szCs w:val="18"/>
          <w:color w:val="auto"/>
        </w:rPr>
      </w:pPr>
      <w:r>
        <w:rPr>
          <w:rFonts w:ascii="Arial" w:cs="Arial" w:eastAsia="Arial" w:hAnsi="Arial"/>
          <w:sz w:val="18"/>
          <w:szCs w:val="18"/>
          <w:color w:val="auto"/>
        </w:rPr>
        <w:t>If the Participant dies before the payments begin or after payments have begun, the Plan shall terminate and all benefits shall cease and be forfeited, including any future benefits or vested benefits.</w:t>
      </w:r>
    </w:p>
    <w:p>
      <w:pPr>
        <w:spacing w:after="0" w:line="193" w:lineRule="exact"/>
        <w:rPr>
          <w:rFonts w:ascii="Arial" w:cs="Arial" w:eastAsia="Arial" w:hAnsi="Arial"/>
          <w:sz w:val="18"/>
          <w:szCs w:val="18"/>
          <w:color w:val="auto"/>
        </w:rPr>
      </w:pPr>
    </w:p>
    <w:p>
      <w:pPr>
        <w:ind w:left="1312" w:right="20" w:hanging="1312"/>
        <w:spacing w:after="0" w:line="282" w:lineRule="auto"/>
        <w:tabs>
          <w:tab w:leader="none" w:pos="650" w:val="left"/>
        </w:tabs>
        <w:numPr>
          <w:ilvl w:val="0"/>
          <w:numId w:val="274"/>
        </w:numPr>
        <w:rPr>
          <w:rFonts w:ascii="MS PGothic" w:cs="MS PGothic" w:eastAsia="MS PGothic" w:hAnsi="MS PGothic"/>
          <w:sz w:val="18"/>
          <w:szCs w:val="18"/>
          <w:color w:val="auto"/>
        </w:rPr>
      </w:pPr>
      <w:r>
        <w:rPr>
          <w:rFonts w:ascii="Arial" w:cs="Arial" w:eastAsia="Arial" w:hAnsi="Arial"/>
          <w:sz w:val="18"/>
          <w:szCs w:val="18"/>
          <w:color w:val="auto"/>
        </w:rPr>
        <w:t>(c)</w:t>
      </w:r>
      <w:r>
        <w:rPr>
          <w:rFonts w:ascii="Arial" w:cs="Arial" w:eastAsia="Arial" w:hAnsi="Arial"/>
          <w:sz w:val="18"/>
          <w:szCs w:val="18"/>
          <w:b w:val="1"/>
          <w:bCs w:val="1"/>
          <w:color w:val="auto"/>
        </w:rPr>
        <w:t xml:space="preserve">Disability Benefit. </w:t>
      </w:r>
      <w:r>
        <w:rPr>
          <w:rFonts w:ascii="Arial" w:cs="Arial" w:eastAsia="Arial" w:hAnsi="Arial"/>
          <w:sz w:val="18"/>
          <w:szCs w:val="18"/>
          <w:color w:val="auto"/>
        </w:rPr>
        <w:t>In the event the Participant is determined to be Disabled before the attainment of Normal Retirement Age or Separation</w:t>
      </w:r>
      <w:r>
        <w:rPr>
          <w:rFonts w:ascii="Arial" w:cs="Arial" w:eastAsia="Arial" w:hAnsi="Arial"/>
          <w:sz w:val="18"/>
          <w:szCs w:val="18"/>
          <w:b w:val="1"/>
          <w:bCs w:val="1"/>
          <w:color w:val="auto"/>
        </w:rPr>
        <w:t xml:space="preserve"> </w:t>
      </w:r>
      <w:r>
        <w:rPr>
          <w:rFonts w:ascii="Arial" w:cs="Arial" w:eastAsia="Arial" w:hAnsi="Arial"/>
          <w:sz w:val="18"/>
          <w:szCs w:val="18"/>
          <w:color w:val="auto"/>
        </w:rPr>
        <w:t>from Service, the Employer shall pay to the Contingent Disability Trust:</w:t>
      </w:r>
    </w:p>
    <w:p>
      <w:pPr>
        <w:spacing w:after="0" w:line="192" w:lineRule="exact"/>
        <w:rPr>
          <w:rFonts w:ascii="MS PGothic" w:cs="MS PGothic" w:eastAsia="MS PGothic" w:hAnsi="MS PGothic"/>
          <w:sz w:val="18"/>
          <w:szCs w:val="18"/>
          <w:color w:val="auto"/>
        </w:rPr>
      </w:pPr>
    </w:p>
    <w:p>
      <w:pPr>
        <w:ind w:left="1952" w:right="20" w:hanging="655"/>
        <w:spacing w:after="0" w:line="277" w:lineRule="auto"/>
        <w:tabs>
          <w:tab w:leader="none" w:pos="1952" w:val="left"/>
        </w:tabs>
        <w:numPr>
          <w:ilvl w:val="1"/>
          <w:numId w:val="275"/>
        </w:numPr>
        <w:rPr>
          <w:rFonts w:ascii="Arial" w:cs="Arial" w:eastAsia="Arial" w:hAnsi="Arial"/>
          <w:sz w:val="18"/>
          <w:szCs w:val="18"/>
          <w:color w:val="auto"/>
        </w:rPr>
      </w:pPr>
      <w:r>
        <w:rPr>
          <w:rFonts w:ascii="Arial" w:cs="Arial" w:eastAsia="Arial" w:hAnsi="Arial"/>
          <w:sz w:val="18"/>
          <w:szCs w:val="18"/>
          <w:color w:val="auto"/>
        </w:rPr>
        <w:t>a lump sum payment of the Benefit Liability Balance as of the end of the year preceding the year in which the Participant is determined to be Disabled. The schedule of the “Benefit Liability Balances” are set forth on Exhibit “A”.</w:t>
      </w:r>
    </w:p>
    <w:p>
      <w:pPr>
        <w:spacing w:after="0" w:line="197" w:lineRule="exact"/>
        <w:rPr>
          <w:rFonts w:ascii="Arial" w:cs="Arial" w:eastAsia="Arial" w:hAnsi="Arial"/>
          <w:sz w:val="18"/>
          <w:szCs w:val="18"/>
          <w:color w:val="auto"/>
        </w:rPr>
      </w:pPr>
    </w:p>
    <w:p>
      <w:pPr>
        <w:ind w:left="1952" w:hanging="655"/>
        <w:spacing w:after="0"/>
        <w:tabs>
          <w:tab w:leader="none" w:pos="1952" w:val="left"/>
        </w:tabs>
        <w:numPr>
          <w:ilvl w:val="1"/>
          <w:numId w:val="275"/>
        </w:numPr>
        <w:rPr>
          <w:rFonts w:ascii="Arial" w:cs="Arial" w:eastAsia="Arial" w:hAnsi="Arial"/>
          <w:sz w:val="18"/>
          <w:szCs w:val="18"/>
          <w:color w:val="auto"/>
        </w:rPr>
      </w:pPr>
      <w:r>
        <w:rPr>
          <w:rFonts w:ascii="Arial" w:cs="Arial" w:eastAsia="Arial" w:hAnsi="Arial"/>
          <w:sz w:val="18"/>
          <w:szCs w:val="18"/>
          <w:color w:val="auto"/>
        </w:rPr>
        <w:t>on the first day of the second month following the date the Participant is determined to be Disabled.</w:t>
      </w:r>
    </w:p>
    <w:p>
      <w:pPr>
        <w:spacing w:after="0" w:line="252" w:lineRule="exact"/>
        <w:rPr>
          <w:rFonts w:ascii="Arial" w:cs="Arial" w:eastAsia="Arial" w:hAnsi="Arial"/>
          <w:sz w:val="18"/>
          <w:szCs w:val="18"/>
          <w:color w:val="auto"/>
        </w:rPr>
      </w:pPr>
    </w:p>
    <w:p>
      <w:pPr>
        <w:ind w:left="1952" w:hanging="655"/>
        <w:spacing w:after="0" w:line="277" w:lineRule="auto"/>
        <w:tabs>
          <w:tab w:leader="none" w:pos="1952" w:val="left"/>
        </w:tabs>
        <w:numPr>
          <w:ilvl w:val="1"/>
          <w:numId w:val="275"/>
        </w:numPr>
        <w:rPr>
          <w:rFonts w:ascii="Arial" w:cs="Arial" w:eastAsia="Arial" w:hAnsi="Arial"/>
          <w:sz w:val="18"/>
          <w:szCs w:val="18"/>
          <w:color w:val="auto"/>
        </w:rPr>
      </w:pPr>
      <w:r>
        <w:rPr>
          <w:rFonts w:ascii="Arial" w:cs="Arial" w:eastAsia="Arial" w:hAnsi="Arial"/>
          <w:sz w:val="18"/>
          <w:szCs w:val="18"/>
          <w:color w:val="auto"/>
        </w:rPr>
        <w:t>If the Participant dies before the payment is made, the Plan shall terminate and all benefits shall cease and be forfeited, including any future benefits or vested benefits.</w:t>
      </w:r>
    </w:p>
    <w:p>
      <w:pPr>
        <w:spacing w:after="0" w:line="19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II.</w:t>
      </w:r>
    </w:p>
    <w:p>
      <w:pPr>
        <w:spacing w:after="0" w:line="252" w:lineRule="exact"/>
        <w:rPr>
          <w:sz w:val="20"/>
          <w:szCs w:val="20"/>
          <w:color w:val="auto"/>
        </w:rPr>
      </w:pPr>
    </w:p>
    <w:p>
      <w:pPr>
        <w:ind w:left="652"/>
        <w:spacing w:after="0"/>
        <w:rPr>
          <w:sz w:val="20"/>
          <w:szCs w:val="20"/>
          <w:color w:val="auto"/>
        </w:rPr>
      </w:pPr>
      <w:r>
        <w:rPr>
          <w:rFonts w:ascii="Arial" w:cs="Arial" w:eastAsia="Arial" w:hAnsi="Arial"/>
          <w:sz w:val="18"/>
          <w:szCs w:val="18"/>
          <w:color w:val="auto"/>
        </w:rPr>
        <w:t>Exhibit A as referenced above shall be amended to the values as set forth on the copy of such Exhibit A attached to this Amendment.</w:t>
      </w:r>
    </w:p>
    <w:p>
      <w:pPr>
        <w:spacing w:after="0" w:line="25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III.</w:t>
      </w:r>
    </w:p>
    <w:p>
      <w:pPr>
        <w:spacing w:after="0" w:line="252" w:lineRule="exact"/>
        <w:rPr>
          <w:sz w:val="20"/>
          <w:szCs w:val="20"/>
          <w:color w:val="auto"/>
        </w:rPr>
      </w:pPr>
    </w:p>
    <w:p>
      <w:pPr>
        <w:ind w:left="652"/>
        <w:spacing w:after="0"/>
        <w:rPr>
          <w:sz w:val="20"/>
          <w:szCs w:val="20"/>
          <w:color w:val="auto"/>
        </w:rPr>
      </w:pPr>
      <w:r>
        <w:rPr>
          <w:rFonts w:ascii="Arial" w:cs="Arial" w:eastAsia="Arial" w:hAnsi="Arial"/>
          <w:sz w:val="18"/>
          <w:szCs w:val="18"/>
          <w:color w:val="auto"/>
        </w:rPr>
        <w:t>The Plan, as amended hereinabove, and all instruments thereof heretofore executed be and are hereby ratified and affirmed.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280670</wp:posOffset>
            </wp:positionV>
            <wp:extent cx="7246620" cy="171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125" w:right="239" w:bottom="1440" w:gutter="0" w:footer="0" w:header="0"/>
        </w:sectPr>
      </w:pPr>
    </w:p>
    <w:bookmarkStart w:id="330" w:name="page331"/>
    <w:bookmarkEnd w:id="330"/>
    <w:p>
      <w:pPr>
        <w:ind w:left="4520"/>
        <w:spacing w:after="0"/>
        <w:rPr>
          <w:sz w:val="20"/>
          <w:szCs w:val="20"/>
          <w:color w:val="auto"/>
        </w:rPr>
      </w:pPr>
      <w:r>
        <w:rPr>
          <w:rFonts w:ascii="Arial" w:cs="Arial" w:eastAsia="Arial" w:hAnsi="Arial"/>
          <w:sz w:val="18"/>
          <w:szCs w:val="18"/>
          <w:color w:val="auto"/>
        </w:rPr>
        <w:t>CITY BANK, TEXAS</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Curtis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14605</wp:posOffset>
            </wp:positionV>
            <wp:extent cx="3404870" cy="171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9">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14605</wp:posOffset>
            </wp:positionV>
            <wp:extent cx="3258820" cy="171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0">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Authorized Officer</w:t>
      </w:r>
    </w:p>
    <w:p>
      <w:pPr>
        <w:spacing w:after="0" w:line="23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280670</wp:posOffset>
            </wp:positionV>
            <wp:extent cx="7246620" cy="17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31" w:name="page332"/>
    <w:bookmarkEnd w:id="331"/>
    <w:p>
      <w:pPr>
        <w:jc w:val="center"/>
        <w:spacing w:after="0"/>
        <w:rPr>
          <w:sz w:val="20"/>
          <w:szCs w:val="20"/>
          <w:color w:val="auto"/>
        </w:rPr>
      </w:pPr>
      <w:r>
        <w:rPr>
          <w:rFonts w:ascii="Arial" w:cs="Arial" w:eastAsia="Arial" w:hAnsi="Arial"/>
          <w:sz w:val="18"/>
          <w:szCs w:val="18"/>
          <w:b w:val="1"/>
          <w:bCs w:val="1"/>
          <w:color w:val="auto"/>
        </w:rPr>
        <w:t>Participant Plan Summary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City Bank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Cory Newsom</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540" w:type="dxa"/>
            <w:vAlign w:val="bottom"/>
            <w:gridSpan w:val="2"/>
          </w:tcPr>
          <w:p>
            <w:pPr>
              <w:ind w:left="1160"/>
              <w:spacing w:after="0"/>
              <w:rPr>
                <w:sz w:val="20"/>
                <w:szCs w:val="20"/>
                <w:color w:val="auto"/>
              </w:rPr>
            </w:pPr>
            <w:r>
              <w:rPr>
                <w:rFonts w:ascii="Arial" w:cs="Arial" w:eastAsia="Arial" w:hAnsi="Arial"/>
                <w:sz w:val="18"/>
                <w:szCs w:val="18"/>
                <w:b w:val="1"/>
                <w:bCs w:val="1"/>
                <w:color w:val="auto"/>
              </w:rPr>
              <w:t>Benefit Liability</w:t>
            </w:r>
          </w:p>
        </w:tc>
        <w:tc>
          <w:tcPr>
            <w:tcW w:w="2280" w:type="dxa"/>
            <w:vAlign w:val="bottom"/>
          </w:tcPr>
          <w:p>
            <w:pPr>
              <w:spacing w:after="0"/>
              <w:rPr>
                <w:sz w:val="18"/>
                <w:szCs w:val="18"/>
                <w:color w:val="auto"/>
              </w:rPr>
            </w:pPr>
          </w:p>
        </w:tc>
      </w:tr>
      <w:tr>
        <w:trPr>
          <w:trHeight w:val="234"/>
        </w:trPr>
        <w:tc>
          <w:tcPr>
            <w:tcW w:w="2300" w:type="dxa"/>
            <w:vAlign w:val="bottom"/>
          </w:tcPr>
          <w:p>
            <w:pPr>
              <w:spacing w:after="0"/>
              <w:rPr>
                <w:sz w:val="20"/>
                <w:szCs w:val="20"/>
                <w:color w:val="auto"/>
              </w:rPr>
            </w:pPr>
          </w:p>
        </w:tc>
        <w:tc>
          <w:tcPr>
            <w:tcW w:w="4300" w:type="dxa"/>
            <w:vAlign w:val="bottom"/>
          </w:tcPr>
          <w:p>
            <w:pPr>
              <w:jc w:val="center"/>
              <w:ind w:left="970"/>
              <w:spacing w:after="0"/>
              <w:rPr>
                <w:sz w:val="20"/>
                <w:szCs w:val="20"/>
                <w:color w:val="auto"/>
              </w:rPr>
            </w:pPr>
            <w:r>
              <w:rPr>
                <w:rFonts w:ascii="Arial" w:cs="Arial" w:eastAsia="Arial" w:hAnsi="Arial"/>
                <w:sz w:val="18"/>
                <w:szCs w:val="18"/>
                <w:b w:val="1"/>
                <w:bCs w:val="1"/>
                <w:color w:val="auto"/>
                <w:w w:val="91"/>
              </w:rPr>
              <w:t>End of Year</w:t>
            </w:r>
          </w:p>
        </w:tc>
        <w:tc>
          <w:tcPr>
            <w:tcW w:w="1360" w:type="dxa"/>
            <w:vAlign w:val="bottom"/>
          </w:tcPr>
          <w:p>
            <w:pPr>
              <w:spacing w:after="0"/>
              <w:rPr>
                <w:sz w:val="20"/>
                <w:szCs w:val="20"/>
                <w:color w:val="auto"/>
              </w:rPr>
            </w:pPr>
          </w:p>
        </w:tc>
        <w:tc>
          <w:tcPr>
            <w:tcW w:w="1180" w:type="dxa"/>
            <w:vAlign w:val="bottom"/>
          </w:tcPr>
          <w:p>
            <w:pPr>
              <w:jc w:val="right"/>
              <w:ind w:right="350"/>
              <w:spacing w:after="0"/>
              <w:rPr>
                <w:sz w:val="20"/>
                <w:szCs w:val="20"/>
                <w:color w:val="auto"/>
              </w:rPr>
            </w:pPr>
            <w:r>
              <w:rPr>
                <w:rFonts w:ascii="Arial" w:cs="Arial" w:eastAsia="Arial" w:hAnsi="Arial"/>
                <w:sz w:val="18"/>
                <w:szCs w:val="18"/>
                <w:b w:val="1"/>
                <w:bCs w:val="1"/>
                <w:color w:val="auto"/>
              </w:rPr>
              <w:t>Balance</w:t>
            </w:r>
          </w:p>
        </w:tc>
        <w:tc>
          <w:tcPr>
            <w:tcW w:w="2280" w:type="dxa"/>
            <w:vAlign w:val="bottom"/>
          </w:tcPr>
          <w:p>
            <w:pPr>
              <w:spacing w:after="0"/>
              <w:rPr>
                <w:sz w:val="20"/>
                <w:szCs w:val="20"/>
                <w:color w:val="auto"/>
              </w:rPr>
            </w:pPr>
          </w:p>
        </w:tc>
      </w:tr>
      <w:tr>
        <w:trPr>
          <w:trHeight w:val="216"/>
        </w:trPr>
        <w:tc>
          <w:tcPr>
            <w:tcW w:w="2300" w:type="dxa"/>
            <w:vAlign w:val="bottom"/>
          </w:tcPr>
          <w:p>
            <w:pPr>
              <w:spacing w:after="0"/>
              <w:rPr>
                <w:sz w:val="18"/>
                <w:szCs w:val="18"/>
                <w:color w:val="auto"/>
              </w:rPr>
            </w:pPr>
          </w:p>
        </w:tc>
        <w:tc>
          <w:tcPr>
            <w:tcW w:w="4300" w:type="dxa"/>
            <w:vAlign w:val="bottom"/>
            <w:shd w:val="clear" w:color="auto" w:fill="CCEEFF"/>
          </w:tcPr>
          <w:p>
            <w:pPr>
              <w:jc w:val="center"/>
              <w:ind w:left="970"/>
              <w:spacing w:after="0"/>
              <w:rPr>
                <w:sz w:val="20"/>
                <w:szCs w:val="20"/>
                <w:color w:val="auto"/>
              </w:rPr>
            </w:pPr>
            <w:r>
              <w:rPr>
                <w:rFonts w:ascii="Arial" w:cs="Arial" w:eastAsia="Arial" w:hAnsi="Arial"/>
                <w:sz w:val="18"/>
                <w:szCs w:val="18"/>
                <w:color w:val="auto"/>
                <w:w w:val="89"/>
              </w:rPr>
              <w:t>2015</w:t>
            </w:r>
          </w:p>
        </w:tc>
        <w:tc>
          <w:tcPr>
            <w:tcW w:w="136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426,146</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00" w:type="dxa"/>
            <w:vAlign w:val="bottom"/>
          </w:tcPr>
          <w:p>
            <w:pPr>
              <w:jc w:val="center"/>
              <w:ind w:left="970"/>
              <w:spacing w:after="0"/>
              <w:rPr>
                <w:sz w:val="20"/>
                <w:szCs w:val="20"/>
                <w:color w:val="auto"/>
              </w:rPr>
            </w:pPr>
            <w:r>
              <w:rPr>
                <w:rFonts w:ascii="Arial" w:cs="Arial" w:eastAsia="Arial" w:hAnsi="Arial"/>
                <w:sz w:val="18"/>
                <w:szCs w:val="18"/>
                <w:color w:val="auto"/>
                <w:w w:val="89"/>
              </w:rPr>
              <w:t>2016</w:t>
            </w:r>
          </w:p>
        </w:tc>
        <w:tc>
          <w:tcPr>
            <w:tcW w:w="13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525,520</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00" w:type="dxa"/>
            <w:vAlign w:val="bottom"/>
            <w:shd w:val="clear" w:color="auto" w:fill="CCEEFF"/>
          </w:tcPr>
          <w:p>
            <w:pPr>
              <w:jc w:val="center"/>
              <w:ind w:left="970"/>
              <w:spacing w:after="0"/>
              <w:rPr>
                <w:sz w:val="20"/>
                <w:szCs w:val="20"/>
                <w:color w:val="auto"/>
              </w:rPr>
            </w:pPr>
            <w:r>
              <w:rPr>
                <w:rFonts w:ascii="Arial" w:cs="Arial" w:eastAsia="Arial" w:hAnsi="Arial"/>
                <w:sz w:val="18"/>
                <w:szCs w:val="18"/>
                <w:color w:val="auto"/>
                <w:w w:val="89"/>
              </w:rPr>
              <w:t>2017</w:t>
            </w:r>
          </w:p>
        </w:tc>
        <w:tc>
          <w:tcPr>
            <w:tcW w:w="1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634,734</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00" w:type="dxa"/>
            <w:vAlign w:val="bottom"/>
          </w:tcPr>
          <w:p>
            <w:pPr>
              <w:jc w:val="center"/>
              <w:ind w:left="970"/>
              <w:spacing w:after="0"/>
              <w:rPr>
                <w:sz w:val="20"/>
                <w:szCs w:val="20"/>
                <w:color w:val="auto"/>
              </w:rPr>
            </w:pPr>
            <w:r>
              <w:rPr>
                <w:rFonts w:ascii="Arial" w:cs="Arial" w:eastAsia="Arial" w:hAnsi="Arial"/>
                <w:sz w:val="18"/>
                <w:szCs w:val="18"/>
                <w:color w:val="auto"/>
                <w:w w:val="89"/>
              </w:rPr>
              <w:t>2018</w:t>
            </w:r>
          </w:p>
        </w:tc>
        <w:tc>
          <w:tcPr>
            <w:tcW w:w="13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754,781</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00" w:type="dxa"/>
            <w:vAlign w:val="bottom"/>
            <w:shd w:val="clear" w:color="auto" w:fill="CCEEFF"/>
          </w:tcPr>
          <w:p>
            <w:pPr>
              <w:jc w:val="center"/>
              <w:ind w:left="970"/>
              <w:spacing w:after="0"/>
              <w:rPr>
                <w:sz w:val="20"/>
                <w:szCs w:val="20"/>
                <w:color w:val="auto"/>
              </w:rPr>
            </w:pPr>
            <w:r>
              <w:rPr>
                <w:rFonts w:ascii="Arial" w:cs="Arial" w:eastAsia="Arial" w:hAnsi="Arial"/>
                <w:sz w:val="18"/>
                <w:szCs w:val="18"/>
                <w:color w:val="auto"/>
                <w:w w:val="89"/>
              </w:rPr>
              <w:t>2019</w:t>
            </w:r>
          </w:p>
        </w:tc>
        <w:tc>
          <w:tcPr>
            <w:tcW w:w="1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886,747</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00" w:type="dxa"/>
            <w:vAlign w:val="bottom"/>
          </w:tcPr>
          <w:p>
            <w:pPr>
              <w:jc w:val="center"/>
              <w:ind w:left="970"/>
              <w:spacing w:after="0"/>
              <w:rPr>
                <w:sz w:val="20"/>
                <w:szCs w:val="20"/>
                <w:color w:val="auto"/>
              </w:rPr>
            </w:pPr>
            <w:r>
              <w:rPr>
                <w:rFonts w:ascii="Arial" w:cs="Arial" w:eastAsia="Arial" w:hAnsi="Arial"/>
                <w:sz w:val="18"/>
                <w:szCs w:val="18"/>
                <w:color w:val="auto"/>
                <w:w w:val="89"/>
              </w:rPr>
              <w:t>2020</w:t>
            </w:r>
          </w:p>
        </w:tc>
        <w:tc>
          <w:tcPr>
            <w:tcW w:w="13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1,031,818</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00" w:type="dxa"/>
            <w:vAlign w:val="bottom"/>
            <w:shd w:val="clear" w:color="auto" w:fill="CCEEFF"/>
          </w:tcPr>
          <w:p>
            <w:pPr>
              <w:jc w:val="center"/>
              <w:ind w:left="970"/>
              <w:spacing w:after="0"/>
              <w:rPr>
                <w:sz w:val="20"/>
                <w:szCs w:val="20"/>
                <w:color w:val="auto"/>
              </w:rPr>
            </w:pPr>
            <w:r>
              <w:rPr>
                <w:rFonts w:ascii="Arial" w:cs="Arial" w:eastAsia="Arial" w:hAnsi="Arial"/>
                <w:sz w:val="18"/>
                <w:szCs w:val="18"/>
                <w:color w:val="auto"/>
                <w:w w:val="89"/>
              </w:rPr>
              <w:t>2021</w:t>
            </w:r>
          </w:p>
        </w:tc>
        <w:tc>
          <w:tcPr>
            <w:tcW w:w="1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1,191,292</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00" w:type="dxa"/>
            <w:vAlign w:val="bottom"/>
          </w:tcPr>
          <w:p>
            <w:pPr>
              <w:jc w:val="center"/>
              <w:ind w:left="970"/>
              <w:spacing w:after="0"/>
              <w:rPr>
                <w:sz w:val="20"/>
                <w:szCs w:val="20"/>
                <w:color w:val="auto"/>
              </w:rPr>
            </w:pPr>
            <w:r>
              <w:rPr>
                <w:rFonts w:ascii="Arial" w:cs="Arial" w:eastAsia="Arial" w:hAnsi="Arial"/>
                <w:sz w:val="18"/>
                <w:szCs w:val="18"/>
                <w:color w:val="auto"/>
                <w:w w:val="89"/>
              </w:rPr>
              <w:t>2022</w:t>
            </w:r>
          </w:p>
        </w:tc>
        <w:tc>
          <w:tcPr>
            <w:tcW w:w="13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1,366,590</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00" w:type="dxa"/>
            <w:vAlign w:val="bottom"/>
            <w:shd w:val="clear" w:color="auto" w:fill="CCEEFF"/>
          </w:tcPr>
          <w:p>
            <w:pPr>
              <w:jc w:val="center"/>
              <w:ind w:left="970"/>
              <w:spacing w:after="0"/>
              <w:rPr>
                <w:sz w:val="20"/>
                <w:szCs w:val="20"/>
                <w:color w:val="auto"/>
              </w:rPr>
            </w:pPr>
            <w:r>
              <w:rPr>
                <w:rFonts w:ascii="Arial" w:cs="Arial" w:eastAsia="Arial" w:hAnsi="Arial"/>
                <w:sz w:val="18"/>
                <w:szCs w:val="18"/>
                <w:color w:val="auto"/>
                <w:w w:val="89"/>
              </w:rPr>
              <w:t>2023</w:t>
            </w:r>
          </w:p>
        </w:tc>
        <w:tc>
          <w:tcPr>
            <w:tcW w:w="1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1,559,262</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00" w:type="dxa"/>
            <w:vAlign w:val="bottom"/>
          </w:tcPr>
          <w:p>
            <w:pPr>
              <w:jc w:val="center"/>
              <w:ind w:left="970"/>
              <w:spacing w:after="0"/>
              <w:rPr>
                <w:sz w:val="20"/>
                <w:szCs w:val="20"/>
                <w:color w:val="auto"/>
              </w:rPr>
            </w:pPr>
            <w:r>
              <w:rPr>
                <w:rFonts w:ascii="Arial" w:cs="Arial" w:eastAsia="Arial" w:hAnsi="Arial"/>
                <w:sz w:val="18"/>
                <w:szCs w:val="18"/>
                <w:color w:val="auto"/>
                <w:w w:val="89"/>
              </w:rPr>
              <w:t>2024</w:t>
            </w:r>
          </w:p>
        </w:tc>
        <w:tc>
          <w:tcPr>
            <w:tcW w:w="13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1,771,003</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00" w:type="dxa"/>
            <w:vAlign w:val="bottom"/>
            <w:shd w:val="clear" w:color="auto" w:fill="CCEEFF"/>
          </w:tcPr>
          <w:p>
            <w:pPr>
              <w:jc w:val="center"/>
              <w:ind w:left="970"/>
              <w:spacing w:after="0"/>
              <w:rPr>
                <w:sz w:val="20"/>
                <w:szCs w:val="20"/>
                <w:color w:val="auto"/>
              </w:rPr>
            </w:pPr>
            <w:r>
              <w:rPr>
                <w:rFonts w:ascii="Arial" w:cs="Arial" w:eastAsia="Arial" w:hAnsi="Arial"/>
                <w:sz w:val="18"/>
                <w:szCs w:val="18"/>
                <w:color w:val="auto"/>
                <w:w w:val="89"/>
              </w:rPr>
              <w:t>2025</w:t>
            </w:r>
          </w:p>
        </w:tc>
        <w:tc>
          <w:tcPr>
            <w:tcW w:w="1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1,742,579</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00" w:type="dxa"/>
            <w:vAlign w:val="bottom"/>
          </w:tcPr>
          <w:p>
            <w:pPr>
              <w:jc w:val="center"/>
              <w:ind w:left="970"/>
              <w:spacing w:after="0"/>
              <w:rPr>
                <w:sz w:val="20"/>
                <w:szCs w:val="20"/>
                <w:color w:val="auto"/>
              </w:rPr>
            </w:pPr>
            <w:r>
              <w:rPr>
                <w:rFonts w:ascii="Arial" w:cs="Arial" w:eastAsia="Arial" w:hAnsi="Arial"/>
                <w:sz w:val="18"/>
                <w:szCs w:val="18"/>
                <w:color w:val="auto"/>
                <w:w w:val="89"/>
              </w:rPr>
              <w:t>2026</w:t>
            </w:r>
          </w:p>
        </w:tc>
        <w:tc>
          <w:tcPr>
            <w:tcW w:w="13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1,712,022</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00" w:type="dxa"/>
            <w:vAlign w:val="bottom"/>
            <w:shd w:val="clear" w:color="auto" w:fill="CCEEFF"/>
          </w:tcPr>
          <w:p>
            <w:pPr>
              <w:jc w:val="center"/>
              <w:ind w:left="970"/>
              <w:spacing w:after="0"/>
              <w:rPr>
                <w:sz w:val="20"/>
                <w:szCs w:val="20"/>
                <w:color w:val="auto"/>
              </w:rPr>
            </w:pPr>
            <w:r>
              <w:rPr>
                <w:rFonts w:ascii="Arial" w:cs="Arial" w:eastAsia="Arial" w:hAnsi="Arial"/>
                <w:sz w:val="18"/>
                <w:szCs w:val="18"/>
                <w:color w:val="auto"/>
                <w:w w:val="89"/>
              </w:rPr>
              <w:t>2027</w:t>
            </w:r>
          </w:p>
        </w:tc>
        <w:tc>
          <w:tcPr>
            <w:tcW w:w="1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1,679,174</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00" w:type="dxa"/>
            <w:vAlign w:val="bottom"/>
          </w:tcPr>
          <w:p>
            <w:pPr>
              <w:jc w:val="center"/>
              <w:ind w:left="970"/>
              <w:spacing w:after="0"/>
              <w:rPr>
                <w:sz w:val="20"/>
                <w:szCs w:val="20"/>
                <w:color w:val="auto"/>
              </w:rPr>
            </w:pPr>
            <w:r>
              <w:rPr>
                <w:rFonts w:ascii="Arial" w:cs="Arial" w:eastAsia="Arial" w:hAnsi="Arial"/>
                <w:sz w:val="18"/>
                <w:szCs w:val="18"/>
                <w:color w:val="auto"/>
                <w:w w:val="89"/>
              </w:rPr>
              <w:t>2028</w:t>
            </w:r>
          </w:p>
        </w:tc>
        <w:tc>
          <w:tcPr>
            <w:tcW w:w="13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1,643,862</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00" w:type="dxa"/>
            <w:vAlign w:val="bottom"/>
            <w:shd w:val="clear" w:color="auto" w:fill="CCEEFF"/>
          </w:tcPr>
          <w:p>
            <w:pPr>
              <w:jc w:val="center"/>
              <w:ind w:left="970"/>
              <w:spacing w:after="0"/>
              <w:rPr>
                <w:sz w:val="20"/>
                <w:szCs w:val="20"/>
                <w:color w:val="auto"/>
              </w:rPr>
            </w:pPr>
            <w:r>
              <w:rPr>
                <w:rFonts w:ascii="Arial" w:cs="Arial" w:eastAsia="Arial" w:hAnsi="Arial"/>
                <w:sz w:val="18"/>
                <w:szCs w:val="18"/>
                <w:color w:val="auto"/>
                <w:w w:val="89"/>
              </w:rPr>
              <w:t>2029</w:t>
            </w:r>
          </w:p>
        </w:tc>
        <w:tc>
          <w:tcPr>
            <w:tcW w:w="1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1,605,901</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00" w:type="dxa"/>
            <w:vAlign w:val="bottom"/>
          </w:tcPr>
          <w:p>
            <w:pPr>
              <w:jc w:val="center"/>
              <w:ind w:left="970"/>
              <w:spacing w:after="0"/>
              <w:rPr>
                <w:sz w:val="20"/>
                <w:szCs w:val="20"/>
                <w:color w:val="auto"/>
              </w:rPr>
            </w:pPr>
            <w:r>
              <w:rPr>
                <w:rFonts w:ascii="Arial" w:cs="Arial" w:eastAsia="Arial" w:hAnsi="Arial"/>
                <w:sz w:val="18"/>
                <w:szCs w:val="18"/>
                <w:color w:val="auto"/>
                <w:w w:val="89"/>
              </w:rPr>
              <w:t>2030</w:t>
            </w:r>
          </w:p>
        </w:tc>
        <w:tc>
          <w:tcPr>
            <w:tcW w:w="13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1,565,094</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00" w:type="dxa"/>
            <w:vAlign w:val="bottom"/>
            <w:shd w:val="clear" w:color="auto" w:fill="CCEEFF"/>
          </w:tcPr>
          <w:p>
            <w:pPr>
              <w:jc w:val="center"/>
              <w:ind w:left="970"/>
              <w:spacing w:after="0"/>
              <w:rPr>
                <w:sz w:val="20"/>
                <w:szCs w:val="20"/>
                <w:color w:val="auto"/>
              </w:rPr>
            </w:pPr>
            <w:r>
              <w:rPr>
                <w:rFonts w:ascii="Arial" w:cs="Arial" w:eastAsia="Arial" w:hAnsi="Arial"/>
                <w:sz w:val="18"/>
                <w:szCs w:val="18"/>
                <w:color w:val="auto"/>
                <w:w w:val="89"/>
              </w:rPr>
              <w:t>2031</w:t>
            </w:r>
          </w:p>
        </w:tc>
        <w:tc>
          <w:tcPr>
            <w:tcW w:w="1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1,521,226</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00" w:type="dxa"/>
            <w:vAlign w:val="bottom"/>
          </w:tcPr>
          <w:p>
            <w:pPr>
              <w:jc w:val="center"/>
              <w:ind w:left="970"/>
              <w:spacing w:after="0"/>
              <w:rPr>
                <w:sz w:val="20"/>
                <w:szCs w:val="20"/>
                <w:color w:val="auto"/>
              </w:rPr>
            </w:pPr>
            <w:r>
              <w:rPr>
                <w:rFonts w:ascii="Arial" w:cs="Arial" w:eastAsia="Arial" w:hAnsi="Arial"/>
                <w:sz w:val="18"/>
                <w:szCs w:val="18"/>
                <w:color w:val="auto"/>
                <w:w w:val="89"/>
              </w:rPr>
              <w:t>2032</w:t>
            </w:r>
          </w:p>
        </w:tc>
        <w:tc>
          <w:tcPr>
            <w:tcW w:w="13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1,474,068</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00" w:type="dxa"/>
            <w:vAlign w:val="bottom"/>
            <w:shd w:val="clear" w:color="auto" w:fill="CCEEFF"/>
          </w:tcPr>
          <w:p>
            <w:pPr>
              <w:jc w:val="center"/>
              <w:ind w:left="970"/>
              <w:spacing w:after="0"/>
              <w:rPr>
                <w:sz w:val="20"/>
                <w:szCs w:val="20"/>
                <w:color w:val="auto"/>
              </w:rPr>
            </w:pPr>
            <w:r>
              <w:rPr>
                <w:rFonts w:ascii="Arial" w:cs="Arial" w:eastAsia="Arial" w:hAnsi="Arial"/>
                <w:sz w:val="18"/>
                <w:szCs w:val="18"/>
                <w:color w:val="auto"/>
                <w:w w:val="89"/>
              </w:rPr>
              <w:t>2033</w:t>
            </w:r>
          </w:p>
        </w:tc>
        <w:tc>
          <w:tcPr>
            <w:tcW w:w="1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1,423,373</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00" w:type="dxa"/>
            <w:vAlign w:val="bottom"/>
          </w:tcPr>
          <w:p>
            <w:pPr>
              <w:jc w:val="center"/>
              <w:ind w:left="970"/>
              <w:spacing w:after="0"/>
              <w:rPr>
                <w:sz w:val="20"/>
                <w:szCs w:val="20"/>
                <w:color w:val="auto"/>
              </w:rPr>
            </w:pPr>
            <w:r>
              <w:rPr>
                <w:rFonts w:ascii="Arial" w:cs="Arial" w:eastAsia="Arial" w:hAnsi="Arial"/>
                <w:sz w:val="18"/>
                <w:szCs w:val="18"/>
                <w:color w:val="auto"/>
                <w:w w:val="89"/>
              </w:rPr>
              <w:t>2034</w:t>
            </w:r>
          </w:p>
        </w:tc>
        <w:tc>
          <w:tcPr>
            <w:tcW w:w="13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1,368,876</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00" w:type="dxa"/>
            <w:vAlign w:val="bottom"/>
            <w:shd w:val="clear" w:color="auto" w:fill="CCEEFF"/>
          </w:tcPr>
          <w:p>
            <w:pPr>
              <w:jc w:val="center"/>
              <w:ind w:left="970"/>
              <w:spacing w:after="0"/>
              <w:rPr>
                <w:sz w:val="20"/>
                <w:szCs w:val="20"/>
                <w:color w:val="auto"/>
              </w:rPr>
            </w:pPr>
            <w:r>
              <w:rPr>
                <w:rFonts w:ascii="Arial" w:cs="Arial" w:eastAsia="Arial" w:hAnsi="Arial"/>
                <w:sz w:val="18"/>
                <w:szCs w:val="18"/>
                <w:color w:val="auto"/>
                <w:w w:val="89"/>
              </w:rPr>
              <w:t>2035</w:t>
            </w:r>
          </w:p>
        </w:tc>
        <w:tc>
          <w:tcPr>
            <w:tcW w:w="1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1,310,292</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00" w:type="dxa"/>
            <w:vAlign w:val="bottom"/>
          </w:tcPr>
          <w:p>
            <w:pPr>
              <w:jc w:val="center"/>
              <w:ind w:left="970"/>
              <w:spacing w:after="0"/>
              <w:rPr>
                <w:sz w:val="20"/>
                <w:szCs w:val="20"/>
                <w:color w:val="auto"/>
              </w:rPr>
            </w:pPr>
            <w:r>
              <w:rPr>
                <w:rFonts w:ascii="Arial" w:cs="Arial" w:eastAsia="Arial" w:hAnsi="Arial"/>
                <w:sz w:val="18"/>
                <w:szCs w:val="18"/>
                <w:color w:val="auto"/>
                <w:w w:val="89"/>
              </w:rPr>
              <w:t>2036</w:t>
            </w:r>
          </w:p>
        </w:tc>
        <w:tc>
          <w:tcPr>
            <w:tcW w:w="13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1,247,314</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00" w:type="dxa"/>
            <w:vAlign w:val="bottom"/>
            <w:shd w:val="clear" w:color="auto" w:fill="CCEEFF"/>
          </w:tcPr>
          <w:p>
            <w:pPr>
              <w:jc w:val="center"/>
              <w:ind w:left="970"/>
              <w:spacing w:after="0"/>
              <w:rPr>
                <w:sz w:val="20"/>
                <w:szCs w:val="20"/>
                <w:color w:val="auto"/>
              </w:rPr>
            </w:pPr>
            <w:r>
              <w:rPr>
                <w:rFonts w:ascii="Arial" w:cs="Arial" w:eastAsia="Arial" w:hAnsi="Arial"/>
                <w:sz w:val="18"/>
                <w:szCs w:val="18"/>
                <w:color w:val="auto"/>
                <w:w w:val="89"/>
              </w:rPr>
              <w:t>2037</w:t>
            </w:r>
          </w:p>
        </w:tc>
        <w:tc>
          <w:tcPr>
            <w:tcW w:w="1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1,179,612</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00" w:type="dxa"/>
            <w:vAlign w:val="bottom"/>
          </w:tcPr>
          <w:p>
            <w:pPr>
              <w:jc w:val="center"/>
              <w:ind w:left="970"/>
              <w:spacing w:after="0"/>
              <w:rPr>
                <w:sz w:val="20"/>
                <w:szCs w:val="20"/>
                <w:color w:val="auto"/>
              </w:rPr>
            </w:pPr>
            <w:r>
              <w:rPr>
                <w:rFonts w:ascii="Arial" w:cs="Arial" w:eastAsia="Arial" w:hAnsi="Arial"/>
                <w:sz w:val="18"/>
                <w:szCs w:val="18"/>
                <w:color w:val="auto"/>
                <w:w w:val="89"/>
              </w:rPr>
              <w:t>2038</w:t>
            </w:r>
          </w:p>
        </w:tc>
        <w:tc>
          <w:tcPr>
            <w:tcW w:w="13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1,106,833</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00" w:type="dxa"/>
            <w:vAlign w:val="bottom"/>
            <w:shd w:val="clear" w:color="auto" w:fill="CCEEFF"/>
          </w:tcPr>
          <w:p>
            <w:pPr>
              <w:jc w:val="center"/>
              <w:ind w:left="970"/>
              <w:spacing w:after="0"/>
              <w:rPr>
                <w:sz w:val="20"/>
                <w:szCs w:val="20"/>
                <w:color w:val="auto"/>
              </w:rPr>
            </w:pPr>
            <w:r>
              <w:rPr>
                <w:rFonts w:ascii="Arial" w:cs="Arial" w:eastAsia="Arial" w:hAnsi="Arial"/>
                <w:sz w:val="18"/>
                <w:szCs w:val="18"/>
                <w:color w:val="auto"/>
                <w:w w:val="89"/>
              </w:rPr>
              <w:t>2039</w:t>
            </w:r>
          </w:p>
        </w:tc>
        <w:tc>
          <w:tcPr>
            <w:tcW w:w="1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1,028,596</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00" w:type="dxa"/>
            <w:vAlign w:val="bottom"/>
          </w:tcPr>
          <w:p>
            <w:pPr>
              <w:jc w:val="center"/>
              <w:ind w:left="970"/>
              <w:spacing w:after="0"/>
              <w:rPr>
                <w:sz w:val="20"/>
                <w:szCs w:val="20"/>
                <w:color w:val="auto"/>
              </w:rPr>
            </w:pPr>
            <w:r>
              <w:rPr>
                <w:rFonts w:ascii="Arial" w:cs="Arial" w:eastAsia="Arial" w:hAnsi="Arial"/>
                <w:sz w:val="18"/>
                <w:szCs w:val="18"/>
                <w:color w:val="auto"/>
                <w:w w:val="89"/>
              </w:rPr>
              <w:t>2040</w:t>
            </w:r>
          </w:p>
        </w:tc>
        <w:tc>
          <w:tcPr>
            <w:tcW w:w="13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944,490</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00" w:type="dxa"/>
            <w:vAlign w:val="bottom"/>
            <w:shd w:val="clear" w:color="auto" w:fill="CCEEFF"/>
          </w:tcPr>
          <w:p>
            <w:pPr>
              <w:jc w:val="center"/>
              <w:ind w:left="970"/>
              <w:spacing w:after="0"/>
              <w:rPr>
                <w:sz w:val="20"/>
                <w:szCs w:val="20"/>
                <w:color w:val="auto"/>
              </w:rPr>
            </w:pPr>
            <w:r>
              <w:rPr>
                <w:rFonts w:ascii="Arial" w:cs="Arial" w:eastAsia="Arial" w:hAnsi="Arial"/>
                <w:sz w:val="18"/>
                <w:szCs w:val="18"/>
                <w:color w:val="auto"/>
                <w:w w:val="89"/>
              </w:rPr>
              <w:t>2041</w:t>
            </w:r>
          </w:p>
        </w:tc>
        <w:tc>
          <w:tcPr>
            <w:tcW w:w="1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854,077</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00" w:type="dxa"/>
            <w:vAlign w:val="bottom"/>
          </w:tcPr>
          <w:p>
            <w:pPr>
              <w:jc w:val="center"/>
              <w:ind w:left="970"/>
              <w:spacing w:after="0"/>
              <w:rPr>
                <w:sz w:val="20"/>
                <w:szCs w:val="20"/>
                <w:color w:val="auto"/>
              </w:rPr>
            </w:pPr>
            <w:r>
              <w:rPr>
                <w:rFonts w:ascii="Arial" w:cs="Arial" w:eastAsia="Arial" w:hAnsi="Arial"/>
                <w:sz w:val="18"/>
                <w:szCs w:val="18"/>
                <w:color w:val="auto"/>
                <w:w w:val="89"/>
              </w:rPr>
              <w:t>2042</w:t>
            </w:r>
          </w:p>
        </w:tc>
        <w:tc>
          <w:tcPr>
            <w:tcW w:w="13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756,883</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00" w:type="dxa"/>
            <w:vAlign w:val="bottom"/>
            <w:shd w:val="clear" w:color="auto" w:fill="CCEEFF"/>
          </w:tcPr>
          <w:p>
            <w:pPr>
              <w:jc w:val="center"/>
              <w:ind w:left="970"/>
              <w:spacing w:after="0"/>
              <w:rPr>
                <w:sz w:val="20"/>
                <w:szCs w:val="20"/>
                <w:color w:val="auto"/>
              </w:rPr>
            </w:pPr>
            <w:r>
              <w:rPr>
                <w:rFonts w:ascii="Arial" w:cs="Arial" w:eastAsia="Arial" w:hAnsi="Arial"/>
                <w:sz w:val="18"/>
                <w:szCs w:val="18"/>
                <w:color w:val="auto"/>
                <w:w w:val="89"/>
              </w:rPr>
              <w:t>2043</w:t>
            </w:r>
          </w:p>
        </w:tc>
        <w:tc>
          <w:tcPr>
            <w:tcW w:w="1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652,399</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00" w:type="dxa"/>
            <w:vAlign w:val="bottom"/>
          </w:tcPr>
          <w:p>
            <w:pPr>
              <w:jc w:val="center"/>
              <w:ind w:left="970"/>
              <w:spacing w:after="0"/>
              <w:rPr>
                <w:sz w:val="20"/>
                <w:szCs w:val="20"/>
                <w:color w:val="auto"/>
              </w:rPr>
            </w:pPr>
            <w:r>
              <w:rPr>
                <w:rFonts w:ascii="Arial" w:cs="Arial" w:eastAsia="Arial" w:hAnsi="Arial"/>
                <w:sz w:val="18"/>
                <w:szCs w:val="18"/>
                <w:color w:val="auto"/>
                <w:w w:val="89"/>
              </w:rPr>
              <w:t>2044</w:t>
            </w:r>
          </w:p>
        </w:tc>
        <w:tc>
          <w:tcPr>
            <w:tcW w:w="13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540,079</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00" w:type="dxa"/>
            <w:vAlign w:val="bottom"/>
            <w:shd w:val="clear" w:color="auto" w:fill="CCEEFF"/>
          </w:tcPr>
          <w:p>
            <w:pPr>
              <w:jc w:val="center"/>
              <w:ind w:left="970"/>
              <w:spacing w:after="0"/>
              <w:rPr>
                <w:sz w:val="20"/>
                <w:szCs w:val="20"/>
                <w:color w:val="auto"/>
              </w:rPr>
            </w:pPr>
            <w:r>
              <w:rPr>
                <w:rFonts w:ascii="Arial" w:cs="Arial" w:eastAsia="Arial" w:hAnsi="Arial"/>
                <w:sz w:val="18"/>
                <w:szCs w:val="18"/>
                <w:color w:val="auto"/>
                <w:w w:val="89"/>
              </w:rPr>
              <w:t>2045</w:t>
            </w:r>
          </w:p>
        </w:tc>
        <w:tc>
          <w:tcPr>
            <w:tcW w:w="1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419,335</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00" w:type="dxa"/>
            <w:vAlign w:val="bottom"/>
          </w:tcPr>
          <w:p>
            <w:pPr>
              <w:jc w:val="center"/>
              <w:ind w:left="970"/>
              <w:spacing w:after="0"/>
              <w:rPr>
                <w:sz w:val="20"/>
                <w:szCs w:val="20"/>
                <w:color w:val="auto"/>
              </w:rPr>
            </w:pPr>
            <w:r>
              <w:rPr>
                <w:rFonts w:ascii="Arial" w:cs="Arial" w:eastAsia="Arial" w:hAnsi="Arial"/>
                <w:sz w:val="18"/>
                <w:szCs w:val="18"/>
                <w:color w:val="auto"/>
                <w:w w:val="89"/>
              </w:rPr>
              <w:t>2046</w:t>
            </w:r>
          </w:p>
        </w:tc>
        <w:tc>
          <w:tcPr>
            <w:tcW w:w="13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289,535</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00" w:type="dxa"/>
            <w:vAlign w:val="bottom"/>
            <w:shd w:val="clear" w:color="auto" w:fill="CCEEFF"/>
          </w:tcPr>
          <w:p>
            <w:pPr>
              <w:jc w:val="center"/>
              <w:ind w:left="970"/>
              <w:spacing w:after="0"/>
              <w:rPr>
                <w:sz w:val="20"/>
                <w:szCs w:val="20"/>
                <w:color w:val="auto"/>
              </w:rPr>
            </w:pPr>
            <w:r>
              <w:rPr>
                <w:rFonts w:ascii="Arial" w:cs="Arial" w:eastAsia="Arial" w:hAnsi="Arial"/>
                <w:sz w:val="18"/>
                <w:szCs w:val="18"/>
                <w:color w:val="auto"/>
                <w:w w:val="89"/>
              </w:rPr>
              <w:t>2047</w:t>
            </w:r>
          </w:p>
        </w:tc>
        <w:tc>
          <w:tcPr>
            <w:tcW w:w="1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150,000</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00" w:type="dxa"/>
            <w:vAlign w:val="bottom"/>
          </w:tcPr>
          <w:p>
            <w:pPr>
              <w:jc w:val="center"/>
              <w:ind w:left="970"/>
              <w:spacing w:after="0"/>
              <w:rPr>
                <w:sz w:val="20"/>
                <w:szCs w:val="20"/>
                <w:color w:val="auto"/>
              </w:rPr>
            </w:pPr>
            <w:r>
              <w:rPr>
                <w:rFonts w:ascii="Arial" w:cs="Arial" w:eastAsia="Arial" w:hAnsi="Arial"/>
                <w:sz w:val="18"/>
                <w:szCs w:val="18"/>
                <w:color w:val="auto"/>
                <w:w w:val="89"/>
              </w:rPr>
              <w:t>2048</w:t>
            </w: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00" w:type="dxa"/>
            <w:vAlign w:val="bottom"/>
            <w:shd w:val="clear" w:color="auto" w:fill="CCEEFF"/>
          </w:tcPr>
          <w:p>
            <w:pPr>
              <w:jc w:val="center"/>
              <w:ind w:left="970"/>
              <w:spacing w:after="0"/>
              <w:rPr>
                <w:sz w:val="20"/>
                <w:szCs w:val="20"/>
                <w:color w:val="auto"/>
              </w:rPr>
            </w:pPr>
            <w:r>
              <w:rPr>
                <w:rFonts w:ascii="Arial" w:cs="Arial" w:eastAsia="Arial" w:hAnsi="Arial"/>
                <w:sz w:val="18"/>
                <w:szCs w:val="18"/>
                <w:color w:val="auto"/>
                <w:w w:val="89"/>
              </w:rPr>
              <w:t>2049</w:t>
            </w:r>
          </w:p>
        </w:tc>
        <w:tc>
          <w:tcPr>
            <w:tcW w:w="1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601"/>
        </w:trPr>
        <w:tc>
          <w:tcPr>
            <w:tcW w:w="230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32" w:name="page333"/>
    <w:bookmarkEnd w:id="33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2">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10.6</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BENEFICIARY DESIGNATION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spacing w:after="0"/>
        <w:tabs>
          <w:tab w:leader="none" w:pos="2260" w:val="left"/>
        </w:tabs>
        <w:rPr>
          <w:sz w:val="20"/>
          <w:szCs w:val="20"/>
          <w:color w:val="auto"/>
        </w:rPr>
      </w:pPr>
      <w:r>
        <w:rPr>
          <w:rFonts w:ascii="Arial" w:cs="Arial" w:eastAsia="Arial" w:hAnsi="Arial"/>
          <w:sz w:val="18"/>
          <w:szCs w:val="18"/>
          <w:color w:val="auto"/>
        </w:rPr>
        <w:t>Insurer and Policy Number:</w:t>
      </w:r>
      <w:r>
        <w:rPr>
          <w:sz w:val="20"/>
          <w:szCs w:val="20"/>
          <w:color w:val="auto"/>
        </w:rPr>
        <w:tab/>
      </w:r>
      <w:r>
        <w:rPr>
          <w:rFonts w:ascii="Arial" w:cs="Arial" w:eastAsia="Arial" w:hAnsi="Arial"/>
          <w:sz w:val="16"/>
          <w:szCs w:val="16"/>
          <w:color w:val="auto"/>
        </w:rPr>
        <w:t>Massachusetts Mutual Life Insurance Company Contract</w:t>
      </w:r>
    </w:p>
    <w:p>
      <w:pPr>
        <w:spacing w:after="0" w:line="23"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Certificate/Policy</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Bank:</w:t>
        <w:tab/>
        <w:t>City Bank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Insured: Cory Newsom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Insured to Bank: Executive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respective rights and duties of the Bank and the Insured in the above-referenced policy (hereinafter Policy) shall be pursuant to the terms set forth below:</w:t>
      </w:r>
    </w:p>
    <w:p>
      <w:pPr>
        <w:spacing w:after="0" w:line="275" w:lineRule="exact"/>
        <w:rPr>
          <w:sz w:val="20"/>
          <w:szCs w:val="20"/>
          <w:color w:val="auto"/>
        </w:rPr>
      </w:pPr>
    </w:p>
    <w:p>
      <w:pPr>
        <w:ind w:left="660" w:hanging="652"/>
        <w:spacing w:after="0"/>
        <w:tabs>
          <w:tab w:leader="none" w:pos="6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EFFECTIVE DATE</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Effective Date of this restated Agreement shall be January 1, 2008. The Agreement was originally effective September 1, 2002.</w:t>
      </w:r>
    </w:p>
    <w:p>
      <w:pPr>
        <w:spacing w:after="0" w:line="252" w:lineRule="exact"/>
        <w:rPr>
          <w:sz w:val="20"/>
          <w:szCs w:val="20"/>
          <w:color w:val="auto"/>
        </w:rPr>
      </w:pPr>
    </w:p>
    <w:p>
      <w:pPr>
        <w:ind w:left="660" w:hanging="652"/>
        <w:spacing w:after="0"/>
        <w:tabs>
          <w:tab w:leader="none" w:pos="66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252" w:lineRule="exact"/>
        <w:rPr>
          <w:rFonts w:ascii="Arial" w:cs="Arial" w:eastAsia="Arial" w:hAnsi="Arial"/>
          <w:sz w:val="18"/>
          <w:szCs w:val="18"/>
          <w:color w:val="auto"/>
        </w:rPr>
      </w:pPr>
    </w:p>
    <w:p>
      <w:pPr>
        <w:jc w:val="both"/>
        <w:ind w:left="660"/>
        <w:spacing w:after="0" w:line="264" w:lineRule="auto"/>
        <w:rPr>
          <w:rFonts w:ascii="Arial" w:cs="Arial" w:eastAsia="Arial" w:hAnsi="Arial"/>
          <w:sz w:val="18"/>
          <w:szCs w:val="18"/>
          <w:color w:val="auto"/>
        </w:rPr>
      </w:pPr>
      <w:r>
        <w:rPr>
          <w:rFonts w:ascii="Arial" w:cs="Arial" w:eastAsia="Arial" w:hAnsi="Arial"/>
          <w:sz w:val="18"/>
          <w:szCs w:val="18"/>
          <w:color w:val="auto"/>
        </w:rPr>
        <w:t>Refer to the Policy for the definitions of any terms in this Agreement which are not defined herein. If the definition of a term in the Policy is inconsistent with the definition of a term in this Agreement, then the definition of the term as set forth in this Agreement shall supersede and replace the definition of the term as set forth in the Policy.</w:t>
      </w:r>
    </w:p>
    <w:p>
      <w:pPr>
        <w:spacing w:after="0" w:line="208" w:lineRule="exact"/>
        <w:rPr>
          <w:rFonts w:ascii="Arial" w:cs="Arial" w:eastAsia="Arial" w:hAnsi="Arial"/>
          <w:sz w:val="18"/>
          <w:szCs w:val="18"/>
          <w:color w:val="auto"/>
        </w:rPr>
      </w:pPr>
    </w:p>
    <w:p>
      <w:pPr>
        <w:ind w:left="1140" w:hanging="484"/>
        <w:spacing w:after="0"/>
        <w:tabs>
          <w:tab w:leader="none" w:pos="1140" w:val="left"/>
        </w:tabs>
        <w:numPr>
          <w:ilvl w:val="1"/>
          <w:numId w:val="277"/>
        </w:numPr>
        <w:rPr>
          <w:rFonts w:ascii="Arial" w:cs="Arial" w:eastAsia="Arial" w:hAnsi="Arial"/>
          <w:sz w:val="18"/>
          <w:szCs w:val="18"/>
          <w:color w:val="auto"/>
        </w:rPr>
      </w:pPr>
      <w:r>
        <w:rPr>
          <w:rFonts w:ascii="Arial" w:cs="Arial" w:eastAsia="Arial" w:hAnsi="Arial"/>
          <w:sz w:val="18"/>
          <w:szCs w:val="18"/>
          <w:u w:val="single" w:color="auto"/>
          <w:color w:val="auto"/>
        </w:rPr>
        <w:t>Retirement</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7"/>
          <w:szCs w:val="17"/>
          <w:color w:val="auto"/>
        </w:rPr>
        <w:t>Retirement shall be defined as the Insured's termination of employment with the Bank on or after the date the Insured attains age 58.</w:t>
      </w:r>
    </w:p>
    <w:p>
      <w:pPr>
        <w:spacing w:after="0" w:line="263" w:lineRule="exact"/>
        <w:rPr>
          <w:rFonts w:ascii="Arial" w:cs="Arial" w:eastAsia="Arial" w:hAnsi="Arial"/>
          <w:sz w:val="18"/>
          <w:szCs w:val="18"/>
          <w:color w:val="auto"/>
        </w:rPr>
      </w:pPr>
    </w:p>
    <w:p>
      <w:pPr>
        <w:ind w:left="1140" w:hanging="484"/>
        <w:spacing w:after="0"/>
        <w:tabs>
          <w:tab w:leader="none" w:pos="1140" w:val="left"/>
        </w:tabs>
        <w:numPr>
          <w:ilvl w:val="1"/>
          <w:numId w:val="277"/>
        </w:numPr>
        <w:rPr>
          <w:rFonts w:ascii="Arial" w:cs="Arial" w:eastAsia="Arial" w:hAnsi="Arial"/>
          <w:sz w:val="18"/>
          <w:szCs w:val="18"/>
          <w:color w:val="auto"/>
        </w:rPr>
      </w:pPr>
      <w:r>
        <w:rPr>
          <w:rFonts w:ascii="Arial" w:cs="Arial" w:eastAsia="Arial" w:hAnsi="Arial"/>
          <w:sz w:val="18"/>
          <w:szCs w:val="18"/>
          <w:u w:val="single" w:color="auto"/>
          <w:color w:val="auto"/>
        </w:rPr>
        <w:t>Discharge for Cause</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140"/>
        <w:spacing w:after="0" w:line="302" w:lineRule="auto"/>
        <w:rPr>
          <w:rFonts w:ascii="Arial" w:cs="Arial" w:eastAsia="Arial" w:hAnsi="Arial"/>
          <w:sz w:val="18"/>
          <w:szCs w:val="18"/>
          <w:color w:val="auto"/>
        </w:rPr>
      </w:pPr>
      <w:r>
        <w:rPr>
          <w:rFonts w:ascii="Arial" w:cs="Arial" w:eastAsia="Arial" w:hAnsi="Arial"/>
          <w:sz w:val="16"/>
          <w:szCs w:val="16"/>
          <w:color w:val="auto"/>
        </w:rPr>
        <w:t>"Discharge for Cause" shall mean the termination of Insured's employment with the Bank as a result of any of the following: (i) the Insured's commission of a felony or gross misdemeanor involving fraud or dishonesty; (ii) the Insured's willful violation of any banking law, rule, or banking regulation; (iii) an intentional failure by Insured to perform stated duties; or (iv) a breach of fiduciary duty by Insured involving personal profit. If the Insured is permitted to resign due to inappropriate conduct as defined above, the Bank may deny all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333" w:name="page334"/>
    <w:bookmarkEnd w:id="333"/>
    <w:p>
      <w:pPr>
        <w:ind w:left="484" w:hanging="484"/>
        <w:spacing w:after="0"/>
        <w:tabs>
          <w:tab w:leader="none" w:pos="484" w:val="left"/>
        </w:tabs>
        <w:numPr>
          <w:ilvl w:val="0"/>
          <w:numId w:val="278"/>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484"/>
        <w:spacing w:after="0" w:line="285" w:lineRule="auto"/>
        <w:rPr>
          <w:rFonts w:ascii="Arial" w:cs="Arial" w:eastAsia="Arial" w:hAnsi="Arial"/>
          <w:sz w:val="18"/>
          <w:szCs w:val="18"/>
          <w:color w:val="auto"/>
        </w:rPr>
      </w:pPr>
      <w:r>
        <w:rPr>
          <w:rFonts w:ascii="Arial" w:cs="Arial" w:eastAsia="Arial" w:hAnsi="Arial"/>
          <w:sz w:val="16"/>
          <w:szCs w:val="16"/>
          <w:color w:val="auto"/>
        </w:rPr>
        <w:t>"Change of Control" shall mean a change during the Insured's employment with the Bank: (i) in the ownership of the Bank (acquisition by one or more persons acting as a group of more than 50% of the total voting power or fair market value of the Bank); (ii) in the effective control of the Bank (acquisition or acquisitions during a 12-month period ending on the date of the latest acquisition, by one or more persons acting as a group, of 30% or more of the total voting power of the Bank or replacement of a majority of the members of the board of directors of the Bank [described below, but including only the entity for which no other corporation is a majority shareholder] during any 12-month period by directors not endorsed by a majority of the board before the appointment or election); or (iii) in the ownership of a substantial portion of the assets of the Bank (acquisition or acquisitions during a 12-month period ending on the date of the latest acquisition, by one or more persons acting as a group, of assets with a total gross fair market value of 40% or more of the total gross fair market value of all assets of the Bank immediately before such acquisition or acquisitions) (There is no change in control when there is a transfer to an entity which is controlled by the shareholders of the transferring corporation. A transfer of assets by the Bank is not treated as a change in ownership of such assets if the assets are transferred to (i) a shareholder of the Bank in exchange for or with respect to its stock; (ii) an entity, 50% or more of the total value or voting power is owned by the Bank; (iii) a person or more than one person acting as a group, which owns directly or indirectly 50% or more of the total value or voting power of all the outstanding stock of the Bank; or (iv) an entity, at least 50% of the total value or voting power of which is owned, directly or indirectly, by a person described in (iii).) For this purpose, the Bank includes the Bank or a majority shareholder (more than 50% of total fair market value and voting power) of the Bank. Additionally, for this purpose, transfers of stock made on account of death, gifts, transfers of stock between family members or acquisitions by any qualified retirement plan sponsored by South Plains Financial, Inc. shall not be considered in determining whether there has been a Change of Control.</w:t>
      </w:r>
    </w:p>
    <w:p>
      <w:pPr>
        <w:spacing w:after="0" w:line="202" w:lineRule="exact"/>
        <w:rPr>
          <w:rFonts w:ascii="Arial" w:cs="Arial" w:eastAsia="Arial" w:hAnsi="Arial"/>
          <w:sz w:val="18"/>
          <w:szCs w:val="18"/>
          <w:color w:val="auto"/>
        </w:rPr>
      </w:pPr>
    </w:p>
    <w:p>
      <w:pPr>
        <w:ind w:left="484" w:hanging="484"/>
        <w:spacing w:after="0"/>
        <w:tabs>
          <w:tab w:leader="none" w:pos="484" w:val="left"/>
        </w:tabs>
        <w:numPr>
          <w:ilvl w:val="0"/>
          <w:numId w:val="278"/>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484"/>
        <w:spacing w:after="0" w:line="270" w:lineRule="auto"/>
        <w:rPr>
          <w:rFonts w:ascii="Arial" w:cs="Arial" w:eastAsia="Arial" w:hAnsi="Arial"/>
          <w:sz w:val="18"/>
          <w:szCs w:val="18"/>
          <w:color w:val="auto"/>
        </w:rPr>
      </w:pPr>
      <w:r>
        <w:rPr>
          <w:rFonts w:ascii="Arial" w:cs="Arial" w:eastAsia="Arial" w:hAnsi="Arial"/>
          <w:sz w:val="17"/>
          <w:szCs w:val="17"/>
          <w:color w:val="auto"/>
        </w:rPr>
        <w:t>"Disability" means a condition of the Insured incurred while employed by the Bank and includes any medically determinable physical or mental impairment which can be expected to result in death or can be expected to last for a continuous period of not less than 12 months and which results in the Insured: (i) being unable to engage in any substantial gainful activity; or (ii) receiving income replacement benefits for a period of not less than 3 months under an accident and health plan covering employees. The Bank will determine whether Insured has incurred a Disability based on its own good faith determination and may require the Insured to submit to reasonable physical and mental examinations for this purpose. The Insured will be deemed to have incurred a Disability if: (i) the Social Security Administration or Railroad Retirement Board determines that the Insured is totally disabled; or (ii) the applicable insurance company providing disability insurance to the Insured under a Bank sponsored disability program determines that the Insured is disabled under the insurance contract definition of disability, provided such definition complies with the definition in this paragraph.</w:t>
      </w:r>
    </w:p>
    <w:p>
      <w:pPr>
        <w:spacing w:after="0" w:line="353" w:lineRule="exact"/>
        <w:rPr>
          <w:sz w:val="20"/>
          <w:szCs w:val="20"/>
          <w:color w:val="auto"/>
        </w:rPr>
      </w:pPr>
    </w:p>
    <w:p>
      <w:pPr>
        <w:ind w:left="5024"/>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246620" cy="171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334" w:name="page335"/>
    <w:bookmarkEnd w:id="334"/>
    <w:p>
      <w:pPr>
        <w:ind w:left="1140" w:hanging="484"/>
        <w:spacing w:after="0"/>
        <w:tabs>
          <w:tab w:leader="none" w:pos="1140" w:val="left"/>
        </w:tabs>
        <w:numPr>
          <w:ilvl w:val="1"/>
          <w:numId w:val="279"/>
        </w:numPr>
        <w:rPr>
          <w:rFonts w:ascii="Arial" w:cs="Arial" w:eastAsia="Arial" w:hAnsi="Arial"/>
          <w:sz w:val="18"/>
          <w:szCs w:val="18"/>
          <w:color w:val="auto"/>
        </w:rPr>
      </w:pPr>
      <w:r>
        <w:rPr>
          <w:rFonts w:ascii="Arial" w:cs="Arial" w:eastAsia="Arial" w:hAnsi="Arial"/>
          <w:sz w:val="18"/>
          <w:szCs w:val="18"/>
          <w:u w:val="single" w:color="auto"/>
          <w:color w:val="auto"/>
        </w:rPr>
        <w:t>Years of Service:</w:t>
      </w:r>
    </w:p>
    <w:p>
      <w:pPr>
        <w:spacing w:after="0" w:line="252" w:lineRule="exact"/>
        <w:rPr>
          <w:rFonts w:ascii="Arial" w:cs="Arial" w:eastAsia="Arial" w:hAnsi="Arial"/>
          <w:sz w:val="18"/>
          <w:szCs w:val="18"/>
          <w:color w:val="auto"/>
        </w:rPr>
      </w:pPr>
    </w:p>
    <w:p>
      <w:pPr>
        <w:jc w:val="both"/>
        <w:ind w:left="1140"/>
        <w:spacing w:after="0" w:line="264" w:lineRule="auto"/>
        <w:rPr>
          <w:rFonts w:ascii="Arial" w:cs="Arial" w:eastAsia="Arial" w:hAnsi="Arial"/>
          <w:sz w:val="18"/>
          <w:szCs w:val="18"/>
          <w:color w:val="auto"/>
        </w:rPr>
      </w:pPr>
      <w:r>
        <w:rPr>
          <w:rFonts w:ascii="Arial" w:cs="Arial" w:eastAsia="Arial" w:hAnsi="Arial"/>
          <w:sz w:val="18"/>
          <w:szCs w:val="18"/>
          <w:color w:val="auto"/>
        </w:rPr>
        <w:t>To receive credit for one Year of Service, the Insured must remain in continuous employment with the Bank for an entire twelve-month period, the first such period beginning on the original effective date of this Agreement, and successive periods beginning on the anniversary of such date.</w:t>
      </w:r>
    </w:p>
    <w:p>
      <w:pPr>
        <w:spacing w:after="0" w:line="208" w:lineRule="exact"/>
        <w:rPr>
          <w:rFonts w:ascii="Arial" w:cs="Arial" w:eastAsia="Arial" w:hAnsi="Arial"/>
          <w:sz w:val="18"/>
          <w:szCs w:val="18"/>
          <w:color w:val="auto"/>
        </w:rPr>
      </w:pPr>
    </w:p>
    <w:p>
      <w:pPr>
        <w:ind w:left="660" w:hanging="652"/>
        <w:spacing w:after="0"/>
        <w:tabs>
          <w:tab w:leader="none" w:pos="66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POLICY TITLE AND OWNERSHIP</w:t>
      </w:r>
    </w:p>
    <w:p>
      <w:pPr>
        <w:spacing w:after="0" w:line="252" w:lineRule="exact"/>
        <w:rPr>
          <w:rFonts w:ascii="Arial" w:cs="Arial" w:eastAsia="Arial" w:hAnsi="Arial"/>
          <w:sz w:val="18"/>
          <w:szCs w:val="18"/>
          <w:color w:val="auto"/>
        </w:rPr>
      </w:pPr>
    </w:p>
    <w:p>
      <w:pPr>
        <w:jc w:val="both"/>
        <w:ind w:left="660"/>
        <w:spacing w:after="0" w:line="302" w:lineRule="auto"/>
        <w:rPr>
          <w:rFonts w:ascii="Arial" w:cs="Arial" w:eastAsia="Arial" w:hAnsi="Arial"/>
          <w:sz w:val="18"/>
          <w:szCs w:val="18"/>
          <w:color w:val="auto"/>
        </w:rPr>
      </w:pPr>
      <w:r>
        <w:rPr>
          <w:rFonts w:ascii="Arial" w:cs="Arial" w:eastAsia="Arial" w:hAnsi="Arial"/>
          <w:sz w:val="16"/>
          <w:szCs w:val="16"/>
          <w:color w:val="auto"/>
        </w:rPr>
        <w:t>Title and ownership of the Policy shall reside in the Bank for its use and for the use of the Insured in accordance with this Agreement. The Bank alone may, to the extent of its interest, exercise the right to borrow or withdraw on the Policy cash values. Where the Bank and the Insured (or assignee, with the consent of the Insured) mutually agree to exercise the right to increase the coverage under the subject Policy, then, in such event, the rights, duties and benefits of the parties to such increased coverage shall continue to be subject to the terms of this Agreement.</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8"/>
          <w:szCs w:val="18"/>
          <w:color w:val="auto"/>
        </w:rPr>
        <w:t>BENEFICIARY DESIGNATION RIGHTS</w:t>
      </w:r>
    </w:p>
    <w:p>
      <w:pPr>
        <w:spacing w:after="0" w:line="252" w:lineRule="exact"/>
        <w:rPr>
          <w:sz w:val="20"/>
          <w:szCs w:val="20"/>
          <w:color w:val="auto"/>
        </w:rPr>
      </w:pPr>
    </w:p>
    <w:p>
      <w:pPr>
        <w:ind w:left="660" w:right="20"/>
        <w:spacing w:after="0" w:line="342" w:lineRule="auto"/>
        <w:rPr>
          <w:sz w:val="20"/>
          <w:szCs w:val="20"/>
          <w:color w:val="auto"/>
        </w:rPr>
      </w:pPr>
      <w:r>
        <w:rPr>
          <w:rFonts w:ascii="Arial" w:cs="Arial" w:eastAsia="Arial" w:hAnsi="Arial"/>
          <w:sz w:val="16"/>
          <w:szCs w:val="16"/>
          <w:color w:val="auto"/>
        </w:rPr>
        <w:t>The Insured (or assignee) shall have the right and power to designate a beneficiary or beneficiaries to receive the Insured's share of the proceeds payable upon the death of the Insured, subject to any right or interest the Bank may have in such proceeds, as provided in this Agreement.</w:t>
      </w:r>
    </w:p>
    <w:p>
      <w:pPr>
        <w:spacing w:after="0" w:line="151" w:lineRule="exact"/>
        <w:rPr>
          <w:sz w:val="20"/>
          <w:szCs w:val="20"/>
          <w:color w:val="auto"/>
        </w:rPr>
      </w:pPr>
    </w:p>
    <w:p>
      <w:pPr>
        <w:ind w:left="660" w:hanging="652"/>
        <w:spacing w:after="0"/>
        <w:tabs>
          <w:tab w:leader="none" w:pos="66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PREMIUM PAYMENT METHOD</w:t>
      </w:r>
    </w:p>
    <w:p>
      <w:pPr>
        <w:spacing w:after="0" w:line="252"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Subject to the Bank's absolute right to surrender or terminate the Policy at any time and for any reason, the Bank shall pay an amount equal to the planned premiums and any other premium payments which might become necessary to keep the Policy in force.</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VI.</w:t>
      </w:r>
      <w:r>
        <w:rPr>
          <w:sz w:val="20"/>
          <w:szCs w:val="20"/>
          <w:color w:val="auto"/>
        </w:rPr>
        <w:tab/>
      </w:r>
      <w:r>
        <w:rPr>
          <w:rFonts w:ascii="Arial" w:cs="Arial" w:eastAsia="Arial" w:hAnsi="Arial"/>
          <w:sz w:val="18"/>
          <w:szCs w:val="18"/>
          <w:color w:val="auto"/>
        </w:rPr>
        <w:t>TAXABLE BENEFIT</w:t>
      </w:r>
    </w:p>
    <w:p>
      <w:pPr>
        <w:spacing w:after="0" w:line="252"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Annually the Insured will receive a taxable benefit equal to the assumed cost of insurance as required by the Internal Revenue Service. The Bank (or its administrator) will report to the Insured the amount of imputed income each year on Form W-2 or its equivalent.</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VII.</w:t>
      </w:r>
      <w:r>
        <w:rPr>
          <w:sz w:val="20"/>
          <w:szCs w:val="20"/>
          <w:color w:val="auto"/>
        </w:rPr>
        <w:tab/>
      </w:r>
      <w:r>
        <w:rPr>
          <w:rFonts w:ascii="Arial" w:cs="Arial" w:eastAsia="Arial" w:hAnsi="Arial"/>
          <w:sz w:val="18"/>
          <w:szCs w:val="18"/>
          <w:color w:val="auto"/>
        </w:rPr>
        <w:t>DEATH BENEFITS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Subject to Paragraphs VIII, IX, X and XI herein, the division of the death proceeds of the Policy will be as follows:</w:t>
      </w:r>
    </w:p>
    <w:p>
      <w:pPr>
        <w:spacing w:after="0" w:line="252" w:lineRule="exact"/>
        <w:rPr>
          <w:sz w:val="20"/>
          <w:szCs w:val="20"/>
          <w:color w:val="auto"/>
        </w:rPr>
      </w:pPr>
    </w:p>
    <w:p>
      <w:pPr>
        <w:jc w:val="both"/>
        <w:ind w:left="1140" w:hanging="484"/>
        <w:spacing w:after="0" w:line="259" w:lineRule="auto"/>
        <w:tabs>
          <w:tab w:leader="none" w:pos="114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Insured's beneficiary(ies), designated in accordance with Paragraph IV, shall be entitled to an amount equal to one hundred percent (100%) of the net-at-risk insurance portion of the Policy proceeds if Insured's date of death occurs: (i) while employed by the Bank; (ii) after Retirement; (iii) after a Change of Control; (iv) after a determination of Disability of the Insured. The net-at-risk insurance portion is the total Policy proceeds less the cash value of the Policy.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35" w:name="page336"/>
    <w:bookmarkEnd w:id="335"/>
    <w:p>
      <w:pPr>
        <w:jc w:val="both"/>
        <w:ind w:left="1140" w:hanging="484"/>
        <w:spacing w:after="0" w:line="264" w:lineRule="auto"/>
        <w:tabs>
          <w:tab w:leader="none" w:pos="114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Insured's beneficiary(ies), designated in accordance with Paragraph IV, shall be entitled to the percentage as determined below of an amount equal to one hundred percent (100%) of the net-at-risk insurance portion of the Policy proceeds, if the Insured's date of death occurs at a time not described in subparagraph VII.A.</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Years of Service</w:t>
            </w:r>
          </w:p>
        </w:tc>
        <w:tc>
          <w:tcPr>
            <w:tcW w:w="2840" w:type="dxa"/>
            <w:vAlign w:val="bottom"/>
          </w:tcPr>
          <w:p>
            <w:pPr>
              <w:ind w:left="1460"/>
              <w:spacing w:after="0"/>
              <w:rPr>
                <w:sz w:val="20"/>
                <w:szCs w:val="20"/>
                <w:color w:val="auto"/>
              </w:rPr>
            </w:pPr>
            <w:r>
              <w:rPr>
                <w:rFonts w:ascii="Arial" w:cs="Arial" w:eastAsia="Arial" w:hAnsi="Arial"/>
                <w:sz w:val="18"/>
                <w:szCs w:val="18"/>
                <w:color w:val="auto"/>
                <w:w w:val="86"/>
              </w:rPr>
              <w:t>Vesting Percentage</w:t>
            </w:r>
          </w:p>
        </w:tc>
      </w:tr>
      <w:tr>
        <w:trPr>
          <w:trHeight w:val="216"/>
        </w:trPr>
        <w:tc>
          <w:tcPr>
            <w:tcW w:w="2640" w:type="dxa"/>
            <w:vAlign w:val="bottom"/>
          </w:tcPr>
          <w:p>
            <w:pPr>
              <w:ind w:left="480"/>
              <w:spacing w:after="0"/>
              <w:rPr>
                <w:sz w:val="20"/>
                <w:szCs w:val="20"/>
                <w:color w:val="auto"/>
              </w:rPr>
            </w:pPr>
            <w:r>
              <w:rPr>
                <w:rFonts w:ascii="Arial" w:cs="Arial" w:eastAsia="Arial" w:hAnsi="Arial"/>
                <w:sz w:val="18"/>
                <w:szCs w:val="18"/>
                <w:color w:val="auto"/>
              </w:rPr>
              <w:t>0</w:t>
            </w:r>
          </w:p>
        </w:tc>
        <w:tc>
          <w:tcPr>
            <w:tcW w:w="2840" w:type="dxa"/>
            <w:vAlign w:val="bottom"/>
          </w:tcPr>
          <w:p>
            <w:pPr>
              <w:ind w:left="2120"/>
              <w:spacing w:after="0"/>
              <w:rPr>
                <w:sz w:val="20"/>
                <w:szCs w:val="20"/>
                <w:color w:val="auto"/>
              </w:rPr>
            </w:pPr>
            <w:r>
              <w:rPr>
                <w:rFonts w:ascii="Arial" w:cs="Arial" w:eastAsia="Arial" w:hAnsi="Arial"/>
                <w:sz w:val="18"/>
                <w:szCs w:val="18"/>
                <w:color w:val="auto"/>
              </w:rPr>
              <w:t>50%</w:t>
            </w:r>
          </w:p>
        </w:tc>
      </w:tr>
      <w:tr>
        <w:trPr>
          <w:trHeight w:val="216"/>
        </w:trPr>
        <w:tc>
          <w:tcPr>
            <w:tcW w:w="2640" w:type="dxa"/>
            <w:vAlign w:val="bottom"/>
          </w:tcPr>
          <w:p>
            <w:pPr>
              <w:ind w:left="480"/>
              <w:spacing w:after="0"/>
              <w:rPr>
                <w:sz w:val="20"/>
                <w:szCs w:val="20"/>
                <w:color w:val="auto"/>
              </w:rPr>
            </w:pPr>
            <w:r>
              <w:rPr>
                <w:rFonts w:ascii="Arial" w:cs="Arial" w:eastAsia="Arial" w:hAnsi="Arial"/>
                <w:sz w:val="18"/>
                <w:szCs w:val="18"/>
                <w:color w:val="auto"/>
              </w:rPr>
              <w:t>1</w:t>
            </w:r>
          </w:p>
        </w:tc>
        <w:tc>
          <w:tcPr>
            <w:tcW w:w="2840" w:type="dxa"/>
            <w:vAlign w:val="bottom"/>
          </w:tcPr>
          <w:p>
            <w:pPr>
              <w:ind w:left="2120"/>
              <w:spacing w:after="0"/>
              <w:rPr>
                <w:sz w:val="20"/>
                <w:szCs w:val="20"/>
                <w:color w:val="auto"/>
              </w:rPr>
            </w:pPr>
            <w:r>
              <w:rPr>
                <w:rFonts w:ascii="Arial" w:cs="Arial" w:eastAsia="Arial" w:hAnsi="Arial"/>
                <w:sz w:val="18"/>
                <w:szCs w:val="18"/>
                <w:color w:val="auto"/>
              </w:rPr>
              <w:t>55%</w:t>
            </w:r>
          </w:p>
        </w:tc>
      </w:tr>
      <w:tr>
        <w:trPr>
          <w:trHeight w:val="216"/>
        </w:trPr>
        <w:tc>
          <w:tcPr>
            <w:tcW w:w="2640" w:type="dxa"/>
            <w:vAlign w:val="bottom"/>
          </w:tcPr>
          <w:p>
            <w:pPr>
              <w:ind w:left="480"/>
              <w:spacing w:after="0"/>
              <w:rPr>
                <w:sz w:val="20"/>
                <w:szCs w:val="20"/>
                <w:color w:val="auto"/>
              </w:rPr>
            </w:pPr>
            <w:r>
              <w:rPr>
                <w:rFonts w:ascii="Arial" w:cs="Arial" w:eastAsia="Arial" w:hAnsi="Arial"/>
                <w:sz w:val="18"/>
                <w:szCs w:val="18"/>
                <w:color w:val="auto"/>
              </w:rPr>
              <w:t>2</w:t>
            </w:r>
          </w:p>
        </w:tc>
        <w:tc>
          <w:tcPr>
            <w:tcW w:w="2840" w:type="dxa"/>
            <w:vAlign w:val="bottom"/>
          </w:tcPr>
          <w:p>
            <w:pPr>
              <w:ind w:left="2120"/>
              <w:spacing w:after="0"/>
              <w:rPr>
                <w:sz w:val="20"/>
                <w:szCs w:val="20"/>
                <w:color w:val="auto"/>
              </w:rPr>
            </w:pPr>
            <w:r>
              <w:rPr>
                <w:rFonts w:ascii="Arial" w:cs="Arial" w:eastAsia="Arial" w:hAnsi="Arial"/>
                <w:sz w:val="18"/>
                <w:szCs w:val="18"/>
                <w:color w:val="auto"/>
              </w:rPr>
              <w:t>60%</w:t>
            </w:r>
          </w:p>
        </w:tc>
      </w:tr>
      <w:tr>
        <w:trPr>
          <w:trHeight w:val="216"/>
        </w:trPr>
        <w:tc>
          <w:tcPr>
            <w:tcW w:w="2640" w:type="dxa"/>
            <w:vAlign w:val="bottom"/>
          </w:tcPr>
          <w:p>
            <w:pPr>
              <w:ind w:left="480"/>
              <w:spacing w:after="0"/>
              <w:rPr>
                <w:sz w:val="20"/>
                <w:szCs w:val="20"/>
                <w:color w:val="auto"/>
              </w:rPr>
            </w:pPr>
            <w:r>
              <w:rPr>
                <w:rFonts w:ascii="Arial" w:cs="Arial" w:eastAsia="Arial" w:hAnsi="Arial"/>
                <w:sz w:val="18"/>
                <w:szCs w:val="18"/>
                <w:color w:val="auto"/>
              </w:rPr>
              <w:t>3</w:t>
            </w:r>
          </w:p>
        </w:tc>
        <w:tc>
          <w:tcPr>
            <w:tcW w:w="2840" w:type="dxa"/>
            <w:vAlign w:val="bottom"/>
          </w:tcPr>
          <w:p>
            <w:pPr>
              <w:ind w:left="2120"/>
              <w:spacing w:after="0"/>
              <w:rPr>
                <w:sz w:val="20"/>
                <w:szCs w:val="20"/>
                <w:color w:val="auto"/>
              </w:rPr>
            </w:pPr>
            <w:r>
              <w:rPr>
                <w:rFonts w:ascii="Arial" w:cs="Arial" w:eastAsia="Arial" w:hAnsi="Arial"/>
                <w:sz w:val="18"/>
                <w:szCs w:val="18"/>
                <w:color w:val="auto"/>
              </w:rPr>
              <w:t>65%</w:t>
            </w:r>
          </w:p>
        </w:tc>
      </w:tr>
      <w:tr>
        <w:trPr>
          <w:trHeight w:val="216"/>
        </w:trPr>
        <w:tc>
          <w:tcPr>
            <w:tcW w:w="2640" w:type="dxa"/>
            <w:vAlign w:val="bottom"/>
          </w:tcPr>
          <w:p>
            <w:pPr>
              <w:ind w:left="480"/>
              <w:spacing w:after="0"/>
              <w:rPr>
                <w:sz w:val="20"/>
                <w:szCs w:val="20"/>
                <w:color w:val="auto"/>
              </w:rPr>
            </w:pPr>
            <w:r>
              <w:rPr>
                <w:rFonts w:ascii="Arial" w:cs="Arial" w:eastAsia="Arial" w:hAnsi="Arial"/>
                <w:sz w:val="18"/>
                <w:szCs w:val="18"/>
                <w:color w:val="auto"/>
              </w:rPr>
              <w:t>4</w:t>
            </w:r>
          </w:p>
        </w:tc>
        <w:tc>
          <w:tcPr>
            <w:tcW w:w="2840" w:type="dxa"/>
            <w:vAlign w:val="bottom"/>
          </w:tcPr>
          <w:p>
            <w:pPr>
              <w:ind w:left="2120"/>
              <w:spacing w:after="0"/>
              <w:rPr>
                <w:sz w:val="20"/>
                <w:szCs w:val="20"/>
                <w:color w:val="auto"/>
              </w:rPr>
            </w:pPr>
            <w:r>
              <w:rPr>
                <w:rFonts w:ascii="Arial" w:cs="Arial" w:eastAsia="Arial" w:hAnsi="Arial"/>
                <w:sz w:val="18"/>
                <w:szCs w:val="18"/>
                <w:color w:val="auto"/>
              </w:rPr>
              <w:t>70%</w:t>
            </w:r>
          </w:p>
        </w:tc>
      </w:tr>
      <w:tr>
        <w:trPr>
          <w:trHeight w:val="216"/>
        </w:trPr>
        <w:tc>
          <w:tcPr>
            <w:tcW w:w="2640" w:type="dxa"/>
            <w:vAlign w:val="bottom"/>
          </w:tcPr>
          <w:p>
            <w:pPr>
              <w:ind w:left="480"/>
              <w:spacing w:after="0"/>
              <w:rPr>
                <w:sz w:val="20"/>
                <w:szCs w:val="20"/>
                <w:color w:val="auto"/>
              </w:rPr>
            </w:pPr>
            <w:r>
              <w:rPr>
                <w:rFonts w:ascii="Arial" w:cs="Arial" w:eastAsia="Arial" w:hAnsi="Arial"/>
                <w:sz w:val="18"/>
                <w:szCs w:val="18"/>
                <w:color w:val="auto"/>
              </w:rPr>
              <w:t>5</w:t>
            </w:r>
          </w:p>
        </w:tc>
        <w:tc>
          <w:tcPr>
            <w:tcW w:w="2840" w:type="dxa"/>
            <w:vAlign w:val="bottom"/>
          </w:tcPr>
          <w:p>
            <w:pPr>
              <w:ind w:left="2120"/>
              <w:spacing w:after="0"/>
              <w:rPr>
                <w:sz w:val="20"/>
                <w:szCs w:val="20"/>
                <w:color w:val="auto"/>
              </w:rPr>
            </w:pPr>
            <w:r>
              <w:rPr>
                <w:rFonts w:ascii="Arial" w:cs="Arial" w:eastAsia="Arial" w:hAnsi="Arial"/>
                <w:sz w:val="18"/>
                <w:szCs w:val="18"/>
                <w:color w:val="auto"/>
              </w:rPr>
              <w:t>75%</w:t>
            </w:r>
          </w:p>
        </w:tc>
      </w:tr>
      <w:tr>
        <w:trPr>
          <w:trHeight w:val="216"/>
        </w:trPr>
        <w:tc>
          <w:tcPr>
            <w:tcW w:w="2640" w:type="dxa"/>
            <w:vAlign w:val="bottom"/>
          </w:tcPr>
          <w:p>
            <w:pPr>
              <w:ind w:left="480"/>
              <w:spacing w:after="0"/>
              <w:rPr>
                <w:sz w:val="20"/>
                <w:szCs w:val="20"/>
                <w:color w:val="auto"/>
              </w:rPr>
            </w:pPr>
            <w:r>
              <w:rPr>
                <w:rFonts w:ascii="Arial" w:cs="Arial" w:eastAsia="Arial" w:hAnsi="Arial"/>
                <w:sz w:val="18"/>
                <w:szCs w:val="18"/>
                <w:color w:val="auto"/>
              </w:rPr>
              <w:t>6</w:t>
            </w:r>
          </w:p>
        </w:tc>
        <w:tc>
          <w:tcPr>
            <w:tcW w:w="2840" w:type="dxa"/>
            <w:vAlign w:val="bottom"/>
          </w:tcPr>
          <w:p>
            <w:pPr>
              <w:ind w:left="2120"/>
              <w:spacing w:after="0"/>
              <w:rPr>
                <w:sz w:val="20"/>
                <w:szCs w:val="20"/>
                <w:color w:val="auto"/>
              </w:rPr>
            </w:pPr>
            <w:r>
              <w:rPr>
                <w:rFonts w:ascii="Arial" w:cs="Arial" w:eastAsia="Arial" w:hAnsi="Arial"/>
                <w:sz w:val="18"/>
                <w:szCs w:val="18"/>
                <w:color w:val="auto"/>
              </w:rPr>
              <w:t>80%</w:t>
            </w:r>
          </w:p>
        </w:tc>
      </w:tr>
      <w:tr>
        <w:trPr>
          <w:trHeight w:val="216"/>
        </w:trPr>
        <w:tc>
          <w:tcPr>
            <w:tcW w:w="2640" w:type="dxa"/>
            <w:vAlign w:val="bottom"/>
          </w:tcPr>
          <w:p>
            <w:pPr>
              <w:ind w:left="480"/>
              <w:spacing w:after="0"/>
              <w:rPr>
                <w:sz w:val="20"/>
                <w:szCs w:val="20"/>
                <w:color w:val="auto"/>
              </w:rPr>
            </w:pPr>
            <w:r>
              <w:rPr>
                <w:rFonts w:ascii="Arial" w:cs="Arial" w:eastAsia="Arial" w:hAnsi="Arial"/>
                <w:sz w:val="18"/>
                <w:szCs w:val="18"/>
                <w:color w:val="auto"/>
              </w:rPr>
              <w:t>7</w:t>
            </w:r>
          </w:p>
        </w:tc>
        <w:tc>
          <w:tcPr>
            <w:tcW w:w="2840" w:type="dxa"/>
            <w:vAlign w:val="bottom"/>
          </w:tcPr>
          <w:p>
            <w:pPr>
              <w:ind w:left="2120"/>
              <w:spacing w:after="0"/>
              <w:rPr>
                <w:sz w:val="20"/>
                <w:szCs w:val="20"/>
                <w:color w:val="auto"/>
              </w:rPr>
            </w:pPr>
            <w:r>
              <w:rPr>
                <w:rFonts w:ascii="Arial" w:cs="Arial" w:eastAsia="Arial" w:hAnsi="Arial"/>
                <w:sz w:val="18"/>
                <w:szCs w:val="18"/>
                <w:color w:val="auto"/>
              </w:rPr>
              <w:t>85%</w:t>
            </w:r>
          </w:p>
        </w:tc>
      </w:tr>
      <w:tr>
        <w:trPr>
          <w:trHeight w:val="216"/>
        </w:trPr>
        <w:tc>
          <w:tcPr>
            <w:tcW w:w="2640" w:type="dxa"/>
            <w:vAlign w:val="bottom"/>
          </w:tcPr>
          <w:p>
            <w:pPr>
              <w:ind w:left="480"/>
              <w:spacing w:after="0"/>
              <w:rPr>
                <w:sz w:val="20"/>
                <w:szCs w:val="20"/>
                <w:color w:val="auto"/>
              </w:rPr>
            </w:pPr>
            <w:r>
              <w:rPr>
                <w:rFonts w:ascii="Arial" w:cs="Arial" w:eastAsia="Arial" w:hAnsi="Arial"/>
                <w:sz w:val="18"/>
                <w:szCs w:val="18"/>
                <w:color w:val="auto"/>
              </w:rPr>
              <w:t>8</w:t>
            </w:r>
          </w:p>
        </w:tc>
        <w:tc>
          <w:tcPr>
            <w:tcW w:w="2840" w:type="dxa"/>
            <w:vAlign w:val="bottom"/>
          </w:tcPr>
          <w:p>
            <w:pPr>
              <w:ind w:left="2120"/>
              <w:spacing w:after="0"/>
              <w:rPr>
                <w:sz w:val="20"/>
                <w:szCs w:val="20"/>
                <w:color w:val="auto"/>
              </w:rPr>
            </w:pPr>
            <w:r>
              <w:rPr>
                <w:rFonts w:ascii="Arial" w:cs="Arial" w:eastAsia="Arial" w:hAnsi="Arial"/>
                <w:sz w:val="18"/>
                <w:szCs w:val="18"/>
                <w:color w:val="auto"/>
              </w:rPr>
              <w:t>90%</w:t>
            </w:r>
          </w:p>
        </w:tc>
      </w:tr>
      <w:tr>
        <w:trPr>
          <w:trHeight w:val="216"/>
        </w:trPr>
        <w:tc>
          <w:tcPr>
            <w:tcW w:w="2640" w:type="dxa"/>
            <w:vAlign w:val="bottom"/>
          </w:tcPr>
          <w:p>
            <w:pPr>
              <w:ind w:left="480"/>
              <w:spacing w:after="0"/>
              <w:rPr>
                <w:sz w:val="20"/>
                <w:szCs w:val="20"/>
                <w:color w:val="auto"/>
              </w:rPr>
            </w:pPr>
            <w:r>
              <w:rPr>
                <w:rFonts w:ascii="Arial" w:cs="Arial" w:eastAsia="Arial" w:hAnsi="Arial"/>
                <w:sz w:val="18"/>
                <w:szCs w:val="18"/>
                <w:color w:val="auto"/>
              </w:rPr>
              <w:t>9</w:t>
            </w:r>
          </w:p>
        </w:tc>
        <w:tc>
          <w:tcPr>
            <w:tcW w:w="2840" w:type="dxa"/>
            <w:vAlign w:val="bottom"/>
          </w:tcPr>
          <w:p>
            <w:pPr>
              <w:ind w:left="2120"/>
              <w:spacing w:after="0"/>
              <w:rPr>
                <w:sz w:val="20"/>
                <w:szCs w:val="20"/>
                <w:color w:val="auto"/>
              </w:rPr>
            </w:pPr>
            <w:r>
              <w:rPr>
                <w:rFonts w:ascii="Arial" w:cs="Arial" w:eastAsia="Arial" w:hAnsi="Arial"/>
                <w:sz w:val="18"/>
                <w:szCs w:val="18"/>
                <w:color w:val="auto"/>
              </w:rPr>
              <w:t>95%</w:t>
            </w:r>
          </w:p>
        </w:tc>
      </w:tr>
      <w:tr>
        <w:trPr>
          <w:trHeight w:val="230"/>
        </w:trPr>
        <w:tc>
          <w:tcPr>
            <w:tcW w:w="2640" w:type="dxa"/>
            <w:vAlign w:val="bottom"/>
          </w:tcPr>
          <w:p>
            <w:pPr>
              <w:ind w:left="480"/>
              <w:spacing w:after="0"/>
              <w:rPr>
                <w:sz w:val="20"/>
                <w:szCs w:val="20"/>
                <w:color w:val="auto"/>
              </w:rPr>
            </w:pPr>
            <w:r>
              <w:rPr>
                <w:rFonts w:ascii="Arial" w:cs="Arial" w:eastAsia="Arial" w:hAnsi="Arial"/>
                <w:sz w:val="18"/>
                <w:szCs w:val="18"/>
                <w:color w:val="auto"/>
              </w:rPr>
              <w:t>10</w:t>
            </w:r>
          </w:p>
        </w:tc>
        <w:tc>
          <w:tcPr>
            <w:tcW w:w="2840" w:type="dxa"/>
            <w:vAlign w:val="bottom"/>
          </w:tcPr>
          <w:p>
            <w:pPr>
              <w:ind w:left="2120"/>
              <w:spacing w:after="0"/>
              <w:rPr>
                <w:sz w:val="20"/>
                <w:szCs w:val="20"/>
                <w:color w:val="auto"/>
              </w:rPr>
            </w:pPr>
            <w:r>
              <w:rPr>
                <w:rFonts w:ascii="Arial" w:cs="Arial" w:eastAsia="Arial" w:hAnsi="Arial"/>
                <w:sz w:val="18"/>
                <w:szCs w:val="18"/>
                <w:color w:val="auto"/>
              </w:rPr>
              <w:t>100%</w:t>
            </w:r>
          </w:p>
        </w:tc>
      </w:tr>
    </w:tbl>
    <w:p>
      <w:pPr>
        <w:spacing w:after="0" w:line="229" w:lineRule="exact"/>
        <w:rPr>
          <w:sz w:val="20"/>
          <w:szCs w:val="20"/>
          <w:color w:val="auto"/>
        </w:rPr>
      </w:pPr>
    </w:p>
    <w:p>
      <w:pPr>
        <w:ind w:left="1140" w:hanging="484"/>
        <w:spacing w:after="0"/>
        <w:tabs>
          <w:tab w:leader="none" w:pos="114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The Bank shall be entitled to the remainder of the Policy proceeds.</w:t>
      </w:r>
    </w:p>
    <w:p>
      <w:pPr>
        <w:spacing w:after="0" w:line="252" w:lineRule="exact"/>
        <w:rPr>
          <w:rFonts w:ascii="Arial" w:cs="Arial" w:eastAsia="Arial" w:hAnsi="Arial"/>
          <w:sz w:val="18"/>
          <w:szCs w:val="18"/>
          <w:color w:val="auto"/>
        </w:rPr>
      </w:pPr>
    </w:p>
    <w:p>
      <w:pPr>
        <w:ind w:left="1140" w:hanging="484"/>
        <w:spacing w:after="0" w:line="277" w:lineRule="auto"/>
        <w:tabs>
          <w:tab w:leader="none" w:pos="114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The Bank and the Insured (or assignees) shall share in any interest due on the death proceeds on a pro rata basis as the proceeds due each respectively bears to the total proceeds, excluding any such interest.</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VIII.</w:t>
      </w:r>
      <w:r>
        <w:rPr>
          <w:sz w:val="20"/>
          <w:szCs w:val="20"/>
          <w:color w:val="auto"/>
        </w:rPr>
        <w:tab/>
      </w:r>
      <w:r>
        <w:rPr>
          <w:rFonts w:ascii="Arial" w:cs="Arial" w:eastAsia="Arial" w:hAnsi="Arial"/>
          <w:sz w:val="18"/>
          <w:szCs w:val="18"/>
          <w:color w:val="auto"/>
        </w:rPr>
        <w:t>DIVISION OF THE CASH SURRENDER VALUE OF THE POLICY</w:t>
      </w:r>
    </w:p>
    <w:p>
      <w:pPr>
        <w:spacing w:after="0" w:line="22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Bank shall at all times be entitled to an amount equal to the Policy's cash value, as that term is defined in the Policy, less any Policy loans and unpaid interest or cash withdrawals previously incurred by the Bank and any applicable surrender charges. Such cash value shall be determined as of the date of surrender or death as the case may be.</w:t>
      </w:r>
    </w:p>
    <w:p>
      <w:pPr>
        <w:spacing w:after="0" w:line="20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IX.</w:t>
      </w:r>
      <w:r>
        <w:rPr>
          <w:sz w:val="20"/>
          <w:szCs w:val="20"/>
          <w:color w:val="auto"/>
        </w:rPr>
        <w:tab/>
      </w:r>
      <w:r>
        <w:rPr>
          <w:rFonts w:ascii="Arial" w:cs="Arial" w:eastAsia="Arial" w:hAnsi="Arial"/>
          <w:sz w:val="18"/>
          <w:szCs w:val="18"/>
          <w:color w:val="auto"/>
        </w:rPr>
        <w:t>TERMINATION OF AGREEMENT</w:t>
      </w:r>
    </w:p>
    <w:p>
      <w:pPr>
        <w:spacing w:after="0" w:line="252" w:lineRule="exact"/>
        <w:rPr>
          <w:sz w:val="20"/>
          <w:szCs w:val="20"/>
          <w:color w:val="auto"/>
        </w:rPr>
      </w:pPr>
    </w:p>
    <w:p>
      <w:pPr>
        <w:ind w:left="1140" w:hanging="484"/>
        <w:spacing w:after="0" w:line="277" w:lineRule="auto"/>
        <w:tabs>
          <w:tab w:leader="none" w:pos="114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this Agreement shall terminate and all benefits shall be forfeited upon the occurrence of any of the following:</w:t>
      </w:r>
    </w:p>
    <w:p>
      <w:pPr>
        <w:spacing w:after="0" w:line="197" w:lineRule="exact"/>
        <w:rPr>
          <w:rFonts w:ascii="Arial" w:cs="Arial" w:eastAsia="Arial" w:hAnsi="Arial"/>
          <w:sz w:val="18"/>
          <w:szCs w:val="18"/>
          <w:color w:val="auto"/>
        </w:rPr>
      </w:pPr>
    </w:p>
    <w:p>
      <w:pPr>
        <w:ind w:left="1620" w:hanging="478"/>
        <w:spacing w:after="0" w:line="277" w:lineRule="auto"/>
        <w:tabs>
          <w:tab w:leader="none" w:pos="162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The Insured shall leave the employment of the Bank (voluntarily or involuntarily) prior to one (1) full year of employment with the Bank from the date of first employment.</w:t>
      </w:r>
    </w:p>
    <w:p>
      <w:pPr>
        <w:spacing w:after="0" w:line="197" w:lineRule="exact"/>
        <w:rPr>
          <w:rFonts w:ascii="Arial" w:cs="Arial" w:eastAsia="Arial" w:hAnsi="Arial"/>
          <w:sz w:val="18"/>
          <w:szCs w:val="18"/>
          <w:color w:val="auto"/>
        </w:rPr>
      </w:pPr>
    </w:p>
    <w:p>
      <w:pPr>
        <w:ind w:left="1620" w:hanging="478"/>
        <w:spacing w:after="0"/>
        <w:tabs>
          <w:tab w:leader="none" w:pos="162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The Insured shall be Discharged for Cause.</w:t>
      </w:r>
    </w:p>
    <w:p>
      <w:pPr>
        <w:spacing w:after="0" w:line="252" w:lineRule="exact"/>
        <w:rPr>
          <w:rFonts w:ascii="Arial" w:cs="Arial" w:eastAsia="Arial" w:hAnsi="Arial"/>
          <w:sz w:val="18"/>
          <w:szCs w:val="18"/>
          <w:color w:val="auto"/>
        </w:rPr>
      </w:pPr>
    </w:p>
    <w:p>
      <w:pPr>
        <w:ind w:left="1620" w:hanging="478"/>
        <w:spacing w:after="0"/>
        <w:tabs>
          <w:tab w:leader="none" w:pos="162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Surrender, lapse, or other termination of the Policy by the Bank, and subject to the Insured's option as set forth hereunder.</w:t>
      </w:r>
    </w:p>
    <w:p>
      <w:pPr>
        <w:spacing w:after="0" w:line="252" w:lineRule="exact"/>
        <w:rPr>
          <w:rFonts w:ascii="Arial" w:cs="Arial" w:eastAsia="Arial" w:hAnsi="Arial"/>
          <w:sz w:val="18"/>
          <w:szCs w:val="18"/>
          <w:color w:val="auto"/>
        </w:rPr>
      </w:pPr>
    </w:p>
    <w:p>
      <w:pPr>
        <w:ind w:left="1620" w:hanging="478"/>
        <w:spacing w:after="0"/>
        <w:tabs>
          <w:tab w:leader="none" w:pos="162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It is determined in the sole judgment of the Bank that the Insured has materially breached any covenants of Article XI.</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6" w:name="page337"/>
    <w:bookmarkEnd w:id="336"/>
    <w:p>
      <w:pPr>
        <w:jc w:val="both"/>
        <w:ind w:left="1140" w:hanging="484"/>
        <w:spacing w:after="0" w:line="279" w:lineRule="auto"/>
        <w:tabs>
          <w:tab w:leader="none" w:pos="1140" w:val="left"/>
        </w:tabs>
        <w:numPr>
          <w:ilvl w:val="1"/>
          <w:numId w:val="286"/>
        </w:numPr>
        <w:rPr>
          <w:rFonts w:ascii="Arial" w:cs="Arial" w:eastAsia="Arial" w:hAnsi="Arial"/>
          <w:sz w:val="17"/>
          <w:szCs w:val="17"/>
          <w:color w:val="auto"/>
        </w:rPr>
      </w:pPr>
      <w:r>
        <w:rPr>
          <w:rFonts w:ascii="Arial" w:cs="Arial" w:eastAsia="Arial" w:hAnsi="Arial"/>
          <w:sz w:val="17"/>
          <w:szCs w:val="17"/>
          <w:color w:val="auto"/>
        </w:rPr>
        <w:t>Upon such termination of this Agreement pursuant to subparagraph IX.A.3. but prior to the termination of the Policy by the Bank, the Insured (or assignee) shall have a fifteen (15)day option to receive from the Bank an absolute assignment of the Policy in consideration of a cash payment to the Bank, whereupon this Agreement shall terminate, Such cash payment referred to hereinabove shall be the greater of the cash surrender value of the Policy or the amounts of the premiums paid by the Bank prior to the date of the assignment.</w:t>
      </w:r>
    </w:p>
    <w:p>
      <w:pPr>
        <w:spacing w:after="0" w:line="198" w:lineRule="exact"/>
        <w:rPr>
          <w:rFonts w:ascii="Arial" w:cs="Arial" w:eastAsia="Arial" w:hAnsi="Arial"/>
          <w:sz w:val="17"/>
          <w:szCs w:val="17"/>
          <w:color w:val="auto"/>
        </w:rPr>
      </w:pPr>
    </w:p>
    <w:p>
      <w:pPr>
        <w:jc w:val="both"/>
        <w:ind w:left="1140" w:hanging="484"/>
        <w:spacing w:after="0" w:line="264" w:lineRule="auto"/>
        <w:tabs>
          <w:tab w:leader="none" w:pos="1140" w:val="left"/>
        </w:tabs>
        <w:numPr>
          <w:ilvl w:val="1"/>
          <w:numId w:val="286"/>
        </w:numPr>
        <w:rPr>
          <w:rFonts w:ascii="Arial" w:cs="Arial" w:eastAsia="Arial" w:hAnsi="Arial"/>
          <w:sz w:val="18"/>
          <w:szCs w:val="18"/>
          <w:color w:val="auto"/>
        </w:rPr>
      </w:pPr>
      <w:r>
        <w:rPr>
          <w:rFonts w:ascii="Arial" w:cs="Arial" w:eastAsia="Arial" w:hAnsi="Arial"/>
          <w:sz w:val="18"/>
          <w:szCs w:val="18"/>
          <w:color w:val="auto"/>
        </w:rPr>
        <w:t>If, within said fifteen (15) day period, the Insured fails to exercise said option, fails to make the cash payment described in subparagraph IX(B), or dies, then the option shall terminate and the Insured (or assignee) agrees that all of the Insured's rights, interest and claims in the policy shall terminate as of the date of the termination of this Agreement.</w:t>
      </w:r>
    </w:p>
    <w:p>
      <w:pPr>
        <w:spacing w:after="0" w:line="208" w:lineRule="exact"/>
        <w:rPr>
          <w:rFonts w:ascii="Arial" w:cs="Arial" w:eastAsia="Arial" w:hAnsi="Arial"/>
          <w:sz w:val="18"/>
          <w:szCs w:val="18"/>
          <w:color w:val="auto"/>
        </w:rPr>
      </w:pPr>
    </w:p>
    <w:p>
      <w:pPr>
        <w:ind w:left="1140" w:hanging="484"/>
        <w:spacing w:after="0" w:line="277" w:lineRule="auto"/>
        <w:tabs>
          <w:tab w:leader="none" w:pos="1140" w:val="left"/>
        </w:tabs>
        <w:numPr>
          <w:ilvl w:val="1"/>
          <w:numId w:val="286"/>
        </w:numPr>
        <w:rPr>
          <w:rFonts w:ascii="Arial" w:cs="Arial" w:eastAsia="Arial" w:hAnsi="Arial"/>
          <w:sz w:val="18"/>
          <w:szCs w:val="18"/>
          <w:color w:val="auto"/>
        </w:rPr>
      </w:pPr>
      <w:r>
        <w:rPr>
          <w:rFonts w:ascii="Arial" w:cs="Arial" w:eastAsia="Arial" w:hAnsi="Arial"/>
          <w:sz w:val="18"/>
          <w:szCs w:val="18"/>
          <w:color w:val="auto"/>
        </w:rPr>
        <w:t>The Insured expressly agrees this Agreement shall constitute sufficient written notice to the Insured of the Insured's option to receive an absolute assignment of the Policy as set forth herein.</w:t>
      </w:r>
    </w:p>
    <w:p>
      <w:pPr>
        <w:spacing w:after="0" w:line="197" w:lineRule="exact"/>
        <w:rPr>
          <w:rFonts w:ascii="Arial" w:cs="Arial" w:eastAsia="Arial" w:hAnsi="Arial"/>
          <w:sz w:val="18"/>
          <w:szCs w:val="18"/>
          <w:color w:val="auto"/>
        </w:rPr>
      </w:pPr>
    </w:p>
    <w:p>
      <w:pPr>
        <w:ind w:left="1140" w:hanging="484"/>
        <w:spacing w:after="0" w:line="277" w:lineRule="auto"/>
        <w:tabs>
          <w:tab w:leader="none" w:pos="1140" w:val="left"/>
        </w:tabs>
        <w:numPr>
          <w:ilvl w:val="1"/>
          <w:numId w:val="286"/>
        </w:numPr>
        <w:rPr>
          <w:rFonts w:ascii="Arial" w:cs="Arial" w:eastAsia="Arial" w:hAnsi="Arial"/>
          <w:sz w:val="18"/>
          <w:szCs w:val="18"/>
          <w:color w:val="auto"/>
        </w:rPr>
      </w:pPr>
      <w:r>
        <w:rPr>
          <w:rFonts w:ascii="Arial" w:cs="Arial" w:eastAsia="Arial" w:hAnsi="Arial"/>
          <w:sz w:val="18"/>
          <w:szCs w:val="18"/>
          <w:color w:val="auto"/>
        </w:rPr>
        <w:t>Except as provided above, this Agreement shall terminate upon distribution of the death benefit proceeds in accordance with Paragraph VII. above.</w:t>
      </w:r>
    </w:p>
    <w:p>
      <w:pPr>
        <w:spacing w:after="0" w:line="197" w:lineRule="exact"/>
        <w:rPr>
          <w:rFonts w:ascii="Arial" w:cs="Arial" w:eastAsia="Arial" w:hAnsi="Arial"/>
          <w:sz w:val="18"/>
          <w:szCs w:val="18"/>
          <w:color w:val="auto"/>
        </w:rPr>
      </w:pPr>
    </w:p>
    <w:p>
      <w:pPr>
        <w:ind w:left="1140" w:hanging="484"/>
        <w:spacing w:after="0"/>
        <w:tabs>
          <w:tab w:leader="none" w:pos="1140" w:val="left"/>
        </w:tabs>
        <w:numPr>
          <w:ilvl w:val="1"/>
          <w:numId w:val="286"/>
        </w:numPr>
        <w:rPr>
          <w:rFonts w:ascii="Arial" w:cs="Arial" w:eastAsia="Arial" w:hAnsi="Arial"/>
          <w:sz w:val="17"/>
          <w:szCs w:val="17"/>
          <w:color w:val="auto"/>
        </w:rPr>
      </w:pPr>
      <w:r>
        <w:rPr>
          <w:rFonts w:ascii="Arial" w:cs="Arial" w:eastAsia="Arial" w:hAnsi="Arial"/>
          <w:sz w:val="17"/>
          <w:szCs w:val="17"/>
          <w:color w:val="auto"/>
        </w:rPr>
        <w:t>Upon termination of this Agreement, all benefits shall cease and shall be forfeited, including any future benefits or vested benefits,</w:t>
      </w:r>
    </w:p>
    <w:p>
      <w:pPr>
        <w:spacing w:after="0" w:line="263"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X.</w:t>
      </w:r>
      <w:r>
        <w:rPr>
          <w:rFonts w:ascii="Arial" w:cs="Arial" w:eastAsia="Arial" w:hAnsi="Arial"/>
          <w:sz w:val="17"/>
          <w:szCs w:val="17"/>
          <w:color w:val="auto"/>
        </w:rPr>
        <w:t>INSURED'S OR ASSIGNEE'S ASSIGNMENT RIGHTS</w:t>
      </w:r>
    </w:p>
    <w:p>
      <w:pPr>
        <w:spacing w:after="0" w:line="252"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Insured may not, without the written consent of the Bank, assign to any individual, trust or other organization, any right, title or interest in the subject policy nor any rights, options, privileges or duties created under this Agreement.</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XI.</w:t>
      </w:r>
      <w:r>
        <w:rPr>
          <w:sz w:val="20"/>
          <w:szCs w:val="20"/>
          <w:color w:val="auto"/>
        </w:rPr>
        <w:tab/>
      </w:r>
      <w:r>
        <w:rPr>
          <w:rFonts w:ascii="Arial" w:cs="Arial" w:eastAsia="Arial" w:hAnsi="Arial"/>
          <w:sz w:val="18"/>
          <w:szCs w:val="18"/>
          <w:color w:val="auto"/>
        </w:rPr>
        <w:t>CONFIDENTIALITY, NON-COMPETITION AND NON-DISCLOSURE</w:t>
      </w:r>
    </w:p>
    <w:p>
      <w:pPr>
        <w:spacing w:after="0" w:line="252" w:lineRule="exact"/>
        <w:rPr>
          <w:sz w:val="20"/>
          <w:szCs w:val="20"/>
          <w:color w:val="auto"/>
        </w:rPr>
      </w:pPr>
    </w:p>
    <w:p>
      <w:pPr>
        <w:ind w:left="1140" w:hanging="484"/>
        <w:spacing w:after="0"/>
        <w:tabs>
          <w:tab w:leader="none" w:pos="1140" w:val="left"/>
        </w:tabs>
        <w:numPr>
          <w:ilvl w:val="0"/>
          <w:numId w:val="287"/>
        </w:numPr>
        <w:rPr>
          <w:rFonts w:ascii="Arial" w:cs="Arial" w:eastAsia="Arial" w:hAnsi="Arial"/>
          <w:sz w:val="18"/>
          <w:szCs w:val="18"/>
          <w:color w:val="auto"/>
        </w:rPr>
      </w:pPr>
      <w:r>
        <w:rPr>
          <w:rFonts w:ascii="Arial" w:cs="Arial" w:eastAsia="Arial" w:hAnsi="Arial"/>
          <w:sz w:val="18"/>
          <w:szCs w:val="18"/>
          <w:u w:val="single" w:color="auto"/>
          <w:color w:val="auto"/>
        </w:rPr>
        <w:t>Confidentiality of Agreement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140"/>
        <w:spacing w:after="0" w:line="272" w:lineRule="auto"/>
        <w:rPr>
          <w:rFonts w:ascii="Arial" w:cs="Arial" w:eastAsia="Arial" w:hAnsi="Arial"/>
          <w:sz w:val="18"/>
          <w:szCs w:val="18"/>
          <w:color w:val="auto"/>
        </w:rPr>
      </w:pPr>
      <w:r>
        <w:rPr>
          <w:rFonts w:ascii="Arial" w:cs="Arial" w:eastAsia="Arial" w:hAnsi="Arial"/>
          <w:sz w:val="17"/>
          <w:szCs w:val="17"/>
          <w:color w:val="auto"/>
        </w:rPr>
        <w:t>Insured agrees to treat the existence and the terms of this Agreement as strictly confidential. Accordingly, with the exception of Insured's immediate family, Insured agrees not to disclose, either directly or indirectly, to any person or entity (i) the benefits under this Agreement which have been made available to him or may be made available to him in the future; (ii) any discussion or negotiations which have occurred in connection with this Agreement; (iii) the existence, terms, or conditions of this Agreement or the benefits provided hereunder, without the prior written consent of the Bank, except as required for income reporting purposes; or as required by a court of competent jurisdiction or other administrative or legislative body; provided, prior to disclosing any of the confidential information to a court or other administrative or legislative body, Insured shall promptly notify the Bank so it may seek a protective order or other appropriate remedy.</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7" w:name="page338"/>
    <w:bookmarkEnd w:id="337"/>
    <w:p>
      <w:pPr>
        <w:ind w:left="484" w:hanging="484"/>
        <w:spacing w:after="0"/>
        <w:tabs>
          <w:tab w:leader="none" w:pos="484" w:val="left"/>
        </w:tabs>
        <w:numPr>
          <w:ilvl w:val="0"/>
          <w:numId w:val="288"/>
        </w:numPr>
        <w:rPr>
          <w:rFonts w:ascii="Arial" w:cs="Arial" w:eastAsia="Arial" w:hAnsi="Arial"/>
          <w:sz w:val="18"/>
          <w:szCs w:val="18"/>
          <w:color w:val="auto"/>
        </w:rPr>
      </w:pPr>
      <w:r>
        <w:rPr>
          <w:rFonts w:ascii="Arial" w:cs="Arial" w:eastAsia="Arial" w:hAnsi="Arial"/>
          <w:sz w:val="18"/>
          <w:szCs w:val="18"/>
          <w:u w:val="single" w:color="auto"/>
          <w:color w:val="auto"/>
        </w:rPr>
        <w:t>Proprietary Information of Bank:</w:t>
      </w:r>
    </w:p>
    <w:p>
      <w:pPr>
        <w:spacing w:after="0" w:line="252" w:lineRule="exact"/>
        <w:rPr>
          <w:rFonts w:ascii="Arial" w:cs="Arial" w:eastAsia="Arial" w:hAnsi="Arial"/>
          <w:sz w:val="18"/>
          <w:szCs w:val="18"/>
          <w:color w:val="auto"/>
        </w:rPr>
      </w:pPr>
    </w:p>
    <w:p>
      <w:pPr>
        <w:jc w:val="both"/>
        <w:ind w:left="964" w:hanging="478"/>
        <w:spacing w:after="0" w:line="254" w:lineRule="auto"/>
        <w:tabs>
          <w:tab w:leader="none" w:pos="964" w:val="left"/>
        </w:tabs>
        <w:numPr>
          <w:ilvl w:val="1"/>
          <w:numId w:val="288"/>
        </w:numPr>
        <w:rPr>
          <w:rFonts w:ascii="Arial" w:cs="Arial" w:eastAsia="Arial" w:hAnsi="Arial"/>
          <w:sz w:val="18"/>
          <w:szCs w:val="18"/>
          <w:color w:val="auto"/>
        </w:rPr>
      </w:pPr>
      <w:r>
        <w:rPr>
          <w:rFonts w:ascii="Arial" w:cs="Arial" w:eastAsia="Arial" w:hAnsi="Arial"/>
          <w:sz w:val="18"/>
          <w:szCs w:val="18"/>
          <w:color w:val="auto"/>
        </w:rPr>
        <w:t>Bank promises to give Insured "trade secrets" or confidential information during the course of the Insured's employment with the Bank. The term "trade secret" shall mean any devices, secret inventions, processes and compilations of information and records owned by the Bank and regularly used in the operation of the business of the Bank. Insured acknowledges the direct and indirect disclosure of any such confidential information to existing or potential competitors of the Bank would place the Bank at a competitive disadvantage and would do damage, monetary or otherwise, to the Bank's business; and the engaging by Insured in any of the activities prohibited by this Agreement may constitute improper appropriation and/or use of such information and trade secret status. Insured expressly acknowledges trade secret status of the confidential information and the confidential information constitutes a protectable business interest of the Bank.</w:t>
      </w:r>
    </w:p>
    <w:p>
      <w:pPr>
        <w:spacing w:after="0" w:line="219" w:lineRule="exact"/>
        <w:rPr>
          <w:rFonts w:ascii="Arial" w:cs="Arial" w:eastAsia="Arial" w:hAnsi="Arial"/>
          <w:sz w:val="18"/>
          <w:szCs w:val="18"/>
          <w:color w:val="auto"/>
        </w:rPr>
      </w:pPr>
    </w:p>
    <w:p>
      <w:pPr>
        <w:jc w:val="both"/>
        <w:ind w:left="964" w:hanging="478"/>
        <w:spacing w:after="0" w:line="271" w:lineRule="auto"/>
        <w:tabs>
          <w:tab w:leader="none" w:pos="964" w:val="left"/>
        </w:tabs>
        <w:numPr>
          <w:ilvl w:val="1"/>
          <w:numId w:val="288"/>
        </w:numPr>
        <w:rPr>
          <w:rFonts w:ascii="Arial" w:cs="Arial" w:eastAsia="Arial" w:hAnsi="Arial"/>
          <w:sz w:val="17"/>
          <w:szCs w:val="17"/>
          <w:color w:val="auto"/>
        </w:rPr>
      </w:pPr>
      <w:r>
        <w:rPr>
          <w:rFonts w:ascii="Arial" w:cs="Arial" w:eastAsia="Arial" w:hAnsi="Arial"/>
          <w:sz w:val="17"/>
          <w:szCs w:val="17"/>
          <w:color w:val="auto"/>
        </w:rPr>
        <w:t>From the date of this Agreement, Insured shall not, directly or indirectly, whether individually, as a director, stockholder, owner, partner, employee, principal or agent of any business, or in any other capacity, make known, disclose, furnish, make available or utilize any of the confidential information of the Bank other than in the proper performance of the duties contemplated herein, or as required by a court of competent jurisdiction or other administrative or legislative body; provided that, prior to disclosing any of the confidential information to a court or other administrative or legislative body, Insured shall promptly notify the Bank so it may seek a protective order or other appropriate remedy. Insured agrees to return all confidential information, including all photocopies, extracts and summaries thereof, and any such information stored electronically on tapes, computer disks or in any other manner to the Bank at any time upon request by the Bank and upon the termination of his engagement for any reason.</w:t>
      </w:r>
    </w:p>
    <w:p>
      <w:pPr>
        <w:spacing w:after="0" w:line="205" w:lineRule="exact"/>
        <w:rPr>
          <w:rFonts w:ascii="Arial" w:cs="Arial" w:eastAsia="Arial" w:hAnsi="Arial"/>
          <w:sz w:val="17"/>
          <w:szCs w:val="17"/>
          <w:color w:val="auto"/>
        </w:rPr>
      </w:pPr>
    </w:p>
    <w:p>
      <w:pPr>
        <w:ind w:left="484" w:hanging="484"/>
        <w:spacing w:after="0"/>
        <w:tabs>
          <w:tab w:leader="none" w:pos="484" w:val="left"/>
        </w:tabs>
        <w:numPr>
          <w:ilvl w:val="0"/>
          <w:numId w:val="288"/>
        </w:numPr>
        <w:rPr>
          <w:rFonts w:ascii="Arial" w:cs="Arial" w:eastAsia="Arial" w:hAnsi="Arial"/>
          <w:sz w:val="18"/>
          <w:szCs w:val="18"/>
          <w:color w:val="auto"/>
        </w:rPr>
      </w:pPr>
      <w:r>
        <w:rPr>
          <w:rFonts w:ascii="Arial" w:cs="Arial" w:eastAsia="Arial" w:hAnsi="Arial"/>
          <w:sz w:val="18"/>
          <w:szCs w:val="18"/>
          <w:u w:val="single" w:color="auto"/>
          <w:color w:val="auto"/>
        </w:rPr>
        <w:t>Non-Competition Agreement:</w:t>
      </w:r>
    </w:p>
    <w:p>
      <w:pPr>
        <w:spacing w:after="0" w:line="252" w:lineRule="exact"/>
        <w:rPr>
          <w:rFonts w:ascii="Arial" w:cs="Arial" w:eastAsia="Arial" w:hAnsi="Arial"/>
          <w:sz w:val="18"/>
          <w:szCs w:val="18"/>
          <w:color w:val="auto"/>
        </w:rPr>
      </w:pPr>
    </w:p>
    <w:p>
      <w:pPr>
        <w:jc w:val="both"/>
        <w:ind w:left="484"/>
        <w:spacing w:after="0" w:line="253" w:lineRule="auto"/>
        <w:rPr>
          <w:rFonts w:ascii="Arial" w:cs="Arial" w:eastAsia="Arial" w:hAnsi="Arial"/>
          <w:sz w:val="18"/>
          <w:szCs w:val="18"/>
          <w:color w:val="auto"/>
        </w:rPr>
      </w:pPr>
      <w:r>
        <w:rPr>
          <w:rFonts w:ascii="Arial" w:cs="Arial" w:eastAsia="Arial" w:hAnsi="Arial"/>
          <w:sz w:val="18"/>
          <w:szCs w:val="18"/>
          <w:color w:val="auto"/>
        </w:rPr>
        <w:t>Ancillary to subparagraph XI.B.a., from the Effective Date until the second anniversary of the termination of employment (the "Non-Competition Period"), Insured agrees not to engage in Competition (as defined below) with the Bank in any County where the Bank maintains a branch office. For purposes of this Agreement, "Competition" by Insured shall mean Insured's engaging in, or otherwise directly or indirectly being employed by or acting as a consultant or lender to, or being a director, officer, employee, principal, licensor, trustee, broker, agent, stockholder, member, owner, joint venturer or partner of, or permitting his name to be used in connection with the activities of any other business or organization which is engaged in the same business as the business of the Bank as the same shall be constituted at any time during or following his engagement; provided that, it shall not be a violation of this Agreement for Insured to (i) become the registered or beneficial owner of less than five percent (5%) of any class of the capital stock of a competing corporation registered under the Securities Exchange Act of 1934, as amended or (ii) be employed by an entity which engages in the same business as the business of the Bank so long as Insured does not directly perform services for or work within a division or business unit of such entity that engages in the business of the Bank.</w:t>
      </w:r>
    </w:p>
    <w:p>
      <w:pPr>
        <w:spacing w:after="0" w:line="391" w:lineRule="exact"/>
        <w:rPr>
          <w:sz w:val="20"/>
          <w:szCs w:val="20"/>
          <w:color w:val="auto"/>
        </w:rPr>
      </w:pPr>
    </w:p>
    <w:p>
      <w:pPr>
        <w:ind w:left="5024"/>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246620" cy="171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338" w:name="page339"/>
    <w:bookmarkEnd w:id="338"/>
    <w:p>
      <w:pPr>
        <w:ind w:left="484" w:hanging="484"/>
        <w:spacing w:after="0"/>
        <w:tabs>
          <w:tab w:leader="none" w:pos="484"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t>Solicitation of Bank's Customers:</w:t>
      </w:r>
    </w:p>
    <w:p>
      <w:pPr>
        <w:spacing w:after="0" w:line="252" w:lineRule="exact"/>
        <w:rPr>
          <w:rFonts w:ascii="Arial" w:cs="Arial" w:eastAsia="Arial" w:hAnsi="Arial"/>
          <w:sz w:val="18"/>
          <w:szCs w:val="18"/>
          <w:color w:val="auto"/>
        </w:rPr>
      </w:pPr>
    </w:p>
    <w:p>
      <w:pPr>
        <w:ind w:left="484"/>
        <w:spacing w:after="0" w:line="277" w:lineRule="auto"/>
        <w:rPr>
          <w:rFonts w:ascii="Arial" w:cs="Arial" w:eastAsia="Arial" w:hAnsi="Arial"/>
          <w:sz w:val="18"/>
          <w:szCs w:val="18"/>
          <w:color w:val="auto"/>
        </w:rPr>
      </w:pPr>
      <w:r>
        <w:rPr>
          <w:rFonts w:ascii="Arial" w:cs="Arial" w:eastAsia="Arial" w:hAnsi="Arial"/>
          <w:sz w:val="18"/>
          <w:szCs w:val="18"/>
          <w:color w:val="auto"/>
        </w:rPr>
        <w:t>Without limiting the generality of the foregoing, during the Non-Competition Period, Insured agrees he will not, directly or indirectly, for his benefit or for the benefit of any other person, firm or entity, do any of the following:</w:t>
      </w:r>
    </w:p>
    <w:p>
      <w:pPr>
        <w:spacing w:after="0" w:line="197" w:lineRule="exact"/>
        <w:rPr>
          <w:rFonts w:ascii="Arial" w:cs="Arial" w:eastAsia="Arial" w:hAnsi="Arial"/>
          <w:sz w:val="18"/>
          <w:szCs w:val="18"/>
          <w:color w:val="auto"/>
        </w:rPr>
      </w:pPr>
    </w:p>
    <w:p>
      <w:pPr>
        <w:ind w:left="964" w:hanging="478"/>
        <w:spacing w:after="0" w:line="277" w:lineRule="auto"/>
        <w:tabs>
          <w:tab w:leader="none" w:pos="964" w:val="left"/>
        </w:tabs>
        <w:numPr>
          <w:ilvl w:val="1"/>
          <w:numId w:val="289"/>
        </w:numPr>
        <w:rPr>
          <w:rFonts w:ascii="Arial" w:cs="Arial" w:eastAsia="Arial" w:hAnsi="Arial"/>
          <w:sz w:val="18"/>
          <w:szCs w:val="18"/>
          <w:color w:val="auto"/>
        </w:rPr>
      </w:pPr>
      <w:r>
        <w:rPr>
          <w:rFonts w:ascii="Arial" w:cs="Arial" w:eastAsia="Arial" w:hAnsi="Arial"/>
          <w:sz w:val="18"/>
          <w:szCs w:val="18"/>
          <w:color w:val="auto"/>
        </w:rPr>
        <w:t>solicit from any customer doing business with the Bank business of the same or of a similar nature to the business conducted between the Bank and such customer;</w:t>
      </w:r>
    </w:p>
    <w:p>
      <w:pPr>
        <w:spacing w:after="0" w:line="197" w:lineRule="exact"/>
        <w:rPr>
          <w:rFonts w:ascii="Arial" w:cs="Arial" w:eastAsia="Arial" w:hAnsi="Arial"/>
          <w:sz w:val="18"/>
          <w:szCs w:val="18"/>
          <w:color w:val="auto"/>
        </w:rPr>
      </w:pPr>
    </w:p>
    <w:p>
      <w:pPr>
        <w:ind w:left="964" w:hanging="478"/>
        <w:spacing w:after="0"/>
        <w:tabs>
          <w:tab w:leader="none" w:pos="964" w:val="left"/>
        </w:tabs>
        <w:numPr>
          <w:ilvl w:val="1"/>
          <w:numId w:val="289"/>
        </w:numPr>
        <w:rPr>
          <w:rFonts w:ascii="Arial" w:cs="Arial" w:eastAsia="Arial" w:hAnsi="Arial"/>
          <w:sz w:val="18"/>
          <w:szCs w:val="18"/>
          <w:color w:val="auto"/>
        </w:rPr>
      </w:pPr>
      <w:r>
        <w:rPr>
          <w:rFonts w:ascii="Arial" w:cs="Arial" w:eastAsia="Arial" w:hAnsi="Arial"/>
          <w:sz w:val="18"/>
          <w:szCs w:val="18"/>
          <w:color w:val="auto"/>
        </w:rPr>
        <w:t>solicit the employment or services of any person who at the time is employed by or a consultant to the Bank; or</w:t>
      </w:r>
    </w:p>
    <w:p>
      <w:pPr>
        <w:spacing w:after="0" w:line="252" w:lineRule="exact"/>
        <w:rPr>
          <w:rFonts w:ascii="Arial" w:cs="Arial" w:eastAsia="Arial" w:hAnsi="Arial"/>
          <w:sz w:val="18"/>
          <w:szCs w:val="18"/>
          <w:color w:val="auto"/>
        </w:rPr>
      </w:pPr>
    </w:p>
    <w:p>
      <w:pPr>
        <w:ind w:left="964" w:right="20" w:hanging="478"/>
        <w:spacing w:after="0" w:line="277" w:lineRule="auto"/>
        <w:tabs>
          <w:tab w:leader="none" w:pos="964" w:val="left"/>
        </w:tabs>
        <w:numPr>
          <w:ilvl w:val="1"/>
          <w:numId w:val="289"/>
        </w:numPr>
        <w:rPr>
          <w:rFonts w:ascii="Arial" w:cs="Arial" w:eastAsia="Arial" w:hAnsi="Arial"/>
          <w:sz w:val="18"/>
          <w:szCs w:val="18"/>
          <w:color w:val="auto"/>
        </w:rPr>
      </w:pPr>
      <w:r>
        <w:rPr>
          <w:rFonts w:ascii="Arial" w:cs="Arial" w:eastAsia="Arial" w:hAnsi="Arial"/>
          <w:sz w:val="18"/>
          <w:szCs w:val="18"/>
          <w:color w:val="auto"/>
        </w:rPr>
        <w:t>make any statements or comments of a defamatory or disparaging nature to third parties regarding the Bank or its officers, directors, personnel, products or services.</w:t>
      </w:r>
    </w:p>
    <w:p>
      <w:pPr>
        <w:spacing w:after="0" w:line="197" w:lineRule="exact"/>
        <w:rPr>
          <w:rFonts w:ascii="Arial" w:cs="Arial" w:eastAsia="Arial" w:hAnsi="Arial"/>
          <w:sz w:val="18"/>
          <w:szCs w:val="18"/>
          <w:color w:val="auto"/>
        </w:rPr>
      </w:pPr>
    </w:p>
    <w:p>
      <w:pPr>
        <w:ind w:left="484" w:hanging="484"/>
        <w:spacing w:after="0"/>
        <w:tabs>
          <w:tab w:leader="none" w:pos="484"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t>Injunctive Relief.</w:t>
      </w:r>
    </w:p>
    <w:p>
      <w:pPr>
        <w:spacing w:after="0" w:line="252" w:lineRule="exact"/>
        <w:rPr>
          <w:rFonts w:ascii="Arial" w:cs="Arial" w:eastAsia="Arial" w:hAnsi="Arial"/>
          <w:sz w:val="18"/>
          <w:szCs w:val="18"/>
          <w:color w:val="auto"/>
        </w:rPr>
      </w:pPr>
    </w:p>
    <w:p>
      <w:pPr>
        <w:jc w:val="both"/>
        <w:ind w:left="484"/>
        <w:spacing w:after="0" w:line="255" w:lineRule="auto"/>
        <w:rPr>
          <w:rFonts w:ascii="Arial" w:cs="Arial" w:eastAsia="Arial" w:hAnsi="Arial"/>
          <w:sz w:val="18"/>
          <w:szCs w:val="18"/>
          <w:color w:val="auto"/>
        </w:rPr>
      </w:pPr>
      <w:r>
        <w:rPr>
          <w:rFonts w:ascii="Arial" w:cs="Arial" w:eastAsia="Arial" w:hAnsi="Arial"/>
          <w:sz w:val="18"/>
          <w:szCs w:val="18"/>
          <w:color w:val="auto"/>
        </w:rPr>
        <w:t>Insured acknowledges the Insured's agreement to the terms set forth herein are a critical inducement to the entering into the Life Insurance Endorsement Method Split Dollar Plan Agreement by the parties thereto, and a material breach by him of any of the provisions contained under this paragraph will cause the Bank irreparable injury and would not be reasonably or adequately compensated for by damages in an action at law. Insured therefore agrees the Bank shall be entitled, in addition to any other right or remedy, to a temporary, preliminary and permanent injunction without the necessity of proving the inadequacy of monetary damages or the posting of any bond or security, enjoining or restraining Insured from any such violation.</w:t>
      </w:r>
    </w:p>
    <w:p>
      <w:pPr>
        <w:spacing w:after="0" w:line="220" w:lineRule="exact"/>
        <w:rPr>
          <w:rFonts w:ascii="Arial" w:cs="Arial" w:eastAsia="Arial" w:hAnsi="Arial"/>
          <w:sz w:val="18"/>
          <w:szCs w:val="18"/>
          <w:color w:val="auto"/>
        </w:rPr>
      </w:pPr>
    </w:p>
    <w:p>
      <w:pPr>
        <w:ind w:left="484" w:hanging="484"/>
        <w:spacing w:after="0"/>
        <w:tabs>
          <w:tab w:leader="none" w:pos="484"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t>Reformation of Agreement.</w:t>
      </w:r>
    </w:p>
    <w:p>
      <w:pPr>
        <w:spacing w:after="0" w:line="252" w:lineRule="exact"/>
        <w:rPr>
          <w:rFonts w:ascii="Arial" w:cs="Arial" w:eastAsia="Arial" w:hAnsi="Arial"/>
          <w:sz w:val="18"/>
          <w:szCs w:val="18"/>
          <w:color w:val="auto"/>
        </w:rPr>
      </w:pPr>
    </w:p>
    <w:p>
      <w:pPr>
        <w:jc w:val="both"/>
        <w:ind w:left="484"/>
        <w:spacing w:after="0" w:line="293" w:lineRule="auto"/>
        <w:rPr>
          <w:rFonts w:ascii="Arial" w:cs="Arial" w:eastAsia="Arial" w:hAnsi="Arial"/>
          <w:sz w:val="18"/>
          <w:szCs w:val="18"/>
          <w:color w:val="auto"/>
        </w:rPr>
      </w:pPr>
      <w:r>
        <w:rPr>
          <w:rFonts w:ascii="Arial" w:cs="Arial" w:eastAsia="Arial" w:hAnsi="Arial"/>
          <w:sz w:val="16"/>
          <w:szCs w:val="16"/>
          <w:color w:val="auto"/>
        </w:rPr>
        <w:t>Insured further acknowledges and agrees that due to the uniqueness of his services and confidential nature of the information available to Insured during his past and future employment with Bank, the covenants set forth herein are reasonable and necessary for the protection of the business and goodwill of the Bank; and it is the intent of the parties hereto that if in the opinion of any court of competent jurisdiction any provision set forth in this Agreement is not reasonable in any respect, or that any provision should be deemed to exceed the time, geographic or occupational limits permitted by applicable law, such court shall have the right, power and authority to modify any and all such provisions as to such court shall appear not unreasonable and to enforce the remainder of this Agreement as so modified.</w:t>
      </w:r>
    </w:p>
    <w:p>
      <w:pPr>
        <w:spacing w:after="0" w:line="363" w:lineRule="exact"/>
        <w:rPr>
          <w:sz w:val="20"/>
          <w:szCs w:val="20"/>
          <w:color w:val="auto"/>
        </w:rPr>
      </w:pPr>
    </w:p>
    <w:p>
      <w:pPr>
        <w:ind w:left="5024"/>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246620"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339" w:name="page340"/>
    <w:bookmarkEnd w:id="339"/>
    <w:p>
      <w:pPr>
        <w:ind w:left="1140" w:hanging="484"/>
        <w:spacing w:after="0"/>
        <w:tabs>
          <w:tab w:leader="none" w:pos="1140" w:val="left"/>
        </w:tabs>
        <w:numPr>
          <w:ilvl w:val="0"/>
          <w:numId w:val="290"/>
        </w:numPr>
        <w:rPr>
          <w:rFonts w:ascii="Arial" w:cs="Arial" w:eastAsia="Arial" w:hAnsi="Arial"/>
          <w:sz w:val="18"/>
          <w:szCs w:val="18"/>
          <w:color w:val="auto"/>
        </w:rPr>
      </w:pPr>
      <w:r>
        <w:rPr>
          <w:rFonts w:ascii="Arial" w:cs="Arial" w:eastAsia="Arial" w:hAnsi="Arial"/>
          <w:sz w:val="18"/>
          <w:szCs w:val="18"/>
          <w:u w:val="single" w:color="auto"/>
          <w:color w:val="auto"/>
        </w:rPr>
        <w:t>Forfeiture of Benefits in the Event of Breach.</w:t>
      </w:r>
    </w:p>
    <w:p>
      <w:pPr>
        <w:spacing w:after="0" w:line="252" w:lineRule="exact"/>
        <w:rPr>
          <w:rFonts w:ascii="Arial" w:cs="Arial" w:eastAsia="Arial" w:hAnsi="Arial"/>
          <w:sz w:val="18"/>
          <w:szCs w:val="18"/>
          <w:color w:val="auto"/>
        </w:rPr>
      </w:pPr>
    </w:p>
    <w:p>
      <w:pPr>
        <w:jc w:val="both"/>
        <w:ind w:left="1140"/>
        <w:spacing w:after="0" w:line="257" w:lineRule="auto"/>
        <w:rPr>
          <w:rFonts w:ascii="Arial" w:cs="Arial" w:eastAsia="Arial" w:hAnsi="Arial"/>
          <w:sz w:val="18"/>
          <w:szCs w:val="18"/>
          <w:color w:val="auto"/>
        </w:rPr>
      </w:pPr>
      <w:r>
        <w:rPr>
          <w:rFonts w:ascii="Arial" w:cs="Arial" w:eastAsia="Arial" w:hAnsi="Arial"/>
          <w:sz w:val="18"/>
          <w:szCs w:val="18"/>
          <w:color w:val="auto"/>
        </w:rPr>
        <w:t>Notwithstanding any other provision of this Agreement, if at any time it is determined in the sole judgment of the Bank that the Insured has materially breached any of the covenants under this paragraph, all benefits provided herein shall be forfeited and this Agreement shall be terminated and no death benefits shall be due hereunder and, if applicable, the Insured's beneficiary(ies) shall repay to the Bank any and all death benefits already received, without prejudice to the Bank's right to pursue other equitable and legal remedies for enforcement and recovery under this Agreement.</w:t>
      </w:r>
    </w:p>
    <w:p>
      <w:pPr>
        <w:spacing w:after="0" w:line="2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XII.</w:t>
      </w:r>
      <w:r>
        <w:rPr>
          <w:sz w:val="20"/>
          <w:szCs w:val="20"/>
          <w:color w:val="auto"/>
        </w:rPr>
        <w:tab/>
      </w:r>
      <w:r>
        <w:rPr>
          <w:rFonts w:ascii="Arial" w:cs="Arial" w:eastAsia="Arial" w:hAnsi="Arial"/>
          <w:sz w:val="18"/>
          <w:szCs w:val="18"/>
          <w:color w:val="auto"/>
        </w:rPr>
        <w:t>ADMINISTRATIVE AND CLAIMS PROVISIONS</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following provisions are part of this Agreement and are intended to meet the requirements of the Employee Retirement Income Security Act of 1974 (ERISA"):</w:t>
      </w:r>
    </w:p>
    <w:p>
      <w:pPr>
        <w:spacing w:after="0" w:line="197" w:lineRule="exact"/>
        <w:rPr>
          <w:sz w:val="20"/>
          <w:szCs w:val="20"/>
          <w:color w:val="auto"/>
        </w:rPr>
      </w:pPr>
    </w:p>
    <w:p>
      <w:pPr>
        <w:ind w:left="1140" w:hanging="484"/>
        <w:spacing w:after="0"/>
        <w:tabs>
          <w:tab w:leader="none" w:pos="1140" w:val="left"/>
        </w:tabs>
        <w:numPr>
          <w:ilvl w:val="0"/>
          <w:numId w:val="291"/>
        </w:numPr>
        <w:rPr>
          <w:rFonts w:ascii="Arial" w:cs="Arial" w:eastAsia="Arial" w:hAnsi="Arial"/>
          <w:sz w:val="18"/>
          <w:szCs w:val="18"/>
          <w:color w:val="auto"/>
        </w:rPr>
      </w:pPr>
      <w:r>
        <w:rPr>
          <w:rFonts w:ascii="Arial" w:cs="Arial" w:eastAsia="Arial" w:hAnsi="Arial"/>
          <w:sz w:val="18"/>
          <w:szCs w:val="18"/>
          <w:u w:val="single" w:color="auto"/>
          <w:color w:val="auto"/>
        </w:rPr>
        <w:t>Plan Administrator.</w:t>
      </w:r>
    </w:p>
    <w:p>
      <w:pPr>
        <w:spacing w:after="0" w:line="252" w:lineRule="exact"/>
        <w:rPr>
          <w:rFonts w:ascii="Arial" w:cs="Arial" w:eastAsia="Arial" w:hAnsi="Arial"/>
          <w:sz w:val="18"/>
          <w:szCs w:val="18"/>
          <w:color w:val="auto"/>
        </w:rPr>
      </w:pPr>
    </w:p>
    <w:p>
      <w:pPr>
        <w:jc w:val="both"/>
        <w:ind w:left="1140"/>
        <w:spacing w:after="0" w:line="259" w:lineRule="auto"/>
        <w:rPr>
          <w:rFonts w:ascii="Arial" w:cs="Arial" w:eastAsia="Arial" w:hAnsi="Arial"/>
          <w:sz w:val="18"/>
          <w:szCs w:val="18"/>
          <w:color w:val="auto"/>
        </w:rPr>
      </w:pPr>
      <w:r>
        <w:rPr>
          <w:rFonts w:ascii="Arial" w:cs="Arial" w:eastAsia="Arial" w:hAnsi="Arial"/>
          <w:sz w:val="18"/>
          <w:szCs w:val="18"/>
          <w:color w:val="auto"/>
        </w:rPr>
        <w:t>The "Plan Administrator' of this Agreement shall be City Bank. As Plan Administrator, the Bank shall be responsible for the management, control and administration of this Agreement as established herein. The Plan Administrator may delegate to others certain aspects of the management and operation responsibilities of the Agreement, including the employment of advisors and the delegation of ministerial duties to qualified individuals.</w:t>
      </w:r>
    </w:p>
    <w:p>
      <w:pPr>
        <w:spacing w:after="0" w:line="213" w:lineRule="exact"/>
        <w:rPr>
          <w:rFonts w:ascii="Arial" w:cs="Arial" w:eastAsia="Arial" w:hAnsi="Arial"/>
          <w:sz w:val="18"/>
          <w:szCs w:val="18"/>
          <w:color w:val="auto"/>
        </w:rPr>
      </w:pPr>
    </w:p>
    <w:p>
      <w:pPr>
        <w:ind w:left="1140" w:hanging="484"/>
        <w:spacing w:after="0"/>
        <w:tabs>
          <w:tab w:leader="none" w:pos="1140" w:val="left"/>
        </w:tabs>
        <w:numPr>
          <w:ilvl w:val="0"/>
          <w:numId w:val="291"/>
        </w:numPr>
        <w:rPr>
          <w:rFonts w:ascii="Arial" w:cs="Arial" w:eastAsia="Arial" w:hAnsi="Arial"/>
          <w:sz w:val="18"/>
          <w:szCs w:val="18"/>
          <w:color w:val="auto"/>
        </w:rPr>
      </w:pPr>
      <w:r>
        <w:rPr>
          <w:rFonts w:ascii="Arial" w:cs="Arial" w:eastAsia="Arial" w:hAnsi="Arial"/>
          <w:sz w:val="18"/>
          <w:szCs w:val="18"/>
          <w:u w:val="single" w:color="auto"/>
          <w:color w:val="auto"/>
        </w:rPr>
        <w:t>Basis of Payment of Benefits.</w:t>
      </w:r>
    </w:p>
    <w:p>
      <w:pPr>
        <w:spacing w:after="0" w:line="252" w:lineRule="exact"/>
        <w:rPr>
          <w:rFonts w:ascii="Arial" w:cs="Arial" w:eastAsia="Arial" w:hAnsi="Arial"/>
          <w:sz w:val="18"/>
          <w:szCs w:val="18"/>
          <w:color w:val="auto"/>
        </w:rPr>
      </w:pPr>
    </w:p>
    <w:p>
      <w:pPr>
        <w:ind w:left="1140"/>
        <w:spacing w:after="0" w:line="277" w:lineRule="auto"/>
        <w:rPr>
          <w:rFonts w:ascii="Arial" w:cs="Arial" w:eastAsia="Arial" w:hAnsi="Arial"/>
          <w:sz w:val="18"/>
          <w:szCs w:val="18"/>
          <w:color w:val="auto"/>
        </w:rPr>
      </w:pPr>
      <w:r>
        <w:rPr>
          <w:rFonts w:ascii="Arial" w:cs="Arial" w:eastAsia="Arial" w:hAnsi="Arial"/>
          <w:sz w:val="18"/>
          <w:szCs w:val="18"/>
          <w:color w:val="auto"/>
        </w:rPr>
        <w:t>Direct payment by the Insurer is the basis of payment of benefits under this Agreement, with those benefits in turn being based on the payment of premiums as provided in this Agreement.</w:t>
      </w:r>
    </w:p>
    <w:p>
      <w:pPr>
        <w:spacing w:after="0" w:line="197" w:lineRule="exact"/>
        <w:rPr>
          <w:rFonts w:ascii="Arial" w:cs="Arial" w:eastAsia="Arial" w:hAnsi="Arial"/>
          <w:sz w:val="18"/>
          <w:szCs w:val="18"/>
          <w:color w:val="auto"/>
        </w:rPr>
      </w:pPr>
    </w:p>
    <w:p>
      <w:pPr>
        <w:ind w:left="1140" w:hanging="484"/>
        <w:spacing w:after="0"/>
        <w:tabs>
          <w:tab w:leader="none" w:pos="1140" w:val="left"/>
        </w:tabs>
        <w:numPr>
          <w:ilvl w:val="0"/>
          <w:numId w:val="291"/>
        </w:numPr>
        <w:rPr>
          <w:rFonts w:ascii="Arial" w:cs="Arial" w:eastAsia="Arial" w:hAnsi="Arial"/>
          <w:sz w:val="18"/>
          <w:szCs w:val="18"/>
          <w:color w:val="auto"/>
        </w:rPr>
      </w:pPr>
      <w:r>
        <w:rPr>
          <w:rFonts w:ascii="Arial" w:cs="Arial" w:eastAsia="Arial" w:hAnsi="Arial"/>
          <w:sz w:val="18"/>
          <w:szCs w:val="18"/>
          <w:u w:val="single" w:color="auto"/>
          <w:color w:val="auto"/>
        </w:rPr>
        <w:t>Claims Procedures.</w:t>
      </w:r>
    </w:p>
    <w:p>
      <w:pPr>
        <w:spacing w:after="0" w:line="252" w:lineRule="exact"/>
        <w:rPr>
          <w:rFonts w:ascii="Arial" w:cs="Arial" w:eastAsia="Arial" w:hAnsi="Arial"/>
          <w:sz w:val="18"/>
          <w:szCs w:val="18"/>
          <w:color w:val="auto"/>
        </w:rPr>
      </w:pPr>
    </w:p>
    <w:p>
      <w:pPr>
        <w:jc w:val="both"/>
        <w:ind w:left="1140"/>
        <w:spacing w:after="0" w:line="253" w:lineRule="auto"/>
        <w:rPr>
          <w:rFonts w:ascii="Arial" w:cs="Arial" w:eastAsia="Arial" w:hAnsi="Arial"/>
          <w:sz w:val="18"/>
          <w:szCs w:val="18"/>
          <w:color w:val="auto"/>
        </w:rPr>
      </w:pPr>
      <w:r>
        <w:rPr>
          <w:rFonts w:ascii="Arial" w:cs="Arial" w:eastAsia="Arial" w:hAnsi="Arial"/>
          <w:sz w:val="18"/>
          <w:szCs w:val="18"/>
          <w:color w:val="auto"/>
        </w:rPr>
        <w:t>Claim forms or claim information as to the Policy can be obtained by contacting Renaissance Bank Advisors (800-544-6079). When the Plan Administrator has a claim which may be covered under the provisions described in the Policy, they should contact the office named above, and they will either complete a claim form and forward it to an authorized representative of the Insurer or advise the Plan Administrator what further requirements are necessary. The Insurer will evaluate and make a decision as to payment. If the claim is payable, a benefit check will be issued in accordance with the terms of this Agreement. In the event that a claim is not eligible under the Policy, the Insurer will notify the Plan Administrator of the denial pursuant to the requirements under the terms of the Policy. If the Plan Administrator is dissatisfied with the denial of the claim and wishes to contest such claim denial, it should contact the office named above and they will assist in making an inquiry to the Insurer. All objections to the Insurer's actions should be in writing and submitted to the office named above for transmittal to the Insurer.</w:t>
      </w:r>
    </w:p>
    <w:p>
      <w:pPr>
        <w:spacing w:after="0" w:line="22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XIII.</w:t>
      </w:r>
      <w:r>
        <w:rPr>
          <w:sz w:val="20"/>
          <w:szCs w:val="20"/>
          <w:color w:val="auto"/>
        </w:rPr>
        <w:tab/>
      </w:r>
      <w:r>
        <w:rPr>
          <w:rFonts w:ascii="Arial" w:cs="Arial" w:eastAsia="Arial" w:hAnsi="Arial"/>
          <w:sz w:val="18"/>
          <w:szCs w:val="18"/>
          <w:color w:val="auto"/>
        </w:rPr>
        <w:t>MISCELLANEOUS</w:t>
      </w:r>
    </w:p>
    <w:p>
      <w:pPr>
        <w:spacing w:after="0" w:line="252" w:lineRule="exact"/>
        <w:rPr>
          <w:sz w:val="20"/>
          <w:szCs w:val="20"/>
          <w:color w:val="auto"/>
        </w:rPr>
      </w:pPr>
    </w:p>
    <w:p>
      <w:pPr>
        <w:ind w:left="1140" w:hanging="484"/>
        <w:spacing w:after="0" w:line="277" w:lineRule="auto"/>
        <w:tabs>
          <w:tab w:leader="none" w:pos="114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Whenever in this Agreement words are used in the masculine or neuter gender, they shall be read and construed as in the masculine, feminine or neuter gender, whichever should so apply.</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40" w:name="page341"/>
    <w:bookmarkEnd w:id="340"/>
    <w:p>
      <w:pPr>
        <w:jc w:val="both"/>
        <w:ind w:left="484" w:hanging="484"/>
        <w:spacing w:after="0" w:line="264" w:lineRule="auto"/>
        <w:tabs>
          <w:tab w:leader="none" w:pos="484"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Insurer shall not be deemed a party to this Agreement, but will respect the rights of the parties as herein developed upon receiving an executed copy of this Agreement. Payment or other performance in accordance with the Policy shall fully discharge the Insurer from any and all liability.</w:t>
      </w:r>
    </w:p>
    <w:p>
      <w:pPr>
        <w:spacing w:after="0" w:line="208" w:lineRule="exact"/>
        <w:rPr>
          <w:rFonts w:ascii="Arial" w:cs="Arial" w:eastAsia="Arial" w:hAnsi="Arial"/>
          <w:sz w:val="18"/>
          <w:szCs w:val="18"/>
          <w:color w:val="auto"/>
        </w:rPr>
      </w:pPr>
    </w:p>
    <w:p>
      <w:pPr>
        <w:jc w:val="both"/>
        <w:ind w:left="484" w:hanging="484"/>
        <w:spacing w:after="0" w:line="276" w:lineRule="auto"/>
        <w:tabs>
          <w:tab w:leader="none" w:pos="484" w:val="left"/>
        </w:tabs>
        <w:numPr>
          <w:ilvl w:val="0"/>
          <w:numId w:val="293"/>
        </w:numPr>
        <w:rPr>
          <w:rFonts w:ascii="Arial" w:cs="Arial" w:eastAsia="Arial" w:hAnsi="Arial"/>
          <w:sz w:val="17"/>
          <w:szCs w:val="17"/>
          <w:color w:val="auto"/>
        </w:rPr>
      </w:pPr>
      <w:r>
        <w:rPr>
          <w:rFonts w:ascii="Arial" w:cs="Arial" w:eastAsia="Arial" w:hAnsi="Arial"/>
          <w:sz w:val="17"/>
          <w:szCs w:val="17"/>
          <w:color w:val="auto"/>
        </w:rPr>
        <w:t>Subject to the Bank's sole and absolute right to surrender or terminate any and all life insurance policies that are the subject matter of this Agreement, it is agreed by the parties that, during the lifetime of the Insured, this Agreement may be amended or revoked at anytime or times, in whole or in part, by the mutual written consent of the Insured and the Bank. The Bank may, however, unilaterally and without the consent of the insured, exchange any life insurance policy(ies) that are the subject matter of this Agreement, with or without replacing said policy(ies) and, in the event of a same or similar exchange, the Insured expressly agrees to the same.</w:t>
      </w:r>
    </w:p>
    <w:p>
      <w:pPr>
        <w:spacing w:after="0" w:line="199" w:lineRule="exact"/>
        <w:rPr>
          <w:rFonts w:ascii="Arial" w:cs="Arial" w:eastAsia="Arial" w:hAnsi="Arial"/>
          <w:sz w:val="17"/>
          <w:szCs w:val="17"/>
          <w:color w:val="auto"/>
        </w:rPr>
      </w:pPr>
    </w:p>
    <w:p>
      <w:pPr>
        <w:jc w:val="both"/>
        <w:ind w:left="484" w:hanging="484"/>
        <w:spacing w:after="0" w:line="286" w:lineRule="auto"/>
        <w:tabs>
          <w:tab w:leader="none" w:pos="484" w:val="left"/>
        </w:tabs>
        <w:numPr>
          <w:ilvl w:val="0"/>
          <w:numId w:val="293"/>
        </w:numPr>
        <w:rPr>
          <w:rFonts w:ascii="Arial" w:cs="Arial" w:eastAsia="Arial" w:hAnsi="Arial"/>
          <w:sz w:val="17"/>
          <w:szCs w:val="17"/>
          <w:color w:val="auto"/>
        </w:rPr>
      </w:pPr>
      <w:r>
        <w:rPr>
          <w:rFonts w:ascii="Arial" w:cs="Arial" w:eastAsia="Arial" w:hAnsi="Arial"/>
          <w:sz w:val="17"/>
          <w:szCs w:val="17"/>
          <w:color w:val="auto"/>
        </w:rPr>
        <w:t>If a provision of this Agreement is held to be invalid or unenforceable, the remaining provisions shall nonetheless be enforceable according to their terms. Further, in the event any provision is held to be overbroad as written such provision shall be deemed amended to narrow its application to the extent necessary to make the provision enforceable according to law and enforced as amended.</w:t>
      </w:r>
    </w:p>
    <w:p>
      <w:pPr>
        <w:spacing w:after="0" w:line="192" w:lineRule="exact"/>
        <w:rPr>
          <w:rFonts w:ascii="Arial" w:cs="Arial" w:eastAsia="Arial" w:hAnsi="Arial"/>
          <w:sz w:val="17"/>
          <w:szCs w:val="17"/>
          <w:color w:val="auto"/>
        </w:rPr>
      </w:pPr>
    </w:p>
    <w:p>
      <w:pPr>
        <w:jc w:val="both"/>
        <w:ind w:left="484" w:hanging="484"/>
        <w:spacing w:after="0" w:line="312" w:lineRule="auto"/>
        <w:tabs>
          <w:tab w:leader="none" w:pos="484" w:val="left"/>
        </w:tabs>
        <w:numPr>
          <w:ilvl w:val="0"/>
          <w:numId w:val="293"/>
        </w:numPr>
        <w:rPr>
          <w:rFonts w:ascii="Arial" w:cs="Arial" w:eastAsia="Arial" w:hAnsi="Arial"/>
          <w:sz w:val="16"/>
          <w:szCs w:val="16"/>
          <w:color w:val="auto"/>
        </w:rPr>
      </w:pPr>
      <w:r>
        <w:rPr>
          <w:rFonts w:ascii="Arial" w:cs="Arial" w:eastAsia="Arial" w:hAnsi="Arial"/>
          <w:sz w:val="16"/>
          <w:szCs w:val="16"/>
          <w:color w:val="auto"/>
        </w:rPr>
        <w:t>The Bank is entering into this Agreement upon the assumption that certain existing tax laws, rules and regulations will continue in effect in their current form. If any said assumptions should change and said change has a detrimental effect on this Agreement, then the Bank reserves the right to terminate or modify this Agreement accordingly. Upon a Change of Control, this paragraph shall become null and void.</w:t>
      </w:r>
    </w:p>
    <w:p>
      <w:pPr>
        <w:spacing w:after="0" w:line="173" w:lineRule="exact"/>
        <w:rPr>
          <w:rFonts w:ascii="Arial" w:cs="Arial" w:eastAsia="Arial" w:hAnsi="Arial"/>
          <w:sz w:val="16"/>
          <w:szCs w:val="16"/>
          <w:color w:val="auto"/>
        </w:rPr>
      </w:pPr>
    </w:p>
    <w:p>
      <w:pPr>
        <w:ind w:left="484" w:hanging="484"/>
        <w:spacing w:after="0"/>
        <w:tabs>
          <w:tab w:leader="none" w:pos="484"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laws of the State of Texas shall govern the validity and interpretation of this Agreement.</w:t>
      </w:r>
    </w:p>
    <w:p>
      <w:pPr>
        <w:spacing w:after="0" w:line="252" w:lineRule="exact"/>
        <w:rPr>
          <w:rFonts w:ascii="Arial" w:cs="Arial" w:eastAsia="Arial" w:hAnsi="Arial"/>
          <w:sz w:val="18"/>
          <w:szCs w:val="18"/>
          <w:color w:val="auto"/>
        </w:rPr>
      </w:pPr>
    </w:p>
    <w:p>
      <w:pPr>
        <w:ind w:left="484" w:hanging="484"/>
        <w:spacing w:after="0"/>
        <w:tabs>
          <w:tab w:leader="none" w:pos="484"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This Agreement shall bind the Insured and the Bank, their heirs, successors, personal representatives and assigns.</w:t>
      </w:r>
    </w:p>
    <w:p>
      <w:pPr>
        <w:spacing w:after="0" w:line="200" w:lineRule="exact"/>
        <w:rPr>
          <w:sz w:val="20"/>
          <w:szCs w:val="20"/>
          <w:color w:val="auto"/>
        </w:rPr>
      </w:pPr>
    </w:p>
    <w:p>
      <w:pPr>
        <w:spacing w:after="0" w:line="223" w:lineRule="exact"/>
        <w:rPr>
          <w:sz w:val="20"/>
          <w:szCs w:val="20"/>
          <w:color w:val="auto"/>
        </w:rPr>
      </w:pPr>
    </w:p>
    <w:p>
      <w:pPr>
        <w:ind w:left="5024"/>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246620" cy="171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341" w:name="page342"/>
    <w:bookmarkEnd w:id="341"/>
    <w:p>
      <w:pPr>
        <w:spacing w:after="0"/>
        <w:rPr>
          <w:sz w:val="20"/>
          <w:szCs w:val="20"/>
          <w:color w:val="auto"/>
        </w:rPr>
      </w:pPr>
      <w:r>
        <w:rPr>
          <w:rFonts w:ascii="Arial" w:cs="Arial" w:eastAsia="Arial" w:hAnsi="Arial"/>
          <w:sz w:val="18"/>
          <w:szCs w:val="18"/>
          <w:color w:val="auto"/>
        </w:rPr>
        <w:t>EXECUTED at Lubbock this 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April, 2008.</w:t>
      </w:r>
    </w:p>
    <w:p>
      <w:pPr>
        <w:spacing w:after="0" w:line="9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CITY BANK</w:t>
      </w:r>
    </w:p>
    <w:p>
      <w:pPr>
        <w:spacing w:after="0" w:line="225" w:lineRule="exact"/>
        <w:rPr>
          <w:sz w:val="20"/>
          <w:szCs w:val="20"/>
          <w:color w:val="auto"/>
        </w:rPr>
      </w:pPr>
    </w:p>
    <w:p>
      <w:pPr>
        <w:jc w:val="right"/>
        <w:ind w:right="3679"/>
        <w:spacing w:after="0"/>
        <w:rPr>
          <w:sz w:val="20"/>
          <w:szCs w:val="20"/>
          <w:color w:val="auto"/>
        </w:rPr>
      </w:pPr>
      <w:r>
        <w:rPr>
          <w:rFonts w:ascii="Arial" w:cs="Arial" w:eastAsia="Arial" w:hAnsi="Arial"/>
          <w:sz w:val="18"/>
          <w:szCs w:val="18"/>
          <w:color w:val="auto"/>
        </w:rPr>
        <w:t>By: /s/ [</w:t>
      </w:r>
      <w:r>
        <w:rPr>
          <w:rFonts w:ascii="Arial" w:cs="Arial" w:eastAsia="Arial" w:hAnsi="Arial"/>
          <w:sz w:val="18"/>
          <w:szCs w:val="18"/>
          <w:i w:val="1"/>
          <w:iCs w:val="1"/>
          <w:color w:val="auto"/>
        </w:rPr>
        <w:t>illegible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3119755</wp:posOffset>
            </wp:positionH>
            <wp:positionV relativeFrom="paragraph">
              <wp:posOffset>14605</wp:posOffset>
            </wp:positionV>
            <wp:extent cx="3687445" cy="171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2">
                      <a:extLst>
                        <a:ext uri="{28A0092B-C50C-407E-A947-70E740481C1C}"/>
                      </a:extLst>
                    </a:blip>
                    <a:srcRect/>
                    <a:stretch>
                      <a:fillRect/>
                    </a:stretch>
                  </pic:blipFill>
                  <pic:spPr bwMode="auto">
                    <a:xfrm>
                      <a:off x="0" y="0"/>
                      <a:ext cx="3687445" cy="17145"/>
                    </a:xfrm>
                    <a:prstGeom prst="rect">
                      <a:avLst/>
                    </a:prstGeom>
                    <a:noFill/>
                  </pic:spPr>
                </pic:pic>
              </a:graphicData>
            </a:graphic>
          </wp:anchor>
        </w:drawing>
      </w:r>
    </w:p>
    <w:p>
      <w:pPr>
        <w:spacing w:after="0" w:line="16" w:lineRule="exact"/>
        <w:rPr>
          <w:sz w:val="20"/>
          <w:szCs w:val="20"/>
          <w:color w:val="auto"/>
        </w:rPr>
      </w:pPr>
    </w:p>
    <w:p>
      <w:pPr>
        <w:jc w:val="right"/>
        <w:ind w:right="3659"/>
        <w:spacing w:after="0"/>
        <w:rPr>
          <w:sz w:val="20"/>
          <w:szCs w:val="20"/>
          <w:color w:val="auto"/>
        </w:rPr>
      </w:pPr>
      <w:r>
        <w:rPr>
          <w:rFonts w:ascii="Arial" w:cs="Arial" w:eastAsia="Arial" w:hAnsi="Arial"/>
          <w:sz w:val="18"/>
          <w:szCs w:val="18"/>
          <w:color w:val="auto"/>
        </w:rPr>
        <w:t>Bank Officer</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/s/ Cory Newsom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3119755</wp:posOffset>
            </wp:positionH>
            <wp:positionV relativeFrom="paragraph">
              <wp:posOffset>14605</wp:posOffset>
            </wp:positionV>
            <wp:extent cx="3687445" cy="171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3">
                      <a:extLst>
                        <a:ext uri="{28A0092B-C50C-407E-A947-70E740481C1C}"/>
                      </a:extLst>
                    </a:blip>
                    <a:srcRect/>
                    <a:stretch>
                      <a:fillRect/>
                    </a:stretch>
                  </pic:blipFill>
                  <pic:spPr bwMode="auto">
                    <a:xfrm>
                      <a:off x="0" y="0"/>
                      <a:ext cx="3687445" cy="17145"/>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6"/>
          <w:szCs w:val="16"/>
          <w:color w:val="auto"/>
        </w:rPr>
        <w:t>Cory Newsom, Insured</w:t>
      </w:r>
    </w:p>
    <w:p>
      <w:pPr>
        <w:spacing w:after="0" w:line="200" w:lineRule="exact"/>
        <w:rPr>
          <w:sz w:val="20"/>
          <w:szCs w:val="20"/>
          <w:color w:val="auto"/>
        </w:rPr>
      </w:pPr>
    </w:p>
    <w:p>
      <w:pPr>
        <w:spacing w:after="0" w:line="314" w:lineRule="exact"/>
        <w:rPr>
          <w:sz w:val="20"/>
          <w:szCs w:val="20"/>
          <w:color w:val="auto"/>
        </w:rPr>
      </w:pPr>
    </w:p>
    <w:p>
      <w:pPr>
        <w:ind w:left="4940"/>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72390</wp:posOffset>
            </wp:positionV>
            <wp:extent cx="7246620"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519"/>
          </w:cols>
          <w:pgMar w:left="940" w:top="115" w:right="1440" w:bottom="1440" w:gutter="0" w:footer="0" w:header="0"/>
        </w:sectPr>
      </w:pPr>
    </w:p>
    <w:bookmarkStart w:id="342" w:name="page343"/>
    <w:bookmarkEnd w:id="34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10.7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BENEFICIARY DESIGNATION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w:t>
      </w:r>
    </w:p>
    <w:p>
      <w:pPr>
        <w:spacing w:after="0" w:line="238" w:lineRule="exact"/>
        <w:rPr>
          <w:sz w:val="20"/>
          <w:szCs w:val="20"/>
          <w:color w:val="auto"/>
        </w:rPr>
      </w:pPr>
    </w:p>
    <w:p>
      <w:pPr>
        <w:spacing w:after="0"/>
        <w:tabs>
          <w:tab w:leader="none" w:pos="2260" w:val="left"/>
        </w:tabs>
        <w:rPr>
          <w:sz w:val="20"/>
          <w:szCs w:val="20"/>
          <w:color w:val="auto"/>
        </w:rPr>
      </w:pPr>
      <w:r>
        <w:rPr>
          <w:rFonts w:ascii="Arial" w:cs="Arial" w:eastAsia="Arial" w:hAnsi="Arial"/>
          <w:sz w:val="18"/>
          <w:szCs w:val="18"/>
          <w:color w:val="auto"/>
        </w:rPr>
        <w:t>Insurer and Policy Number:</w:t>
      </w:r>
      <w:r>
        <w:rPr>
          <w:sz w:val="20"/>
          <w:szCs w:val="20"/>
          <w:color w:val="auto"/>
        </w:rPr>
        <w:tab/>
      </w:r>
      <w:r>
        <w:rPr>
          <w:rFonts w:ascii="Arial" w:cs="Arial" w:eastAsia="Arial" w:hAnsi="Arial"/>
          <w:sz w:val="16"/>
          <w:szCs w:val="16"/>
          <w:color w:val="auto"/>
        </w:rPr>
        <w:t>Great West Life Insurance Company Policy</w:t>
      </w:r>
    </w:p>
    <w:p>
      <w:pPr>
        <w:spacing w:after="0" w:line="23"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New York Life Insurance and Annuity Corporation Policy</w:t>
      </w:r>
    </w:p>
    <w:p>
      <w:pPr>
        <w:spacing w:after="0" w:line="23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Bank:</w:t>
      </w:r>
      <w:r>
        <w:rPr>
          <w:sz w:val="20"/>
          <w:szCs w:val="20"/>
          <w:color w:val="auto"/>
        </w:rPr>
        <w:tab/>
      </w:r>
      <w:r>
        <w:rPr>
          <w:rFonts w:ascii="Arial" w:cs="Arial" w:eastAsia="Arial" w:hAnsi="Arial"/>
          <w:sz w:val="18"/>
          <w:szCs w:val="18"/>
          <w:color w:val="auto"/>
        </w:rPr>
        <w:t>City Bank</w:t>
      </w:r>
    </w:p>
    <w:p>
      <w:pPr>
        <w:spacing w:after="0" w:line="2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Insured:</w:t>
        <w:tab/>
        <w:t>CORY NEWSOM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Insured to Bank: Executive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respective rights and duties of the Bank and the Insured in the above-referenced policy (hereinafter Policy) shall be pursuant to the terms set forth below:</w:t>
      </w:r>
    </w:p>
    <w:p>
      <w:pPr>
        <w:spacing w:after="0" w:line="275" w:lineRule="exact"/>
        <w:rPr>
          <w:sz w:val="20"/>
          <w:szCs w:val="20"/>
          <w:color w:val="auto"/>
        </w:rPr>
      </w:pPr>
    </w:p>
    <w:p>
      <w:pPr>
        <w:ind w:left="660" w:hanging="652"/>
        <w:spacing w:after="0"/>
        <w:tabs>
          <w:tab w:leader="none" w:pos="66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EFFECTIVE DATE</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Effective Date of this Agreement shall be April 1, 2014.</w:t>
      </w:r>
    </w:p>
    <w:p>
      <w:pPr>
        <w:spacing w:after="0" w:line="252" w:lineRule="exact"/>
        <w:rPr>
          <w:sz w:val="20"/>
          <w:szCs w:val="20"/>
          <w:color w:val="auto"/>
        </w:rPr>
      </w:pPr>
    </w:p>
    <w:p>
      <w:pPr>
        <w:ind w:left="660" w:hanging="652"/>
        <w:spacing w:after="0"/>
        <w:tabs>
          <w:tab w:leader="none" w:pos="66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252" w:lineRule="exact"/>
        <w:rPr>
          <w:rFonts w:ascii="Arial" w:cs="Arial" w:eastAsia="Arial" w:hAnsi="Arial"/>
          <w:sz w:val="18"/>
          <w:szCs w:val="18"/>
          <w:color w:val="auto"/>
        </w:rPr>
      </w:pPr>
    </w:p>
    <w:p>
      <w:pPr>
        <w:jc w:val="both"/>
        <w:ind w:left="660"/>
        <w:spacing w:after="0" w:line="264" w:lineRule="auto"/>
        <w:rPr>
          <w:rFonts w:ascii="Arial" w:cs="Arial" w:eastAsia="Arial" w:hAnsi="Arial"/>
          <w:sz w:val="18"/>
          <w:szCs w:val="18"/>
          <w:color w:val="auto"/>
        </w:rPr>
      </w:pPr>
      <w:r>
        <w:rPr>
          <w:rFonts w:ascii="Arial" w:cs="Arial" w:eastAsia="Arial" w:hAnsi="Arial"/>
          <w:sz w:val="18"/>
          <w:szCs w:val="18"/>
          <w:color w:val="auto"/>
        </w:rPr>
        <w:t>Refer to the Policy for the definitions of any terms in this Agreement which are not defined herein. If the definition of a term in the Policy is inconsistent with the definition of a term in this Agreement, then the definition of the term as set forth in this Agreement shall supersede and replace the definition of the term as set forth in the Policy.</w:t>
      </w:r>
    </w:p>
    <w:p>
      <w:pPr>
        <w:spacing w:after="0" w:line="208" w:lineRule="exact"/>
        <w:rPr>
          <w:rFonts w:ascii="Arial" w:cs="Arial" w:eastAsia="Arial" w:hAnsi="Arial"/>
          <w:sz w:val="18"/>
          <w:szCs w:val="18"/>
          <w:color w:val="auto"/>
        </w:rPr>
      </w:pPr>
    </w:p>
    <w:p>
      <w:pPr>
        <w:ind w:left="1300" w:hanging="644"/>
        <w:spacing w:after="0"/>
        <w:tabs>
          <w:tab w:leader="none" w:pos="1300" w:val="left"/>
        </w:tabs>
        <w:numPr>
          <w:ilvl w:val="1"/>
          <w:numId w:val="295"/>
        </w:numPr>
        <w:rPr>
          <w:rFonts w:ascii="Arial" w:cs="Arial" w:eastAsia="Arial" w:hAnsi="Arial"/>
          <w:sz w:val="18"/>
          <w:szCs w:val="18"/>
          <w:color w:val="auto"/>
        </w:rPr>
      </w:pPr>
      <w:r>
        <w:rPr>
          <w:rFonts w:ascii="Arial" w:cs="Arial" w:eastAsia="Arial" w:hAnsi="Arial"/>
          <w:sz w:val="18"/>
          <w:szCs w:val="18"/>
          <w:u w:val="single" w:color="auto"/>
          <w:color w:val="auto"/>
        </w:rPr>
        <w:t>Retirement</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7"/>
          <w:szCs w:val="17"/>
          <w:color w:val="auto"/>
        </w:rPr>
        <w:t>Retirement shall be defined as the Insured’s termination of employment with the Bank on or after the date the Insured attains age 58.</w:t>
      </w:r>
    </w:p>
    <w:p>
      <w:pPr>
        <w:spacing w:after="0" w:line="263" w:lineRule="exact"/>
        <w:rPr>
          <w:rFonts w:ascii="Arial" w:cs="Arial" w:eastAsia="Arial" w:hAnsi="Arial"/>
          <w:sz w:val="18"/>
          <w:szCs w:val="18"/>
          <w:color w:val="auto"/>
        </w:rPr>
      </w:pPr>
    </w:p>
    <w:p>
      <w:pPr>
        <w:ind w:left="1300" w:hanging="644"/>
        <w:spacing w:after="0"/>
        <w:tabs>
          <w:tab w:leader="none" w:pos="1300" w:val="left"/>
        </w:tabs>
        <w:numPr>
          <w:ilvl w:val="1"/>
          <w:numId w:val="295"/>
        </w:numPr>
        <w:rPr>
          <w:rFonts w:ascii="Arial" w:cs="Arial" w:eastAsia="Arial" w:hAnsi="Arial"/>
          <w:sz w:val="18"/>
          <w:szCs w:val="18"/>
          <w:color w:val="auto"/>
        </w:rPr>
      </w:pPr>
      <w:r>
        <w:rPr>
          <w:rFonts w:ascii="Arial" w:cs="Arial" w:eastAsia="Arial" w:hAnsi="Arial"/>
          <w:sz w:val="18"/>
          <w:szCs w:val="18"/>
          <w:u w:val="single" w:color="auto"/>
          <w:color w:val="auto"/>
        </w:rPr>
        <w:t>Discharge for Cause</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300"/>
        <w:spacing w:after="0" w:line="257" w:lineRule="auto"/>
        <w:rPr>
          <w:rFonts w:ascii="Arial" w:cs="Arial" w:eastAsia="Arial" w:hAnsi="Arial"/>
          <w:sz w:val="18"/>
          <w:szCs w:val="18"/>
          <w:color w:val="auto"/>
        </w:rPr>
      </w:pPr>
      <w:r>
        <w:rPr>
          <w:rFonts w:ascii="Arial" w:cs="Arial" w:eastAsia="Arial" w:hAnsi="Arial"/>
          <w:sz w:val="18"/>
          <w:szCs w:val="18"/>
          <w:color w:val="auto"/>
        </w:rPr>
        <w:t>“Discharge for Cause” shall mean the termination of Insured’s employment with the Bank as a result of any of the following: (i) the Insured’s commission of a felony or gross misdemeanor involving fraud or dishonesty; (ii) the Insured’s willful violation of any banking law, rule, or banking regulation; (iii) an intentional failure by Insured to perform stated duties; or (iv) a breach of fiduciary duty by Insured involving personal profit. If the Insured is permitted to resign due to inappropriate conduct as defined above, the Bank may deny all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17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343" w:name="page344"/>
    <w:bookmarkEnd w:id="343"/>
    <w:p>
      <w:pPr>
        <w:ind w:left="644" w:hanging="644"/>
        <w:spacing w:after="0"/>
        <w:tabs>
          <w:tab w:leader="none" w:pos="644" w:val="left"/>
        </w:tabs>
        <w:numPr>
          <w:ilvl w:val="0"/>
          <w:numId w:val="296"/>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644"/>
        <w:spacing w:after="0" w:line="267" w:lineRule="auto"/>
        <w:rPr>
          <w:rFonts w:ascii="Arial" w:cs="Arial" w:eastAsia="Arial" w:hAnsi="Arial"/>
          <w:sz w:val="18"/>
          <w:szCs w:val="18"/>
          <w:color w:val="auto"/>
        </w:rPr>
      </w:pPr>
      <w:r>
        <w:rPr>
          <w:rFonts w:ascii="Arial" w:cs="Arial" w:eastAsia="Arial" w:hAnsi="Arial"/>
          <w:sz w:val="17"/>
          <w:szCs w:val="17"/>
          <w:color w:val="auto"/>
        </w:rPr>
        <w:t>“Change of Control” shall mean a change during the Insured’s employment with the Bank: (i) in the ownership of the Bank (acquisition by one or more persons acting as a group of more than 50% of the total voting power or fair market value of the Bank); (ii) in the effective control of the Bank (acquisition or acquisitions during a 12-month period ending on the date of the latest acquisition, by one or more persons acting as a group, of 30% or more of the total voting power of the Bank or replacement of a majority of the members of the board of directors of the Bank [described below, but including only the entity for which no other corporation is a majority shareholder] during any 12-month period by directors not endorsed by a majority of the board before the appointment or election); or (iii) in the ownership of a substantial portion of the assets of the Bank (acquisition or acquisitions during a 12-month period ending on the date of the latest acquisition, by one or more persons acting as a group, of assets with a total gross fair market value of 40% or more of the total gross fair market value of all assets of the Bank immediately before such acquisition or acquisitions) (There is no change in control when there is a transfer to an entity which is controlled by the shareholders of the transferring corporation. A transfer of assets by the Bank is not treated as a change in ownership of such assets if the assets are transferred to (i) a shareholder of the Bank in exchange for or with respect to its stock; (ii) an entity, 50% or more of the total value or voting power is owned by the Bank; (iii) a person or more than one person acting as a group, which owns directly or indirectly 50% or more of the total value or voting power of all the outstanding stock of the Bank; or (iv) an entity, at least 50% of the total value or voting power of which is owned, directly or indirectly, by a person described in (iii).) For this purpose, the Bank includes the Bank or a majority shareholder (more than 50% of total fair market value and voting power) of the Bank. Additionally, for this purpose, transfers of stock made on account of death, gifts, transfers of stock between family members or acquisitions by any qualified retirement plan sponsored by South Plains Financial, Inc. shall not be considered in determining whether there has been a Change of Control.</w:t>
      </w:r>
    </w:p>
    <w:p>
      <w:pPr>
        <w:spacing w:after="0" w:line="218" w:lineRule="exact"/>
        <w:rPr>
          <w:rFonts w:ascii="Arial" w:cs="Arial" w:eastAsia="Arial" w:hAnsi="Arial"/>
          <w:sz w:val="18"/>
          <w:szCs w:val="18"/>
          <w:color w:val="auto"/>
        </w:rPr>
      </w:pPr>
    </w:p>
    <w:p>
      <w:pPr>
        <w:ind w:left="644" w:hanging="644"/>
        <w:spacing w:after="0"/>
        <w:tabs>
          <w:tab w:leader="none" w:pos="644" w:val="left"/>
        </w:tabs>
        <w:numPr>
          <w:ilvl w:val="0"/>
          <w:numId w:val="296"/>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644"/>
        <w:spacing w:after="0" w:line="289" w:lineRule="auto"/>
        <w:rPr>
          <w:rFonts w:ascii="Arial" w:cs="Arial" w:eastAsia="Arial" w:hAnsi="Arial"/>
          <w:sz w:val="18"/>
          <w:szCs w:val="18"/>
          <w:color w:val="auto"/>
        </w:rPr>
      </w:pPr>
      <w:r>
        <w:rPr>
          <w:rFonts w:ascii="Arial" w:cs="Arial" w:eastAsia="Arial" w:hAnsi="Arial"/>
          <w:sz w:val="16"/>
          <w:szCs w:val="16"/>
          <w:color w:val="auto"/>
        </w:rPr>
        <w:t>“Disability” means a condition of the Insured incurred while employed by the Bank and includes any medically determinable physical or mental impairment which can be expected to result in death or can be expected to last for a continuous period of not less than 12 months and which results in the Insured: (i) being unable to engage in any substantial gainful activity; or (ii) receiving income replacement benefits for a period of not less than 3 months under an accident and health plan covering employees. The Bank will determine whether Insured has incurred a Disability based on its own good faith determination and may require the Insured to submit to reasonable physical and mental examinations for this purpose. The Insured will be deemed to have incurred a Disability if: (i) the Social Security Administration or Railroad Retirement Board determines that the Insured is totally disabled; or (ii) the applicable insurance company providing disability insurance to the Insured under a Bank sponsored disability program determines that the Insured is disabled under the insurance contract definition of disability, provided such definition complies with the definition in this paragraph.</w:t>
      </w:r>
    </w:p>
    <w:p>
      <w:pPr>
        <w:spacing w:after="0" w:line="365" w:lineRule="exact"/>
        <w:rPr>
          <w:sz w:val="20"/>
          <w:szCs w:val="20"/>
          <w:color w:val="auto"/>
        </w:rPr>
      </w:pPr>
    </w:p>
    <w:p>
      <w:pPr>
        <w:ind w:left="5024"/>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246620"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344" w:name="page345"/>
    <w:bookmarkEnd w:id="344"/>
    <w:p>
      <w:pPr>
        <w:ind w:left="1300" w:hanging="644"/>
        <w:spacing w:after="0"/>
        <w:tabs>
          <w:tab w:leader="none" w:pos="1300" w:val="left"/>
        </w:tabs>
        <w:numPr>
          <w:ilvl w:val="1"/>
          <w:numId w:val="297"/>
        </w:numPr>
        <w:rPr>
          <w:rFonts w:ascii="Arial" w:cs="Arial" w:eastAsia="Arial" w:hAnsi="Arial"/>
          <w:sz w:val="18"/>
          <w:szCs w:val="18"/>
          <w:color w:val="auto"/>
        </w:rPr>
      </w:pPr>
      <w:r>
        <w:rPr>
          <w:rFonts w:ascii="Arial" w:cs="Arial" w:eastAsia="Arial" w:hAnsi="Arial"/>
          <w:sz w:val="18"/>
          <w:szCs w:val="18"/>
          <w:u w:val="single" w:color="auto"/>
          <w:color w:val="auto"/>
        </w:rPr>
        <w:t>Years of Service</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300"/>
        <w:spacing w:after="0" w:line="264" w:lineRule="auto"/>
        <w:rPr>
          <w:rFonts w:ascii="Arial" w:cs="Arial" w:eastAsia="Arial" w:hAnsi="Arial"/>
          <w:sz w:val="18"/>
          <w:szCs w:val="18"/>
          <w:color w:val="auto"/>
        </w:rPr>
      </w:pPr>
      <w:r>
        <w:rPr>
          <w:rFonts w:ascii="Arial" w:cs="Arial" w:eastAsia="Arial" w:hAnsi="Arial"/>
          <w:sz w:val="18"/>
          <w:szCs w:val="18"/>
          <w:color w:val="auto"/>
        </w:rPr>
        <w:t>To receive credit for one Year of Service, the Insured must remain in continuous employment with the Bank for an entire twelve-month period, the first such period beginning on the effective date of this Agreement, and successive periods beginning on the anniversary of such date.</w:t>
      </w:r>
    </w:p>
    <w:p>
      <w:pPr>
        <w:spacing w:after="0" w:line="208" w:lineRule="exact"/>
        <w:rPr>
          <w:rFonts w:ascii="Arial" w:cs="Arial" w:eastAsia="Arial" w:hAnsi="Arial"/>
          <w:sz w:val="18"/>
          <w:szCs w:val="18"/>
          <w:color w:val="auto"/>
        </w:rPr>
      </w:pPr>
    </w:p>
    <w:p>
      <w:pPr>
        <w:ind w:left="660" w:hanging="652"/>
        <w:spacing w:after="0"/>
        <w:tabs>
          <w:tab w:leader="none" w:pos="66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POLICY TITLE AND OWNERSHIP</w:t>
      </w:r>
    </w:p>
    <w:p>
      <w:pPr>
        <w:spacing w:after="0" w:line="252" w:lineRule="exact"/>
        <w:rPr>
          <w:rFonts w:ascii="Arial" w:cs="Arial" w:eastAsia="Arial" w:hAnsi="Arial"/>
          <w:sz w:val="18"/>
          <w:szCs w:val="18"/>
          <w:color w:val="auto"/>
        </w:rPr>
      </w:pPr>
    </w:p>
    <w:p>
      <w:pPr>
        <w:jc w:val="both"/>
        <w:ind w:left="660"/>
        <w:spacing w:after="0" w:line="302" w:lineRule="auto"/>
        <w:rPr>
          <w:rFonts w:ascii="Arial" w:cs="Arial" w:eastAsia="Arial" w:hAnsi="Arial"/>
          <w:sz w:val="18"/>
          <w:szCs w:val="18"/>
          <w:color w:val="auto"/>
        </w:rPr>
      </w:pPr>
      <w:r>
        <w:rPr>
          <w:rFonts w:ascii="Arial" w:cs="Arial" w:eastAsia="Arial" w:hAnsi="Arial"/>
          <w:sz w:val="16"/>
          <w:szCs w:val="16"/>
          <w:color w:val="auto"/>
        </w:rPr>
        <w:t>Title and ownership of the Policy shall reside in the Bank for its use and for the use of the Insured in accordance with this Agreement. The Bank alone may, to the extent of its interest, exercise the right to borrow or withdraw on the Policy cash values. Where the Bank and the Insured (or assignee, with the consent of the Insured) mutually agree to exercise the right to increase the coverage under the subject Policy, then, in such event, the rights, duties and benefits of the parties to such increased coverage shall continue to be subject to the terms of this Agreement.</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8"/>
          <w:szCs w:val="18"/>
          <w:color w:val="auto"/>
        </w:rPr>
        <w:t>BENEFICIARY DESIGNATION RIGHTS</w:t>
      </w:r>
    </w:p>
    <w:p>
      <w:pPr>
        <w:spacing w:after="0" w:line="252" w:lineRule="exact"/>
        <w:rPr>
          <w:sz w:val="20"/>
          <w:szCs w:val="20"/>
          <w:color w:val="auto"/>
        </w:rPr>
      </w:pPr>
    </w:p>
    <w:p>
      <w:pPr>
        <w:ind w:left="660"/>
        <w:spacing w:after="0" w:line="342" w:lineRule="auto"/>
        <w:rPr>
          <w:sz w:val="20"/>
          <w:szCs w:val="20"/>
          <w:color w:val="auto"/>
        </w:rPr>
      </w:pPr>
      <w:r>
        <w:rPr>
          <w:rFonts w:ascii="Arial" w:cs="Arial" w:eastAsia="Arial" w:hAnsi="Arial"/>
          <w:sz w:val="16"/>
          <w:szCs w:val="16"/>
          <w:color w:val="auto"/>
        </w:rPr>
        <w:t>The Insured (or assignee) shall have the right and power to designate a beneficiary or beneficiaries to receive the Insured’s share of the proceeds payable upon the death of the Insured, subject to any right or interest the Bank may have in such proceeds, as provided in this Agreement.</w:t>
      </w:r>
    </w:p>
    <w:p>
      <w:pPr>
        <w:spacing w:after="0" w:line="151" w:lineRule="exact"/>
        <w:rPr>
          <w:sz w:val="20"/>
          <w:szCs w:val="20"/>
          <w:color w:val="auto"/>
        </w:rPr>
      </w:pPr>
    </w:p>
    <w:p>
      <w:pPr>
        <w:ind w:left="660" w:hanging="652"/>
        <w:spacing w:after="0"/>
        <w:tabs>
          <w:tab w:leader="none" w:pos="66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PREMIUM PAYMENT METHOD</w:t>
      </w:r>
    </w:p>
    <w:p>
      <w:pPr>
        <w:spacing w:after="0" w:line="252"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Subject to the Bank’s absolute right to surrender or terminate the Policy at any time and for any reason, the Bank shall pay an amount equal to the planned premiums and any other premium payments which might become necessary to keep the Policy in force.</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VI.</w:t>
      </w:r>
      <w:r>
        <w:rPr>
          <w:sz w:val="20"/>
          <w:szCs w:val="20"/>
          <w:color w:val="auto"/>
        </w:rPr>
        <w:tab/>
      </w:r>
      <w:r>
        <w:rPr>
          <w:rFonts w:ascii="Arial" w:cs="Arial" w:eastAsia="Arial" w:hAnsi="Arial"/>
          <w:sz w:val="18"/>
          <w:szCs w:val="18"/>
          <w:color w:val="auto"/>
        </w:rPr>
        <w:t>TAXABLE BENEFIT</w:t>
      </w:r>
    </w:p>
    <w:p>
      <w:pPr>
        <w:spacing w:after="0" w:line="252"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Annually the Insured will receive a taxable benefit equal to the assumed cost of insurance as required by the Internal Revenue Service. The Bank (or its administrator) will report to the Insured the amount of imputed income each year on Form W-2 or its equivalent.</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VII.</w:t>
      </w:r>
      <w:r>
        <w:rPr>
          <w:sz w:val="20"/>
          <w:szCs w:val="20"/>
          <w:color w:val="auto"/>
        </w:rPr>
        <w:tab/>
      </w:r>
      <w:r>
        <w:rPr>
          <w:rFonts w:ascii="Arial" w:cs="Arial" w:eastAsia="Arial" w:hAnsi="Arial"/>
          <w:sz w:val="18"/>
          <w:szCs w:val="18"/>
          <w:color w:val="auto"/>
        </w:rPr>
        <w:t>DEATH BENEFITS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Subject to Paragraphs VIII, IX, X and XI herein, the division of the death proceeds of the Policy will be as follows:</w:t>
      </w:r>
    </w:p>
    <w:p>
      <w:pPr>
        <w:spacing w:after="0" w:line="252" w:lineRule="exact"/>
        <w:rPr>
          <w:sz w:val="20"/>
          <w:szCs w:val="20"/>
          <w:color w:val="auto"/>
        </w:rPr>
      </w:pPr>
    </w:p>
    <w:p>
      <w:pPr>
        <w:jc w:val="both"/>
        <w:ind w:left="1280" w:hanging="624"/>
        <w:spacing w:after="0" w:line="259" w:lineRule="auto"/>
        <w:tabs>
          <w:tab w:leader="none" w:pos="128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Insured’s beneficiary(ies), designated in accordance with Paragraph IV, shall be entitled to an amount equal to forty percent (40%) of the net-at-risk insurance portion of the Policy proceeds if Insured’s date of death occurs: (i) while employed by the Bank; (ii) after Retirement (iii) after a Change of Control; (iv) after a determination of Disability of the Insured. The net-at-risk insurance portion is the total Policy proceeds less the cash value of the Policy.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5" w:name="page346"/>
    <w:bookmarkEnd w:id="345"/>
    <w:p>
      <w:pPr>
        <w:jc w:val="both"/>
        <w:ind w:left="1280" w:hanging="624"/>
        <w:spacing w:after="0" w:line="264" w:lineRule="auto"/>
        <w:tabs>
          <w:tab w:leader="none" w:pos="128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The Insured’s beneficiary(ies), designated in accordance with Paragraph IV, shall be entitled to the percentage as determined below of an amount equal to forty percent (40%) of the net-at-risk insurance portion of the Policy proceeds, if the Insured’s date of death occurs at a time not described in subparagraph VII.A.</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Years of Service</w:t>
      </w:r>
    </w:p>
    <w:p>
      <w:pPr>
        <w:spacing w:after="0" w:line="46"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ind w:right="4700"/>
        <w:spacing w:after="0"/>
        <w:rPr>
          <w:sz w:val="20"/>
          <w:szCs w:val="20"/>
          <w:color w:val="auto"/>
        </w:rPr>
      </w:pPr>
      <w:r>
        <w:rPr>
          <w:rFonts w:ascii="Arial" w:cs="Arial" w:eastAsia="Arial" w:hAnsi="Arial"/>
          <w:sz w:val="15"/>
          <w:szCs w:val="15"/>
          <w:color w:val="auto"/>
        </w:rPr>
        <w:t>Vesting Percentage</w:t>
      </w:r>
    </w:p>
    <w:p>
      <w:pPr>
        <w:spacing w:after="0" w:line="58" w:lineRule="exact"/>
        <w:rPr>
          <w:sz w:val="20"/>
          <w:szCs w:val="20"/>
          <w:color w:val="auto"/>
        </w:rPr>
      </w:pPr>
    </w:p>
    <w:p>
      <w:pPr>
        <w:jc w:val="center"/>
        <w:ind w:right="4680"/>
        <w:spacing w:after="0"/>
        <w:rPr>
          <w:sz w:val="20"/>
          <w:szCs w:val="20"/>
          <w:color w:val="auto"/>
        </w:rPr>
      </w:pPr>
      <w:r>
        <w:rPr>
          <w:rFonts w:ascii="Arial" w:cs="Arial" w:eastAsia="Arial" w:hAnsi="Arial"/>
          <w:sz w:val="18"/>
          <w:szCs w:val="18"/>
          <w:color w:val="auto"/>
        </w:rPr>
        <w:t>100%</w:t>
      </w:r>
    </w:p>
    <w:p>
      <w:pPr>
        <w:spacing w:after="0" w:line="200" w:lineRule="exact"/>
        <w:rPr>
          <w:sz w:val="20"/>
          <w:szCs w:val="20"/>
          <w:color w:val="auto"/>
        </w:rPr>
      </w:pPr>
    </w:p>
    <w:p>
      <w:pPr>
        <w:sectPr>
          <w:pgSz w:w="11900" w:h="16838" w:orient="portrait"/>
          <w:cols w:equalWidth="0" w:num="2">
            <w:col w:w="4620" w:space="720"/>
            <w:col w:w="6080"/>
          </w:cols>
          <w:pgMar w:left="240" w:top="125" w:right="239" w:bottom="1440" w:gutter="0" w:footer="0" w:header="0"/>
          <w:type w:val="continuous"/>
        </w:sectPr>
      </w:pPr>
    </w:p>
    <w:p>
      <w:pPr>
        <w:spacing w:after="0" w:line="38" w:lineRule="exact"/>
        <w:rPr>
          <w:sz w:val="20"/>
          <w:szCs w:val="20"/>
          <w:color w:val="auto"/>
        </w:rPr>
      </w:pPr>
    </w:p>
    <w:p>
      <w:pPr>
        <w:ind w:left="1300" w:hanging="644"/>
        <w:spacing w:after="0"/>
        <w:tabs>
          <w:tab w:leader="none" w:pos="130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Bank shall be entitled to the remainder of the Policy proceeds.</w:t>
      </w:r>
    </w:p>
    <w:p>
      <w:pPr>
        <w:spacing w:after="0" w:line="252"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Bank and the Insured (or assignees) shall share in any interest due on the death proceeds on a pro rata basis as the proceeds due each respectively bears to the total proceeds, excluding any such interest.</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VIII.</w:t>
      </w:r>
      <w:r>
        <w:rPr>
          <w:sz w:val="20"/>
          <w:szCs w:val="20"/>
          <w:color w:val="auto"/>
        </w:rPr>
        <w:tab/>
      </w:r>
      <w:r>
        <w:rPr>
          <w:rFonts w:ascii="Arial" w:cs="Arial" w:eastAsia="Arial" w:hAnsi="Arial"/>
          <w:sz w:val="18"/>
          <w:szCs w:val="18"/>
          <w:color w:val="auto"/>
        </w:rPr>
        <w:t>DIVISION OF THE CASH SURRENDER VALUE OF THE POLICY</w:t>
      </w:r>
    </w:p>
    <w:p>
      <w:pPr>
        <w:spacing w:after="0" w:line="252"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Bank shall at all times be entitled to an amount equal to the Policy’s cash value, as that term is defined in the Policy, less any Policy loans and unpaid interest or cash withdrawals previously incurred by the Bank and any applicable surrender charges. Such cash value shall be determined as of the date of surrender or death as the case may be.</w:t>
      </w:r>
    </w:p>
    <w:p>
      <w:pPr>
        <w:spacing w:after="0" w:line="20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IX.</w:t>
      </w:r>
      <w:r>
        <w:rPr>
          <w:sz w:val="20"/>
          <w:szCs w:val="20"/>
          <w:color w:val="auto"/>
        </w:rPr>
        <w:tab/>
      </w:r>
      <w:r>
        <w:rPr>
          <w:rFonts w:ascii="Arial" w:cs="Arial" w:eastAsia="Arial" w:hAnsi="Arial"/>
          <w:sz w:val="18"/>
          <w:szCs w:val="18"/>
          <w:color w:val="auto"/>
        </w:rPr>
        <w:t>TERMINATION OF AGREEMENT</w:t>
      </w:r>
    </w:p>
    <w:p>
      <w:pPr>
        <w:spacing w:after="0" w:line="252" w:lineRule="exact"/>
        <w:rPr>
          <w:sz w:val="20"/>
          <w:szCs w:val="20"/>
          <w:color w:val="auto"/>
        </w:rPr>
      </w:pPr>
    </w:p>
    <w:p>
      <w:pPr>
        <w:ind w:left="1300" w:hanging="644"/>
        <w:spacing w:after="0" w:line="277" w:lineRule="auto"/>
        <w:tabs>
          <w:tab w:leader="none" w:pos="130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this Agreement shall terminate and all benefits shall be forfeited upon the occurrence of any of the following:</w:t>
      </w:r>
    </w:p>
    <w:p>
      <w:pPr>
        <w:spacing w:after="0" w:line="197"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The Insured shall leave the employment of the Bank (voluntarily or involuntarily) prior to one (1) full year of employment with the Bank from the date of first employment.</w:t>
      </w:r>
    </w:p>
    <w:p>
      <w:pPr>
        <w:spacing w:after="0" w:line="197" w:lineRule="exact"/>
        <w:rPr>
          <w:rFonts w:ascii="Arial" w:cs="Arial" w:eastAsia="Arial" w:hAnsi="Arial"/>
          <w:sz w:val="18"/>
          <w:szCs w:val="18"/>
          <w:color w:val="auto"/>
        </w:rPr>
      </w:pPr>
    </w:p>
    <w:p>
      <w:pPr>
        <w:ind w:left="1960" w:hanging="655"/>
        <w:spacing w:after="0"/>
        <w:tabs>
          <w:tab w:leader="none" w:pos="196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The Insured shall be Discharged for Cause.</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303"/>
        </w:numPr>
        <w:rPr>
          <w:rFonts w:ascii="Arial" w:cs="Arial" w:eastAsia="Arial" w:hAnsi="Arial"/>
          <w:sz w:val="17"/>
          <w:szCs w:val="17"/>
          <w:color w:val="auto"/>
        </w:rPr>
      </w:pPr>
      <w:r>
        <w:rPr>
          <w:rFonts w:ascii="Arial" w:cs="Arial" w:eastAsia="Arial" w:hAnsi="Arial"/>
          <w:sz w:val="17"/>
          <w:szCs w:val="17"/>
          <w:color w:val="auto"/>
        </w:rPr>
        <w:t>Surrender, lapse, or other termination of the Policy by the Bank, and subject to the Insured’s option as set forth hereunder.</w:t>
      </w:r>
    </w:p>
    <w:p>
      <w:pPr>
        <w:spacing w:after="0" w:line="263" w:lineRule="exact"/>
        <w:rPr>
          <w:rFonts w:ascii="Arial" w:cs="Arial" w:eastAsia="Arial" w:hAnsi="Arial"/>
          <w:sz w:val="17"/>
          <w:szCs w:val="17"/>
          <w:color w:val="auto"/>
        </w:rPr>
      </w:pPr>
    </w:p>
    <w:p>
      <w:pPr>
        <w:ind w:left="1960" w:hanging="655"/>
        <w:spacing w:after="0"/>
        <w:tabs>
          <w:tab w:leader="none" w:pos="196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It is determined in the sole judgment of the Bank that the Insured has materially breached any covenants of Article XI.</w:t>
      </w:r>
    </w:p>
    <w:p>
      <w:pPr>
        <w:spacing w:after="0" w:line="252" w:lineRule="exact"/>
        <w:rPr>
          <w:rFonts w:ascii="Arial" w:cs="Arial" w:eastAsia="Arial" w:hAnsi="Arial"/>
          <w:sz w:val="18"/>
          <w:szCs w:val="18"/>
          <w:color w:val="auto"/>
        </w:rPr>
      </w:pPr>
    </w:p>
    <w:p>
      <w:pPr>
        <w:jc w:val="both"/>
        <w:ind w:left="1300" w:hanging="644"/>
        <w:spacing w:after="0" w:line="302" w:lineRule="auto"/>
        <w:tabs>
          <w:tab w:leader="none" w:pos="1300" w:val="left"/>
        </w:tabs>
        <w:numPr>
          <w:ilvl w:val="0"/>
          <w:numId w:val="303"/>
        </w:numPr>
        <w:rPr>
          <w:rFonts w:ascii="Arial" w:cs="Arial" w:eastAsia="Arial" w:hAnsi="Arial"/>
          <w:sz w:val="16"/>
          <w:szCs w:val="16"/>
          <w:color w:val="auto"/>
        </w:rPr>
      </w:pPr>
      <w:r>
        <w:rPr>
          <w:rFonts w:ascii="Arial" w:cs="Arial" w:eastAsia="Arial" w:hAnsi="Arial"/>
          <w:sz w:val="16"/>
          <w:szCs w:val="16"/>
          <w:color w:val="auto"/>
        </w:rPr>
        <w:t>Upon such termination of this Agreement pursuant to subparagraph IX.A.3. but prior to the termination of the Policy by the Bank, the Insured (or assignee) shall have a fifteen (15) day option to receive from the Bank an absolute assignment of the Policy in consideration of a cash payment to the Bank, whereupon this Agreement shall terminate. Such cash payment referred to hereinabove shall be the greater of the cash surrender value of the Policy or the amounts of the premiums paid by the Bank prior to the date of the assignment.</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346" w:name="page347"/>
    <w:bookmarkEnd w:id="346"/>
    <w:p>
      <w:pPr>
        <w:jc w:val="both"/>
        <w:ind w:left="1300" w:hanging="644"/>
        <w:spacing w:after="0" w:line="264" w:lineRule="auto"/>
        <w:tabs>
          <w:tab w:leader="none" w:pos="1300" w:val="left"/>
        </w:tabs>
        <w:numPr>
          <w:ilvl w:val="1"/>
          <w:numId w:val="304"/>
        </w:numPr>
        <w:rPr>
          <w:rFonts w:ascii="Arial" w:cs="Arial" w:eastAsia="Arial" w:hAnsi="Arial"/>
          <w:sz w:val="18"/>
          <w:szCs w:val="18"/>
          <w:color w:val="auto"/>
        </w:rPr>
      </w:pPr>
      <w:r>
        <w:rPr>
          <w:rFonts w:ascii="Arial" w:cs="Arial" w:eastAsia="Arial" w:hAnsi="Arial"/>
          <w:sz w:val="18"/>
          <w:szCs w:val="18"/>
          <w:color w:val="auto"/>
        </w:rPr>
        <w:t>If, within said fifteen (15) day period, the Insured fails to exercise said option, fails to make the cash payment described in subparagraph IX(B), or dies, then the option shall terminate and the Insured (or assignee) agrees that all of the Insured’s rights, interest and claims in the policy shall terminate as of the date of the termination of this Agreement.</w:t>
      </w:r>
    </w:p>
    <w:p>
      <w:pPr>
        <w:spacing w:after="0" w:line="208"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304"/>
        </w:numPr>
        <w:rPr>
          <w:rFonts w:ascii="Arial" w:cs="Arial" w:eastAsia="Arial" w:hAnsi="Arial"/>
          <w:sz w:val="18"/>
          <w:szCs w:val="18"/>
          <w:color w:val="auto"/>
        </w:rPr>
      </w:pPr>
      <w:r>
        <w:rPr>
          <w:rFonts w:ascii="Arial" w:cs="Arial" w:eastAsia="Arial" w:hAnsi="Arial"/>
          <w:sz w:val="18"/>
          <w:szCs w:val="18"/>
          <w:color w:val="auto"/>
        </w:rPr>
        <w:t>The Insured expressly agrees this Agreement shall constitute sufficient written notice to the Insured of the Insured’s option to receive an absolute assignment of the Policy as set forth herein.</w:t>
      </w:r>
    </w:p>
    <w:p>
      <w:pPr>
        <w:spacing w:after="0" w:line="197"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304"/>
        </w:numPr>
        <w:rPr>
          <w:rFonts w:ascii="Arial" w:cs="Arial" w:eastAsia="Arial" w:hAnsi="Arial"/>
          <w:sz w:val="18"/>
          <w:szCs w:val="18"/>
          <w:color w:val="auto"/>
        </w:rPr>
      </w:pPr>
      <w:r>
        <w:rPr>
          <w:rFonts w:ascii="Arial" w:cs="Arial" w:eastAsia="Arial" w:hAnsi="Arial"/>
          <w:sz w:val="18"/>
          <w:szCs w:val="18"/>
          <w:color w:val="auto"/>
        </w:rPr>
        <w:t>Except as provided above, this Agreement shall terminate upon distribution of the death benefit proceeds in accordance with Paragraph VII. above.</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1"/>
          <w:numId w:val="304"/>
        </w:numPr>
        <w:rPr>
          <w:rFonts w:ascii="Arial" w:cs="Arial" w:eastAsia="Arial" w:hAnsi="Arial"/>
          <w:sz w:val="17"/>
          <w:szCs w:val="17"/>
          <w:color w:val="auto"/>
        </w:rPr>
      </w:pPr>
      <w:r>
        <w:rPr>
          <w:rFonts w:ascii="Arial" w:cs="Arial" w:eastAsia="Arial" w:hAnsi="Arial"/>
          <w:sz w:val="17"/>
          <w:szCs w:val="17"/>
          <w:color w:val="auto"/>
        </w:rPr>
        <w:t>Upon termination of this Agreement, all benefits shall cease and shall be forfeited, including any future benefits or vested benefits.</w:t>
      </w:r>
    </w:p>
    <w:p>
      <w:pPr>
        <w:spacing w:after="0" w:line="263"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X.</w:t>
      </w:r>
      <w:r>
        <w:rPr>
          <w:rFonts w:ascii="Arial" w:cs="Arial" w:eastAsia="Arial" w:hAnsi="Arial"/>
          <w:sz w:val="17"/>
          <w:szCs w:val="17"/>
          <w:color w:val="auto"/>
        </w:rPr>
        <w:t>INSURED’S OR ASSIGNEE’S ASSIGNMENT RIGHTS</w:t>
      </w:r>
    </w:p>
    <w:p>
      <w:pPr>
        <w:spacing w:after="0" w:line="252"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Insured may not, without the written consent of the Bank, assign to any individual, trust or other organization, any right, title or interest in the subject policy nor any rights, options, privileges or duties created under this Agreement.</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XI.</w:t>
      </w:r>
      <w:r>
        <w:rPr>
          <w:sz w:val="20"/>
          <w:szCs w:val="20"/>
          <w:color w:val="auto"/>
        </w:rPr>
        <w:tab/>
      </w:r>
      <w:r>
        <w:rPr>
          <w:rFonts w:ascii="Arial" w:cs="Arial" w:eastAsia="Arial" w:hAnsi="Arial"/>
          <w:sz w:val="18"/>
          <w:szCs w:val="18"/>
          <w:color w:val="auto"/>
        </w:rPr>
        <w:t>CONFIDENTIALITY, NON-COMPETITION AND NON-DISCLOSURE</w:t>
      </w:r>
    </w:p>
    <w:p>
      <w:pPr>
        <w:spacing w:after="0" w:line="252" w:lineRule="exact"/>
        <w:rPr>
          <w:sz w:val="20"/>
          <w:szCs w:val="20"/>
          <w:color w:val="auto"/>
        </w:rPr>
      </w:pPr>
    </w:p>
    <w:p>
      <w:pPr>
        <w:ind w:left="1300" w:hanging="644"/>
        <w:spacing w:after="0"/>
        <w:tabs>
          <w:tab w:leader="none" w:pos="1300" w:val="left"/>
        </w:tabs>
        <w:numPr>
          <w:ilvl w:val="0"/>
          <w:numId w:val="305"/>
        </w:numPr>
        <w:rPr>
          <w:rFonts w:ascii="Arial" w:cs="Arial" w:eastAsia="Arial" w:hAnsi="Arial"/>
          <w:sz w:val="18"/>
          <w:szCs w:val="18"/>
          <w:color w:val="auto"/>
        </w:rPr>
      </w:pPr>
      <w:r>
        <w:rPr>
          <w:rFonts w:ascii="Arial" w:cs="Arial" w:eastAsia="Arial" w:hAnsi="Arial"/>
          <w:sz w:val="18"/>
          <w:szCs w:val="18"/>
          <w:u w:val="single" w:color="auto"/>
          <w:color w:val="auto"/>
        </w:rPr>
        <w:t>Confidentiality of Agreement</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300"/>
        <w:spacing w:after="0" w:line="291" w:lineRule="auto"/>
        <w:rPr>
          <w:rFonts w:ascii="Arial" w:cs="Arial" w:eastAsia="Arial" w:hAnsi="Arial"/>
          <w:sz w:val="18"/>
          <w:szCs w:val="18"/>
          <w:color w:val="auto"/>
        </w:rPr>
      </w:pPr>
      <w:r>
        <w:rPr>
          <w:rFonts w:ascii="Arial" w:cs="Arial" w:eastAsia="Arial" w:hAnsi="Arial"/>
          <w:sz w:val="16"/>
          <w:szCs w:val="16"/>
          <w:color w:val="auto"/>
        </w:rPr>
        <w:t>Insured agrees to treat the existence and the terms of this Agreement as strictly confidential. Accordingly, with the exception of Insured’s immediate family, Insured agrees not to disclose, either directly or indirectly, to any person or entity (i) the benefits under this Agreement which have been made available to him or may be made available to him in the future; (ii) any discussion or negotiations which have occurred in connection with this Agreement; (iii) the existence, terms, or conditions of this Agreement or the benefits provided hereunder, without the prior written consent of the Bank, except as required for income reporting purposes; or as required by a court of competent jurisdiction or other administrative or legislative body; provided, prior to disclosing any of the confidential information to a court or other administrative or legislative body, Insured shall promptly notify the Bank so it may seek a protective order or other appropriate remedy.</w:t>
      </w:r>
    </w:p>
    <w:p>
      <w:pPr>
        <w:spacing w:after="0" w:line="194" w:lineRule="exact"/>
        <w:rPr>
          <w:rFonts w:ascii="Arial" w:cs="Arial" w:eastAsia="Arial" w:hAnsi="Arial"/>
          <w:sz w:val="18"/>
          <w:szCs w:val="18"/>
          <w:color w:val="auto"/>
        </w:rPr>
      </w:pPr>
    </w:p>
    <w:p>
      <w:pPr>
        <w:ind w:left="1300" w:hanging="644"/>
        <w:spacing w:after="0"/>
        <w:tabs>
          <w:tab w:leader="none" w:pos="1300" w:val="left"/>
        </w:tabs>
        <w:numPr>
          <w:ilvl w:val="0"/>
          <w:numId w:val="305"/>
        </w:numPr>
        <w:rPr>
          <w:rFonts w:ascii="Arial" w:cs="Arial" w:eastAsia="Arial" w:hAnsi="Arial"/>
          <w:sz w:val="18"/>
          <w:szCs w:val="18"/>
          <w:color w:val="auto"/>
        </w:rPr>
      </w:pPr>
      <w:r>
        <w:rPr>
          <w:rFonts w:ascii="Arial" w:cs="Arial" w:eastAsia="Arial" w:hAnsi="Arial"/>
          <w:sz w:val="18"/>
          <w:szCs w:val="18"/>
          <w:u w:val="single" w:color="auto"/>
          <w:color w:val="auto"/>
        </w:rPr>
        <w:t>Proprietary Information of Bank</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960" w:hanging="655"/>
        <w:spacing w:after="0" w:line="271" w:lineRule="auto"/>
        <w:tabs>
          <w:tab w:leader="none" w:pos="1960" w:val="left"/>
        </w:tabs>
        <w:numPr>
          <w:ilvl w:val="1"/>
          <w:numId w:val="305"/>
        </w:numPr>
        <w:rPr>
          <w:rFonts w:ascii="Arial" w:cs="Arial" w:eastAsia="Arial" w:hAnsi="Arial"/>
          <w:sz w:val="17"/>
          <w:szCs w:val="17"/>
          <w:color w:val="auto"/>
        </w:rPr>
      </w:pPr>
      <w:r>
        <w:rPr>
          <w:rFonts w:ascii="Arial" w:cs="Arial" w:eastAsia="Arial" w:hAnsi="Arial"/>
          <w:sz w:val="17"/>
          <w:szCs w:val="17"/>
          <w:color w:val="auto"/>
        </w:rPr>
        <w:t>Bank promises to give Insured “trade secrets” or confidential information during the course of the Insured’s employment with the Bank. The term “trade secret” shall mean any devices, secret inventions, processes and compilations of information and records owned by the Bank and regularly used in the operation of the business of the Bank. Insured acknowledges the direct and indirect disclosure of any such confidential information to existing or potential competitors of the Bank would place the Bank at a competitive disadvantage and would do damage, monetary or otherwise, to the Bank’s business; and the engaging by Insured in any of the activities prohibited by this Agreement may constitute improper appropriation and/or use of such information and trade secret status. Insured expressly acknowledges trade secret status of the confidential information and the confidential information constitutes a protectable business interest of the Bank.</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7" w:name="page348"/>
    <w:bookmarkEnd w:id="347"/>
    <w:p>
      <w:pPr>
        <w:jc w:val="both"/>
        <w:ind w:left="1304" w:hanging="655"/>
        <w:spacing w:after="0" w:line="290" w:lineRule="auto"/>
        <w:tabs>
          <w:tab w:leader="none" w:pos="1304" w:val="left"/>
        </w:tabs>
        <w:numPr>
          <w:ilvl w:val="1"/>
          <w:numId w:val="306"/>
        </w:numPr>
        <w:rPr>
          <w:rFonts w:ascii="Arial" w:cs="Arial" w:eastAsia="Arial" w:hAnsi="Arial"/>
          <w:sz w:val="16"/>
          <w:szCs w:val="16"/>
          <w:color w:val="auto"/>
        </w:rPr>
      </w:pPr>
      <w:r>
        <w:rPr>
          <w:rFonts w:ascii="Arial" w:cs="Arial" w:eastAsia="Arial" w:hAnsi="Arial"/>
          <w:sz w:val="16"/>
          <w:szCs w:val="16"/>
          <w:color w:val="auto"/>
        </w:rPr>
        <w:t>From the date of this Agreement, Insured shall not, directly or indirectly, whether individually, as a director, stockholder, owner, partner, employee, principal or agent of any business, or in any other capacity, make known, disclose, furnish, make available or utilize any of the confidential information of the Bank other than in the proper performance of the duties contemplated herein, or as required by a court of competent jurisdiction or other administrative or legislative body; provided that, prior to disclosing any of the confidential information to a court or other administrative or legislative body, Insured shall promptly notify the Bank so it may seek a protective order or other appropriate remedy. Insured agrees to return all confidential information, including all photocopies, extracts and summaries thereof, and any such information stored electronically on tapes, computer disks or in any other manner to the Bank at any time upon request by the Bank and upon the termination of his engagement for any reason.</w:t>
      </w:r>
    </w:p>
    <w:p>
      <w:pPr>
        <w:spacing w:after="0" w:line="193" w:lineRule="exact"/>
        <w:rPr>
          <w:rFonts w:ascii="Arial" w:cs="Arial" w:eastAsia="Arial" w:hAnsi="Arial"/>
          <w:sz w:val="16"/>
          <w:szCs w:val="16"/>
          <w:color w:val="auto"/>
        </w:rPr>
      </w:pPr>
    </w:p>
    <w:p>
      <w:pPr>
        <w:ind w:left="644" w:hanging="644"/>
        <w:spacing w:after="0"/>
        <w:tabs>
          <w:tab w:leader="none" w:pos="644"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Non-Competition Agreement</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644"/>
        <w:spacing w:after="0" w:line="269" w:lineRule="auto"/>
        <w:rPr>
          <w:rFonts w:ascii="Arial" w:cs="Arial" w:eastAsia="Arial" w:hAnsi="Arial"/>
          <w:sz w:val="18"/>
          <w:szCs w:val="18"/>
          <w:color w:val="auto"/>
        </w:rPr>
      </w:pPr>
      <w:r>
        <w:rPr>
          <w:rFonts w:ascii="Arial" w:cs="Arial" w:eastAsia="Arial" w:hAnsi="Arial"/>
          <w:sz w:val="17"/>
          <w:szCs w:val="17"/>
          <w:color w:val="auto"/>
        </w:rPr>
        <w:t>Ancillary to subparagraph XI.B.1., from the Effective Date until the second anniversary of the termination of employment (the “Non-Competition Period”), Insured agrees not to engage in Competition (as defined below) with the Bank in any County where the Bank maintains a branch office. For purposes of this Agreement, “Competition” by Insured shall mean Insured’s engaging in, or otherwise directly or indirectly being employed by or acting as a consultant or lender to, or being a director, officer, employee, principal, licensor, trustee, broker, agent, stockholder, member, owner, joint venturer or partner of, or permitting his name to be used in connection with the activities of any other business or organization which is engaged in the same business as the business of the Bank as the same shall be constituted at any time during or following his engagement; provided that, it shall not be a violation of this Agreement for Insured to (i) become the registered or beneficial owner of less than five percent (5%) of any class of the capital stock of a competing corporation registered under the Securities Exchange Act of 1934, as amended or (ii) be employed by an entity which engages in the same business as the business of the Bank so long as Insured does not directly perform services for or work within a division or business unit of such entity that engages in the business of the Bank.</w:t>
      </w:r>
    </w:p>
    <w:p>
      <w:pPr>
        <w:spacing w:after="0" w:line="209" w:lineRule="exact"/>
        <w:rPr>
          <w:rFonts w:ascii="Arial" w:cs="Arial" w:eastAsia="Arial" w:hAnsi="Arial"/>
          <w:sz w:val="18"/>
          <w:szCs w:val="18"/>
          <w:color w:val="auto"/>
        </w:rPr>
      </w:pPr>
    </w:p>
    <w:p>
      <w:pPr>
        <w:ind w:left="644" w:hanging="644"/>
        <w:spacing w:after="0"/>
        <w:tabs>
          <w:tab w:leader="none" w:pos="644"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Solicitation of Bank’s Customers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644"/>
        <w:spacing w:after="0" w:line="277" w:lineRule="auto"/>
        <w:rPr>
          <w:rFonts w:ascii="Arial" w:cs="Arial" w:eastAsia="Arial" w:hAnsi="Arial"/>
          <w:sz w:val="18"/>
          <w:szCs w:val="18"/>
          <w:color w:val="auto"/>
        </w:rPr>
      </w:pPr>
      <w:r>
        <w:rPr>
          <w:rFonts w:ascii="Arial" w:cs="Arial" w:eastAsia="Arial" w:hAnsi="Arial"/>
          <w:sz w:val="18"/>
          <w:szCs w:val="18"/>
          <w:color w:val="auto"/>
        </w:rPr>
        <w:t>Without limiting the generality of the foregoing, during the Non-Competition Period, Insured agrees he will not, directly or indirectly, for his benefit or for the benefit of any other person, firm or entity, do any of the following:</w:t>
      </w:r>
    </w:p>
    <w:p>
      <w:pPr>
        <w:spacing w:after="0" w:line="197" w:lineRule="exact"/>
        <w:rPr>
          <w:rFonts w:ascii="Arial" w:cs="Arial" w:eastAsia="Arial" w:hAnsi="Arial"/>
          <w:sz w:val="18"/>
          <w:szCs w:val="18"/>
          <w:color w:val="auto"/>
        </w:rPr>
      </w:pPr>
    </w:p>
    <w:p>
      <w:pPr>
        <w:ind w:left="1304" w:right="20" w:hanging="331"/>
        <w:spacing w:after="0" w:line="277" w:lineRule="auto"/>
        <w:tabs>
          <w:tab w:leader="none" w:pos="1304" w:val="left"/>
        </w:tabs>
        <w:numPr>
          <w:ilvl w:val="2"/>
          <w:numId w:val="307"/>
        </w:numPr>
        <w:rPr>
          <w:rFonts w:ascii="Arial" w:cs="Arial" w:eastAsia="Arial" w:hAnsi="Arial"/>
          <w:sz w:val="18"/>
          <w:szCs w:val="18"/>
          <w:color w:val="auto"/>
        </w:rPr>
      </w:pPr>
      <w:r>
        <w:rPr>
          <w:rFonts w:ascii="Arial" w:cs="Arial" w:eastAsia="Arial" w:hAnsi="Arial"/>
          <w:sz w:val="18"/>
          <w:szCs w:val="18"/>
          <w:color w:val="auto"/>
        </w:rPr>
        <w:t>solicit from any customer doing business with the Bank business of the same or of a similar nature to the business conducted between the Bank and such customer;</w:t>
      </w:r>
    </w:p>
    <w:p>
      <w:pPr>
        <w:spacing w:after="0" w:line="369" w:lineRule="exact"/>
        <w:rPr>
          <w:sz w:val="20"/>
          <w:szCs w:val="20"/>
          <w:color w:val="auto"/>
        </w:rPr>
      </w:pPr>
    </w:p>
    <w:p>
      <w:pPr>
        <w:ind w:left="5024"/>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246620" cy="171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348" w:name="page349"/>
    <w:bookmarkEnd w:id="348"/>
    <w:p>
      <w:pPr>
        <w:ind w:left="1960" w:hanging="331"/>
        <w:spacing w:after="0"/>
        <w:tabs>
          <w:tab w:leader="none" w:pos="1960" w:val="left"/>
        </w:tabs>
        <w:numPr>
          <w:ilvl w:val="1"/>
          <w:numId w:val="308"/>
        </w:numPr>
        <w:rPr>
          <w:rFonts w:ascii="Arial" w:cs="Arial" w:eastAsia="Arial" w:hAnsi="Arial"/>
          <w:sz w:val="18"/>
          <w:szCs w:val="18"/>
          <w:color w:val="auto"/>
        </w:rPr>
      </w:pPr>
      <w:r>
        <w:rPr>
          <w:rFonts w:ascii="Arial" w:cs="Arial" w:eastAsia="Arial" w:hAnsi="Arial"/>
          <w:sz w:val="18"/>
          <w:szCs w:val="18"/>
          <w:color w:val="auto"/>
        </w:rPr>
        <w:t>solicit the employment or services of any person who at the time is employed by or a consultant to the Bank; or</w:t>
      </w:r>
    </w:p>
    <w:p>
      <w:pPr>
        <w:spacing w:after="0" w:line="252" w:lineRule="exact"/>
        <w:rPr>
          <w:rFonts w:ascii="Arial" w:cs="Arial" w:eastAsia="Arial" w:hAnsi="Arial"/>
          <w:sz w:val="18"/>
          <w:szCs w:val="18"/>
          <w:color w:val="auto"/>
        </w:rPr>
      </w:pPr>
    </w:p>
    <w:p>
      <w:pPr>
        <w:ind w:left="1960" w:hanging="331"/>
        <w:spacing w:after="0" w:line="277" w:lineRule="auto"/>
        <w:tabs>
          <w:tab w:leader="none" w:pos="1960" w:val="left"/>
        </w:tabs>
        <w:numPr>
          <w:ilvl w:val="1"/>
          <w:numId w:val="308"/>
        </w:numPr>
        <w:rPr>
          <w:rFonts w:ascii="Arial" w:cs="Arial" w:eastAsia="Arial" w:hAnsi="Arial"/>
          <w:sz w:val="18"/>
          <w:szCs w:val="18"/>
          <w:color w:val="auto"/>
        </w:rPr>
      </w:pPr>
      <w:r>
        <w:rPr>
          <w:rFonts w:ascii="Arial" w:cs="Arial" w:eastAsia="Arial" w:hAnsi="Arial"/>
          <w:sz w:val="18"/>
          <w:szCs w:val="18"/>
          <w:color w:val="auto"/>
        </w:rPr>
        <w:t>make any statements or comments of a defamatory or disparaging nature to third parties regarding the Bank or its officers, directors, personnel, products or services.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Injunctive Relief</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300"/>
        <w:spacing w:after="0" w:line="273" w:lineRule="auto"/>
        <w:rPr>
          <w:rFonts w:ascii="Arial" w:cs="Arial" w:eastAsia="Arial" w:hAnsi="Arial"/>
          <w:sz w:val="18"/>
          <w:szCs w:val="18"/>
          <w:color w:val="auto"/>
        </w:rPr>
      </w:pPr>
      <w:r>
        <w:rPr>
          <w:rFonts w:ascii="Arial" w:cs="Arial" w:eastAsia="Arial" w:hAnsi="Arial"/>
          <w:sz w:val="17"/>
          <w:szCs w:val="17"/>
          <w:color w:val="auto"/>
        </w:rPr>
        <w:t>Insured acknowledges the Insured’s agreement to the terms set forth herein are a critical inducement to the entering into the Life Insurance Endorsement Method Split Dollar Plan Agreement by the parties thereto, and a material breach by him of any of the provisions contained under this paragraph will cause the Bank irreparable injury and would not be reasonably or adequately compensated for by damages in an action at law. Insured therefore agrees the Bank shall be entitled, in addition to any other right or remedy, to a temporary, preliminary and permanent injunction without the necessity of proving the inadequacy of monetary damages or the posting of any bond or security, enjoining or restraining Insured from any such violation.</w:t>
      </w:r>
    </w:p>
    <w:p>
      <w:pPr>
        <w:spacing w:after="0" w:line="205" w:lineRule="exact"/>
        <w:rPr>
          <w:rFonts w:ascii="Arial" w:cs="Arial" w:eastAsia="Arial" w:hAnsi="Arial"/>
          <w:sz w:val="18"/>
          <w:szCs w:val="18"/>
          <w:color w:val="auto"/>
        </w:rPr>
      </w:pPr>
    </w:p>
    <w:p>
      <w:pPr>
        <w:ind w:left="1300" w:hanging="644"/>
        <w:spacing w:after="0"/>
        <w:tabs>
          <w:tab w:leader="none" w:pos="1300"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Reformation of Agreement</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300"/>
        <w:spacing w:after="0" w:line="293" w:lineRule="auto"/>
        <w:rPr>
          <w:rFonts w:ascii="Arial" w:cs="Arial" w:eastAsia="Arial" w:hAnsi="Arial"/>
          <w:sz w:val="18"/>
          <w:szCs w:val="18"/>
          <w:color w:val="auto"/>
        </w:rPr>
      </w:pPr>
      <w:r>
        <w:rPr>
          <w:rFonts w:ascii="Arial" w:cs="Arial" w:eastAsia="Arial" w:hAnsi="Arial"/>
          <w:sz w:val="16"/>
          <w:szCs w:val="16"/>
          <w:color w:val="auto"/>
        </w:rPr>
        <w:t>Insured further acknowledges and agrees that due to the uniqueness of his services and confidential nature of the information available to Insured during his past and future employment with Bank, the covenants set forth herein are reasonable and necessary for the protection of the business and goodwill of the Bank; and it is the intent of the parties hereto that if in the opinion of any court of competent jurisdiction any provision set forth in this Agreement is not reasonable in any respect, or that any provision should be deemed to exceed the time, geographic or occupational limits permitted by applicable law, such court shall have the right, power and authority to modify any and all such provisions as to such court shall appear not unreasonable and to enforce the remainder of this Agreement as so modified.</w:t>
      </w:r>
    </w:p>
    <w:p>
      <w:pPr>
        <w:spacing w:after="0" w:line="191" w:lineRule="exact"/>
        <w:rPr>
          <w:rFonts w:ascii="Arial" w:cs="Arial" w:eastAsia="Arial" w:hAnsi="Arial"/>
          <w:sz w:val="18"/>
          <w:szCs w:val="18"/>
          <w:color w:val="auto"/>
        </w:rPr>
      </w:pPr>
    </w:p>
    <w:p>
      <w:pPr>
        <w:ind w:left="1300" w:hanging="644"/>
        <w:spacing w:after="0"/>
        <w:tabs>
          <w:tab w:leader="none" w:pos="1300"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Forfeiture of Benefits in the Event of Breach</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300"/>
        <w:spacing w:after="0" w:line="257" w:lineRule="auto"/>
        <w:rPr>
          <w:rFonts w:ascii="Arial" w:cs="Arial" w:eastAsia="Arial" w:hAnsi="Arial"/>
          <w:sz w:val="18"/>
          <w:szCs w:val="18"/>
          <w:color w:val="auto"/>
        </w:rPr>
      </w:pPr>
      <w:r>
        <w:rPr>
          <w:rFonts w:ascii="Arial" w:cs="Arial" w:eastAsia="Arial" w:hAnsi="Arial"/>
          <w:sz w:val="18"/>
          <w:szCs w:val="18"/>
          <w:color w:val="auto"/>
        </w:rPr>
        <w:t>Notwithstanding any other provision of this Agreement, if at any time it is determined in the sole judgment of the Bank that the Insured has materially breached any of the covenants under this paragraph, all benefits provided herein shall be forfeited and this Agreement shall be terminated and no death benefits shall be due hereunder and, if applicable, the Insured’s beneficiary(ies) shall repay to the Bank any and all death benefits already received, without prejudice to the Bank’s right to pursue other equitable and legal remedies for enforcement and recovery under this Agreement.</w:t>
      </w:r>
    </w:p>
    <w:p>
      <w:pPr>
        <w:spacing w:after="0" w:line="2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XII.</w:t>
      </w:r>
      <w:r>
        <w:rPr>
          <w:sz w:val="20"/>
          <w:szCs w:val="20"/>
          <w:color w:val="auto"/>
        </w:rPr>
        <w:tab/>
      </w:r>
      <w:r>
        <w:rPr>
          <w:rFonts w:ascii="Arial" w:cs="Arial" w:eastAsia="Arial" w:hAnsi="Arial"/>
          <w:sz w:val="18"/>
          <w:szCs w:val="18"/>
          <w:color w:val="auto"/>
        </w:rPr>
        <w:t>ADMINISTRATIVE AND CLAIMS PROVISIONS</w:t>
      </w:r>
    </w:p>
    <w:p>
      <w:pPr>
        <w:spacing w:after="0" w:line="252" w:lineRule="exact"/>
        <w:rPr>
          <w:sz w:val="20"/>
          <w:szCs w:val="20"/>
          <w:color w:val="auto"/>
        </w:rPr>
      </w:pPr>
    </w:p>
    <w:p>
      <w:pPr>
        <w:ind w:left="660" w:right="140"/>
        <w:spacing w:after="0" w:line="277" w:lineRule="auto"/>
        <w:rPr>
          <w:sz w:val="20"/>
          <w:szCs w:val="20"/>
          <w:color w:val="auto"/>
        </w:rPr>
      </w:pPr>
      <w:r>
        <w:rPr>
          <w:rFonts w:ascii="Arial" w:cs="Arial" w:eastAsia="Arial" w:hAnsi="Arial"/>
          <w:sz w:val="18"/>
          <w:szCs w:val="18"/>
          <w:color w:val="auto"/>
        </w:rPr>
        <w:t>The following provisions are part of this Agreement and are intended to meet the requirements of the Employee Retirement Income Security Act of 1974 (“ERISA”):</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9" w:name="page350"/>
    <w:bookmarkEnd w:id="349"/>
    <w:p>
      <w:pPr>
        <w:ind w:left="1300" w:hanging="644"/>
        <w:spacing w:after="0"/>
        <w:tabs>
          <w:tab w:leader="none" w:pos="1300" w:val="left"/>
        </w:tabs>
        <w:numPr>
          <w:ilvl w:val="0"/>
          <w:numId w:val="309"/>
        </w:numPr>
        <w:rPr>
          <w:rFonts w:ascii="Arial" w:cs="Arial" w:eastAsia="Arial" w:hAnsi="Arial"/>
          <w:sz w:val="18"/>
          <w:szCs w:val="18"/>
          <w:color w:val="auto"/>
        </w:rPr>
      </w:pPr>
      <w:r>
        <w:rPr>
          <w:rFonts w:ascii="Arial" w:cs="Arial" w:eastAsia="Arial" w:hAnsi="Arial"/>
          <w:sz w:val="18"/>
          <w:szCs w:val="18"/>
          <w:u w:val="single" w:color="auto"/>
          <w:color w:val="auto"/>
        </w:rPr>
        <w:t>Plan Administrator</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300"/>
        <w:spacing w:after="0" w:line="259" w:lineRule="auto"/>
        <w:rPr>
          <w:rFonts w:ascii="Arial" w:cs="Arial" w:eastAsia="Arial" w:hAnsi="Arial"/>
          <w:sz w:val="18"/>
          <w:szCs w:val="18"/>
          <w:color w:val="auto"/>
        </w:rPr>
      </w:pPr>
      <w:r>
        <w:rPr>
          <w:rFonts w:ascii="Arial" w:cs="Arial" w:eastAsia="Arial" w:hAnsi="Arial"/>
          <w:sz w:val="18"/>
          <w:szCs w:val="18"/>
          <w:color w:val="auto"/>
        </w:rPr>
        <w:t>The “Plan Administrator” of this Agreement shall be City Bank. As Plan Administrator, the Bank shall be responsible for the management, control and administration of this Agreement as established herein. The Plan Administrator may delegate to others certain aspects of the management and operation responsibilities of the Agreement, including the employment of advisors and the delegation of ministerial duties to qualified individuals.</w:t>
      </w:r>
    </w:p>
    <w:p>
      <w:pPr>
        <w:spacing w:after="0" w:line="213" w:lineRule="exact"/>
        <w:rPr>
          <w:rFonts w:ascii="Arial" w:cs="Arial" w:eastAsia="Arial" w:hAnsi="Arial"/>
          <w:sz w:val="18"/>
          <w:szCs w:val="18"/>
          <w:color w:val="auto"/>
        </w:rPr>
      </w:pPr>
    </w:p>
    <w:p>
      <w:pPr>
        <w:ind w:left="1300" w:hanging="644"/>
        <w:spacing w:after="0"/>
        <w:tabs>
          <w:tab w:leader="none" w:pos="1300" w:val="left"/>
        </w:tabs>
        <w:numPr>
          <w:ilvl w:val="0"/>
          <w:numId w:val="309"/>
        </w:numPr>
        <w:rPr>
          <w:rFonts w:ascii="Arial" w:cs="Arial" w:eastAsia="Arial" w:hAnsi="Arial"/>
          <w:sz w:val="18"/>
          <w:szCs w:val="18"/>
          <w:color w:val="auto"/>
        </w:rPr>
      </w:pPr>
      <w:r>
        <w:rPr>
          <w:rFonts w:ascii="Arial" w:cs="Arial" w:eastAsia="Arial" w:hAnsi="Arial"/>
          <w:sz w:val="18"/>
          <w:szCs w:val="18"/>
          <w:u w:val="single" w:color="auto"/>
          <w:color w:val="auto"/>
        </w:rPr>
        <w:t>Basis of Payment of Benefits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Direct payment by the Insurer is the basis of payment of benefits under this Agreement, with those benefits in turn being based on the payment of premiums as provided in this Agreement.</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309"/>
        </w:numPr>
        <w:rPr>
          <w:rFonts w:ascii="Arial" w:cs="Arial" w:eastAsia="Arial" w:hAnsi="Arial"/>
          <w:sz w:val="18"/>
          <w:szCs w:val="18"/>
          <w:color w:val="auto"/>
        </w:rPr>
      </w:pPr>
      <w:r>
        <w:rPr>
          <w:rFonts w:ascii="Arial" w:cs="Arial" w:eastAsia="Arial" w:hAnsi="Arial"/>
          <w:sz w:val="18"/>
          <w:szCs w:val="18"/>
          <w:u w:val="single" w:color="auto"/>
          <w:color w:val="auto"/>
        </w:rPr>
        <w:t>Claims Procedures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300"/>
        <w:spacing w:after="0" w:line="257" w:lineRule="auto"/>
        <w:rPr>
          <w:rFonts w:ascii="Arial" w:cs="Arial" w:eastAsia="Arial" w:hAnsi="Arial"/>
          <w:sz w:val="18"/>
          <w:szCs w:val="18"/>
          <w:color w:val="auto"/>
        </w:rPr>
      </w:pPr>
      <w:r>
        <w:rPr>
          <w:rFonts w:ascii="Arial" w:cs="Arial" w:eastAsia="Arial" w:hAnsi="Arial"/>
          <w:sz w:val="18"/>
          <w:szCs w:val="18"/>
          <w:color w:val="auto"/>
        </w:rPr>
        <w:t>Claim forms or claim information as to the Policy can be obtained by contacting NFP Executive Benefits (800-544-6079). When the Plan Administrator has a claim which may be covered under the provisions described in the Policy, they should contact the office named above, and they will either complete a claim form and forward it to an authorized representative of the Insurer or advise the Plan Administrator what further requirements are necessary. The Insurer will evaluate and make a decision as to payment. If the claim is payable, a benefit check will be issued in accordance with the terms of this Agreement.</w:t>
      </w:r>
    </w:p>
    <w:p>
      <w:pPr>
        <w:spacing w:after="0" w:line="215" w:lineRule="exact"/>
        <w:rPr>
          <w:rFonts w:ascii="Arial" w:cs="Arial" w:eastAsia="Arial" w:hAnsi="Arial"/>
          <w:sz w:val="18"/>
          <w:szCs w:val="18"/>
          <w:color w:val="auto"/>
        </w:rPr>
      </w:pPr>
    </w:p>
    <w:p>
      <w:pPr>
        <w:jc w:val="both"/>
        <w:ind w:left="1300"/>
        <w:spacing w:after="0" w:line="259" w:lineRule="auto"/>
        <w:rPr>
          <w:rFonts w:ascii="Arial" w:cs="Arial" w:eastAsia="Arial" w:hAnsi="Arial"/>
          <w:sz w:val="18"/>
          <w:szCs w:val="18"/>
          <w:color w:val="auto"/>
        </w:rPr>
      </w:pPr>
      <w:r>
        <w:rPr>
          <w:rFonts w:ascii="Arial" w:cs="Arial" w:eastAsia="Arial" w:hAnsi="Arial"/>
          <w:sz w:val="18"/>
          <w:szCs w:val="18"/>
          <w:color w:val="auto"/>
        </w:rPr>
        <w:t>In the event that a claim is not eligible under the Policy, the Insurer will notify the Plan Administrator of the denial pursuant to the requirements under the terms of the Policy. If the Plan Administrator is dissatisfied with the denial of the claim and wishes to contest such claim denial, it should contact the office named above and they will assist in making an inquiry to the Insurer. All objections to the Insurer’s actions should be in writing and submitted to the office named above for transmittal to the Insurer.</w:t>
      </w: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XIII.</w:t>
      </w:r>
      <w:r>
        <w:rPr>
          <w:sz w:val="20"/>
          <w:szCs w:val="20"/>
          <w:color w:val="auto"/>
        </w:rPr>
        <w:tab/>
      </w:r>
      <w:r>
        <w:rPr>
          <w:rFonts w:ascii="Arial" w:cs="Arial" w:eastAsia="Arial" w:hAnsi="Arial"/>
          <w:sz w:val="18"/>
          <w:szCs w:val="18"/>
          <w:color w:val="auto"/>
        </w:rPr>
        <w:t>MISCELLANEOUS</w:t>
      </w:r>
    </w:p>
    <w:p>
      <w:pPr>
        <w:spacing w:after="0" w:line="252" w:lineRule="exact"/>
        <w:rPr>
          <w:sz w:val="20"/>
          <w:szCs w:val="20"/>
          <w:color w:val="auto"/>
        </w:rPr>
      </w:pPr>
    </w:p>
    <w:p>
      <w:pPr>
        <w:ind w:left="1300" w:right="20" w:hanging="644"/>
        <w:spacing w:after="0" w:line="277" w:lineRule="auto"/>
        <w:tabs>
          <w:tab w:leader="none" w:pos="13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Whenever in this Agreement words are used in the masculine or neuter gender, they shall be read and construed as in the masculine, feminine or neuter gender, whichever should so apply.</w:t>
      </w:r>
    </w:p>
    <w:p>
      <w:pPr>
        <w:spacing w:after="0" w:line="197"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Insurer shall not be deemed a party to this Agreement, but will respect the rights of the parties as herein developed upon receiving an executed copy of this Agreement. Payment or other performance in accordance with the Policy shall fully discharge the Insurer from any and all liability.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0" w:name="page351"/>
    <w:bookmarkEnd w:id="350"/>
    <w:p>
      <w:pPr>
        <w:jc w:val="both"/>
        <w:ind w:left="644" w:hanging="644"/>
        <w:spacing w:after="0" w:line="276" w:lineRule="auto"/>
        <w:tabs>
          <w:tab w:leader="none" w:pos="644" w:val="left"/>
        </w:tabs>
        <w:numPr>
          <w:ilvl w:val="0"/>
          <w:numId w:val="311"/>
        </w:numPr>
        <w:rPr>
          <w:rFonts w:ascii="Arial" w:cs="Arial" w:eastAsia="Arial" w:hAnsi="Arial"/>
          <w:sz w:val="17"/>
          <w:szCs w:val="17"/>
          <w:color w:val="auto"/>
        </w:rPr>
      </w:pPr>
      <w:r>
        <w:rPr>
          <w:rFonts w:ascii="Arial" w:cs="Arial" w:eastAsia="Arial" w:hAnsi="Arial"/>
          <w:sz w:val="17"/>
          <w:szCs w:val="17"/>
          <w:color w:val="auto"/>
        </w:rPr>
        <w:t>Subject to the Bank’s sole and absolute right to surrender or terminate any and all life insurance policies that are the subject matter of this Agreement, it is agreed by the parties that, during the lifetime of the Insured, this Agreement may be amended or revoked at any time or times, in whole or in part, by the mutual written consent of the Insured and the Bank. The Bank may, however, unilaterally and without the consent of the Insured, exchange any life insurance policy(ies) that are the subject matter of this Agreement, with or without replacing said policy(ies) and, in the event of a same or similar exchange, the Insured expressly agrees to the same.</w:t>
      </w:r>
    </w:p>
    <w:p>
      <w:pPr>
        <w:spacing w:after="0" w:line="199" w:lineRule="exact"/>
        <w:rPr>
          <w:rFonts w:ascii="Arial" w:cs="Arial" w:eastAsia="Arial" w:hAnsi="Arial"/>
          <w:sz w:val="17"/>
          <w:szCs w:val="17"/>
          <w:color w:val="auto"/>
        </w:rPr>
      </w:pPr>
    </w:p>
    <w:p>
      <w:pPr>
        <w:jc w:val="both"/>
        <w:ind w:left="644" w:hanging="644"/>
        <w:spacing w:after="0" w:line="312" w:lineRule="auto"/>
        <w:tabs>
          <w:tab w:leader="none" w:pos="644" w:val="left"/>
        </w:tabs>
        <w:numPr>
          <w:ilvl w:val="0"/>
          <w:numId w:val="311"/>
        </w:numPr>
        <w:rPr>
          <w:rFonts w:ascii="Arial" w:cs="Arial" w:eastAsia="Arial" w:hAnsi="Arial"/>
          <w:sz w:val="16"/>
          <w:szCs w:val="16"/>
          <w:color w:val="auto"/>
        </w:rPr>
      </w:pPr>
      <w:r>
        <w:rPr>
          <w:rFonts w:ascii="Arial" w:cs="Arial" w:eastAsia="Arial" w:hAnsi="Arial"/>
          <w:sz w:val="16"/>
          <w:szCs w:val="16"/>
          <w:color w:val="auto"/>
        </w:rPr>
        <w:t>If a provision of this Agreement is held to be invalid or unenforceable, the remaining provisions shall nonetheless be enforceable according to their terms. Further, in the event any provision is held to be overbroad as written such provision shall be deemed amended to narrow its application to the extent necessary to make the provision enforceable according to law and enforced as amended.</w:t>
      </w:r>
    </w:p>
    <w:p>
      <w:pPr>
        <w:spacing w:after="0" w:line="173" w:lineRule="exact"/>
        <w:rPr>
          <w:rFonts w:ascii="Arial" w:cs="Arial" w:eastAsia="Arial" w:hAnsi="Arial"/>
          <w:sz w:val="16"/>
          <w:szCs w:val="16"/>
          <w:color w:val="auto"/>
        </w:rPr>
      </w:pPr>
    </w:p>
    <w:p>
      <w:pPr>
        <w:jc w:val="both"/>
        <w:ind w:left="644" w:hanging="644"/>
        <w:spacing w:after="0" w:line="312" w:lineRule="auto"/>
        <w:tabs>
          <w:tab w:leader="none" w:pos="644" w:val="left"/>
        </w:tabs>
        <w:numPr>
          <w:ilvl w:val="0"/>
          <w:numId w:val="311"/>
        </w:numPr>
        <w:rPr>
          <w:rFonts w:ascii="Arial" w:cs="Arial" w:eastAsia="Arial" w:hAnsi="Arial"/>
          <w:sz w:val="16"/>
          <w:szCs w:val="16"/>
          <w:color w:val="auto"/>
        </w:rPr>
      </w:pPr>
      <w:r>
        <w:rPr>
          <w:rFonts w:ascii="Arial" w:cs="Arial" w:eastAsia="Arial" w:hAnsi="Arial"/>
          <w:sz w:val="16"/>
          <w:szCs w:val="16"/>
          <w:color w:val="auto"/>
        </w:rPr>
        <w:t>The Bank is entering into this Agreement upon the assumption that certain existing tax laws, rules and regulations will continue in effect in their current form. If any said assumptions should change and said change has a detrimental effect on this Agreement, then the Bank reserves the right to terminate or modify this Agreement accordingly. Upon a Change of Control, this paragraph shall become null and void.</w:t>
      </w:r>
    </w:p>
    <w:p>
      <w:pPr>
        <w:spacing w:after="0" w:line="173" w:lineRule="exact"/>
        <w:rPr>
          <w:rFonts w:ascii="Arial" w:cs="Arial" w:eastAsia="Arial" w:hAnsi="Arial"/>
          <w:sz w:val="16"/>
          <w:szCs w:val="16"/>
          <w:color w:val="auto"/>
        </w:rPr>
      </w:pPr>
    </w:p>
    <w:p>
      <w:pPr>
        <w:ind w:left="644" w:hanging="644"/>
        <w:spacing w:after="0"/>
        <w:tabs>
          <w:tab w:leader="none" w:pos="644"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laws of the State of Texas shall govern the validity and interpretation of this Agreement.</w:t>
      </w:r>
    </w:p>
    <w:p>
      <w:pPr>
        <w:spacing w:after="0" w:line="252" w:lineRule="exact"/>
        <w:rPr>
          <w:rFonts w:ascii="Arial" w:cs="Arial" w:eastAsia="Arial" w:hAnsi="Arial"/>
          <w:sz w:val="18"/>
          <w:szCs w:val="18"/>
          <w:color w:val="auto"/>
        </w:rPr>
      </w:pPr>
    </w:p>
    <w:p>
      <w:pPr>
        <w:ind w:left="644" w:hanging="644"/>
        <w:spacing w:after="0"/>
        <w:tabs>
          <w:tab w:leader="none" w:pos="644"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This Agreement shall bind the Insured and the Bank, their heirs, successors, personal representatives and assigns.</w:t>
      </w:r>
    </w:p>
    <w:p>
      <w:pPr>
        <w:spacing w:after="0" w:line="200" w:lineRule="exact"/>
        <w:rPr>
          <w:sz w:val="20"/>
          <w:szCs w:val="20"/>
          <w:color w:val="auto"/>
        </w:rPr>
      </w:pPr>
    </w:p>
    <w:p>
      <w:pPr>
        <w:spacing w:after="0" w:line="223" w:lineRule="exact"/>
        <w:rPr>
          <w:sz w:val="20"/>
          <w:szCs w:val="20"/>
          <w:color w:val="auto"/>
        </w:rPr>
      </w:pPr>
    </w:p>
    <w:p>
      <w:pPr>
        <w:ind w:left="5024"/>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246620" cy="171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351" w:name="page352"/>
    <w:bookmarkEnd w:id="351"/>
    <w:p>
      <w:pPr>
        <w:spacing w:after="0"/>
        <w:rPr>
          <w:sz w:val="20"/>
          <w:szCs w:val="20"/>
          <w:color w:val="auto"/>
        </w:rPr>
      </w:pPr>
      <w:r>
        <w:rPr>
          <w:rFonts w:ascii="Arial" w:cs="Arial" w:eastAsia="Arial" w:hAnsi="Arial"/>
          <w:sz w:val="18"/>
          <w:szCs w:val="18"/>
          <w:color w:val="auto"/>
        </w:rPr>
        <w:t>EXECUTED this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day of June, 2004.</w:t>
      </w:r>
    </w:p>
    <w:p>
      <w:pPr>
        <w:spacing w:after="0" w:line="97"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CITY BANK</w:t>
      </w:r>
    </w:p>
    <w:p>
      <w:pPr>
        <w:spacing w:after="0" w:line="225" w:lineRule="exact"/>
        <w:rPr>
          <w:sz w:val="20"/>
          <w:szCs w:val="20"/>
          <w:color w:val="auto"/>
        </w:rPr>
      </w:pPr>
    </w:p>
    <w:p>
      <w:pPr>
        <w:jc w:val="both"/>
        <w:ind w:left="5020"/>
        <w:spacing w:after="0"/>
        <w:tabs>
          <w:tab w:leader="none" w:pos="5460" w:val="left"/>
        </w:tabs>
        <w:rPr>
          <w:sz w:val="20"/>
          <w:szCs w:val="20"/>
          <w:color w:val="auto"/>
        </w:rPr>
      </w:pPr>
      <w:r>
        <w:rPr>
          <w:rFonts w:ascii="Arial" w:cs="Arial" w:eastAsia="Arial" w:hAnsi="Arial"/>
          <w:sz w:val="18"/>
          <w:szCs w:val="18"/>
          <w:color w:val="auto"/>
        </w:rPr>
        <w:t>By:</w:t>
        <w:tab/>
        <w:t>/s/ [</w:t>
      </w:r>
      <w:r>
        <w:rPr>
          <w:rFonts w:ascii="Arial" w:cs="Arial" w:eastAsia="Arial" w:hAnsi="Arial"/>
          <w:sz w:val="18"/>
          <w:szCs w:val="18"/>
          <w:i w:val="1"/>
          <w:iCs w:val="1"/>
          <w:color w:val="auto"/>
        </w:rPr>
        <w:t>illegible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3479800</wp:posOffset>
            </wp:positionH>
            <wp:positionV relativeFrom="paragraph">
              <wp:posOffset>14605</wp:posOffset>
            </wp:positionV>
            <wp:extent cx="3327400" cy="17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5">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16" w:lineRule="exact"/>
        <w:rPr>
          <w:sz w:val="20"/>
          <w:szCs w:val="20"/>
          <w:color w:val="auto"/>
        </w:rPr>
      </w:pPr>
    </w:p>
    <w:p>
      <w:pPr>
        <w:jc w:val="right"/>
        <w:ind w:right="3099"/>
        <w:spacing w:after="0"/>
        <w:rPr>
          <w:sz w:val="20"/>
          <w:szCs w:val="20"/>
          <w:color w:val="auto"/>
        </w:rPr>
      </w:pPr>
      <w:r>
        <w:rPr>
          <w:rFonts w:ascii="Arial" w:cs="Arial" w:eastAsia="Arial" w:hAnsi="Arial"/>
          <w:sz w:val="18"/>
          <w:szCs w:val="18"/>
          <w:color w:val="auto"/>
        </w:rPr>
        <w:t>Bank Officer</w:t>
      </w:r>
    </w:p>
    <w:p>
      <w:pPr>
        <w:spacing w:after="0" w:line="23" w:lineRule="exact"/>
        <w:rPr>
          <w:sz w:val="20"/>
          <w:szCs w:val="20"/>
          <w:color w:val="auto"/>
        </w:rPr>
      </w:pPr>
    </w:p>
    <w:p>
      <w:pPr>
        <w:jc w:val="center"/>
        <w:ind w:left="12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/s/ Cory Newsom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3188335</wp:posOffset>
            </wp:positionH>
            <wp:positionV relativeFrom="paragraph">
              <wp:posOffset>14605</wp:posOffset>
            </wp:positionV>
            <wp:extent cx="3618865" cy="171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6">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CORY NEWSOM, Insured</w:t>
      </w:r>
    </w:p>
    <w:p>
      <w:pPr>
        <w:spacing w:after="0" w:line="200" w:lineRule="exact"/>
        <w:rPr>
          <w:sz w:val="20"/>
          <w:szCs w:val="20"/>
          <w:color w:val="auto"/>
        </w:rPr>
      </w:pPr>
    </w:p>
    <w:p>
      <w:pPr>
        <w:spacing w:after="0" w:line="314" w:lineRule="exact"/>
        <w:rPr>
          <w:sz w:val="20"/>
          <w:szCs w:val="20"/>
          <w:color w:val="auto"/>
        </w:rPr>
      </w:pPr>
    </w:p>
    <w:p>
      <w:pPr>
        <w:ind w:left="4940"/>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72390</wp:posOffset>
            </wp:positionV>
            <wp:extent cx="7246620" cy="171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519"/>
          </w:cols>
          <w:pgMar w:left="940" w:top="115" w:right="1440" w:bottom="1440" w:gutter="0" w:footer="0" w:header="0"/>
        </w:sectPr>
      </w:pPr>
    </w:p>
    <w:bookmarkStart w:id="352" w:name="page353"/>
    <w:bookmarkEnd w:id="35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36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8">
                      <a:extLst>
                        <a:ext uri="{28A0092B-C50C-407E-A947-70E740481C1C}"/>
                      </a:extLst>
                    </a:blip>
                    <a:srcRect/>
                    <a:stretch>
                      <a:fillRect/>
                    </a:stretch>
                  </pic:blipFill>
                  <pic:spPr bwMode="auto">
                    <a:xfrm>
                      <a:off x="0" y="0"/>
                      <a:ext cx="7246620" cy="33655"/>
                    </a:xfrm>
                    <a:prstGeom prst="rect">
                      <a:avLst/>
                    </a:prstGeom>
                    <a:noFill/>
                  </pic:spPr>
                </pic:pic>
              </a:graphicData>
            </a:graphic>
          </wp:anchor>
        </w:drawing>
        <w:t>Exhibit 10.8</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REPRESENTATION AGREEMENT</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BOARD REPRESENTATION AGREEMENT</w:t>
      </w:r>
      <w:r>
        <w:rPr>
          <w:rFonts w:ascii="Arial" w:cs="Arial" w:eastAsia="Arial" w:hAnsi="Arial"/>
          <w:sz w:val="17"/>
          <w:szCs w:val="17"/>
          <w:color w:val="auto"/>
        </w:rPr>
        <w:t xml:space="preserve"> (this “</w:t>
      </w:r>
      <w:r>
        <w:rPr>
          <w:rFonts w:ascii="Arial" w:cs="Arial" w:eastAsia="Arial" w:hAnsi="Arial"/>
          <w:sz w:val="17"/>
          <w:szCs w:val="17"/>
          <w:b w:val="1"/>
          <w:bCs w:val="1"/>
          <w:color w:val="auto"/>
        </w:rPr>
        <w:t>Agreement</w:t>
      </w:r>
      <w:r>
        <w:rPr>
          <w:rFonts w:ascii="Arial" w:cs="Arial" w:eastAsia="Arial" w:hAnsi="Arial"/>
          <w:sz w:val="17"/>
          <w:szCs w:val="17"/>
          <w:color w:val="auto"/>
        </w:rPr>
        <w:t>”) is made and entered into as of March 7, 2019, by and among Henry TAW LP and James C. Henry (individually, the “</w:t>
      </w:r>
      <w:r>
        <w:rPr>
          <w:rFonts w:ascii="Arial" w:cs="Arial" w:eastAsia="Arial" w:hAnsi="Arial"/>
          <w:sz w:val="17"/>
          <w:szCs w:val="17"/>
          <w:b w:val="1"/>
          <w:bCs w:val="1"/>
          <w:color w:val="auto"/>
        </w:rPr>
        <w:t>Shareholder</w:t>
      </w:r>
      <w:r>
        <w:rPr>
          <w:rFonts w:ascii="Arial" w:cs="Arial" w:eastAsia="Arial" w:hAnsi="Arial"/>
          <w:sz w:val="17"/>
          <w:szCs w:val="17"/>
          <w:color w:val="auto"/>
        </w:rPr>
        <w:t>” and collectively, the “Shareholders”), South Plains Financial, Inc., a Texas corporation and registered bank holding company (the “</w:t>
      </w:r>
      <w:r>
        <w:rPr>
          <w:rFonts w:ascii="Arial" w:cs="Arial" w:eastAsia="Arial" w:hAnsi="Arial"/>
          <w:sz w:val="17"/>
          <w:szCs w:val="17"/>
          <w:b w:val="1"/>
          <w:bCs w:val="1"/>
          <w:color w:val="auto"/>
        </w:rPr>
        <w:t>Company</w:t>
      </w:r>
      <w:r>
        <w:rPr>
          <w:rFonts w:ascii="Arial" w:cs="Arial" w:eastAsia="Arial" w:hAnsi="Arial"/>
          <w:sz w:val="17"/>
          <w:szCs w:val="17"/>
          <w:color w:val="auto"/>
        </w:rPr>
        <w:t>”), and for the limited purposes set forth herein, the Board Representative (as defined below).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certain of the Shareholders entered into a Stock Purchase Agreement with the Company, dated June 27, 2011, whereby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purchased newly-issued shares of common stock, $1.00 par value per share, of the Company and were granted certain contractual rights of representation on the Boards (as defined below) (the “</w:t>
      </w:r>
      <w:r>
        <w:rPr>
          <w:rFonts w:ascii="Arial" w:cs="Arial" w:eastAsia="Arial" w:hAnsi="Arial"/>
          <w:sz w:val="18"/>
          <w:szCs w:val="18"/>
          <w:b w:val="1"/>
          <w:bCs w:val="1"/>
          <w:color w:val="auto"/>
        </w:rPr>
        <w:t>Stock Purchase Agreement</w:t>
      </w:r>
      <w:r>
        <w:rPr>
          <w:rFonts w:ascii="Arial" w:cs="Arial" w:eastAsia="Arial" w:hAnsi="Arial"/>
          <w:sz w:val="18"/>
          <w:szCs w:val="18"/>
          <w:color w:val="auto"/>
        </w:rPr>
        <w:t>”);</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Shareholders and the Company hereby desire to terminate the Stock Purchase Agreement in its entirely and to enter into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to continue to provide a contractual right of representation on the Board of Directors of the Company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Company Board</w:t>
      </w:r>
      <w:r>
        <w:rPr>
          <w:rFonts w:ascii="Arial" w:cs="Arial" w:eastAsia="Arial" w:hAnsi="Arial"/>
          <w:sz w:val="18"/>
          <w:szCs w:val="18"/>
          <w:color w:val="auto"/>
        </w:rPr>
        <w:t>”) and to cause City Bank, a wholly-owned banking subsidiary of the Company and a Texas-chartered banking association (the “</w:t>
      </w:r>
      <w:r>
        <w:rPr>
          <w:rFonts w:ascii="Arial" w:cs="Arial" w:eastAsia="Arial" w:hAnsi="Arial"/>
          <w:sz w:val="18"/>
          <w:szCs w:val="18"/>
          <w:b w:val="1"/>
          <w:bCs w:val="1"/>
          <w:color w:val="auto"/>
        </w:rPr>
        <w:t>Bank</w:t>
      </w:r>
      <w:r>
        <w:rPr>
          <w:rFonts w:ascii="Arial" w:cs="Arial" w:eastAsia="Arial" w:hAnsi="Arial"/>
          <w:sz w:val="18"/>
          <w:szCs w:val="18"/>
          <w:color w:val="auto"/>
        </w:rPr>
        <w:t>”), to continue to provide a contractual right of representation on the board of the Bank (the “</w:t>
      </w:r>
      <w:r>
        <w:rPr>
          <w:rFonts w:ascii="Arial" w:cs="Arial" w:eastAsia="Arial" w:hAnsi="Arial"/>
          <w:sz w:val="18"/>
          <w:szCs w:val="18"/>
          <w:b w:val="1"/>
          <w:bCs w:val="1"/>
          <w:color w:val="auto"/>
        </w:rPr>
        <w:t>Bank Board</w:t>
      </w:r>
      <w:r>
        <w:rPr>
          <w:rFonts w:ascii="Arial" w:cs="Arial" w:eastAsia="Arial" w:hAnsi="Arial"/>
          <w:sz w:val="18"/>
          <w:szCs w:val="18"/>
          <w:color w:val="auto"/>
        </w:rPr>
        <w:t>”) (collectively, Company Board and Bank Board, the “</w:t>
      </w:r>
      <w:r>
        <w:rPr>
          <w:rFonts w:ascii="Arial" w:cs="Arial" w:eastAsia="Arial" w:hAnsi="Arial"/>
          <w:sz w:val="18"/>
          <w:szCs w:val="18"/>
          <w:b w:val="1"/>
          <w:bCs w:val="1"/>
          <w:color w:val="auto"/>
        </w:rPr>
        <w:t>Boards</w:t>
      </w:r>
      <w:r>
        <w:rPr>
          <w:rFonts w:ascii="Arial" w:cs="Arial" w:eastAsia="Arial" w:hAnsi="Arial"/>
          <w:sz w:val="18"/>
          <w:szCs w:val="18"/>
          <w:color w:val="auto"/>
        </w:rPr>
        <w:t>”) to the Shareholders, subject to the terms and conditions as specified in the Agreement.</w:t>
      </w:r>
    </w:p>
    <w:p>
      <w:pPr>
        <w:spacing w:after="0" w:line="207"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for and in consideration of the premises and of the mutual agreements set forth below, and for other good and valuable</w:t>
      </w:r>
      <w:r>
        <w:rPr>
          <w:rFonts w:ascii="Arial" w:cs="Arial" w:eastAsia="Arial" w:hAnsi="Arial"/>
          <w:sz w:val="17"/>
          <w:szCs w:val="17"/>
          <w:b w:val="1"/>
          <w:bCs w:val="1"/>
          <w:color w:val="auto"/>
        </w:rPr>
        <w:t xml:space="preserve"> </w:t>
      </w:r>
      <w:r>
        <w:rPr>
          <w:rFonts w:ascii="Arial" w:cs="Arial" w:eastAsia="Arial" w:hAnsi="Arial"/>
          <w:sz w:val="17"/>
          <w:szCs w:val="17"/>
          <w:color w:val="auto"/>
        </w:rPr>
        <w:t>consideration, the receipt and sufficiency of which are hereby acknowledged, the Shareholders and the Company hereby agree as follows: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AGREEMENTS OF THE PARTIES</w:t>
      </w:r>
    </w:p>
    <w:p>
      <w:pPr>
        <w:spacing w:after="0" w:line="23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Termination of Stock Purchase Agreement</w:t>
      </w:r>
      <w:r>
        <w:rPr>
          <w:rFonts w:ascii="Arial" w:cs="Arial" w:eastAsia="Arial" w:hAnsi="Arial"/>
          <w:sz w:val="18"/>
          <w:szCs w:val="18"/>
          <w:color w:val="auto"/>
        </w:rPr>
        <w:t>. The Company and the Shareholders hereby agree to terminate the Stock Purchase Agreement and to replace the Stock Purchase Agreement in its entirety with this Agreement. As of the date of this Agreement, the Stock Purchase Agreement shall have no further force and effect.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Board Representation and Nomination</w:t>
      </w:r>
      <w:r>
        <w:rPr>
          <w:rFonts w:ascii="Arial" w:cs="Arial" w:eastAsia="Arial" w:hAnsi="Arial"/>
          <w:sz w:val="18"/>
          <w:szCs w:val="18"/>
          <w:color w:val="auto"/>
        </w:rPr>
        <w:t>.</w:t>
      </w:r>
    </w:p>
    <w:p>
      <w:pPr>
        <w:spacing w:after="0" w:line="248" w:lineRule="exact"/>
        <w:rPr>
          <w:sz w:val="20"/>
          <w:szCs w:val="20"/>
          <w:color w:val="auto"/>
        </w:rPr>
      </w:pPr>
    </w:p>
    <w:p>
      <w:pPr>
        <w:jc w:val="both"/>
        <w:ind w:firstLine="980"/>
        <w:spacing w:after="0" w:line="287" w:lineRule="auto"/>
        <w:tabs>
          <w:tab w:leader="none" w:pos="1240" w:val="left"/>
        </w:tabs>
        <w:numPr>
          <w:ilvl w:val="0"/>
          <w:numId w:val="312"/>
        </w:numPr>
        <w:rPr>
          <w:rFonts w:ascii="Arial" w:cs="Arial" w:eastAsia="Arial" w:hAnsi="Arial"/>
          <w:sz w:val="16"/>
          <w:szCs w:val="16"/>
          <w:color w:val="auto"/>
        </w:rPr>
      </w:pPr>
      <w:r>
        <w:rPr>
          <w:rFonts w:ascii="Arial" w:cs="Arial" w:eastAsia="Arial" w:hAnsi="Arial"/>
          <w:sz w:val="16"/>
          <w:szCs w:val="16"/>
          <w:color w:val="auto"/>
        </w:rPr>
        <w:t>The Shareholders shall have the right to designate one representative of the Shareholders (the “</w:t>
      </w:r>
      <w:r>
        <w:rPr>
          <w:rFonts w:ascii="Arial" w:cs="Arial" w:eastAsia="Arial" w:hAnsi="Arial"/>
          <w:sz w:val="16"/>
          <w:szCs w:val="16"/>
          <w:b w:val="1"/>
          <w:bCs w:val="1"/>
          <w:color w:val="auto"/>
        </w:rPr>
        <w:t>Board Representative</w:t>
      </w:r>
      <w:r>
        <w:rPr>
          <w:rFonts w:ascii="Arial" w:cs="Arial" w:eastAsia="Arial" w:hAnsi="Arial"/>
          <w:sz w:val="16"/>
          <w:szCs w:val="16"/>
          <w:color w:val="auto"/>
        </w:rPr>
        <w:t>”) to the Company Board and to the Bank Board subject to the satisfaction of the fiduciary duties of the Boards and all other legal and regulatory requirements regarding service and election or appointment as a director of the Company and the Bank, so long as such Shareholders, together with their Affiliates (hereinafter defined), directly or indirectly, are beneficial owners (as determined under Rule 13d-3 under the Securities Exchange Act of 1934, as amended (the “Exchange Act”)) of no less than five percent (5%) of the Company’s voting securities issued and outstanding (“</w:t>
      </w:r>
      <w:r>
        <w:rPr>
          <w:rFonts w:ascii="Arial" w:cs="Arial" w:eastAsia="Arial" w:hAnsi="Arial"/>
          <w:sz w:val="16"/>
          <w:szCs w:val="16"/>
          <w:b w:val="1"/>
          <w:bCs w:val="1"/>
          <w:color w:val="auto"/>
        </w:rPr>
        <w:t>Minimum Ownership Interest</w:t>
      </w:r>
      <w:r>
        <w:rPr>
          <w:rFonts w:ascii="Arial" w:cs="Arial" w:eastAsia="Arial" w:hAnsi="Arial"/>
          <w:sz w:val="16"/>
          <w:szCs w:val="16"/>
          <w:color w:val="auto"/>
        </w:rPr>
        <w:t>”). So long as the Shareholders, together with their Affiliates, have a Minimum Ownership Interest, the Boards will use reasonable best efforts, subject to the satisfaction of fiduciary duties and all legal, bank regulatory requirements, together with requirements under the charter, bylaws and any related policies and procedures of the Company and the Bank (the “governance requirements”) regarding service and election or appointment as a director of the Company or the Bank, to nominate and recommend to their respective shareholders the election of such Shareholders’ Board Representative to the Boards at a special meeting or the annual meeting of the Bank’s or the Company’s shareholders, as applicable, and have the Board Representative elected as a director by the shareholders of the Company and the Bank. If the Shareholders no longer have a Minimum Ownership Interest, such Shareholders will have no further rights under Sections 1.02(a) and 1.02(b) and, at the written request of the Boards, shall cause its Board Representative to resign from the Boards as promptly as possible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171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353" w:name="page354"/>
    <w:bookmarkEnd w:id="353"/>
    <w:p>
      <w:pPr>
        <w:jc w:val="both"/>
        <w:ind w:firstLine="980"/>
        <w:spacing w:after="0" w:line="270" w:lineRule="auto"/>
        <w:tabs>
          <w:tab w:leader="none" w:pos="1236" w:val="left"/>
        </w:tabs>
        <w:numPr>
          <w:ilvl w:val="0"/>
          <w:numId w:val="313"/>
        </w:numPr>
        <w:rPr>
          <w:rFonts w:ascii="Arial" w:cs="Arial" w:eastAsia="Arial" w:hAnsi="Arial"/>
          <w:sz w:val="17"/>
          <w:szCs w:val="17"/>
          <w:color w:val="auto"/>
        </w:rPr>
      </w:pPr>
      <w:r>
        <w:rPr>
          <w:rFonts w:ascii="Arial" w:cs="Arial" w:eastAsia="Arial" w:hAnsi="Arial"/>
          <w:sz w:val="17"/>
          <w:szCs w:val="17"/>
          <w:color w:val="auto"/>
        </w:rPr>
        <w:t>Subject to Section 1.02(a), upon the death, resignation, retirement, disqualification or removal from office as a member of the Boards of a Board Representative, the Shareholders shall have the right to designate the replacement for such Board Representative, which replacement shall be subject to the Boards’ satisfaction of fiduciary duties and all legal, bank regulatory and governance requirements regarding service and election or appointment as a director of the Company or the Bank. Subject to their respective fiduciary duties and all legal, bank regulatory and governance requirements regarding service and election or appointment as a director of the Company or the Bank, the Boards shall use their respective reasonable best efforts to take all action required to fill the vacancy resulting therefrom with such person (including such person, subject to applicable law, being one of the Company’s or the Bank’s nominees to serve on the Boards), and to have such person elected as director of the Company or Bank by the shareholders of the Company or the Bank to the same extent as it does for any of its other nominees to the Boards, as the case may be. The Board Representative shall execute a joinder to this Agreement concurrently with becoming a member of the Board of the Company and/or the Bank.</w:t>
      </w:r>
    </w:p>
    <w:p>
      <w:pPr>
        <w:spacing w:after="0" w:line="208" w:lineRule="exact"/>
        <w:rPr>
          <w:rFonts w:ascii="Arial" w:cs="Arial" w:eastAsia="Arial" w:hAnsi="Arial"/>
          <w:sz w:val="17"/>
          <w:szCs w:val="17"/>
          <w:color w:val="auto"/>
        </w:rPr>
      </w:pPr>
    </w:p>
    <w:p>
      <w:pPr>
        <w:ind w:firstLine="980"/>
        <w:spacing w:after="0" w:line="277" w:lineRule="auto"/>
        <w:tabs>
          <w:tab w:leader="none" w:pos="124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For purposes of this Agreement, Affiliates shall have the definition set forth in the Exchange Act and shall also include Insiders and their Related Interests, each as defined in Regulation O, 12 C.F.R. Section 215.</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Notice of Purchase of Additional Shares; Cooperation.</w:t>
      </w:r>
    </w:p>
    <w:p>
      <w:pPr>
        <w:spacing w:after="0" w:line="252" w:lineRule="exact"/>
        <w:rPr>
          <w:sz w:val="20"/>
          <w:szCs w:val="20"/>
          <w:color w:val="auto"/>
        </w:rPr>
      </w:pPr>
    </w:p>
    <w:p>
      <w:pPr>
        <w:jc w:val="both"/>
        <w:ind w:firstLine="980"/>
        <w:spacing w:after="0" w:line="289" w:lineRule="auto"/>
        <w:tabs>
          <w:tab w:leader="none" w:pos="1226" w:val="left"/>
        </w:tabs>
        <w:numPr>
          <w:ilvl w:val="0"/>
          <w:numId w:val="314"/>
        </w:numPr>
        <w:rPr>
          <w:rFonts w:ascii="Arial" w:cs="Arial" w:eastAsia="Arial" w:hAnsi="Arial"/>
          <w:sz w:val="16"/>
          <w:szCs w:val="16"/>
          <w:color w:val="auto"/>
        </w:rPr>
      </w:pPr>
      <w:r>
        <w:rPr>
          <w:rFonts w:ascii="Arial" w:cs="Arial" w:eastAsia="Arial" w:hAnsi="Arial"/>
          <w:sz w:val="16"/>
          <w:szCs w:val="16"/>
          <w:color w:val="auto"/>
        </w:rPr>
        <w:t>The Shareholders hereby agree to sell shares of Company voting securities owned by them in the Company’s initial public offering sufficient to reduce such shares owned by the Shareholders, together with the Board Representative, below 10% as of the closing of the initial public offering. After the closing of the initial public offering, the Shareholders, the Board Representative, and the Affiliates of each, shall not purchase or accept grants of any securities of the Company that would result in the Shareholders, the Board Representative, and Affiliates of each, becoming, directly or indirectly, the beneficial owners (as determined under Rule 13d-3 under the Exchange Act) of more than 9.9% of the number of shares of the Company’s voting securities issued and outstanding on such date without (i) 60 calendar days written notice to the Company and (ii) receipt of the appropriate regulatory approvals as may be required by the Bank Holding Company Act of 1956, as amended (“BHC Act”), Change in Bank Control Act of 1978, as amended (“CIBC Act”) or any other applicable laws. The Shareholders and the Board Representative shall not, without the prior written consent of the Company, take or fail to take any action that would cause the Shareholders and/or the Board Representative to violate or be in default under the BHC Act and CIBC Act.</w:t>
      </w:r>
    </w:p>
    <w:p>
      <w:pPr>
        <w:spacing w:after="0" w:line="193" w:lineRule="exact"/>
        <w:rPr>
          <w:rFonts w:ascii="Arial" w:cs="Arial" w:eastAsia="Arial" w:hAnsi="Arial"/>
          <w:sz w:val="16"/>
          <w:szCs w:val="16"/>
          <w:color w:val="auto"/>
        </w:rPr>
      </w:pPr>
    </w:p>
    <w:p>
      <w:pPr>
        <w:jc w:val="both"/>
        <w:ind w:firstLine="980"/>
        <w:spacing w:after="0" w:line="255" w:lineRule="auto"/>
        <w:tabs>
          <w:tab w:leader="none" w:pos="125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The Shareholders will reasonably cooperate and consult with the Company and use reasonable best efforts to provide all necessary and customary information and data, to prepare and file all necessary documentation, to effect all necessary applications, notices, petitions, filings and other documents, to provide evidence of non-control of the Company, to the extent requested by a governmental entity or as may be reasonably requested by the Company. In the event the Shareholders believe that they are reasonably likely to breach such an obligation under this Section 1.03, they shall promptly notify the Company and shall cooperate in good faith to modify ownership or make other arrangements or take any other action, in each case, as is necessary to cure or avoid such breach.</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354" w:name="page355"/>
    <w:bookmarkEnd w:id="354"/>
    <w:p>
      <w:pPr>
        <w:jc w:val="both"/>
        <w:ind w:firstLine="648"/>
        <w:spacing w:after="0" w:line="255"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Right of Termination</w:t>
      </w:r>
      <w:r>
        <w:rPr>
          <w:rFonts w:ascii="Arial" w:cs="Arial" w:eastAsia="Arial" w:hAnsi="Arial"/>
          <w:sz w:val="18"/>
          <w:szCs w:val="18"/>
          <w:color w:val="auto"/>
        </w:rPr>
        <w:t>. This Agreement may be terminated by (a) mutual written agreement of the Company and the Shareholders, (b) either the Company or the Shareholders, respectively, upon written notice to the other if the Shareholders no longer hold a Minimum Ownership Interest, or (c) the Company if required, or advised as part of the application, supervision or examination process, to terminate the Agreement, or take similar action, by a regulatory agency with oversight of the Company or the Bank, whether in writing or verbally. Without limiting any other relief to which any party may be entitled for a breach of this Agreement, if this Agreement is terminated pursuant to this Section, no party to this Agreement shall have any further liability or obligation under this Agreement.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3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2.01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held to be illegal, invalid or unenforceable under present or future laws, then (a) this Agreement is to be construed and enforced as if such illegal, invalid or unenforceable provision was not a part hereof; (b) the remaining provisions of this Agreement shall remain in full force and effect and shall not be affected by such illegal, invalid or unenforceable provision or by its severance from this Agreement; and (c) there shall be added automatically as a part of this Agreement a provision as similar in terms to such illegal, invalid or unenforceable provision as may be possible and still be legal, valid and enforceable.</w:t>
      </w:r>
    </w:p>
    <w:p>
      <w:pPr>
        <w:spacing w:after="0" w:line="21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2.02 </w:t>
      </w:r>
      <w:r>
        <w:rPr>
          <w:rFonts w:ascii="Arial" w:cs="Arial" w:eastAsia="Arial" w:hAnsi="Arial"/>
          <w:sz w:val="16"/>
          <w:szCs w:val="16"/>
          <w:u w:val="single" w:color="auto"/>
          <w:color w:val="auto"/>
        </w:rPr>
        <w:t>Notices</w:t>
      </w:r>
      <w:r>
        <w:rPr>
          <w:rFonts w:ascii="Arial" w:cs="Arial" w:eastAsia="Arial" w:hAnsi="Arial"/>
          <w:sz w:val="16"/>
          <w:szCs w:val="16"/>
          <w:color w:val="auto"/>
        </w:rPr>
        <w:t>. Any and all notices and other communications required or permitted to be given under this Agreement after the date of this Agreement by any party hereto to any other party may be delivered personally or by nationally recognized overnight courier service or sent by mail or by e-mail transmission, at the respective addresses set forth below and is deemed delivered (a) in the case of personal delivery or e-mail transmission, when received;</w:t>
      </w:r>
    </w:p>
    <w:p>
      <w:pPr>
        <w:jc w:val="both"/>
        <w:ind w:firstLine="8"/>
        <w:spacing w:after="0" w:line="273" w:lineRule="auto"/>
        <w:tabs>
          <w:tab w:leader="none" w:pos="273" w:val="left"/>
        </w:tabs>
        <w:numPr>
          <w:ilvl w:val="0"/>
          <w:numId w:val="315"/>
        </w:numPr>
        <w:rPr>
          <w:rFonts w:ascii="Arial" w:cs="Arial" w:eastAsia="Arial" w:hAnsi="Arial"/>
          <w:sz w:val="17"/>
          <w:szCs w:val="17"/>
          <w:color w:val="auto"/>
        </w:rPr>
      </w:pPr>
      <w:r>
        <w:rPr>
          <w:rFonts w:ascii="Arial" w:cs="Arial" w:eastAsia="Arial" w:hAnsi="Arial"/>
          <w:sz w:val="17"/>
          <w:szCs w:val="17"/>
          <w:color w:val="auto"/>
        </w:rPr>
        <w:t>in the case of mail, upon the earlier of actual receipt or five (5) business days after deposit in the United States Postal Service, first class certified or registered mail, postage prepaid, return receipt requested; and (c) in the case of an overnight courier service, one (1) business day after delivery to such courier service with instructions for overnight delivery. The parties may change their respective addresses and e-mail addresses by written notice to all other parties, sent as provided in this Section. All communications must be in writing and addressed as follows:</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TO COMPANY: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South Plains Financial, Inc.</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5219 City Bank Parkway</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Lubbock, Texas 79407</w:t>
      </w:r>
    </w:p>
    <w:p>
      <w:pPr>
        <w:spacing w:after="0" w:line="9" w:lineRule="exact"/>
        <w:rPr>
          <w:sz w:val="20"/>
          <w:szCs w:val="20"/>
          <w:color w:val="auto"/>
        </w:rPr>
      </w:pPr>
    </w:p>
    <w:p>
      <w:pPr>
        <w:ind w:left="360"/>
        <w:spacing w:after="0"/>
        <w:tabs>
          <w:tab w:leader="none" w:pos="12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7"/>
          <w:szCs w:val="17"/>
          <w:color w:val="auto"/>
        </w:rPr>
        <w:t>Curtis Griffith, Chairman</w:t>
      </w:r>
    </w:p>
    <w:p>
      <w:pPr>
        <w:spacing w:after="0" w:line="9" w:lineRule="exact"/>
        <w:rPr>
          <w:sz w:val="20"/>
          <w:szCs w:val="20"/>
          <w:color w:val="auto"/>
        </w:rPr>
      </w:pPr>
    </w:p>
    <w:p>
      <w:pPr>
        <w:ind w:left="360"/>
        <w:spacing w:after="0"/>
        <w:tabs>
          <w:tab w:leader="none" w:pos="12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cgriffith@city.bank</w:t>
      </w:r>
    </w:p>
    <w:p>
      <w:pPr>
        <w:spacing w:after="0" w:line="23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IF TO SHAREHOLDERS AND/OR THE BOARD REPRESENTATIVE:</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Henry TAW LP</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3525 Andrews Highway</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Midland, Texas 79703</w:t>
      </w:r>
    </w:p>
    <w:p>
      <w:pPr>
        <w:spacing w:after="0" w:line="9" w:lineRule="exact"/>
        <w:rPr>
          <w:sz w:val="20"/>
          <w:szCs w:val="20"/>
          <w:color w:val="auto"/>
        </w:rPr>
      </w:pPr>
    </w:p>
    <w:p>
      <w:pPr>
        <w:ind w:left="380"/>
        <w:spacing w:after="0"/>
        <w:tabs>
          <w:tab w:leader="none" w:pos="12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R. Danny Campbell, President</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dcampbell@henryresources.com</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355" w:name="page356"/>
    <w:bookmarkEnd w:id="355"/>
    <w:p>
      <w:pPr>
        <w:jc w:val="both"/>
        <w:ind w:firstLine="648"/>
        <w:spacing w:after="0" w:line="264" w:lineRule="auto"/>
        <w:rPr>
          <w:sz w:val="20"/>
          <w:szCs w:val="20"/>
          <w:color w:val="auto"/>
        </w:rPr>
      </w:pPr>
      <w:r>
        <w:rPr>
          <w:rFonts w:ascii="Arial" w:cs="Arial" w:eastAsia="Arial" w:hAnsi="Arial"/>
          <w:sz w:val="18"/>
          <w:szCs w:val="18"/>
          <w:color w:val="auto"/>
        </w:rPr>
        <w:t xml:space="preserve">2.03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contains the entire agreement among the parties to this Agreement with respect to the transactions contemplated by this Agreement and may not be amended or modified, nor may any of its terms be waived, except by written instrument signed by the parties hereto.</w:t>
      </w:r>
    </w:p>
    <w:p>
      <w:pPr>
        <w:spacing w:after="0" w:line="20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2.04 </w:t>
      </w:r>
      <w:r>
        <w:rPr>
          <w:rFonts w:ascii="Arial" w:cs="Arial" w:eastAsia="Arial" w:hAnsi="Arial"/>
          <w:sz w:val="18"/>
          <w:szCs w:val="18"/>
          <w:u w:val="single" w:color="auto"/>
          <w:color w:val="auto"/>
        </w:rPr>
        <w:t>GOVERNING LAW; WAIVER OF JURY TRIAL</w:t>
      </w:r>
      <w:r>
        <w:rPr>
          <w:rFonts w:ascii="Arial" w:cs="Arial" w:eastAsia="Arial" w:hAnsi="Arial"/>
          <w:sz w:val="18"/>
          <w:szCs w:val="18"/>
          <w:color w:val="auto"/>
        </w:rPr>
        <w:t>. THIS AGREEMENT IS TO BE GOVERNED BY AND CONSTRUED IN ACCORDANCE WITH THE LAWS OF THE STATE OF TEXAS, WITHOUT REGARD TO CHOICE OF LAW PROVISIONS OR RULES (WHETHER OF THE STATE OF TEXAS OR ANY OTHER JURISDICTION) THAT WOULD CAUSE THE APPLICATION OF THE LAWS OF ANY JURISDICTION OTHER THAN THE STATE OF TEXAS. ANY ACTION OR PROCEEDING AGAINST ANY OF THE PARTIES TO THIS AGREEMENT RELATING IN ANYWAY TO THIS AGREEMENT WILL BE BROUGHT AND LITIGATED EXCLUSIVELY IN A COURT OF COMPETENT JURISDICTION IN LUBBOCK COUNTY, TEXAS. FURTHER, EACH OF THE PARTIES TO THIS AGREEMENT HEREBY IRREVOCABLY WAIVES ALL RIGHT TO A TRIAL BY JURY IN ANY ACTION, PROCEEDING OR COUNTERCLAIM ARISING OUT OF OR RELATING TO THIS AGREEMENT OR THE TRANSACTIONS CONTEMPLATED HEREBY.</w:t>
      </w:r>
    </w:p>
    <w:p>
      <w:pPr>
        <w:spacing w:after="0" w:line="21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2.05 </w:t>
      </w:r>
      <w:r>
        <w:rPr>
          <w:rFonts w:ascii="Arial" w:cs="Arial" w:eastAsia="Arial" w:hAnsi="Arial"/>
          <w:sz w:val="17"/>
          <w:szCs w:val="17"/>
          <w:u w:val="single" w:color="auto"/>
          <w:color w:val="auto"/>
        </w:rPr>
        <w:t>Binding Effect; Assignment</w:t>
      </w:r>
      <w:r>
        <w:rPr>
          <w:rFonts w:ascii="Arial" w:cs="Arial" w:eastAsia="Arial" w:hAnsi="Arial"/>
          <w:sz w:val="17"/>
          <w:szCs w:val="17"/>
          <w:color w:val="auto"/>
        </w:rPr>
        <w:t>. No party to this Agreement shall assign this Agreement, by operation of law or otherwise, in whole or in part, without the prior written consent of the other party, and any assignment made or attempted in violation of this Section is void and of no effect. All of the terms, covenants, and conditions of this Agreement are binding upon, and inure to the benefit of and are enforceable by, the parties and their respective successors, representatives and permitted assigns. Nothing expressed or referred to herein is intended or is to be construed to give any person other than the parties hereto any legal or equitable right, remedy or claim under or in respect of this Agreement, it being the intent of the parties that this Agreement, and the terms hereof are for the sole benefit of the parties to this Agreement and not for the benefit of any other person.</w:t>
      </w:r>
    </w:p>
    <w:p>
      <w:pPr>
        <w:spacing w:after="0" w:line="20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2.06 </w:t>
      </w:r>
      <w:r>
        <w:rPr>
          <w:rFonts w:ascii="Arial" w:cs="Arial" w:eastAsia="Arial" w:hAnsi="Arial"/>
          <w:sz w:val="18"/>
          <w:szCs w:val="18"/>
          <w:u w:val="single" w:color="auto"/>
          <w:color w:val="auto"/>
        </w:rPr>
        <w:t>No Third Party Beneficiaries</w:t>
      </w:r>
      <w:r>
        <w:rPr>
          <w:rFonts w:ascii="Arial" w:cs="Arial" w:eastAsia="Arial" w:hAnsi="Arial"/>
          <w:sz w:val="18"/>
          <w:szCs w:val="18"/>
          <w:color w:val="auto"/>
        </w:rPr>
        <w:t>. Nothing in this Agreement, express or implied, is intended to or shall confer upon any person other than the parties and their respective successors and permitted assigns any legal or equitable right, benefit or remedy of any nature under or by reason of this Agreement.</w:t>
      </w:r>
    </w:p>
    <w:p>
      <w:pPr>
        <w:spacing w:after="0" w:line="20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2.07 </w:t>
      </w:r>
      <w:r>
        <w:rPr>
          <w:rFonts w:ascii="Arial" w:cs="Arial" w:eastAsia="Arial" w:hAnsi="Arial"/>
          <w:sz w:val="17"/>
          <w:szCs w:val="17"/>
          <w:u w:val="single" w:color="auto"/>
          <w:color w:val="auto"/>
        </w:rPr>
        <w:t>Amendment; Waiver</w:t>
      </w:r>
      <w:r>
        <w:rPr>
          <w:rFonts w:ascii="Arial" w:cs="Arial" w:eastAsia="Arial" w:hAnsi="Arial"/>
          <w:sz w:val="17"/>
          <w:szCs w:val="17"/>
          <w:color w:val="auto"/>
        </w:rPr>
        <w:t>. This Agreement may be amended, modified or supplemented only by an instrument in writing executed by the party against which enforcement of the amendment, modification or supplement is sought. No failure to exercise, nor any delay in exercising, any right by any party shall operate as a waiver thereof. No single or partial exercise of any right, shall preclude any other or further exercise thereof or the exercise of any other right. A waiver by any party of any right or remedy on any one occasion shall not be construed as a bar to any right or remedy that such party would otherwise have on any future occasion or to any right or remedy that any other party may have.</w:t>
      </w:r>
    </w:p>
    <w:p>
      <w:pPr>
        <w:spacing w:after="0" w:line="20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2.08 </w:t>
      </w:r>
      <w:r>
        <w:rPr>
          <w:rFonts w:ascii="Arial" w:cs="Arial" w:eastAsia="Arial" w:hAnsi="Arial"/>
          <w:sz w:val="18"/>
          <w:szCs w:val="18"/>
          <w:u w:val="single" w:color="auto"/>
          <w:color w:val="auto"/>
        </w:rPr>
        <w:t>Multiple Counterparts</w:t>
      </w:r>
      <w:r>
        <w:rPr>
          <w:rFonts w:ascii="Arial" w:cs="Arial" w:eastAsia="Arial" w:hAnsi="Arial"/>
          <w:sz w:val="18"/>
          <w:szCs w:val="18"/>
          <w:color w:val="auto"/>
        </w:rPr>
        <w:t>. For the convenience of the parties hereto, this Agreement may be executed in multiple counterparts, each of which shall be deemed an original, and all counterparts hereof so executed by the parties hereto, whether or not such counterpart shall bear the execution of each of the parties hereto, shall be deemed to be, and shall be construed as, one and the same Agreement. An e-mail transmission of a signed counterpart of this Agreement shall be sufficient to bind the party or parties whose signature(s) appear thereon.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356" w:name="page357"/>
    <w:bookmarkEnd w:id="356"/>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caused this Agreement to be duly executed as of the date first above written.</w:t>
      </w:r>
    </w:p>
    <w:p>
      <w:pPr>
        <w:sectPr>
          <w:pgSz w:w="11900" w:h="16838" w:orient="portrait"/>
          <w:cols w:equalWidth="0" w:num="1">
            <w:col w:w="10219"/>
          </w:cols>
          <w:pgMar w:left="240" w:top="121" w:right="1440"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SOUTH PLAINS FINANCIAL, INC.</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By: /s/ Curtis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3336290" cy="171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3">
                      <a:extLst>
                        <a:ext uri="{28A0092B-C50C-407E-A947-70E740481C1C}"/>
                      </a:extLst>
                    </a:blip>
                    <a:srcRect/>
                    <a:stretch>
                      <a:fillRect/>
                    </a:stretch>
                  </pic:blipFill>
                  <pic:spPr bwMode="auto">
                    <a:xfrm>
                      <a:off x="0" y="0"/>
                      <a:ext cx="3336290" cy="1714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Curtis Griffith, Chairman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James C.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81705" cy="171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4">
                      <a:extLst>
                        <a:ext uri="{28A0092B-C50C-407E-A947-70E740481C1C}"/>
                      </a:extLst>
                    </a:blip>
                    <a:srcRect/>
                    <a:stretch>
                      <a:fillRect/>
                    </a:stretch>
                  </pic:blipFill>
                  <pic:spPr bwMode="auto">
                    <a:xfrm>
                      <a:off x="0" y="0"/>
                      <a:ext cx="348170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James C. Henry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3525 Andrews Highway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481705" cy="171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5">
                      <a:extLst>
                        <a:ext uri="{28A0092B-C50C-407E-A947-70E740481C1C}"/>
                      </a:extLst>
                    </a:blip>
                    <a:srcRect/>
                    <a:stretch>
                      <a:fillRect/>
                    </a:stretch>
                  </pic:blipFill>
                  <pic:spPr bwMode="auto">
                    <a:xfrm>
                      <a:off x="0" y="0"/>
                      <a:ext cx="3481705" cy="1714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Midland, Texas 79703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81705" cy="171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6">
                      <a:extLst>
                        <a:ext uri="{28A0092B-C50C-407E-A947-70E740481C1C}"/>
                      </a:extLst>
                    </a:blip>
                    <a:srcRect/>
                    <a:stretch>
                      <a:fillRect/>
                    </a:stretch>
                  </pic:blipFill>
                  <pic:spPr bwMode="auto">
                    <a:xfrm>
                      <a:off x="0" y="0"/>
                      <a:ext cx="3481705"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REPRESENTATIVE: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 Richard D.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81705" cy="171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7">
                      <a:extLst>
                        <a:ext uri="{28A0092B-C50C-407E-A947-70E740481C1C}"/>
                      </a:extLst>
                    </a:blip>
                    <a:srcRect/>
                    <a:stretch>
                      <a:fillRect/>
                    </a:stretch>
                  </pic:blipFill>
                  <pic:spPr bwMode="auto">
                    <a:xfrm>
                      <a:off x="0" y="0"/>
                      <a:ext cx="348170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Richard D. Campbell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3525 Andrews Highway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81705" cy="171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8">
                      <a:extLst>
                        <a:ext uri="{28A0092B-C50C-407E-A947-70E740481C1C}"/>
                      </a:extLst>
                    </a:blip>
                    <a:srcRect/>
                    <a:stretch>
                      <a:fillRect/>
                    </a:stretch>
                  </pic:blipFill>
                  <pic:spPr bwMode="auto">
                    <a:xfrm>
                      <a:off x="0" y="0"/>
                      <a:ext cx="348170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Midland, Texas 79703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81705" cy="171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9">
                      <a:extLst>
                        <a:ext uri="{28A0092B-C50C-407E-A947-70E740481C1C}"/>
                      </a:extLst>
                    </a:blip>
                    <a:srcRect/>
                    <a:stretch>
                      <a:fillRect/>
                    </a:stretch>
                  </pic:blipFill>
                  <pic:spPr bwMode="auto">
                    <a:xfrm>
                      <a:off x="0" y="0"/>
                      <a:ext cx="348170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Henry TAW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473450" cy="171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0">
                      <a:extLst>
                        <a:ext uri="{28A0092B-C50C-407E-A947-70E740481C1C}"/>
                      </a:extLst>
                    </a:blip>
                    <a:srcRect/>
                    <a:stretch>
                      <a:fillRect/>
                    </a:stretch>
                  </pic:blipFill>
                  <pic:spPr bwMode="auto">
                    <a:xfrm>
                      <a:off x="0" y="0"/>
                      <a:ext cx="347345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Henry TAW LP</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By: Henry TAW Management LLC, its general partner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3525 Andrews Highway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3473450" cy="171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1">
                      <a:extLst>
                        <a:ext uri="{28A0092B-C50C-407E-A947-70E740481C1C}"/>
                      </a:extLst>
                    </a:blip>
                    <a:srcRect/>
                    <a:stretch>
                      <a:fillRect/>
                    </a:stretch>
                  </pic:blipFill>
                  <pic:spPr bwMode="auto">
                    <a:xfrm>
                      <a:off x="0" y="0"/>
                      <a:ext cx="3473450" cy="1714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Midland, Texas 79703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473450" cy="171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2">
                      <a:extLst>
                        <a:ext uri="{28A0092B-C50C-407E-A947-70E740481C1C}"/>
                      </a:extLst>
                    </a:blip>
                    <a:srcRect/>
                    <a:stretch>
                      <a:fillRect/>
                    </a:stretch>
                  </pic:blipFill>
                  <pic:spPr bwMode="auto">
                    <a:xfrm>
                      <a:off x="0" y="0"/>
                      <a:ext cx="3473450" cy="17145"/>
                    </a:xfrm>
                    <a:prstGeom prst="rect">
                      <a:avLst/>
                    </a:prstGeom>
                    <a:noFill/>
                  </pic:spPr>
                </pic:pic>
              </a:graphicData>
            </a:graphic>
          </wp:anchor>
        </w:drawing>
      </w:r>
    </w:p>
    <w:p>
      <w:pPr>
        <w:spacing w:after="0" w:line="2387" w:lineRule="exact"/>
        <w:rPr>
          <w:sz w:val="20"/>
          <w:szCs w:val="20"/>
          <w:color w:val="auto"/>
        </w:rPr>
      </w:pPr>
    </w:p>
    <w:p>
      <w:pPr>
        <w:sectPr>
          <w:pgSz w:w="11900" w:h="16838" w:orient="portrait"/>
          <w:cols w:equalWidth="0" w:num="2">
            <w:col w:w="5240" w:space="720"/>
            <w:col w:w="4259"/>
          </w:cols>
          <w:pgMar w:left="240" w:top="121" w:right="1440" w:bottom="1440" w:gutter="0" w:footer="0" w:header="0"/>
          <w:type w:val="continuous"/>
        </w:sectPr>
      </w:pPr>
    </w:p>
    <w:p>
      <w:pPr>
        <w:spacing w:after="0" w:line="79" w:lineRule="exact"/>
        <w:rPr>
          <w:sz w:val="20"/>
          <w:szCs w:val="20"/>
          <w:color w:val="auto"/>
        </w:rPr>
      </w:pPr>
    </w:p>
    <w:p>
      <w:pPr>
        <w:ind w:left="3120"/>
        <w:spacing w:after="0"/>
        <w:rPr>
          <w:sz w:val="20"/>
          <w:szCs w:val="20"/>
          <w:color w:val="auto"/>
        </w:rPr>
      </w:pPr>
      <w:r>
        <w:rPr>
          <w:rFonts w:ascii="Arial" w:cs="Arial" w:eastAsia="Arial" w:hAnsi="Arial"/>
          <w:sz w:val="17"/>
          <w:szCs w:val="17"/>
          <w:color w:val="auto"/>
        </w:rPr>
        <w:t>SIGNATURE PAGE TO BOARD REPRESENTATION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365125</wp:posOffset>
            </wp:positionV>
            <wp:extent cx="7246620" cy="17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type w:val="continuous"/>
        </w:sectPr>
      </w:pPr>
    </w:p>
    <w:bookmarkStart w:id="357" w:name="page358"/>
    <w:bookmarkEnd w:id="35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4">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10.9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INDEMNIFICATION AGREEMENT</w:t>
      </w:r>
    </w:p>
    <w:p>
      <w:pPr>
        <w:spacing w:after="0" w:line="252" w:lineRule="exact"/>
        <w:rPr>
          <w:sz w:val="20"/>
          <w:szCs w:val="20"/>
          <w:color w:val="auto"/>
        </w:rPr>
      </w:pPr>
    </w:p>
    <w:p>
      <w:pPr>
        <w:ind w:right="400" w:firstLine="648"/>
        <w:spacing w:after="0" w:line="282" w:lineRule="auto"/>
        <w:rPr>
          <w:sz w:val="20"/>
          <w:szCs w:val="20"/>
          <w:color w:val="auto"/>
        </w:rPr>
      </w:pPr>
      <w:r>
        <w:rPr>
          <w:rFonts w:ascii="Arial" w:cs="Arial" w:eastAsia="Arial" w:hAnsi="Arial"/>
          <w:sz w:val="18"/>
          <w:szCs w:val="18"/>
          <w:color w:val="auto"/>
        </w:rPr>
        <w:t>THIS INDEMNIFICATION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 2019 between South Plains Financial, Inc., a Texas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w:t>
      </w:r>
      <w:r>
        <w:rPr>
          <w:rFonts w:ascii="Arial" w:cs="Arial" w:eastAsia="Arial" w:hAnsi="Arial"/>
          <w:sz w:val="18"/>
          <w:szCs w:val="18"/>
          <w:i w:val="1"/>
          <w:iCs w:val="1"/>
          <w:color w:val="auto"/>
        </w:rPr>
        <w:t>Name</w:t>
      </w:r>
      <w:r>
        <w:rPr>
          <w:rFonts w:ascii="Arial" w:cs="Arial" w:eastAsia="Arial" w:hAnsi="Arial"/>
          <w:sz w:val="18"/>
          <w:szCs w:val="18"/>
          <w:color w:val="auto"/>
        </w:rPr>
        <w:t>] (“</w:t>
      </w:r>
      <w:r>
        <w:rPr>
          <w:rFonts w:ascii="Arial" w:cs="Arial" w:eastAsia="Arial" w:hAnsi="Arial"/>
          <w:sz w:val="18"/>
          <w:szCs w:val="18"/>
          <w:b w:val="1"/>
          <w:bCs w:val="1"/>
          <w:color w:val="auto"/>
        </w:rPr>
        <w:t>Indemnitee</w:t>
      </w:r>
      <w:r>
        <w:rPr>
          <w:rFonts w:ascii="Arial" w:cs="Arial" w:eastAsia="Arial" w:hAnsi="Arial"/>
          <w:sz w:val="18"/>
          <w:szCs w:val="18"/>
          <w:color w:val="auto"/>
        </w:rPr>
        <w: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 THAT:</w:t>
      </w:r>
    </w:p>
    <w:p>
      <w:pPr>
        <w:spacing w:after="0" w:line="252"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of Directors of the Company (the “</w:t>
      </w:r>
      <w:r>
        <w:rPr>
          <w:rFonts w:ascii="Arial" w:cs="Arial" w:eastAsia="Arial" w:hAnsi="Arial"/>
          <w:sz w:val="18"/>
          <w:szCs w:val="18"/>
          <w:b w:val="1"/>
          <w:bCs w:val="1"/>
          <w:color w:val="auto"/>
        </w:rPr>
        <w:t>Board</w:t>
      </w:r>
      <w:r>
        <w:rPr>
          <w:rFonts w:ascii="Arial" w:cs="Arial" w:eastAsia="Arial" w:hAnsi="Arial"/>
          <w:sz w:val="18"/>
          <w:szCs w:val="18"/>
          <w:color w:val="auto"/>
        </w:rPr>
        <w:t>”) is aware that competent and experienced persons have become more reluctant to</w:t>
      </w:r>
      <w:r>
        <w:rPr>
          <w:rFonts w:ascii="Arial" w:cs="Arial" w:eastAsia="Arial" w:hAnsi="Arial"/>
          <w:sz w:val="18"/>
          <w:szCs w:val="18"/>
          <w:b w:val="1"/>
          <w:bCs w:val="1"/>
          <w:color w:val="auto"/>
        </w:rPr>
        <w:t xml:space="preserve"> </w:t>
      </w:r>
      <w:r>
        <w:rPr>
          <w:rFonts w:ascii="Arial" w:cs="Arial" w:eastAsia="Arial" w:hAnsi="Arial"/>
          <w:sz w:val="18"/>
          <w:szCs w:val="18"/>
          <w:color w:val="auto"/>
        </w:rPr>
        <w:t>serve corporations as directors or officers unless they are provided with comprehensive indemnification and liability insurance against increased risks of claims and actions against them arising out of their service to and activities on behalf of the corporation;</w:t>
      </w:r>
    </w:p>
    <w:p>
      <w:pPr>
        <w:spacing w:after="0" w:line="203"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uncertainties relating to such insurance and indemnification have increased the difficulty of attracting and retaining such competent</w:t>
      </w:r>
      <w:r>
        <w:rPr>
          <w:rFonts w:ascii="Arial" w:cs="Arial" w:eastAsia="Arial" w:hAnsi="Arial"/>
          <w:sz w:val="18"/>
          <w:szCs w:val="18"/>
          <w:b w:val="1"/>
          <w:bCs w:val="1"/>
          <w:color w:val="auto"/>
        </w:rPr>
        <w:t xml:space="preserve"> </w:t>
      </w:r>
      <w:r>
        <w:rPr>
          <w:rFonts w:ascii="Arial" w:cs="Arial" w:eastAsia="Arial" w:hAnsi="Arial"/>
          <w:sz w:val="18"/>
          <w:szCs w:val="18"/>
          <w:color w:val="auto"/>
        </w:rPr>
        <w:t>and experienced persons;</w:t>
      </w:r>
    </w:p>
    <w:p>
      <w:pPr>
        <w:spacing w:after="0" w:line="189" w:lineRule="exact"/>
        <w:rPr>
          <w:sz w:val="20"/>
          <w:szCs w:val="20"/>
          <w:color w:val="auto"/>
        </w:rPr>
      </w:pPr>
    </w:p>
    <w:p>
      <w:pPr>
        <w:ind w:right="40" w:firstLine="648"/>
        <w:spacing w:after="0" w:line="281"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Board has determined that, in order to attract and retain qualified individuals to serve or continue to serve as directors or officers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and to encourage such individuals to take the business risks necessary for the success of the Company, it is necessary for the Company contractually to indemnify and advance expenses to directors or officers and to assume for itself to the fullest extent permitted by law expenses and damages related to claims against such directors and officers in connection with their service to the Company;</w:t>
      </w:r>
    </w:p>
    <w:p>
      <w:pPr>
        <w:spacing w:after="0" w:line="192" w:lineRule="exact"/>
        <w:rPr>
          <w:sz w:val="20"/>
          <w:szCs w:val="20"/>
          <w:color w:val="auto"/>
        </w:rPr>
      </w:pPr>
    </w:p>
    <w:p>
      <w:pPr>
        <w:ind w:right="20" w:firstLine="648"/>
        <w:spacing w:after="0" w:line="281"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Amended and Restated Certificate of Formation of the Company (the “</w:t>
      </w:r>
      <w:r>
        <w:rPr>
          <w:rFonts w:ascii="Arial" w:cs="Arial" w:eastAsia="Arial" w:hAnsi="Arial"/>
          <w:sz w:val="17"/>
          <w:szCs w:val="17"/>
          <w:b w:val="1"/>
          <w:bCs w:val="1"/>
          <w:color w:val="auto"/>
        </w:rPr>
        <w:t>Certificate of Formation</w:t>
      </w:r>
      <w:r>
        <w:rPr>
          <w:rFonts w:ascii="Arial" w:cs="Arial" w:eastAsia="Arial" w:hAnsi="Arial"/>
          <w:sz w:val="17"/>
          <w:szCs w:val="17"/>
          <w:color w:val="auto"/>
        </w:rPr>
        <w:t>”) requires indemnification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officers and directors of the Company to the greatest extent permitted by law, and the Certificate of Formation and the Texas Business Organizations Code (the “</w:t>
      </w:r>
      <w:r>
        <w:rPr>
          <w:rFonts w:ascii="Arial" w:cs="Arial" w:eastAsia="Arial" w:hAnsi="Arial"/>
          <w:sz w:val="17"/>
          <w:szCs w:val="17"/>
          <w:b w:val="1"/>
          <w:bCs w:val="1"/>
          <w:color w:val="auto"/>
        </w:rPr>
        <w:t>TBOC</w:t>
      </w:r>
      <w:r>
        <w:rPr>
          <w:rFonts w:ascii="Arial" w:cs="Arial" w:eastAsia="Arial" w:hAnsi="Arial"/>
          <w:sz w:val="17"/>
          <w:szCs w:val="17"/>
          <w:color w:val="auto"/>
        </w:rPr>
        <w:t>”) expressly provide that the indemnification provisions set forth therein are not exclusive, and thereby contemplate that contracts may be entered into between the Company and directors, officers and other persons with respect to indemnification;</w:t>
      </w:r>
    </w:p>
    <w:p>
      <w:pPr>
        <w:spacing w:after="0" w:line="192" w:lineRule="exact"/>
        <w:rPr>
          <w:sz w:val="20"/>
          <w:szCs w:val="20"/>
          <w:color w:val="auto"/>
        </w:rPr>
      </w:pPr>
    </w:p>
    <w:p>
      <w:pPr>
        <w:ind w:right="40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Indemnitee to serve or continue to serve as a director or officer of the Company free from undue concern for</w:t>
      </w:r>
      <w:r>
        <w:rPr>
          <w:rFonts w:ascii="Arial" w:cs="Arial" w:eastAsia="Arial" w:hAnsi="Arial"/>
          <w:sz w:val="18"/>
          <w:szCs w:val="18"/>
          <w:b w:val="1"/>
          <w:bCs w:val="1"/>
          <w:color w:val="auto"/>
        </w:rPr>
        <w:t xml:space="preserve"> </w:t>
      </w:r>
      <w:r>
        <w:rPr>
          <w:rFonts w:ascii="Arial" w:cs="Arial" w:eastAsia="Arial" w:hAnsi="Arial"/>
          <w:sz w:val="18"/>
          <w:szCs w:val="18"/>
          <w:color w:val="auto"/>
        </w:rPr>
        <w:t>claims for damages arising out of or related to such services to the Company;</w:t>
      </w:r>
    </w:p>
    <w:p>
      <w:pPr>
        <w:spacing w:after="0" w:line="189"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Indemnitee is willing to serve, continue to serve and to take on additional service for or on behalf of the Company on the condition that</w:t>
      </w:r>
      <w:r>
        <w:rPr>
          <w:rFonts w:ascii="Arial" w:cs="Arial" w:eastAsia="Arial" w:hAnsi="Arial"/>
          <w:sz w:val="18"/>
          <w:szCs w:val="18"/>
          <w:b w:val="1"/>
          <w:bCs w:val="1"/>
          <w:color w:val="auto"/>
        </w:rPr>
        <w:t xml:space="preserve"> </w:t>
      </w:r>
      <w:r>
        <w:rPr>
          <w:rFonts w:ascii="Arial" w:cs="Arial" w:eastAsia="Arial" w:hAnsi="Arial"/>
          <w:sz w:val="18"/>
          <w:szCs w:val="18"/>
          <w:color w:val="auto"/>
        </w:rPr>
        <w:t>Indemnitee be indemnified as herein provided; and</w:t>
      </w:r>
    </w:p>
    <w:p>
      <w:pPr>
        <w:spacing w:after="0" w:line="189" w:lineRule="exact"/>
        <w:rPr>
          <w:sz w:val="20"/>
          <w:szCs w:val="20"/>
          <w:color w:val="auto"/>
        </w:rPr>
      </w:pPr>
    </w:p>
    <w:p>
      <w:pPr>
        <w:ind w:right="34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this Agreement is a supplement to and in furtherance of the rights to indemnification and advancement of expenses provided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of Formation and the Amended and Restated Bylaws (the “</w:t>
      </w:r>
      <w:r>
        <w:rPr>
          <w:rFonts w:ascii="Arial" w:cs="Arial" w:eastAsia="Arial" w:hAnsi="Arial"/>
          <w:sz w:val="18"/>
          <w:szCs w:val="18"/>
          <w:b w:val="1"/>
          <w:bCs w:val="1"/>
          <w:color w:val="auto"/>
        </w:rPr>
        <w:t>Bylaws</w:t>
      </w:r>
      <w:r>
        <w:rPr>
          <w:rFonts w:ascii="Arial" w:cs="Arial" w:eastAsia="Arial" w:hAnsi="Arial"/>
          <w:sz w:val="18"/>
          <w:szCs w:val="18"/>
          <w:color w:val="auto"/>
        </w:rPr>
        <w:t>”) and any resolutions adopted pursuant thereto, and shall not be deemed a substitute therefor, nor to diminish or abrogate any rights of Indemnitee thereunder.</w:t>
      </w:r>
    </w:p>
    <w:p>
      <w:pPr>
        <w:spacing w:after="0" w:line="203"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Indemnitee’s agreement to serve as a director or officer from and after the date hereof and for other good</w:t>
      </w:r>
      <w:r>
        <w:rPr>
          <w:rFonts w:ascii="Arial" w:cs="Arial" w:eastAsia="Arial" w:hAnsi="Arial"/>
          <w:sz w:val="18"/>
          <w:szCs w:val="18"/>
          <w:b w:val="1"/>
          <w:bCs w:val="1"/>
          <w:color w:val="auto"/>
        </w:rPr>
        <w:t xml:space="preserve"> </w:t>
      </w:r>
      <w:r>
        <w:rPr>
          <w:rFonts w:ascii="Arial" w:cs="Arial" w:eastAsia="Arial" w:hAnsi="Arial"/>
          <w:sz w:val="18"/>
          <w:szCs w:val="18"/>
          <w:color w:val="auto"/>
        </w:rPr>
        <w:t>and valuable consideration, the sufficiency of which is hereby acknowledged, the parties hereto agree as follows:</w:t>
      </w:r>
    </w:p>
    <w:p>
      <w:pPr>
        <w:spacing w:after="0" w:line="220" w:lineRule="exact"/>
        <w:rPr>
          <w:sz w:val="20"/>
          <w:szCs w:val="20"/>
          <w:color w:val="auto"/>
        </w:rPr>
      </w:pPr>
    </w:p>
    <w:p>
      <w:pPr>
        <w:ind w:right="160" w:firstLine="656"/>
        <w:spacing w:after="0" w:line="277" w:lineRule="auto"/>
        <w:tabs>
          <w:tab w:leader="none" w:pos="1323" w:val="left"/>
        </w:tabs>
        <w:numPr>
          <w:ilvl w:val="0"/>
          <w:numId w:val="316"/>
        </w:numPr>
        <w:rPr>
          <w:rFonts w:ascii="Arial" w:cs="Arial" w:eastAsia="Arial" w:hAnsi="Arial"/>
          <w:sz w:val="18"/>
          <w:szCs w:val="18"/>
          <w:color w:val="auto"/>
        </w:rPr>
      </w:pPr>
      <w:r>
        <w:rPr>
          <w:rFonts w:ascii="Arial" w:cs="Arial" w:eastAsia="Arial" w:hAnsi="Arial"/>
          <w:sz w:val="18"/>
          <w:szCs w:val="18"/>
          <w:u w:val="single" w:color="auto"/>
          <w:color w:val="auto"/>
        </w:rPr>
        <w:t>Indemnification of Indemnitee</w:t>
      </w:r>
      <w:r>
        <w:rPr>
          <w:rFonts w:ascii="Arial" w:cs="Arial" w:eastAsia="Arial" w:hAnsi="Arial"/>
          <w:sz w:val="18"/>
          <w:szCs w:val="18"/>
          <w:color w:val="auto"/>
        </w:rPr>
        <w:t>. The Company hereby agrees to hold harmless and indemnify Indemnitee to the fullest extent permitted by law. In furtherance of the foregoing indemnification, and without limiting the generality thereof:</w:t>
      </w:r>
    </w:p>
    <w:p>
      <w:pPr>
        <w:spacing w:after="0" w:line="224" w:lineRule="exact"/>
        <w:rPr>
          <w:rFonts w:ascii="Arial" w:cs="Arial" w:eastAsia="Arial" w:hAnsi="Arial"/>
          <w:sz w:val="18"/>
          <w:szCs w:val="18"/>
          <w:color w:val="auto"/>
        </w:rPr>
      </w:pPr>
    </w:p>
    <w:p>
      <w:pPr>
        <w:ind w:left="660" w:right="20" w:firstLine="645"/>
        <w:spacing w:after="0" w:line="269" w:lineRule="auto"/>
        <w:tabs>
          <w:tab w:leader="none" w:pos="1973" w:val="left"/>
        </w:tabs>
        <w:numPr>
          <w:ilvl w:val="1"/>
          <w:numId w:val="316"/>
        </w:numPr>
        <w:rPr>
          <w:rFonts w:ascii="Arial" w:cs="Arial" w:eastAsia="Arial" w:hAnsi="Arial"/>
          <w:sz w:val="17"/>
          <w:szCs w:val="17"/>
          <w:color w:val="auto"/>
        </w:rPr>
      </w:pPr>
      <w:r>
        <w:rPr>
          <w:rFonts w:ascii="Arial" w:cs="Arial" w:eastAsia="Arial" w:hAnsi="Arial"/>
          <w:sz w:val="17"/>
          <w:szCs w:val="17"/>
          <w:u w:val="single" w:color="auto"/>
          <w:color w:val="auto"/>
        </w:rPr>
        <w:t>Third-Party Proceedings</w:t>
      </w:r>
      <w:r>
        <w:rPr>
          <w:rFonts w:ascii="Arial" w:cs="Arial" w:eastAsia="Arial" w:hAnsi="Arial"/>
          <w:sz w:val="17"/>
          <w:szCs w:val="17"/>
          <w:color w:val="auto"/>
        </w:rPr>
        <w:t xml:space="preserve">. Indemnitee shall be entitled to the rights of indemnification provided in this </w:t>
      </w:r>
      <w:r>
        <w:rPr>
          <w:rFonts w:ascii="Arial" w:cs="Arial" w:eastAsia="Arial" w:hAnsi="Arial"/>
          <w:sz w:val="17"/>
          <w:szCs w:val="17"/>
          <w:u w:val="single" w:color="auto"/>
          <w:color w:val="auto"/>
        </w:rPr>
        <w:t>Section 1(a)</w:t>
      </w:r>
      <w:r>
        <w:rPr>
          <w:rFonts w:ascii="Arial" w:cs="Arial" w:eastAsia="Arial" w:hAnsi="Arial"/>
          <w:sz w:val="17"/>
          <w:szCs w:val="17"/>
          <w:color w:val="auto"/>
        </w:rPr>
        <w:t xml:space="preserve"> if, by reason of Indemnitee’s Corporate Status (as hereinafter defined), Indemnitee is, or is threatened to be made, a party to or participant in any Proceeding (as hereinafter defined) other than a Proceeding by or in the right of the Company. Pursuant to this </w:t>
      </w:r>
      <w:r>
        <w:rPr>
          <w:rFonts w:ascii="Arial" w:cs="Arial" w:eastAsia="Arial" w:hAnsi="Arial"/>
          <w:sz w:val="17"/>
          <w:szCs w:val="17"/>
          <w:u w:val="single" w:color="auto"/>
          <w:color w:val="auto"/>
        </w:rPr>
        <w:t>Section 1(a)</w:t>
      </w:r>
      <w:r>
        <w:rPr>
          <w:rFonts w:ascii="Arial" w:cs="Arial" w:eastAsia="Arial" w:hAnsi="Arial"/>
          <w:sz w:val="17"/>
          <w:szCs w:val="17"/>
          <w:color w:val="auto"/>
        </w:rPr>
        <w:t xml:space="preserve">, Indemnitee shall be indemnified, to the fullest extent permitted by law against all Liabilities and Expenses (each as hereinafter defined), actually and reasonably incurred by Indemnitee, or on Indemnitee’s behalf, in connection with such Proceeding or any claim, issue or matter therein, if Indemnitee acted in good faith; reasonably believed (i) in the case of conduct in the Indemnitee’s official capacity, that the Indemnitee’s conduct was in the best interest of the Company and (ii) in any other case, that the Indemnitee’s conduct was not opposed to the Company’s best interests; and, with respect to any criminal Proceeding, Indemnitee did not have a reasonable cause to believe Indemnitee’s conduct was unlawful;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the Company shall not indemnify Indemnitee against Liabilities or Expenses incurred in connection with an administrative proceeding or action instituted by a bank regulatory agency, which proceeding or action results in a final order assessing civil money penalties against such Indemnitee or requiring affirmative action by such Indemnitee in the form of payments to the Company or a subsidiary of the Company.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358" w:name="page359"/>
    <w:bookmarkEnd w:id="358"/>
    <w:p>
      <w:pPr>
        <w:ind w:left="640" w:right="20" w:firstLine="645"/>
        <w:spacing w:after="0" w:line="270" w:lineRule="auto"/>
        <w:tabs>
          <w:tab w:leader="none" w:pos="1963" w:val="left"/>
        </w:tabs>
        <w:numPr>
          <w:ilvl w:val="1"/>
          <w:numId w:val="317"/>
        </w:numPr>
        <w:rPr>
          <w:rFonts w:ascii="Arial" w:cs="Arial" w:eastAsia="Arial" w:hAnsi="Arial"/>
          <w:sz w:val="17"/>
          <w:szCs w:val="17"/>
          <w:color w:val="auto"/>
        </w:rPr>
      </w:pPr>
      <w:r>
        <w:rPr>
          <w:rFonts w:ascii="Arial" w:cs="Arial" w:eastAsia="Arial" w:hAnsi="Arial"/>
          <w:sz w:val="17"/>
          <w:szCs w:val="17"/>
          <w:u w:val="single" w:color="auto"/>
          <w:color w:val="auto"/>
        </w:rPr>
        <w:t>Proceedings by or in the Right of the Company</w:t>
      </w:r>
      <w:r>
        <w:rPr>
          <w:rFonts w:ascii="Arial" w:cs="Arial" w:eastAsia="Arial" w:hAnsi="Arial"/>
          <w:sz w:val="17"/>
          <w:szCs w:val="17"/>
          <w:color w:val="auto"/>
        </w:rPr>
        <w:t xml:space="preserve">. Indemnitee shall be entitled to the rights of indemnification provided in this </w:t>
      </w:r>
      <w:r>
        <w:rPr>
          <w:rFonts w:ascii="Arial" w:cs="Arial" w:eastAsia="Arial" w:hAnsi="Arial"/>
          <w:sz w:val="17"/>
          <w:szCs w:val="17"/>
          <w:u w:val="single" w:color="auto"/>
          <w:color w:val="auto"/>
        </w:rPr>
        <w:t>Section 1(b)</w:t>
      </w:r>
      <w:r>
        <w:rPr>
          <w:rFonts w:ascii="Arial" w:cs="Arial" w:eastAsia="Arial" w:hAnsi="Arial"/>
          <w:sz w:val="17"/>
          <w:szCs w:val="17"/>
          <w:color w:val="auto"/>
        </w:rPr>
        <w:t xml:space="preserve"> if, by reason of Indemnitee’s Corporate Status, Indemnitee is, or is threatened to be made, a party to or participant in any Proceeding brought by or in the right of the Company. Pursuant to this </w:t>
      </w:r>
      <w:r>
        <w:rPr>
          <w:rFonts w:ascii="Arial" w:cs="Arial" w:eastAsia="Arial" w:hAnsi="Arial"/>
          <w:sz w:val="17"/>
          <w:szCs w:val="17"/>
          <w:u w:val="single" w:color="auto"/>
          <w:color w:val="auto"/>
        </w:rPr>
        <w:t>Section 1(b)</w:t>
      </w:r>
      <w:r>
        <w:rPr>
          <w:rFonts w:ascii="Arial" w:cs="Arial" w:eastAsia="Arial" w:hAnsi="Arial"/>
          <w:sz w:val="17"/>
          <w:szCs w:val="17"/>
          <w:color w:val="auto"/>
        </w:rPr>
        <w:t xml:space="preserve">, Indemnitee shall be indemnified, to the fullest extent permitted by law against all Expenses actually and reasonably incurred by Indemnitee, or on Indemnitee’s behalf, in connection with such Proceeding if Indemnitee acted in good faith and reasonably believed (i) in the case of conduct in the Indemnitee’s official capacity, that the Indemnitee’s conduct was in the best interest of the Company and (ii) in any other case, that the Indemnitee’s conduct was not opposed to the Company’s best interests;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no indemnification against such Expenses shall be made in respect of any claim, issue or matter in such Proceeding as to which Indemnitee shall have been adjudged to be liable to the Company unless and to the extent that a court in which the Proceeding was brought shall determine that such indemnification may be made.</w:t>
      </w:r>
    </w:p>
    <w:p>
      <w:pPr>
        <w:spacing w:after="0" w:line="235" w:lineRule="exact"/>
        <w:rPr>
          <w:rFonts w:ascii="Arial" w:cs="Arial" w:eastAsia="Arial" w:hAnsi="Arial"/>
          <w:sz w:val="17"/>
          <w:szCs w:val="17"/>
          <w:color w:val="auto"/>
        </w:rPr>
      </w:pPr>
    </w:p>
    <w:p>
      <w:pPr>
        <w:ind w:left="640" w:firstLine="645"/>
        <w:spacing w:after="0" w:line="290" w:lineRule="auto"/>
        <w:tabs>
          <w:tab w:leader="none" w:pos="1953" w:val="left"/>
        </w:tabs>
        <w:numPr>
          <w:ilvl w:val="1"/>
          <w:numId w:val="317"/>
        </w:numPr>
        <w:rPr>
          <w:rFonts w:ascii="Arial" w:cs="Arial" w:eastAsia="Arial" w:hAnsi="Arial"/>
          <w:sz w:val="16"/>
          <w:szCs w:val="16"/>
          <w:color w:val="auto"/>
        </w:rPr>
      </w:pPr>
      <w:r>
        <w:rPr>
          <w:rFonts w:ascii="Arial" w:cs="Arial" w:eastAsia="Arial" w:hAnsi="Arial"/>
          <w:sz w:val="16"/>
          <w:szCs w:val="16"/>
          <w:u w:val="single" w:color="auto"/>
          <w:color w:val="auto"/>
        </w:rPr>
        <w:t>Indemnification for Expenses of a Party Who is Wholly or Partly Successful</w:t>
      </w:r>
      <w:r>
        <w:rPr>
          <w:rFonts w:ascii="Arial" w:cs="Arial" w:eastAsia="Arial" w:hAnsi="Arial"/>
          <w:sz w:val="16"/>
          <w:szCs w:val="16"/>
          <w:color w:val="auto"/>
        </w:rPr>
        <w:t>. Notwithstanding any other provision of this Agreement, to the extent that Indemnitee is, by reason of Indemnitee’s Corporate Status, a party to and is successful, on the merits or otherwise, in any Proceeding, Indemnitee shall be indemnified to the fullest extent permitted by law against all Expenses actually and reasonably incurred by Indemnitee or on Indemnitee’s behalf in connection therewith. If Indemnitee is not wholly successful in such Proceeding but is successful, on the merits or otherwise, as to one or more but less than all claims, issues or matters in such Proceeding, the Company shall indemnify Indemnitee against all Expenses actually and reasonably incurred by Indemnitee or on Indemnitee’s behalf in connection with each successfully resolved claim, issue or matter. For purposes of this Section and without limitation, the termination of any claim, issue or matter in such a Proceeding by dismissal, with or without prejudice, shall be deemed to be a successful result as to such claim, issue or matter.</w:t>
      </w:r>
    </w:p>
    <w:p>
      <w:pPr>
        <w:spacing w:after="0" w:line="220" w:lineRule="exact"/>
        <w:rPr>
          <w:rFonts w:ascii="Arial" w:cs="Arial" w:eastAsia="Arial" w:hAnsi="Arial"/>
          <w:sz w:val="16"/>
          <w:szCs w:val="16"/>
          <w:color w:val="auto"/>
        </w:rPr>
      </w:pPr>
    </w:p>
    <w:p>
      <w:pPr>
        <w:ind w:left="640" w:right="160" w:firstLine="645"/>
        <w:spacing w:after="0" w:line="264" w:lineRule="auto"/>
        <w:tabs>
          <w:tab w:leader="none" w:pos="1963" w:val="left"/>
        </w:tabs>
        <w:numPr>
          <w:ilvl w:val="1"/>
          <w:numId w:val="317"/>
        </w:numPr>
        <w:rPr>
          <w:rFonts w:ascii="Arial" w:cs="Arial" w:eastAsia="Arial" w:hAnsi="Arial"/>
          <w:sz w:val="18"/>
          <w:szCs w:val="18"/>
          <w:color w:val="auto"/>
        </w:rPr>
      </w:pPr>
      <w:r>
        <w:rPr>
          <w:rFonts w:ascii="Arial" w:cs="Arial" w:eastAsia="Arial" w:hAnsi="Arial"/>
          <w:sz w:val="18"/>
          <w:szCs w:val="18"/>
          <w:u w:val="single" w:color="auto"/>
          <w:color w:val="auto"/>
        </w:rPr>
        <w:t>Partial Indemnification</w:t>
      </w:r>
      <w:r>
        <w:rPr>
          <w:rFonts w:ascii="Arial" w:cs="Arial" w:eastAsia="Arial" w:hAnsi="Arial"/>
          <w:sz w:val="18"/>
          <w:szCs w:val="18"/>
          <w:color w:val="auto"/>
        </w:rPr>
        <w:t>. If Indemnitee is entitled under any provision of this Agreement to indemnification by the Company for some or a portion of Liabilities or Expenses, but not, however, for the total amount thereof, the Company shall nevertheless indemnify Indemnitee, to the fullest extent permitted by law for the portion thereof to which Indemnitee is entitled.</w:t>
      </w:r>
    </w:p>
    <w:p>
      <w:pPr>
        <w:spacing w:after="0" w:line="235" w:lineRule="exact"/>
        <w:rPr>
          <w:rFonts w:ascii="Arial" w:cs="Arial" w:eastAsia="Arial" w:hAnsi="Arial"/>
          <w:sz w:val="18"/>
          <w:szCs w:val="18"/>
          <w:color w:val="auto"/>
        </w:rPr>
      </w:pPr>
    </w:p>
    <w:p>
      <w:pPr>
        <w:jc w:val="both"/>
        <w:ind w:left="-20" w:firstLine="656"/>
        <w:spacing w:after="0" w:line="255" w:lineRule="auto"/>
        <w:tabs>
          <w:tab w:leader="none" w:pos="1303" w:val="left"/>
        </w:tabs>
        <w:numPr>
          <w:ilvl w:val="0"/>
          <w:numId w:val="318"/>
        </w:numPr>
        <w:rPr>
          <w:rFonts w:ascii="Arial" w:cs="Arial" w:eastAsia="Arial" w:hAnsi="Arial"/>
          <w:sz w:val="18"/>
          <w:szCs w:val="18"/>
          <w:color w:val="auto"/>
        </w:rPr>
      </w:pPr>
      <w:r>
        <w:rPr>
          <w:rFonts w:ascii="Arial" w:cs="Arial" w:eastAsia="Arial" w:hAnsi="Arial"/>
          <w:sz w:val="18"/>
          <w:szCs w:val="18"/>
          <w:u w:val="single" w:color="auto"/>
          <w:color w:val="auto"/>
        </w:rPr>
        <w:t>Additional Indemnity</w:t>
      </w:r>
      <w:r>
        <w:rPr>
          <w:rFonts w:ascii="Arial" w:cs="Arial" w:eastAsia="Arial" w:hAnsi="Arial"/>
          <w:sz w:val="18"/>
          <w:szCs w:val="18"/>
          <w:color w:val="auto"/>
        </w:rPr>
        <w:t xml:space="preserve">. In addition to, and without regard to any limitations on, the indemnification provided for in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of this Agreement, the Company shall and hereby does, to the fullest extent permitted by applicable law, indemnify and hold harmless Indemnitee against all Liabilities and Expenses actually and reasonably incurred by Indemnitee or on Indemnitee’s behalf if, by reason of Indemnitee’s Corporate Status, Indemnitee is, or is threatened to be made, a party to or participant in any Proceeding (including a Proceeding by or in the right of the Company). The only limitation that shall exist upon the Company’s obligations pursuant to this Agreement, other than those set forth in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hereof, shall be that the Company shall not be obligated to make any payment to Indemnitee that is unlawful.</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46620" cy="171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152" w:right="259" w:bottom="1440" w:gutter="0" w:footer="0" w:header="0"/>
        </w:sectPr>
      </w:pPr>
    </w:p>
    <w:bookmarkStart w:id="359" w:name="page360"/>
    <w:bookmarkEnd w:id="359"/>
    <w:p>
      <w:pPr>
        <w:ind w:left="960" w:hanging="324"/>
        <w:spacing w:after="0"/>
        <w:tabs>
          <w:tab w:leader="none" w:pos="960" w:val="left"/>
        </w:tabs>
        <w:numPr>
          <w:ilvl w:val="0"/>
          <w:numId w:val="319"/>
        </w:numPr>
        <w:rPr>
          <w:rFonts w:ascii="Arial" w:cs="Arial" w:eastAsia="Arial" w:hAnsi="Arial"/>
          <w:sz w:val="18"/>
          <w:szCs w:val="18"/>
          <w:color w:val="auto"/>
        </w:rPr>
      </w:pPr>
      <w:r>
        <w:rPr>
          <w:rFonts w:ascii="Arial" w:cs="Arial" w:eastAsia="Arial" w:hAnsi="Arial"/>
          <w:sz w:val="18"/>
          <w:szCs w:val="18"/>
          <w:u w:val="single" w:color="auto"/>
          <w:color w:val="auto"/>
        </w:rPr>
        <w:t>Contribution</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640" w:right="20" w:firstLine="645"/>
        <w:spacing w:after="0" w:line="297" w:lineRule="auto"/>
        <w:tabs>
          <w:tab w:leader="none" w:pos="1953" w:val="left"/>
        </w:tabs>
        <w:numPr>
          <w:ilvl w:val="1"/>
          <w:numId w:val="319"/>
        </w:numPr>
        <w:rPr>
          <w:rFonts w:ascii="Arial" w:cs="Arial" w:eastAsia="Arial" w:hAnsi="Arial"/>
          <w:sz w:val="16"/>
          <w:szCs w:val="16"/>
          <w:color w:val="auto"/>
        </w:rPr>
      </w:pPr>
      <w:r>
        <w:rPr>
          <w:rFonts w:ascii="Arial" w:cs="Arial" w:eastAsia="Arial" w:hAnsi="Arial"/>
          <w:sz w:val="16"/>
          <w:szCs w:val="16"/>
          <w:color w:val="auto"/>
        </w:rPr>
        <w:t xml:space="preserve">Whether or not the indemnification provided in </w:t>
      </w:r>
      <w:r>
        <w:rPr>
          <w:rFonts w:ascii="Arial" w:cs="Arial" w:eastAsia="Arial" w:hAnsi="Arial"/>
          <w:sz w:val="16"/>
          <w:szCs w:val="16"/>
          <w:u w:val="single" w:color="auto"/>
          <w:color w:val="auto"/>
        </w:rPr>
        <w:t>Sections 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w:t>
      </w:r>
      <w:r>
        <w:rPr>
          <w:rFonts w:ascii="Arial" w:cs="Arial" w:eastAsia="Arial" w:hAnsi="Arial"/>
          <w:sz w:val="16"/>
          <w:szCs w:val="16"/>
          <w:color w:val="auto"/>
        </w:rPr>
        <w:t xml:space="preserve"> hereof is available, in respect of any Proceeding in which the Company is jointly liable with Indemnitee (or would be if joined in such Proceeding), to the fullest extent permitted by applicable law, the Company shall pay, in the first instance, the entire amount of any judgment or settlement of such Proceeding without requiring Indemnitee to contribute to such payment and the Company hereby waives and relinquishes any right of contribution it may have against Indemnitee;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with respect to any criminal Proceeding in which Indemnitee is found guilty, the provisions of this </w:t>
      </w:r>
      <w:r>
        <w:rPr>
          <w:rFonts w:ascii="Arial" w:cs="Arial" w:eastAsia="Arial" w:hAnsi="Arial"/>
          <w:sz w:val="16"/>
          <w:szCs w:val="16"/>
          <w:u w:val="single" w:color="auto"/>
          <w:color w:val="auto"/>
        </w:rPr>
        <w:t>Section 3(a)</w:t>
      </w:r>
      <w:r>
        <w:rPr>
          <w:rFonts w:ascii="Arial" w:cs="Arial" w:eastAsia="Arial" w:hAnsi="Arial"/>
          <w:sz w:val="16"/>
          <w:szCs w:val="16"/>
          <w:color w:val="auto"/>
        </w:rPr>
        <w:t xml:space="preserve"> shall not apply.</w:t>
      </w:r>
    </w:p>
    <w:p>
      <w:pPr>
        <w:spacing w:after="0" w:line="212" w:lineRule="exact"/>
        <w:rPr>
          <w:rFonts w:ascii="Arial" w:cs="Arial" w:eastAsia="Arial" w:hAnsi="Arial"/>
          <w:sz w:val="16"/>
          <w:szCs w:val="16"/>
          <w:color w:val="auto"/>
        </w:rPr>
      </w:pPr>
    </w:p>
    <w:p>
      <w:pPr>
        <w:ind w:left="640" w:firstLine="645"/>
        <w:spacing w:after="0" w:line="286" w:lineRule="auto"/>
        <w:tabs>
          <w:tab w:leader="none" w:pos="1963" w:val="left"/>
        </w:tabs>
        <w:numPr>
          <w:ilvl w:val="1"/>
          <w:numId w:val="319"/>
        </w:numPr>
        <w:rPr>
          <w:rFonts w:ascii="Arial" w:cs="Arial" w:eastAsia="Arial" w:hAnsi="Arial"/>
          <w:sz w:val="16"/>
          <w:szCs w:val="16"/>
          <w:color w:val="auto"/>
        </w:rPr>
      </w:pPr>
      <w:r>
        <w:rPr>
          <w:rFonts w:ascii="Arial" w:cs="Arial" w:eastAsia="Arial" w:hAnsi="Arial"/>
          <w:sz w:val="16"/>
          <w:szCs w:val="16"/>
          <w:color w:val="auto"/>
        </w:rPr>
        <w:t xml:space="preserve">Without diminishing or impairing the obligations of the Company set forth in </w:t>
      </w:r>
      <w:r>
        <w:rPr>
          <w:rFonts w:ascii="Arial" w:cs="Arial" w:eastAsia="Arial" w:hAnsi="Arial"/>
          <w:sz w:val="16"/>
          <w:szCs w:val="16"/>
          <w:u w:val="single" w:color="auto"/>
          <w:color w:val="auto"/>
        </w:rPr>
        <w:t>Section 3(a)</w:t>
      </w:r>
      <w:r>
        <w:rPr>
          <w:rFonts w:ascii="Arial" w:cs="Arial" w:eastAsia="Arial" w:hAnsi="Arial"/>
          <w:sz w:val="16"/>
          <w:szCs w:val="16"/>
          <w:color w:val="auto"/>
        </w:rPr>
        <w:t xml:space="preserve">, if, for any reason, Indemnitee shall elect or be required to pay all or any portion of any judgment, settlement or other amount in any Proceeding in which the Company is jointly liable with Indemnitee (or would be if joined in such Proceeding), to the fullest extent permitted by applicable law, the Company shall contribute to the amount of Liabilities and Expenses actually and reasonably incurred and paid or payable by Indemnitee in proportion to the relative benefits received by the Company and all officers, directors or employees of the Company, other than Indemnitee, who are jointly liable with Indemnitee (or would be if joined in such Proceeding), on the one hand, and Indemnitee, on the other hand, from the transaction(s) and/or event(s) from which such Proceeding arose;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proportion determined on the basis of relative benefit may, to the extent necessary to conform to law, be further adjusted by reference to the relative fault of the Company and all officers, directors or employees of the Company other than Indemnitee who are jointly liable with Indemnitee (or would be if joined in such Proceeding), on the one hand, and Indemnitee, on the other hand, in connection with the transaction or events that resulted in such Liabilities or Expenses, as well as any other equitable considerations which applicable law may require to be considered. The relative fault of the Company and all officers, directors or employees of the Company, other than Indemnitee, who are jointly liable with Indemnitee (or would be if joined in such Proceeding), on the one hand, and Indemnitee, on the other hand, shall be determined by reference to, among other things, the degree to which their actions were motivated by intent to gain personal profit or advantage, the degree to which their liability is primary or secondary and the degree to which their conduct is active or passive.</w:t>
      </w:r>
    </w:p>
    <w:p>
      <w:pPr>
        <w:spacing w:after="0" w:line="225" w:lineRule="exact"/>
        <w:rPr>
          <w:rFonts w:ascii="Arial" w:cs="Arial" w:eastAsia="Arial" w:hAnsi="Arial"/>
          <w:sz w:val="16"/>
          <w:szCs w:val="16"/>
          <w:color w:val="auto"/>
        </w:rPr>
      </w:pPr>
    </w:p>
    <w:p>
      <w:pPr>
        <w:ind w:left="640" w:right="320" w:firstLine="645"/>
        <w:spacing w:after="0" w:line="264" w:lineRule="auto"/>
        <w:tabs>
          <w:tab w:leader="none" w:pos="1953" w:val="left"/>
        </w:tabs>
        <w:numPr>
          <w:ilvl w:val="1"/>
          <w:numId w:val="319"/>
        </w:numPr>
        <w:rPr>
          <w:rFonts w:ascii="Arial" w:cs="Arial" w:eastAsia="Arial" w:hAnsi="Arial"/>
          <w:sz w:val="18"/>
          <w:szCs w:val="18"/>
          <w:color w:val="auto"/>
        </w:rPr>
      </w:pPr>
      <w:r>
        <w:rPr>
          <w:rFonts w:ascii="Arial" w:cs="Arial" w:eastAsia="Arial" w:hAnsi="Arial"/>
          <w:sz w:val="18"/>
          <w:szCs w:val="18"/>
          <w:color w:val="auto"/>
        </w:rPr>
        <w:t>To the fullest extent permissible under applicable law, the Company hereby agrees to fully indemnify and hold Indemnitee harmless from any claims of contribution which may be brought by officers, directors or employees of the Company, other than Indemnitee, who may be jointly liable with Indemnitee.</w:t>
      </w:r>
    </w:p>
    <w:p>
      <w:pPr>
        <w:spacing w:after="0" w:line="235" w:lineRule="exact"/>
        <w:rPr>
          <w:rFonts w:ascii="Arial" w:cs="Arial" w:eastAsia="Arial" w:hAnsi="Arial"/>
          <w:sz w:val="18"/>
          <w:szCs w:val="18"/>
          <w:color w:val="auto"/>
        </w:rPr>
      </w:pPr>
    </w:p>
    <w:p>
      <w:pPr>
        <w:ind w:left="640" w:right="100" w:firstLine="645"/>
        <w:spacing w:after="0" w:line="272" w:lineRule="auto"/>
        <w:tabs>
          <w:tab w:leader="none" w:pos="1963" w:val="left"/>
        </w:tabs>
        <w:numPr>
          <w:ilvl w:val="1"/>
          <w:numId w:val="319"/>
        </w:numPr>
        <w:rPr>
          <w:rFonts w:ascii="Arial" w:cs="Arial" w:eastAsia="Arial" w:hAnsi="Arial"/>
          <w:sz w:val="17"/>
          <w:szCs w:val="17"/>
          <w:color w:val="auto"/>
        </w:rPr>
      </w:pPr>
      <w:r>
        <w:rPr>
          <w:rFonts w:ascii="Arial" w:cs="Arial" w:eastAsia="Arial" w:hAnsi="Arial"/>
          <w:sz w:val="17"/>
          <w:szCs w:val="17"/>
          <w:color w:val="auto"/>
        </w:rPr>
        <w:t>To the fullest extent permissible under applicable law, if the indemnification provided for in this Agreement is unavailable to Indemnitee for any reason whatsoever, the Company, in lieu of indemnifying Indemnitee, shall contribute to the amount incurred by Indemnitee, whether for Liabilities and/or for Expenses, in connection with any claim relating to a Proceeding under this Agreement, in such proportion as is deemed fair and reasonable in light of all of the circumstances of such Proceeding in order to reflect (i) the relative benefits received by the Company, on the one hand, and by Indemnitee, on the other hand, as a result of the event(s) and/or transaction(s) from which such Proceeding arose and/or (ii) the relative fault of the Company (and its directors, officers, employees and agents other than Indemnitee), on the one hand, and of Indemnitee, on the other hand, in connection with such event(s) and/or transaction(s).</w:t>
      </w:r>
    </w:p>
    <w:p>
      <w:pPr>
        <w:spacing w:after="0" w:line="231" w:lineRule="exact"/>
        <w:rPr>
          <w:rFonts w:ascii="Arial" w:cs="Arial" w:eastAsia="Arial" w:hAnsi="Arial"/>
          <w:sz w:val="17"/>
          <w:szCs w:val="17"/>
          <w:color w:val="auto"/>
        </w:rPr>
      </w:pPr>
    </w:p>
    <w:p>
      <w:pPr>
        <w:jc w:val="both"/>
        <w:ind w:left="-20" w:right="480" w:firstLine="656"/>
        <w:spacing w:after="0" w:line="259" w:lineRule="auto"/>
        <w:tabs>
          <w:tab w:leader="none" w:pos="1303" w:val="left"/>
        </w:tabs>
        <w:numPr>
          <w:ilvl w:val="0"/>
          <w:numId w:val="319"/>
        </w:numPr>
        <w:rPr>
          <w:rFonts w:ascii="Arial" w:cs="Arial" w:eastAsia="Arial" w:hAnsi="Arial"/>
          <w:sz w:val="18"/>
          <w:szCs w:val="18"/>
          <w:color w:val="auto"/>
        </w:rPr>
      </w:pPr>
      <w:r>
        <w:rPr>
          <w:rFonts w:ascii="Arial" w:cs="Arial" w:eastAsia="Arial" w:hAnsi="Arial"/>
          <w:sz w:val="18"/>
          <w:szCs w:val="18"/>
          <w:u w:val="single" w:color="auto"/>
          <w:color w:val="auto"/>
        </w:rPr>
        <w:t>Indemnification for Expenses of a Witness</w:t>
      </w:r>
      <w:r>
        <w:rPr>
          <w:rFonts w:ascii="Arial" w:cs="Arial" w:eastAsia="Arial" w:hAnsi="Arial"/>
          <w:sz w:val="18"/>
          <w:szCs w:val="18"/>
          <w:color w:val="auto"/>
        </w:rPr>
        <w:t>. Notwithstanding any other provision of this Agreement, to the fullest extent permitted by applicable law and to the extent that Indemnitee is, by reason of Indemnitee’s Corporate Status, a witness, or is made (or asked) to respond to discovery requests, in any Proceeding to which Indemnitee is not a party, the Company shall indemnify Indemnitee against all Expenses actually and reasonably incurred by Indemnitee or on Indemnitee’s behalf in connection therewith.</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46620" cy="171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368" w:right="239" w:bottom="1440" w:gutter="0" w:footer="0" w:header="0"/>
        </w:sectPr>
      </w:pPr>
    </w:p>
    <w:bookmarkStart w:id="360" w:name="page361"/>
    <w:bookmarkEnd w:id="360"/>
    <w:p>
      <w:pPr>
        <w:ind w:left="-20" w:firstLine="656"/>
        <w:spacing w:after="0" w:line="270" w:lineRule="auto"/>
        <w:tabs>
          <w:tab w:leader="none" w:pos="1303" w:val="left"/>
        </w:tabs>
        <w:numPr>
          <w:ilvl w:val="0"/>
          <w:numId w:val="320"/>
        </w:numPr>
        <w:rPr>
          <w:rFonts w:ascii="Arial" w:cs="Arial" w:eastAsia="Arial" w:hAnsi="Arial"/>
          <w:sz w:val="17"/>
          <w:szCs w:val="17"/>
          <w:color w:val="auto"/>
        </w:rPr>
      </w:pPr>
      <w:r>
        <w:rPr>
          <w:rFonts w:ascii="Arial" w:cs="Arial" w:eastAsia="Arial" w:hAnsi="Arial"/>
          <w:sz w:val="17"/>
          <w:szCs w:val="17"/>
          <w:u w:val="single" w:color="auto"/>
          <w:color w:val="auto"/>
        </w:rPr>
        <w:t>Advancement of Expenses</w:t>
      </w:r>
      <w:r>
        <w:rPr>
          <w:rFonts w:ascii="Arial" w:cs="Arial" w:eastAsia="Arial" w:hAnsi="Arial"/>
          <w:sz w:val="17"/>
          <w:szCs w:val="17"/>
          <w:color w:val="auto"/>
        </w:rPr>
        <w:t xml:space="preserve">. Notwithstanding any other provision of this Agreement, the Company shall advance, to the fullest extent permitted by applicable law, as such may be amended from time to time, all Expenses incurred by or on behalf of Indemnitee in connection with any Proceeding by reason of Indemnitee’s Corporate Status within thirty (30) days after the receipt by the Company of a written confirmation from Indemnitee requesting such advance or advances from time to time, whether prior to or after final disposition of such Proceeding;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 Expenses shall be advanced by the Company in connection with an administrative proceeding or action instituted by a bank regulatory agency if such advance would be unlawful. Such written confirmation shall (i) reasonably evidence the Expenses incurred by Indemnitee and (ii) include or be preceded or accompanied by a written undertaking by or on behalf of Indemnitee to repay the Expenses advanced if it shall ultimately be determined that Indemnitee is not entitled to be indemnified against such Expenses. Any advances and undertakings to repay pursuant to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shall be unsecured and interest free and be made without regard to Indemnitee’s ability to repay.</w:t>
      </w:r>
    </w:p>
    <w:p>
      <w:pPr>
        <w:spacing w:after="0" w:line="235" w:lineRule="exact"/>
        <w:rPr>
          <w:rFonts w:ascii="Arial" w:cs="Arial" w:eastAsia="Arial" w:hAnsi="Arial"/>
          <w:sz w:val="17"/>
          <w:szCs w:val="17"/>
          <w:color w:val="auto"/>
        </w:rPr>
      </w:pPr>
    </w:p>
    <w:p>
      <w:pPr>
        <w:jc w:val="both"/>
        <w:ind w:left="-20" w:right="20" w:firstLine="656"/>
        <w:spacing w:after="0" w:line="259" w:lineRule="auto"/>
        <w:tabs>
          <w:tab w:leader="none" w:pos="1303" w:val="left"/>
        </w:tabs>
        <w:numPr>
          <w:ilvl w:val="0"/>
          <w:numId w:val="320"/>
        </w:numPr>
        <w:rPr>
          <w:rFonts w:ascii="Arial" w:cs="Arial" w:eastAsia="Arial" w:hAnsi="Arial"/>
          <w:sz w:val="18"/>
          <w:szCs w:val="18"/>
          <w:color w:val="auto"/>
        </w:rPr>
      </w:pPr>
      <w:r>
        <w:rPr>
          <w:rFonts w:ascii="Arial" w:cs="Arial" w:eastAsia="Arial" w:hAnsi="Arial"/>
          <w:sz w:val="18"/>
          <w:szCs w:val="18"/>
          <w:u w:val="single" w:color="auto"/>
          <w:color w:val="auto"/>
        </w:rPr>
        <w:t>Procedures and Presumptions for Determination of Entitlement to Indemnification</w:t>
      </w:r>
      <w:r>
        <w:rPr>
          <w:rFonts w:ascii="Arial" w:cs="Arial" w:eastAsia="Arial" w:hAnsi="Arial"/>
          <w:sz w:val="18"/>
          <w:szCs w:val="18"/>
          <w:color w:val="auto"/>
        </w:rPr>
        <w:t>. It is the intent of the parties to this Agreement to secure for Indemnitee rights of indemnity that are as favorable as may be permitted under the TBOC and public policy of the State of Texas. Accordingly, the parties agree that the following procedures and presumptions shall apply in the event of any question as to whether Indemnitee is entitled to indemnification under this Agreement, unless such indemnification is ordered by a court:</w:t>
      </w:r>
    </w:p>
    <w:p>
      <w:pPr>
        <w:spacing w:after="0" w:line="240" w:lineRule="exact"/>
        <w:rPr>
          <w:rFonts w:ascii="Arial" w:cs="Arial" w:eastAsia="Arial" w:hAnsi="Arial"/>
          <w:sz w:val="18"/>
          <w:szCs w:val="18"/>
          <w:color w:val="auto"/>
        </w:rPr>
      </w:pPr>
    </w:p>
    <w:p>
      <w:pPr>
        <w:ind w:left="640" w:firstLine="645"/>
        <w:spacing w:after="0" w:line="291" w:lineRule="auto"/>
        <w:tabs>
          <w:tab w:leader="none" w:pos="1953" w:val="left"/>
        </w:tabs>
        <w:numPr>
          <w:ilvl w:val="1"/>
          <w:numId w:val="320"/>
        </w:numPr>
        <w:rPr>
          <w:rFonts w:ascii="Arial" w:cs="Arial" w:eastAsia="Arial" w:hAnsi="Arial"/>
          <w:sz w:val="16"/>
          <w:szCs w:val="16"/>
          <w:color w:val="auto"/>
        </w:rPr>
      </w:pPr>
      <w:r>
        <w:rPr>
          <w:rFonts w:ascii="Arial" w:cs="Arial" w:eastAsia="Arial" w:hAnsi="Arial"/>
          <w:sz w:val="16"/>
          <w:szCs w:val="16"/>
          <w:color w:val="auto"/>
        </w:rPr>
        <w:t>To obtain indemnification under this Agreement, Indemnitee shall submit to the Secretary of the Company (or if there is no Secretary, to the Chief Executive Officer or other highest ranking officer of the Company) a written request, including therein or therewith such documentation and information as is reasonably available to Indemnitee at such time and is reasonably necessary to determine whether and to what extent Indemnitee is entitled to indemnification. The Secretary or other applicable officer of the Company shall, promptly upon receipt of such a request for indemnification, advise the Board in writing that Indemnitee has requested indemnification. Notwithstanding the foregoing, any failure of Indemnitee to provide such a request to the Company, or to provide such a request in a timely fashion, shall not relieve the Company of any liability that it may have to Indemnitee unless, and only to the extent that, such failure actually and materially prejudices the interests of the Company.</w:t>
      </w:r>
    </w:p>
    <w:p>
      <w:pPr>
        <w:spacing w:after="0" w:line="221" w:lineRule="exact"/>
        <w:rPr>
          <w:rFonts w:ascii="Arial" w:cs="Arial" w:eastAsia="Arial" w:hAnsi="Arial"/>
          <w:sz w:val="16"/>
          <w:szCs w:val="16"/>
          <w:color w:val="auto"/>
        </w:rPr>
      </w:pPr>
    </w:p>
    <w:p>
      <w:pPr>
        <w:ind w:left="640" w:firstLine="645"/>
        <w:spacing w:after="0" w:line="269" w:lineRule="auto"/>
        <w:tabs>
          <w:tab w:leader="none" w:pos="1963" w:val="left"/>
        </w:tabs>
        <w:numPr>
          <w:ilvl w:val="1"/>
          <w:numId w:val="320"/>
        </w:numPr>
        <w:rPr>
          <w:rFonts w:ascii="Arial" w:cs="Arial" w:eastAsia="Arial" w:hAnsi="Arial"/>
          <w:sz w:val="17"/>
          <w:szCs w:val="17"/>
          <w:color w:val="auto"/>
        </w:rPr>
      </w:pPr>
      <w:r>
        <w:rPr>
          <w:rFonts w:ascii="Arial" w:cs="Arial" w:eastAsia="Arial" w:hAnsi="Arial"/>
          <w:sz w:val="17"/>
          <w:szCs w:val="17"/>
          <w:color w:val="auto"/>
        </w:rPr>
        <w:t xml:space="preserve">Upon written request by Indemnitee for indemnification pursuant to the first sentence of </w:t>
      </w:r>
      <w:r>
        <w:rPr>
          <w:rFonts w:ascii="Arial" w:cs="Arial" w:eastAsia="Arial" w:hAnsi="Arial"/>
          <w:sz w:val="17"/>
          <w:szCs w:val="17"/>
          <w:u w:val="single" w:color="auto"/>
          <w:color w:val="auto"/>
        </w:rPr>
        <w:t>Section 6(a)</w:t>
      </w:r>
      <w:r>
        <w:rPr>
          <w:rFonts w:ascii="Arial" w:cs="Arial" w:eastAsia="Arial" w:hAnsi="Arial"/>
          <w:sz w:val="17"/>
          <w:szCs w:val="17"/>
          <w:color w:val="auto"/>
        </w:rPr>
        <w:t xml:space="preserve"> hereof, if required by applicable law and to the extent not otherwise provided pursuant to the terms of this Agreement, a determination that the Indemnitee has met the applicable standard of conduct and is entitled to indemnification by the Company shall be made in the specific case by one of the following four methods: (i) by majority vote of Disinterested Directors (as hereinafter defined), even though less than a quorum; (ii) by majority vote of a committee of directors designated by a majority vote of the Board, even though less than a quorum; (iii) by Independent Counsel (as hereinafter defined) selected by the Board or a committee of the Board; or (iv) by the shareholders;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 Change in Control has occurred, the determination with respect to Indemnitee’s entitlement to indemnification shall be made, at Indemnitee’s request, by Independent Counsel. Notice in writing of any determination as to Indemnitee’s entitlement to indemnification shall be delivered to Indemnitee promptly after such determination is made, and if such determination of entitlement to indemnification has been made by Independent Counsel in a written opinion to the Board, then such notice shall be accompanied by a copy of such written opinion. If it is determined that Indemnitee is not entitled to indemnification, then the written notice to Indemnitee (or, if such determination has been made by Independent Counsel in a written opinion, the copy of such written opinion delivered to Indemnitee) shall disclose the basis upon which such determination is based.</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46620" cy="171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638" w:right="259" w:bottom="1440" w:gutter="0" w:footer="0" w:header="0"/>
        </w:sectPr>
      </w:pPr>
    </w:p>
    <w:bookmarkStart w:id="361" w:name="page362"/>
    <w:bookmarkEnd w:id="361"/>
    <w:p>
      <w:pPr>
        <w:ind w:left="4" w:firstLine="645"/>
        <w:spacing w:after="0" w:line="285" w:lineRule="auto"/>
        <w:tabs>
          <w:tab w:leader="none" w:pos="1317" w:val="left"/>
        </w:tabs>
        <w:numPr>
          <w:ilvl w:val="1"/>
          <w:numId w:val="321"/>
        </w:numPr>
        <w:rPr>
          <w:rFonts w:ascii="Arial" w:cs="Arial" w:eastAsia="Arial" w:hAnsi="Arial"/>
          <w:sz w:val="16"/>
          <w:szCs w:val="16"/>
          <w:color w:val="auto"/>
        </w:rPr>
      </w:pPr>
      <w:r>
        <w:rPr>
          <w:rFonts w:ascii="Arial" w:cs="Arial" w:eastAsia="Arial" w:hAnsi="Arial"/>
          <w:sz w:val="16"/>
          <w:szCs w:val="16"/>
          <w:color w:val="auto"/>
        </w:rPr>
        <w:t xml:space="preserve">In the event the determination of entitlement to indemnification is to be made by Independent Counsel selected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6(b)</w:t>
      </w:r>
      <w:r>
        <w:rPr>
          <w:rFonts w:ascii="Arial" w:cs="Arial" w:eastAsia="Arial" w:hAnsi="Arial"/>
          <w:sz w:val="16"/>
          <w:szCs w:val="16"/>
          <w:color w:val="auto"/>
        </w:rPr>
        <w:t xml:space="preserve"> hereof, the Company shall promptly inform Indemnitee of the selection of such Independent Counsel. Indemnitee may, within ten (10) days after Indemnitee’s receipt of such written notice of selection shall have been given, deliver to the Company a written objection to such selection;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objection may be asserted only on the ground that the Independent Counsel so selected does not meet the requirements of “Independent Counsel” as defined in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of this Agreement, and the objection shall set forth with particularity the factual basis of such assertion. Absent a proper and timely objection, the person so selected shall act as Independent Counsel. If a written objection is made and substantiated, the Independent Counsel selected may not serve as Independent Counsel unless and until such objection is withdrawn or a court has determined that such objection is without merit. Notwithstanding the foregoing, if a Change in Control has occurred, the Independent Counsel shall be selected by Indemnitee (unless Indemnitee shall request that such selection be made by the Board, in which event the preceding sentence shall apply), and approved by the Board within fifteen (15) days after notification by Indemnitee. If (i) an Independent Counsel is to make the determination of entitlement pursuant to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and (ii) within twenty (20) days after submission by Indemnitee of a written request for indemnification pursuant to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hereof, no Independent Counsel shall have been selected and not objected to, either the Company or Indemnitee may petition a court of competent jurisdiction located in Texas for resolution of any objection which shall have been made by Indemnitee to the Company’s selection of Independent Counsel and/or for the appointment as Independent Counsel of a person selected by the court or by such other person as the court shall designate, and the person with respect to whom all objections are so resolved or the person so appointed shall act as Independent Counsel under </w:t>
      </w:r>
      <w:r>
        <w:rPr>
          <w:rFonts w:ascii="Arial" w:cs="Arial" w:eastAsia="Arial" w:hAnsi="Arial"/>
          <w:sz w:val="16"/>
          <w:szCs w:val="16"/>
          <w:u w:val="single" w:color="auto"/>
          <w:color w:val="auto"/>
        </w:rPr>
        <w:t>Section 6(b)</w:t>
      </w:r>
      <w:r>
        <w:rPr>
          <w:rFonts w:ascii="Arial" w:cs="Arial" w:eastAsia="Arial" w:hAnsi="Arial"/>
          <w:sz w:val="16"/>
          <w:szCs w:val="16"/>
          <w:color w:val="auto"/>
        </w:rPr>
        <w:t xml:space="preserve"> hereof. The Company shall pay any and all reasonable fees and expenses of Independent Counsel incurred by such Independent Counsel in connection with acting pursuant to </w:t>
      </w:r>
      <w:r>
        <w:rPr>
          <w:rFonts w:ascii="Arial" w:cs="Arial" w:eastAsia="Arial" w:hAnsi="Arial"/>
          <w:sz w:val="16"/>
          <w:szCs w:val="16"/>
          <w:u w:val="single" w:color="auto"/>
          <w:color w:val="auto"/>
        </w:rPr>
        <w:t>Section 6(b)</w:t>
      </w:r>
      <w:r>
        <w:rPr>
          <w:rFonts w:ascii="Arial" w:cs="Arial" w:eastAsia="Arial" w:hAnsi="Arial"/>
          <w:sz w:val="16"/>
          <w:szCs w:val="16"/>
          <w:color w:val="auto"/>
        </w:rPr>
        <w:t xml:space="preserve"> hereof, and the Company shall pay all reasonable fees and expenses incident to the procedures of this </w:t>
      </w:r>
      <w:r>
        <w:rPr>
          <w:rFonts w:ascii="Arial" w:cs="Arial" w:eastAsia="Arial" w:hAnsi="Arial"/>
          <w:sz w:val="16"/>
          <w:szCs w:val="16"/>
          <w:u w:val="single" w:color="auto"/>
          <w:color w:val="auto"/>
        </w:rPr>
        <w:t>Section 6(c)</w:t>
      </w:r>
      <w:r>
        <w:rPr>
          <w:rFonts w:ascii="Arial" w:cs="Arial" w:eastAsia="Arial" w:hAnsi="Arial"/>
          <w:sz w:val="16"/>
          <w:szCs w:val="16"/>
          <w:color w:val="auto"/>
        </w:rPr>
        <w:t>, regardless of the manner in which such Independent Counsel was selected or appointed.</w:t>
      </w:r>
    </w:p>
    <w:p>
      <w:pPr>
        <w:spacing w:after="0" w:line="226" w:lineRule="exact"/>
        <w:rPr>
          <w:rFonts w:ascii="Arial" w:cs="Arial" w:eastAsia="Arial" w:hAnsi="Arial"/>
          <w:sz w:val="16"/>
          <w:szCs w:val="16"/>
          <w:color w:val="auto"/>
        </w:rPr>
      </w:pPr>
    </w:p>
    <w:p>
      <w:pPr>
        <w:ind w:left="4" w:firstLine="645"/>
        <w:spacing w:after="0" w:line="272" w:lineRule="auto"/>
        <w:tabs>
          <w:tab w:leader="none" w:pos="1327" w:val="left"/>
        </w:tabs>
        <w:numPr>
          <w:ilvl w:val="1"/>
          <w:numId w:val="321"/>
        </w:numPr>
        <w:rPr>
          <w:rFonts w:ascii="Arial" w:cs="Arial" w:eastAsia="Arial" w:hAnsi="Arial"/>
          <w:sz w:val="17"/>
          <w:szCs w:val="17"/>
          <w:color w:val="auto"/>
        </w:rPr>
      </w:pPr>
      <w:r>
        <w:rPr>
          <w:rFonts w:ascii="Arial" w:cs="Arial" w:eastAsia="Arial" w:hAnsi="Arial"/>
          <w:sz w:val="17"/>
          <w:szCs w:val="17"/>
          <w:color w:val="auto"/>
        </w:rPr>
        <w:t>In making a determination with respect to entitlement to indemnification hereunder, the person, persons or entity making such determination shall presume that Indemnitee is entitled to indemnification under this Agreement. Anyone seeking to overcome this presumption shall have the burden of proof and the burden of persuasion. Neither the failure of the Company (including by its directors or independent legal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shall be a defense to the action or create a presumption that Indemnitee has not met the applicable standard of conduct.</w:t>
      </w:r>
    </w:p>
    <w:p>
      <w:pPr>
        <w:spacing w:after="0" w:line="231" w:lineRule="exact"/>
        <w:rPr>
          <w:rFonts w:ascii="Arial" w:cs="Arial" w:eastAsia="Arial" w:hAnsi="Arial"/>
          <w:sz w:val="17"/>
          <w:szCs w:val="17"/>
          <w:color w:val="auto"/>
        </w:rPr>
      </w:pPr>
    </w:p>
    <w:p>
      <w:pPr>
        <w:ind w:left="4" w:right="240" w:firstLine="645"/>
        <w:spacing w:after="0" w:line="255" w:lineRule="auto"/>
        <w:tabs>
          <w:tab w:leader="none" w:pos="1317" w:val="left"/>
        </w:tabs>
        <w:numPr>
          <w:ilvl w:val="1"/>
          <w:numId w:val="321"/>
        </w:numPr>
        <w:rPr>
          <w:rFonts w:ascii="Arial" w:cs="Arial" w:eastAsia="Arial" w:hAnsi="Arial"/>
          <w:sz w:val="18"/>
          <w:szCs w:val="18"/>
          <w:color w:val="auto"/>
        </w:rPr>
      </w:pPr>
      <w:r>
        <w:rPr>
          <w:rFonts w:ascii="Arial" w:cs="Arial" w:eastAsia="Arial" w:hAnsi="Arial"/>
          <w:sz w:val="18"/>
          <w:szCs w:val="18"/>
          <w:color w:val="auto"/>
        </w:rPr>
        <w:t>Indemnitee shall be deemed to have acted in good faith if Indemnitee’s action is based on the records or books of account of the Enterprise (as hereinafter defined), including financial statements, or on information supplied to Indemnitee by the officers, directors, managers, employees, agents or representatives of the Enterprise in the course of their duties, or on the advice of legal counsel for the Enterprise or on information or records given or reports made to the Enterprise by an independent certified public accountant or by an appraiser or other expert selected with reasonable care by the Enterprise. In addition, the knowledge and/or actions, or failure to act, of any director, officer, agent or employee of the Enterprise shall not be imputed to Indemnitee for purposes of determining Indemnitee’s right to indemnification under this Agreement.</w:t>
      </w:r>
    </w:p>
    <w:p>
      <w:pPr>
        <w:spacing w:after="0" w:line="243" w:lineRule="exact"/>
        <w:rPr>
          <w:rFonts w:ascii="Arial" w:cs="Arial" w:eastAsia="Arial" w:hAnsi="Arial"/>
          <w:sz w:val="18"/>
          <w:szCs w:val="18"/>
          <w:color w:val="auto"/>
        </w:rPr>
      </w:pPr>
    </w:p>
    <w:p>
      <w:pPr>
        <w:ind w:left="4" w:right="160" w:firstLine="645"/>
        <w:spacing w:after="0" w:line="288" w:lineRule="auto"/>
        <w:tabs>
          <w:tab w:leader="none" w:pos="1297" w:val="left"/>
        </w:tabs>
        <w:numPr>
          <w:ilvl w:val="1"/>
          <w:numId w:val="321"/>
        </w:numPr>
        <w:rPr>
          <w:rFonts w:ascii="Arial" w:cs="Arial" w:eastAsia="Arial" w:hAnsi="Arial"/>
          <w:sz w:val="16"/>
          <w:szCs w:val="16"/>
          <w:color w:val="auto"/>
        </w:rPr>
      </w:pPr>
      <w:r>
        <w:rPr>
          <w:rFonts w:ascii="Arial" w:cs="Arial" w:eastAsia="Arial" w:hAnsi="Arial"/>
          <w:sz w:val="16"/>
          <w:szCs w:val="16"/>
          <w:color w:val="auto"/>
        </w:rPr>
        <w:t xml:space="preserve">If the person, persons or entity empowered or selected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to determine whether Indemnitee is entitled to indemnification shall not have made a determination within sixty (60) days after receipt by the Company of the request therefor, the requisite determination of entitlement to indemnification shall be deemed to have been made and Indemnitee shall be entitled to such indemnification absent</w:t>
      </w:r>
    </w:p>
    <w:p>
      <w:pPr>
        <w:ind w:left="4" w:hanging="4"/>
        <w:spacing w:after="0" w:line="267" w:lineRule="auto"/>
        <w:tabs>
          <w:tab w:leader="none" w:pos="219" w:val="left"/>
        </w:tabs>
        <w:numPr>
          <w:ilvl w:val="0"/>
          <w:numId w:val="322"/>
        </w:numPr>
        <w:rPr>
          <w:rFonts w:ascii="Arial" w:cs="Arial" w:eastAsia="Arial" w:hAnsi="Arial"/>
          <w:sz w:val="17"/>
          <w:szCs w:val="17"/>
          <w:color w:val="auto"/>
        </w:rPr>
      </w:pPr>
      <w:r>
        <w:rPr>
          <w:rFonts w:ascii="Arial" w:cs="Arial" w:eastAsia="Arial" w:hAnsi="Arial"/>
          <w:sz w:val="17"/>
          <w:szCs w:val="17"/>
          <w:color w:val="auto"/>
        </w:rPr>
        <w:t xml:space="preserve">a misstatement by Indemnitee of a material fact, or an omission of a material fact necessary to make Indemnitee’s statement not materially misleading, in connection with the request for indemnification, or (ii) a prohibition of such indemnification under applicable law;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sixty (60) day period may be extended for a reasonable time, not to exceed an additional thirty (30) days, if the person, persons or entity making such determination with respect to entitlement to indemnification in good faith requires such additional time to obtain or evaluate documentation and/or information relating thereto;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the foregoing provisions of this </w:t>
      </w:r>
      <w:r>
        <w:rPr>
          <w:rFonts w:ascii="Arial" w:cs="Arial" w:eastAsia="Arial" w:hAnsi="Arial"/>
          <w:sz w:val="17"/>
          <w:szCs w:val="17"/>
          <w:u w:val="single" w:color="auto"/>
          <w:color w:val="auto"/>
        </w:rPr>
        <w:t>Section 6(f)</w:t>
      </w:r>
      <w:r>
        <w:rPr>
          <w:rFonts w:ascii="Arial" w:cs="Arial" w:eastAsia="Arial" w:hAnsi="Arial"/>
          <w:sz w:val="17"/>
          <w:szCs w:val="17"/>
          <w:color w:val="auto"/>
        </w:rPr>
        <w:t xml:space="preserve"> shall not apply if the determination of entitlement to indemnification is to be made by the shareholders pursuant to </w:t>
      </w:r>
      <w:r>
        <w:rPr>
          <w:rFonts w:ascii="Arial" w:cs="Arial" w:eastAsia="Arial" w:hAnsi="Arial"/>
          <w:sz w:val="17"/>
          <w:szCs w:val="17"/>
          <w:u w:val="single" w:color="auto"/>
          <w:color w:val="auto"/>
        </w:rPr>
        <w:t>Section 6(b)</w:t>
      </w:r>
      <w:r>
        <w:rPr>
          <w:rFonts w:ascii="Arial" w:cs="Arial" w:eastAsia="Arial" w:hAnsi="Arial"/>
          <w:sz w:val="17"/>
          <w:szCs w:val="17"/>
          <w:color w:val="auto"/>
        </w:rPr>
        <w:t xml:space="preserve"> of this Agreement and if (A) within fifteen (15) days after receipt by the Company of the request for such determination, the Board or the Disinterested Directors, if appropriate, resolve to submit such determination to the shareholders for their consideration at an annual meeting thereof to be held within seventy five (75) days after such receipt and such determination is made thereat, or (B) a special meeting of shareholders is called within twenty (20) days after such receipt for the purpose of making such determination, such meeting is held for such purpose within sixty (60) days after having been so called and such determination is made thereat.</w:t>
      </w:r>
    </w:p>
    <w:p>
      <w:pPr>
        <w:spacing w:after="0" w:line="142" w:lineRule="exact"/>
        <w:rPr>
          <w:sz w:val="20"/>
          <w:szCs w:val="20"/>
          <w:color w:val="auto"/>
        </w:rPr>
      </w:pPr>
    </w:p>
    <w:p>
      <w:pPr>
        <w:ind w:left="5024"/>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246620" cy="171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52" w:right="239" w:bottom="1440" w:gutter="0" w:footer="0" w:header="0"/>
        </w:sectPr>
      </w:pPr>
    </w:p>
    <w:bookmarkStart w:id="362" w:name="page363"/>
    <w:bookmarkEnd w:id="362"/>
    <w:p>
      <w:pPr>
        <w:ind w:left="640" w:firstLine="645"/>
        <w:spacing w:after="0" w:line="254" w:lineRule="auto"/>
        <w:tabs>
          <w:tab w:leader="none" w:pos="1963" w:val="left"/>
        </w:tabs>
        <w:numPr>
          <w:ilvl w:val="1"/>
          <w:numId w:val="323"/>
        </w:numPr>
        <w:rPr>
          <w:rFonts w:ascii="Arial" w:cs="Arial" w:eastAsia="Arial" w:hAnsi="Arial"/>
          <w:sz w:val="18"/>
          <w:szCs w:val="18"/>
          <w:color w:val="auto"/>
        </w:rPr>
      </w:pPr>
      <w:r>
        <w:rPr>
          <w:rFonts w:ascii="Arial" w:cs="Arial" w:eastAsia="Arial" w:hAnsi="Arial"/>
          <w:sz w:val="18"/>
          <w:szCs w:val="18"/>
          <w:color w:val="auto"/>
        </w:rPr>
        <w:t>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Independent Counsel, member of the Board or shareholder of the Company shall act reasonably and in good faith in making a determination regarding Indemnitee’s entitlement to indemnification under this Agreement. To the fullest extent permitted by applicable law, any Expenses incurred by Indemnitee in so cooperating with the person, persons or entity making such determination shall be borne by the Company (irrespective of the determination as to Indemnitee’s entitlement to indemnification) and the Company hereby agrees to indemnify and hold harmless Indemnitee therefrom.</w:t>
      </w:r>
    </w:p>
    <w:p>
      <w:pPr>
        <w:spacing w:after="0" w:line="246" w:lineRule="exact"/>
        <w:rPr>
          <w:rFonts w:ascii="Arial" w:cs="Arial" w:eastAsia="Arial" w:hAnsi="Arial"/>
          <w:sz w:val="18"/>
          <w:szCs w:val="18"/>
          <w:color w:val="auto"/>
        </w:rPr>
      </w:pPr>
    </w:p>
    <w:p>
      <w:pPr>
        <w:ind w:left="640" w:right="40" w:firstLine="645"/>
        <w:spacing w:after="0" w:line="257" w:lineRule="auto"/>
        <w:tabs>
          <w:tab w:leader="none" w:pos="1963" w:val="left"/>
        </w:tabs>
        <w:numPr>
          <w:ilvl w:val="1"/>
          <w:numId w:val="323"/>
        </w:numPr>
        <w:rPr>
          <w:rFonts w:ascii="Arial" w:cs="Arial" w:eastAsia="Arial" w:hAnsi="Arial"/>
          <w:sz w:val="18"/>
          <w:szCs w:val="18"/>
          <w:color w:val="auto"/>
        </w:rPr>
      </w:pPr>
      <w:r>
        <w:rPr>
          <w:rFonts w:ascii="Arial" w:cs="Arial" w:eastAsia="Arial" w:hAnsi="Arial"/>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Indemnitee reasonably believed to be in or not opposed to the best interests of the Company or, with respect to any criminal Proceeding, that Indemnitee had reasonable cause to believe that Indemnitee’s conduct was unlawful.</w:t>
      </w:r>
    </w:p>
    <w:p>
      <w:pPr>
        <w:spacing w:after="0" w:line="242" w:lineRule="exact"/>
        <w:rPr>
          <w:rFonts w:ascii="Arial" w:cs="Arial" w:eastAsia="Arial" w:hAnsi="Arial"/>
          <w:sz w:val="18"/>
          <w:szCs w:val="18"/>
          <w:color w:val="auto"/>
        </w:rPr>
      </w:pPr>
    </w:p>
    <w:p>
      <w:pPr>
        <w:ind w:left="-20" w:right="20" w:firstLine="656"/>
        <w:spacing w:after="0" w:line="285" w:lineRule="auto"/>
        <w:tabs>
          <w:tab w:leader="none" w:pos="1303" w:val="left"/>
        </w:tabs>
        <w:numPr>
          <w:ilvl w:val="0"/>
          <w:numId w:val="324"/>
        </w:numPr>
        <w:rPr>
          <w:rFonts w:ascii="Arial" w:cs="Arial" w:eastAsia="Arial" w:hAnsi="Arial"/>
          <w:sz w:val="16"/>
          <w:szCs w:val="16"/>
          <w:color w:val="auto"/>
        </w:rPr>
      </w:pPr>
      <w:r>
        <w:rPr>
          <w:rFonts w:ascii="Arial" w:cs="Arial" w:eastAsia="Arial" w:hAnsi="Arial"/>
          <w:sz w:val="16"/>
          <w:szCs w:val="16"/>
          <w:u w:val="single" w:color="auto"/>
          <w:color w:val="auto"/>
        </w:rPr>
        <w:t>Company’s Right to Defend</w:t>
      </w:r>
      <w:r>
        <w:rPr>
          <w:rFonts w:ascii="Arial" w:cs="Arial" w:eastAsia="Arial" w:hAnsi="Arial"/>
          <w:sz w:val="16"/>
          <w:szCs w:val="16"/>
          <w:color w:val="auto"/>
        </w:rPr>
        <w:t xml:space="preserve">. Except as otherwise provided in this Agreement, in the event the Company may be obligated to make any indemnity in connection with a Proceeding, the Company shall be entitled to assume the defense of such Proceeding with counsel approved by Indemnitee, which approval shall not be unreasonably withheld, upon the delivery to Indemnitee of written notice of the Company’s election to do so. After delivery of such notice, approval of such counsel by Indemnitee and the retention of such counsel by the Company, the Company will not be liable to Indemnitee for any fees or expenses of counsel subsequently incurred by Indemnitee with respect to the same Proceeding. Notwithstanding the Company’s assumption of the defense of any such Proceeding, the Company shall be obligated to pay the fees and expenses of Indemnitee’s counsel to the extent (i) the employment of counsel by Indemnitee is authorized by the Company, (ii) counsel for the Company or Indemnitee shall have reasonably concluded that there is a conflict of interest between the Company and Indemnitee in the conduct of any such defense such that Indemnitee needs to be separately represented, (iii) the Company is not financially or legally able to perform its indemnification obligations or (iv) the Company shall not have retained, or shall not continue to retain, such counsel to defend such Proceeding. The Company shall have the right to conduct such defense as it reasonably sees fit in its sole discretion. Regardless of any provision in this Agreement, Indemnitee shall have the right to employ counsel in any Proceeding at Indemnitee’s personal expense. The Company shall not be entitled, without the consent of Indemnitee, to assume the defense of any claim brought by or in the right of the Company. Indemnitee shall give the Company such information and cooperation in connection with the Proceeding as may be reasonably appropriate. The Company shall not be liable to indemnify Indemnitee for any settlement of any Proceeding (or any part thereof) effected without the Company’s prior written consent, which shall not be unreasonably withheld. Subject to the limitations set forth in this Agreement, the Company shall have the right to settle any Proceeding (or any part thereof) without the consent of Indemnitee,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settle any Proceeding (or any part thereof) in a manner that would impose any liability, penalty or admission of guilt or liability on Indemnitee without Indemnitee’s written consent.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46620" cy="171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152" w:right="239" w:bottom="1440" w:gutter="0" w:footer="0" w:header="0"/>
        </w:sectPr>
      </w:pPr>
    </w:p>
    <w:bookmarkStart w:id="363" w:name="page364"/>
    <w:bookmarkEnd w:id="363"/>
    <w:p>
      <w:pPr>
        <w:ind w:left="644" w:hanging="644"/>
        <w:spacing w:after="0"/>
        <w:tabs>
          <w:tab w:leader="none" w:pos="644" w:val="left"/>
        </w:tabs>
        <w:numPr>
          <w:ilvl w:val="0"/>
          <w:numId w:val="325"/>
        </w:numPr>
        <w:rPr>
          <w:rFonts w:ascii="Arial" w:cs="Arial" w:eastAsia="Arial" w:hAnsi="Arial"/>
          <w:sz w:val="18"/>
          <w:szCs w:val="18"/>
          <w:color w:val="auto"/>
        </w:rPr>
      </w:pPr>
      <w:r>
        <w:rPr>
          <w:rFonts w:ascii="Arial" w:cs="Arial" w:eastAsia="Arial" w:hAnsi="Arial"/>
          <w:sz w:val="18"/>
          <w:szCs w:val="18"/>
          <w:u w:val="single" w:color="auto"/>
          <w:color w:val="auto"/>
        </w:rPr>
        <w:t>Remedies of Indemnitee</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4" w:firstLine="645"/>
        <w:spacing w:after="0" w:line="268" w:lineRule="auto"/>
        <w:tabs>
          <w:tab w:leader="none" w:pos="1317" w:val="left"/>
        </w:tabs>
        <w:numPr>
          <w:ilvl w:val="1"/>
          <w:numId w:val="325"/>
        </w:numPr>
        <w:rPr>
          <w:rFonts w:ascii="Arial" w:cs="Arial" w:eastAsia="Arial" w:hAnsi="Arial"/>
          <w:sz w:val="17"/>
          <w:szCs w:val="17"/>
          <w:color w:val="auto"/>
        </w:rPr>
      </w:pPr>
      <w:r>
        <w:rPr>
          <w:rFonts w:ascii="Arial" w:cs="Arial" w:eastAsia="Arial" w:hAnsi="Arial"/>
          <w:sz w:val="17"/>
          <w:szCs w:val="17"/>
          <w:color w:val="auto"/>
        </w:rPr>
        <w:t xml:space="preserve">In the event that (i) a determination is made pursuant to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of this Agreement that Indemnitee is not entitled to indemnification under this Agreement, (ii) advancement of Expenses is not timely made pursuant to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of this Agreement, (iii) no determination of entitlement to indemnification is made pursuant to </w:t>
      </w:r>
      <w:r>
        <w:rPr>
          <w:rFonts w:ascii="Arial" w:cs="Arial" w:eastAsia="Arial" w:hAnsi="Arial"/>
          <w:sz w:val="17"/>
          <w:szCs w:val="17"/>
          <w:u w:val="single" w:color="auto"/>
          <w:color w:val="auto"/>
        </w:rPr>
        <w:t>Section 6(b)</w:t>
      </w:r>
      <w:r>
        <w:rPr>
          <w:rFonts w:ascii="Arial" w:cs="Arial" w:eastAsia="Arial" w:hAnsi="Arial"/>
          <w:sz w:val="17"/>
          <w:szCs w:val="17"/>
          <w:color w:val="auto"/>
        </w:rPr>
        <w:t xml:space="preserve"> of this Agreement within ninety (90) days (or in the case of an advancement of Expenses in accordance with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twenty (20) days,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Indemnitee has, if and to the extent required by the TBOC, delivered the undertaking contemplated in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after receipt by the Company of the request for indemnification (or advancement), (iv) payment of indemnification is not made pursuant to </w:t>
      </w:r>
      <w:r>
        <w:rPr>
          <w:rFonts w:ascii="Arial" w:cs="Arial" w:eastAsia="Arial" w:hAnsi="Arial"/>
          <w:sz w:val="17"/>
          <w:szCs w:val="17"/>
          <w:u w:val="single" w:color="auto"/>
          <w:color w:val="auto"/>
        </w:rPr>
        <w:t>Section 1(c)</w:t>
      </w:r>
      <w:r>
        <w:rPr>
          <w:rFonts w:ascii="Arial" w:cs="Arial" w:eastAsia="Arial" w:hAnsi="Arial"/>
          <w:sz w:val="17"/>
          <w:szCs w:val="17"/>
          <w:color w:val="auto"/>
        </w:rPr>
        <w:t xml:space="preserve"> of this Agreement within ten (10) days after receipt by the Company of a written request therefor, (v) payment of indemnification is not made within ten (10) days after a determination has been made that Indemnitee is entitled to indemnification or such determination is deemed to have been made pursuant to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of this Agreement, or (vi) contribution is not made pursuant to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of this Agreement within ten (10) days after receipt by the Company of a written request therefor, then Indemnitee shall be entitled to an adjudication in an appropriate court of the State of Texas, or in any other court of competent jurisdiction, of Indemnitee’s entitlement to such indemnification or advancement. Indemnitee shall commence such proceeding seeking an adjudication within one hundred eighty (180) days following the date on which Indemnitee first has the right to commence such proceeding pursuant to this </w:t>
      </w:r>
      <w:r>
        <w:rPr>
          <w:rFonts w:ascii="Arial" w:cs="Arial" w:eastAsia="Arial" w:hAnsi="Arial"/>
          <w:sz w:val="17"/>
          <w:szCs w:val="17"/>
          <w:u w:val="single" w:color="auto"/>
          <w:color w:val="auto"/>
        </w:rPr>
        <w:t>Section 8(a)</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foregoing clause shall not apply in respect of a proceeding brought by Indemnitee to enforce Indemnitee’s rights under </w:t>
      </w:r>
      <w:r>
        <w:rPr>
          <w:rFonts w:ascii="Arial" w:cs="Arial" w:eastAsia="Arial" w:hAnsi="Arial"/>
          <w:sz w:val="17"/>
          <w:szCs w:val="17"/>
          <w:u w:val="single" w:color="auto"/>
          <w:color w:val="auto"/>
        </w:rPr>
        <w:t>Section 1(c)</w:t>
      </w:r>
      <w:r>
        <w:rPr>
          <w:rFonts w:ascii="Arial" w:cs="Arial" w:eastAsia="Arial" w:hAnsi="Arial"/>
          <w:sz w:val="17"/>
          <w:szCs w:val="17"/>
          <w:color w:val="auto"/>
        </w:rPr>
        <w:t xml:space="preserve"> of this Agreement. The Company shall not oppose Indemnitee’s right to seek any such adjudication.</w:t>
      </w:r>
    </w:p>
    <w:p>
      <w:pPr>
        <w:spacing w:after="0" w:line="239" w:lineRule="exact"/>
        <w:rPr>
          <w:rFonts w:ascii="Arial" w:cs="Arial" w:eastAsia="Arial" w:hAnsi="Arial"/>
          <w:sz w:val="17"/>
          <w:szCs w:val="17"/>
          <w:color w:val="auto"/>
        </w:rPr>
      </w:pPr>
    </w:p>
    <w:p>
      <w:pPr>
        <w:jc w:val="both"/>
        <w:ind w:left="4" w:right="20" w:firstLine="645"/>
        <w:spacing w:after="0" w:line="264" w:lineRule="auto"/>
        <w:tabs>
          <w:tab w:leader="none" w:pos="1327" w:val="left"/>
        </w:tabs>
        <w:numPr>
          <w:ilvl w:val="1"/>
          <w:numId w:val="325"/>
        </w:numPr>
        <w:rPr>
          <w:rFonts w:ascii="Arial" w:cs="Arial" w:eastAsia="Arial" w:hAnsi="Arial"/>
          <w:sz w:val="18"/>
          <w:szCs w:val="18"/>
          <w:color w:val="auto"/>
        </w:rPr>
      </w:pPr>
      <w:r>
        <w:rPr>
          <w:rFonts w:ascii="Arial" w:cs="Arial" w:eastAsia="Arial" w:hAnsi="Arial"/>
          <w:sz w:val="18"/>
          <w:szCs w:val="18"/>
          <w:color w:val="auto"/>
        </w:rPr>
        <w:t xml:space="preserve">In the event that a determination shall have been made pursuant to </w:t>
      </w:r>
      <w:r>
        <w:rPr>
          <w:rFonts w:ascii="Arial" w:cs="Arial" w:eastAsia="Arial" w:hAnsi="Arial"/>
          <w:sz w:val="18"/>
          <w:szCs w:val="18"/>
          <w:u w:val="single" w:color="auto"/>
          <w:color w:val="auto"/>
        </w:rPr>
        <w:t>Section 6(b)</w:t>
      </w:r>
      <w:r>
        <w:rPr>
          <w:rFonts w:ascii="Arial" w:cs="Arial" w:eastAsia="Arial" w:hAnsi="Arial"/>
          <w:sz w:val="18"/>
          <w:szCs w:val="18"/>
          <w:color w:val="auto"/>
        </w:rPr>
        <w:t xml:space="preserve"> of this Agreement that Indemnitee is not entitled to indemnification, any judicial proceeding commenced pursuant to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shall be conducted in all respects as a de novo trial on the merits, and Indemnitee shall not be prejudiced by reason of any adverse determination under </w:t>
      </w:r>
      <w:r>
        <w:rPr>
          <w:rFonts w:ascii="Arial" w:cs="Arial" w:eastAsia="Arial" w:hAnsi="Arial"/>
          <w:sz w:val="18"/>
          <w:szCs w:val="18"/>
          <w:u w:val="single" w:color="auto"/>
          <w:color w:val="auto"/>
        </w:rPr>
        <w:t>Section 6(b)</w:t>
      </w:r>
      <w:r>
        <w:rPr>
          <w:rFonts w:ascii="Arial" w:cs="Arial" w:eastAsia="Arial" w:hAnsi="Arial"/>
          <w:sz w:val="18"/>
          <w:szCs w:val="18"/>
          <w:color w:val="auto"/>
        </w:rPr>
        <w:t>.</w:t>
      </w:r>
    </w:p>
    <w:p>
      <w:pPr>
        <w:spacing w:after="0" w:line="235" w:lineRule="exact"/>
        <w:rPr>
          <w:rFonts w:ascii="Arial" w:cs="Arial" w:eastAsia="Arial" w:hAnsi="Arial"/>
          <w:sz w:val="18"/>
          <w:szCs w:val="18"/>
          <w:color w:val="auto"/>
        </w:rPr>
      </w:pPr>
    </w:p>
    <w:p>
      <w:pPr>
        <w:ind w:left="4" w:right="20" w:firstLine="645"/>
        <w:spacing w:after="0" w:line="279" w:lineRule="auto"/>
        <w:tabs>
          <w:tab w:leader="none" w:pos="1317" w:val="left"/>
        </w:tabs>
        <w:numPr>
          <w:ilvl w:val="1"/>
          <w:numId w:val="325"/>
        </w:numPr>
        <w:rPr>
          <w:rFonts w:ascii="Arial" w:cs="Arial" w:eastAsia="Arial" w:hAnsi="Arial"/>
          <w:sz w:val="17"/>
          <w:szCs w:val="17"/>
          <w:color w:val="auto"/>
        </w:rPr>
      </w:pPr>
      <w:r>
        <w:rPr>
          <w:rFonts w:ascii="Arial" w:cs="Arial" w:eastAsia="Arial" w:hAnsi="Arial"/>
          <w:sz w:val="17"/>
          <w:szCs w:val="17"/>
          <w:color w:val="auto"/>
        </w:rPr>
        <w:t xml:space="preserve">If a determination shall have been made pursuant to </w:t>
      </w:r>
      <w:r>
        <w:rPr>
          <w:rFonts w:ascii="Arial" w:cs="Arial" w:eastAsia="Arial" w:hAnsi="Arial"/>
          <w:sz w:val="17"/>
          <w:szCs w:val="17"/>
          <w:u w:val="single" w:color="auto"/>
          <w:color w:val="auto"/>
        </w:rPr>
        <w:t>Section 6(b)</w:t>
      </w:r>
      <w:r>
        <w:rPr>
          <w:rFonts w:ascii="Arial" w:cs="Arial" w:eastAsia="Arial" w:hAnsi="Arial"/>
          <w:sz w:val="17"/>
          <w:szCs w:val="17"/>
          <w:color w:val="auto"/>
        </w:rPr>
        <w:t xml:space="preserve"> of this Agreement that Indemnitee is entitled to indemnification, the Company shall be bound by such determination in any judicial proceeding commenced pursuant to this </w:t>
      </w:r>
      <w:r>
        <w:rPr>
          <w:rFonts w:ascii="Arial" w:cs="Arial" w:eastAsia="Arial" w:hAnsi="Arial"/>
          <w:sz w:val="17"/>
          <w:szCs w:val="17"/>
          <w:u w:val="single" w:color="auto"/>
          <w:color w:val="auto"/>
        </w:rPr>
        <w:t>Section 8</w:t>
      </w:r>
      <w:r>
        <w:rPr>
          <w:rFonts w:ascii="Arial" w:cs="Arial" w:eastAsia="Arial" w:hAnsi="Arial"/>
          <w:sz w:val="17"/>
          <w:szCs w:val="17"/>
          <w:color w:val="auto"/>
        </w:rPr>
        <w:t>, absent (i) a misstatement by Indemnitee of a material fact, or an omission of a material fact necessary to make Indemnitee’s misstatement not materially misleading in connection with the application for indemnification, or (ii) a prohibition of such indemnification under applicable law.</w:t>
      </w:r>
    </w:p>
    <w:p>
      <w:pPr>
        <w:spacing w:after="0" w:line="225" w:lineRule="exact"/>
        <w:rPr>
          <w:rFonts w:ascii="Arial" w:cs="Arial" w:eastAsia="Arial" w:hAnsi="Arial"/>
          <w:sz w:val="17"/>
          <w:szCs w:val="17"/>
          <w:color w:val="auto"/>
        </w:rPr>
      </w:pPr>
    </w:p>
    <w:p>
      <w:pPr>
        <w:ind w:left="4" w:firstLine="645"/>
        <w:spacing w:after="0" w:line="297" w:lineRule="auto"/>
        <w:tabs>
          <w:tab w:leader="none" w:pos="1327" w:val="left"/>
        </w:tabs>
        <w:numPr>
          <w:ilvl w:val="1"/>
          <w:numId w:val="325"/>
        </w:numPr>
        <w:rPr>
          <w:rFonts w:ascii="Arial" w:cs="Arial" w:eastAsia="Arial" w:hAnsi="Arial"/>
          <w:sz w:val="16"/>
          <w:szCs w:val="16"/>
          <w:color w:val="auto"/>
        </w:rPr>
      </w:pPr>
      <w:r>
        <w:rPr>
          <w:rFonts w:ascii="Arial" w:cs="Arial" w:eastAsia="Arial" w:hAnsi="Arial"/>
          <w:sz w:val="16"/>
          <w:szCs w:val="16"/>
          <w:color w:val="auto"/>
        </w:rPr>
        <w:t xml:space="preserve">In the event that Indemnitee, pursuant to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seeks a judicial adjudication of Indemnitee’s rights under, or to recover damages for breach of, this Agreement, or to recover under any directors’ and officers’ liability insurance policies maintained by the Company, the Company shall, to the fullest extent permitted by applicable law, indemnify Indemnitee against any and all Expenses and, if requested by Indemnitee, shall (within ten (10) days after receipt by the Company of a written request therefor) advance, to the extent not prohibited by law and in accordance with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of this Agreement, such Expenses to Indemnitee, which are reasonably incurred by Indemnitee in such judicial adjudication.</w:t>
      </w:r>
    </w:p>
    <w:p>
      <w:pPr>
        <w:spacing w:after="0" w:line="212" w:lineRule="exact"/>
        <w:rPr>
          <w:rFonts w:ascii="Arial" w:cs="Arial" w:eastAsia="Arial" w:hAnsi="Arial"/>
          <w:sz w:val="16"/>
          <w:szCs w:val="16"/>
          <w:color w:val="auto"/>
        </w:rPr>
      </w:pPr>
    </w:p>
    <w:p>
      <w:pPr>
        <w:ind w:left="4" w:right="480" w:firstLine="645"/>
        <w:spacing w:after="0" w:line="277" w:lineRule="auto"/>
        <w:tabs>
          <w:tab w:leader="none" w:pos="1317" w:val="left"/>
        </w:tabs>
        <w:numPr>
          <w:ilvl w:val="1"/>
          <w:numId w:val="325"/>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no determination as to entitlement to indemnification under this Agreement shall be required to be made prior to the final disposition of the Proceeding.</w:t>
      </w:r>
    </w:p>
    <w:p>
      <w:pPr>
        <w:spacing w:after="0" w:line="126" w:lineRule="exact"/>
        <w:rPr>
          <w:sz w:val="20"/>
          <w:szCs w:val="20"/>
          <w:color w:val="auto"/>
        </w:rPr>
      </w:pPr>
    </w:p>
    <w:p>
      <w:pPr>
        <w:ind w:left="5024"/>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246620" cy="171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368" w:right="239" w:bottom="1440" w:gutter="0" w:footer="0" w:header="0"/>
        </w:sectPr>
      </w:pPr>
    </w:p>
    <w:bookmarkStart w:id="364" w:name="page365"/>
    <w:bookmarkEnd w:id="364"/>
    <w:p>
      <w:pPr>
        <w:ind w:left="644" w:hanging="644"/>
        <w:spacing w:after="0"/>
        <w:tabs>
          <w:tab w:leader="none" w:pos="644"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t>Non-Exclusivity; Survival of Rights; Insurance; Primacy of Indemnification; Subrogation</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4" w:right="20" w:firstLine="645"/>
        <w:spacing w:after="0" w:line="269" w:lineRule="auto"/>
        <w:tabs>
          <w:tab w:leader="none" w:pos="1317" w:val="left"/>
        </w:tabs>
        <w:numPr>
          <w:ilvl w:val="1"/>
          <w:numId w:val="326"/>
        </w:numPr>
        <w:rPr>
          <w:rFonts w:ascii="Arial" w:cs="Arial" w:eastAsia="Arial" w:hAnsi="Arial"/>
          <w:sz w:val="17"/>
          <w:szCs w:val="17"/>
          <w:color w:val="auto"/>
        </w:rPr>
      </w:pPr>
      <w:r>
        <w:rPr>
          <w:rFonts w:ascii="Arial" w:cs="Arial" w:eastAsia="Arial" w:hAnsi="Arial"/>
          <w:sz w:val="17"/>
          <w:szCs w:val="17"/>
          <w:color w:val="auto"/>
        </w:rPr>
        <w:t>The rights of indemnification and to receive advancement of Expenses as provided by this Agreement shall not be deemed exclusive of any other rights to which Indemnitee may at any time be entitled under applicable law, the Certificate of Formation, the Bylaws, any agreement, a vote of shareholders, a resolution of directors of the Company, or otherwise. No amendment, alteration or repeal of this Agreement or of any provision hereof shall limit or restrict any right of Indemnitee under this Agreement in respect of any action taken or omitted by Indemnitee in Indemnitee’s Corporate Status prior to such amendment, alteration or repeal. To the extent that a change in the TBOC, whether by statute or judicial decision, permits greater indemnification or advancement of expenses than would be afforded currently under the Certificate of Formation, the Bylaws or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236" w:lineRule="exact"/>
        <w:rPr>
          <w:rFonts w:ascii="Arial" w:cs="Arial" w:eastAsia="Arial" w:hAnsi="Arial"/>
          <w:sz w:val="17"/>
          <w:szCs w:val="17"/>
          <w:color w:val="auto"/>
        </w:rPr>
      </w:pPr>
    </w:p>
    <w:p>
      <w:pPr>
        <w:ind w:left="4" w:firstLine="645"/>
        <w:spacing w:after="0" w:line="288" w:lineRule="auto"/>
        <w:tabs>
          <w:tab w:leader="none" w:pos="1327" w:val="left"/>
        </w:tabs>
        <w:numPr>
          <w:ilvl w:val="1"/>
          <w:numId w:val="326"/>
        </w:numPr>
        <w:rPr>
          <w:rFonts w:ascii="Arial" w:cs="Arial" w:eastAsia="Arial" w:hAnsi="Arial"/>
          <w:sz w:val="16"/>
          <w:szCs w:val="16"/>
          <w:color w:val="auto"/>
        </w:rPr>
      </w:pPr>
      <w:r>
        <w:rPr>
          <w:rFonts w:ascii="Arial" w:cs="Arial" w:eastAsia="Arial" w:hAnsi="Arial"/>
          <w:sz w:val="16"/>
          <w:szCs w:val="16"/>
          <w:color w:val="auto"/>
        </w:rPr>
        <w:t xml:space="preserve">The Company shall, if commercially reasonable, obtain and maintain in effect during the entire period described in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for which the Company is obligated to indemnify Indemnitee under this Agreement, one or more policies of insurance with reputable insurance companies to provide the directors and officers of the Company with coverage for losses from wrongful acts and omissions and to ensure the Company’s performance of its indemnification obligations under this Agreement (“</w:t>
      </w:r>
      <w:r>
        <w:rPr>
          <w:rFonts w:ascii="Arial" w:cs="Arial" w:eastAsia="Arial" w:hAnsi="Arial"/>
          <w:sz w:val="16"/>
          <w:szCs w:val="16"/>
          <w:b w:val="1"/>
          <w:bCs w:val="1"/>
          <w:color w:val="auto"/>
        </w:rPr>
        <w:t>D&amp;O Insurance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connection with a Change in Control that occurs prior to the termination of the period described in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for which the Company is obligated to indemnify Indemnitee, the Company shall instead purchase a six (6) year pre-paid “tail policy” on terms and conditions (in both amount and scope) providing substantially equivalent benefits to Indemnitee as the D&amp;O Insurance in effect as of the closing of the Change in Control (the “</w:t>
      </w:r>
      <w:r>
        <w:rPr>
          <w:rFonts w:ascii="Arial" w:cs="Arial" w:eastAsia="Arial" w:hAnsi="Arial"/>
          <w:sz w:val="16"/>
          <w:szCs w:val="16"/>
          <w:b w:val="1"/>
          <w:bCs w:val="1"/>
          <w:color w:val="auto"/>
        </w:rPr>
        <w:t>Change in Control Closing</w:t>
      </w:r>
      <w:r>
        <w:rPr>
          <w:rFonts w:ascii="Arial" w:cs="Arial" w:eastAsia="Arial" w:hAnsi="Arial"/>
          <w:sz w:val="16"/>
          <w:szCs w:val="16"/>
          <w:color w:val="auto"/>
        </w:rPr>
        <w:t xml:space="preserve"> </w:t>
      </w:r>
      <w:r>
        <w:rPr>
          <w:rFonts w:ascii="Arial" w:cs="Arial" w:eastAsia="Arial" w:hAnsi="Arial"/>
          <w:sz w:val="16"/>
          <w:szCs w:val="16"/>
          <w:b w:val="1"/>
          <w:bCs w:val="1"/>
          <w:color w:val="auto"/>
        </w:rPr>
        <w:t>Date</w:t>
      </w:r>
      <w:r>
        <w:rPr>
          <w:rFonts w:ascii="Arial" w:cs="Arial" w:eastAsia="Arial" w:hAnsi="Arial"/>
          <w:sz w:val="16"/>
          <w:szCs w:val="16"/>
          <w:color w:val="auto"/>
        </w:rPr>
        <w:t>”) with respect to matters arising on or prior to the earlier of (i) the Change in Control Closing Date and (ii) the date on which Indemnitee</w:t>
      </w:r>
      <w:r>
        <w:rPr>
          <w:rFonts w:ascii="Arial" w:cs="Arial" w:eastAsia="Arial" w:hAnsi="Arial"/>
          <w:sz w:val="16"/>
          <w:szCs w:val="16"/>
          <w:b w:val="1"/>
          <w:bCs w:val="1"/>
          <w:color w:val="auto"/>
        </w:rPr>
        <w:t xml:space="preserve"> </w:t>
      </w:r>
      <w:r>
        <w:rPr>
          <w:rFonts w:ascii="Arial" w:cs="Arial" w:eastAsia="Arial" w:hAnsi="Arial"/>
          <w:sz w:val="16"/>
          <w:szCs w:val="16"/>
          <w:color w:val="auto"/>
        </w:rPr>
        <w:t>ceased serving as a director, officer or fiduciary of the Company, any direct or indirect subsidiary of the Company or of any other corporation, partnership, joint venture, trust, employee benefit plan or other enterprise at the written request of the Company.</w:t>
      </w:r>
    </w:p>
    <w:p>
      <w:pPr>
        <w:spacing w:after="0" w:line="223" w:lineRule="exact"/>
        <w:rPr>
          <w:rFonts w:ascii="Arial" w:cs="Arial" w:eastAsia="Arial" w:hAnsi="Arial"/>
          <w:sz w:val="16"/>
          <w:szCs w:val="16"/>
          <w:color w:val="auto"/>
        </w:rPr>
      </w:pPr>
    </w:p>
    <w:p>
      <w:pPr>
        <w:ind w:left="4" w:right="320" w:firstLine="645"/>
        <w:spacing w:after="0" w:line="297" w:lineRule="auto"/>
        <w:tabs>
          <w:tab w:leader="none" w:pos="1317" w:val="left"/>
        </w:tabs>
        <w:numPr>
          <w:ilvl w:val="1"/>
          <w:numId w:val="326"/>
        </w:numPr>
        <w:rPr>
          <w:rFonts w:ascii="Arial" w:cs="Arial" w:eastAsia="Arial" w:hAnsi="Arial"/>
          <w:sz w:val="16"/>
          <w:szCs w:val="16"/>
          <w:color w:val="auto"/>
        </w:rPr>
      </w:pPr>
      <w:r>
        <w:rPr>
          <w:rFonts w:ascii="Arial" w:cs="Arial" w:eastAsia="Arial" w:hAnsi="Arial"/>
          <w:sz w:val="16"/>
          <w:szCs w:val="16"/>
          <w:color w:val="auto"/>
        </w:rPr>
        <w:t>If, at the time of the receipt of a notice of a claim pursuant to the terms hereof, the Company has D&amp;O Insurance in effect, the Company shall give prompt notice of the commencement of such Proceeding to the insurers in accordance with the procedures set forth in the respective policies. The Company shall thereafter take all necessary or desirable action to cause such insurers to pay, on behalf of Indemnitee, all amounts payable as a result of such Proceeding in accordance with the terms of such policies. Indemnitee will reasonably cooperate with the Company to obtain such insurance coverage, including with respect to the selection and rates of Indemnitee’s counsel.</w:t>
      </w:r>
    </w:p>
    <w:p>
      <w:pPr>
        <w:spacing w:after="0" w:line="212" w:lineRule="exact"/>
        <w:rPr>
          <w:rFonts w:ascii="Arial" w:cs="Arial" w:eastAsia="Arial" w:hAnsi="Arial"/>
          <w:sz w:val="16"/>
          <w:szCs w:val="16"/>
          <w:color w:val="auto"/>
        </w:rPr>
      </w:pPr>
    </w:p>
    <w:p>
      <w:pPr>
        <w:jc w:val="both"/>
        <w:ind w:left="4" w:right="300" w:firstLine="645"/>
        <w:spacing w:after="0" w:line="264" w:lineRule="auto"/>
        <w:tabs>
          <w:tab w:leader="none" w:pos="1327" w:val="left"/>
        </w:tabs>
        <w:numPr>
          <w:ilvl w:val="1"/>
          <w:numId w:val="326"/>
        </w:numPr>
        <w:rPr>
          <w:rFonts w:ascii="Arial" w:cs="Arial" w:eastAsia="Arial" w:hAnsi="Arial"/>
          <w:sz w:val="18"/>
          <w:szCs w:val="18"/>
          <w:color w:val="auto"/>
        </w:rPr>
      </w:pPr>
      <w:r>
        <w:rPr>
          <w:rFonts w:ascii="Arial" w:cs="Arial" w:eastAsia="Arial" w:hAnsi="Arial"/>
          <w:sz w:val="18"/>
          <w:szCs w:val="18"/>
          <w:color w:val="auto"/>
        </w:rPr>
        <w:t>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235" w:lineRule="exact"/>
        <w:rPr>
          <w:rFonts w:ascii="Arial" w:cs="Arial" w:eastAsia="Arial" w:hAnsi="Arial"/>
          <w:sz w:val="18"/>
          <w:szCs w:val="18"/>
          <w:color w:val="auto"/>
        </w:rPr>
      </w:pPr>
    </w:p>
    <w:p>
      <w:pPr>
        <w:ind w:left="4" w:right="40" w:firstLine="645"/>
        <w:spacing w:after="0" w:line="342" w:lineRule="auto"/>
        <w:tabs>
          <w:tab w:leader="none" w:pos="1317" w:val="left"/>
        </w:tabs>
        <w:numPr>
          <w:ilvl w:val="1"/>
          <w:numId w:val="326"/>
        </w:numPr>
        <w:rPr>
          <w:rFonts w:ascii="Arial" w:cs="Arial" w:eastAsia="Arial" w:hAnsi="Arial"/>
          <w:sz w:val="16"/>
          <w:szCs w:val="16"/>
          <w:color w:val="auto"/>
        </w:rPr>
      </w:pPr>
      <w:r>
        <w:rPr>
          <w:rFonts w:ascii="Arial" w:cs="Arial" w:eastAsia="Arial" w:hAnsi="Arial"/>
          <w:sz w:val="16"/>
          <w:szCs w:val="16"/>
          <w:color w:val="auto"/>
        </w:rPr>
        <w:t>The Company shall not be liable under this Agreement to make any payment of amounts otherwise indemnifiable hereunder if and to the extent that Indemnitee has otherwise actually received such payment under any insurance policy, contract, agreement or otherwise.</w:t>
      </w:r>
    </w:p>
    <w:p>
      <w:pPr>
        <w:spacing w:after="0" w:line="177" w:lineRule="exact"/>
        <w:rPr>
          <w:rFonts w:ascii="Arial" w:cs="Arial" w:eastAsia="Arial" w:hAnsi="Arial"/>
          <w:sz w:val="16"/>
          <w:szCs w:val="16"/>
          <w:color w:val="auto"/>
        </w:rPr>
      </w:pPr>
    </w:p>
    <w:p>
      <w:pPr>
        <w:ind w:left="4" w:right="440" w:firstLine="645"/>
        <w:spacing w:after="0" w:line="302" w:lineRule="auto"/>
        <w:tabs>
          <w:tab w:leader="none" w:pos="1297" w:val="left"/>
        </w:tabs>
        <w:numPr>
          <w:ilvl w:val="1"/>
          <w:numId w:val="326"/>
        </w:numPr>
        <w:rPr>
          <w:rFonts w:ascii="Arial" w:cs="Arial" w:eastAsia="Arial" w:hAnsi="Arial"/>
          <w:sz w:val="16"/>
          <w:szCs w:val="16"/>
          <w:color w:val="auto"/>
        </w:rPr>
      </w:pPr>
      <w:r>
        <w:rPr>
          <w:rFonts w:ascii="Arial" w:cs="Arial" w:eastAsia="Arial" w:hAnsi="Arial"/>
          <w:sz w:val="16"/>
          <w:szCs w:val="16"/>
          <w:color w:val="auto"/>
        </w:rPr>
        <w:t>The Company’s obligation to indemnify or advance Expenses hereunder to Indemnitee who, while a director or officer of the Company, is or was serving at the request of the Company as a director, officer, employee or agent of any other corporation, partnership, joint venture, trust, employee benefit plan or other enterprise shall be reduced by any amount Indemnitee has actually received as indemnification or advancement of Expenses from such other corporation, partnership, joint venture, trust, employee benefit plan or other enterprise.</w:t>
      </w:r>
    </w:p>
    <w:p>
      <w:pPr>
        <w:spacing w:after="0" w:line="109" w:lineRule="exact"/>
        <w:rPr>
          <w:sz w:val="20"/>
          <w:szCs w:val="20"/>
          <w:color w:val="auto"/>
        </w:rPr>
      </w:pPr>
    </w:p>
    <w:p>
      <w:pPr>
        <w:ind w:left="5024"/>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246620" cy="171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368" w:right="239" w:bottom="1440" w:gutter="0" w:footer="0" w:header="0"/>
        </w:sectPr>
      </w:pPr>
    </w:p>
    <w:bookmarkStart w:id="365" w:name="page366"/>
    <w:bookmarkEnd w:id="365"/>
    <w:p>
      <w:pPr>
        <w:ind w:left="-60" w:right="140" w:firstLine="656"/>
        <w:spacing w:after="0" w:line="277" w:lineRule="auto"/>
        <w:tabs>
          <w:tab w:leader="none" w:pos="1353" w:val="left"/>
        </w:tabs>
        <w:numPr>
          <w:ilvl w:val="0"/>
          <w:numId w:val="327"/>
        </w:numPr>
        <w:rPr>
          <w:rFonts w:ascii="Arial" w:cs="Arial" w:eastAsia="Arial" w:hAnsi="Arial"/>
          <w:sz w:val="18"/>
          <w:szCs w:val="18"/>
          <w:color w:val="auto"/>
        </w:rPr>
      </w:pPr>
      <w:r>
        <w:rPr>
          <w:rFonts w:ascii="Arial" w:cs="Arial" w:eastAsia="Arial" w:hAnsi="Arial"/>
          <w:sz w:val="18"/>
          <w:szCs w:val="18"/>
          <w:u w:val="single" w:color="auto"/>
          <w:color w:val="auto"/>
        </w:rPr>
        <w:t>Exception to Right of Indemnification</w:t>
      </w:r>
      <w:r>
        <w:rPr>
          <w:rFonts w:ascii="Arial" w:cs="Arial" w:eastAsia="Arial" w:hAnsi="Arial"/>
          <w:sz w:val="18"/>
          <w:szCs w:val="18"/>
          <w:color w:val="auto"/>
        </w:rPr>
        <w:t>. Notwithstanding any provision in this Agreement, the Company shall not be obligated under this Agreement to make any indemnity in connection with any claim made against Indemnitee:</w:t>
      </w:r>
    </w:p>
    <w:p>
      <w:pPr>
        <w:spacing w:after="0" w:line="224" w:lineRule="exact"/>
        <w:rPr>
          <w:rFonts w:ascii="Arial" w:cs="Arial" w:eastAsia="Arial" w:hAnsi="Arial"/>
          <w:sz w:val="18"/>
          <w:szCs w:val="18"/>
          <w:color w:val="auto"/>
        </w:rPr>
      </w:pPr>
    </w:p>
    <w:p>
      <w:pPr>
        <w:ind w:left="600" w:right="20" w:firstLine="645"/>
        <w:spacing w:after="0" w:line="308" w:lineRule="auto"/>
        <w:tabs>
          <w:tab w:leader="none" w:pos="1913" w:val="left"/>
        </w:tabs>
        <w:numPr>
          <w:ilvl w:val="1"/>
          <w:numId w:val="327"/>
        </w:numPr>
        <w:rPr>
          <w:rFonts w:ascii="Arial" w:cs="Arial" w:eastAsia="Arial" w:hAnsi="Arial"/>
          <w:sz w:val="17"/>
          <w:szCs w:val="17"/>
          <w:color w:val="auto"/>
        </w:rPr>
      </w:pPr>
      <w:r>
        <w:rPr>
          <w:rFonts w:ascii="Arial" w:cs="Arial" w:eastAsia="Arial" w:hAnsi="Arial"/>
          <w:sz w:val="17"/>
          <w:szCs w:val="17"/>
          <w:color w:val="auto"/>
        </w:rPr>
        <w:t>for which payment has actually been made to or on behalf of Indemnitee under any insurance policy or other indemnity provision, except with respect to any excess beyond the amount paid under any insurance policy or other indemnity provision; or</w:t>
      </w:r>
    </w:p>
    <w:p>
      <w:pPr>
        <w:spacing w:after="0" w:line="200" w:lineRule="exact"/>
        <w:rPr>
          <w:rFonts w:ascii="Arial" w:cs="Arial" w:eastAsia="Arial" w:hAnsi="Arial"/>
          <w:sz w:val="17"/>
          <w:szCs w:val="17"/>
          <w:color w:val="auto"/>
        </w:rPr>
      </w:pPr>
    </w:p>
    <w:p>
      <w:pPr>
        <w:ind w:left="600" w:right="160" w:firstLine="645"/>
        <w:spacing w:after="0" w:line="264" w:lineRule="auto"/>
        <w:tabs>
          <w:tab w:leader="none" w:pos="1923" w:val="left"/>
        </w:tabs>
        <w:numPr>
          <w:ilvl w:val="1"/>
          <w:numId w:val="327"/>
        </w:numPr>
        <w:rPr>
          <w:rFonts w:ascii="Arial" w:cs="Arial" w:eastAsia="Arial" w:hAnsi="Arial"/>
          <w:sz w:val="18"/>
          <w:szCs w:val="18"/>
          <w:color w:val="auto"/>
        </w:rPr>
      </w:pPr>
      <w:r>
        <w:rPr>
          <w:rFonts w:ascii="Arial" w:cs="Arial" w:eastAsia="Arial" w:hAnsi="Arial"/>
          <w:sz w:val="18"/>
          <w:szCs w:val="18"/>
          <w:color w:val="auto"/>
        </w:rPr>
        <w:t xml:space="preserve">for an accounting of profits made from the purchase and sale (or sale and purchase) by Indemnitee of securities of the Company within the meaning of </w:t>
      </w:r>
      <w:r>
        <w:rPr>
          <w:rFonts w:ascii="Arial" w:cs="Arial" w:eastAsia="Arial" w:hAnsi="Arial"/>
          <w:sz w:val="18"/>
          <w:szCs w:val="18"/>
          <w:u w:val="single" w:color="auto"/>
          <w:color w:val="auto"/>
        </w:rPr>
        <w:t>Section 16(b)</w:t>
      </w:r>
      <w:r>
        <w:rPr>
          <w:rFonts w:ascii="Arial" w:cs="Arial" w:eastAsia="Arial" w:hAnsi="Arial"/>
          <w:sz w:val="18"/>
          <w:szCs w:val="18"/>
          <w:color w:val="auto"/>
        </w:rPr>
        <w:t xml:space="preserve"> of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or similar provisions of state statutory law or common law; or</w:t>
      </w:r>
    </w:p>
    <w:p>
      <w:pPr>
        <w:spacing w:after="0" w:line="235" w:lineRule="exact"/>
        <w:rPr>
          <w:rFonts w:ascii="Arial" w:cs="Arial" w:eastAsia="Arial" w:hAnsi="Arial"/>
          <w:sz w:val="18"/>
          <w:szCs w:val="18"/>
          <w:color w:val="auto"/>
        </w:rPr>
      </w:pPr>
    </w:p>
    <w:p>
      <w:pPr>
        <w:ind w:left="600" w:right="20" w:firstLine="645"/>
        <w:spacing w:after="0" w:line="302" w:lineRule="auto"/>
        <w:tabs>
          <w:tab w:leader="none" w:pos="1913" w:val="left"/>
        </w:tabs>
        <w:numPr>
          <w:ilvl w:val="1"/>
          <w:numId w:val="327"/>
        </w:numPr>
        <w:rPr>
          <w:rFonts w:ascii="Arial" w:cs="Arial" w:eastAsia="Arial" w:hAnsi="Arial"/>
          <w:sz w:val="16"/>
          <w:szCs w:val="16"/>
          <w:color w:val="auto"/>
        </w:rPr>
      </w:pPr>
      <w:r>
        <w:rPr>
          <w:rFonts w:ascii="Arial" w:cs="Arial" w:eastAsia="Arial" w:hAnsi="Arial"/>
          <w:sz w:val="16"/>
          <w:szCs w:val="16"/>
          <w:color w:val="auto"/>
        </w:rPr>
        <w:t>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(ii) the Company provides the indemnification, in its sole discretion, pursuant to the powers vested in the Company under applicable law or (iii) the proceeding is to enforce Indemnitee’s rights under this Agreement;</w:t>
      </w:r>
    </w:p>
    <w:p>
      <w:pPr>
        <w:spacing w:after="0" w:line="208" w:lineRule="exact"/>
        <w:rPr>
          <w:rFonts w:ascii="Arial" w:cs="Arial" w:eastAsia="Arial" w:hAnsi="Arial"/>
          <w:sz w:val="16"/>
          <w:szCs w:val="16"/>
          <w:color w:val="auto"/>
        </w:rPr>
      </w:pPr>
    </w:p>
    <w:p>
      <w:pPr>
        <w:ind w:left="1920" w:hanging="675"/>
        <w:spacing w:after="0"/>
        <w:tabs>
          <w:tab w:leader="none" w:pos="192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for the amount of any financial benefit received by Indemnitee for which Indemnitee is not entitled; or</w:t>
      </w:r>
    </w:p>
    <w:p>
      <w:pPr>
        <w:spacing w:after="0" w:line="279" w:lineRule="exact"/>
        <w:rPr>
          <w:rFonts w:ascii="Arial" w:cs="Arial" w:eastAsia="Arial" w:hAnsi="Arial"/>
          <w:sz w:val="18"/>
          <w:szCs w:val="18"/>
          <w:color w:val="auto"/>
        </w:rPr>
      </w:pPr>
    </w:p>
    <w:p>
      <w:pPr>
        <w:ind w:left="600" w:right="100" w:firstLine="645"/>
        <w:spacing w:after="0" w:line="276" w:lineRule="auto"/>
        <w:tabs>
          <w:tab w:leader="none" w:pos="1913" w:val="left"/>
        </w:tabs>
        <w:numPr>
          <w:ilvl w:val="1"/>
          <w:numId w:val="327"/>
        </w:numPr>
        <w:rPr>
          <w:rFonts w:ascii="Arial" w:cs="Arial" w:eastAsia="Arial" w:hAnsi="Arial"/>
          <w:sz w:val="17"/>
          <w:szCs w:val="17"/>
          <w:color w:val="auto"/>
        </w:rPr>
      </w:pPr>
      <w:r>
        <w:rPr>
          <w:rFonts w:ascii="Arial" w:cs="Arial" w:eastAsia="Arial" w:hAnsi="Arial"/>
          <w:sz w:val="17"/>
          <w:szCs w:val="17"/>
          <w:color w:val="auto"/>
        </w:rPr>
        <w:t>for any reimbursement of the Company by Indemnitee of any bonus or other incentive-based or equity-based compensation received previously by Indemnitee or payment of any profits realized by Indemnitee from the sale of securities of the Company, as required in each case under the Exchange Act (including any such reimbursements under Section 304 of the Sarbanes-Oxley Act of 2002 (the “</w:t>
      </w:r>
      <w:r>
        <w:rPr>
          <w:rFonts w:ascii="Arial" w:cs="Arial" w:eastAsia="Arial" w:hAnsi="Arial"/>
          <w:sz w:val="17"/>
          <w:szCs w:val="17"/>
          <w:b w:val="1"/>
          <w:bCs w:val="1"/>
          <w:color w:val="auto"/>
        </w:rPr>
        <w:t>Sarbanes-Oxley</w:t>
      </w:r>
      <w:r>
        <w:rPr>
          <w:rFonts w:ascii="Arial" w:cs="Arial" w:eastAsia="Arial" w:hAnsi="Arial"/>
          <w:sz w:val="17"/>
          <w:szCs w:val="17"/>
          <w:color w:val="auto"/>
        </w:rPr>
        <w:t xml:space="preserve"> </w:t>
      </w:r>
      <w:r>
        <w:rPr>
          <w:rFonts w:ascii="Arial" w:cs="Arial" w:eastAsia="Arial" w:hAnsi="Arial"/>
          <w:sz w:val="17"/>
          <w:szCs w:val="17"/>
          <w:b w:val="1"/>
          <w:bCs w:val="1"/>
          <w:color w:val="auto"/>
        </w:rPr>
        <w:t>Act</w:t>
      </w:r>
      <w:r>
        <w:rPr>
          <w:rFonts w:ascii="Arial" w:cs="Arial" w:eastAsia="Arial" w:hAnsi="Arial"/>
          <w:sz w:val="17"/>
          <w:szCs w:val="17"/>
          <w:color w:val="auto"/>
        </w:rPr>
        <w:t>”) in connection with an accounting restatement of the Company or the payment to the Company of profits arising from the purchase or sale by</w:t>
      </w:r>
      <w:r>
        <w:rPr>
          <w:rFonts w:ascii="Arial" w:cs="Arial" w:eastAsia="Arial" w:hAnsi="Arial"/>
          <w:sz w:val="17"/>
          <w:szCs w:val="17"/>
          <w:b w:val="1"/>
          <w:bCs w:val="1"/>
          <w:color w:val="auto"/>
        </w:rPr>
        <w:t xml:space="preserve"> </w:t>
      </w:r>
      <w:r>
        <w:rPr>
          <w:rFonts w:ascii="Arial" w:cs="Arial" w:eastAsia="Arial" w:hAnsi="Arial"/>
          <w:sz w:val="17"/>
          <w:szCs w:val="17"/>
          <w:color w:val="auto"/>
        </w:rPr>
        <w:t>Indemnitee of securities in violation of Section 306 of the Sarbanes-Oxley Act).</w:t>
      </w:r>
    </w:p>
    <w:p>
      <w:pPr>
        <w:spacing w:after="0" w:line="226" w:lineRule="exact"/>
        <w:rPr>
          <w:rFonts w:ascii="Arial" w:cs="Arial" w:eastAsia="Arial" w:hAnsi="Arial"/>
          <w:sz w:val="17"/>
          <w:szCs w:val="17"/>
          <w:color w:val="auto"/>
        </w:rPr>
      </w:pPr>
    </w:p>
    <w:p>
      <w:pPr>
        <w:ind w:left="-60" w:firstLine="656"/>
        <w:spacing w:after="0" w:line="293" w:lineRule="auto"/>
        <w:tabs>
          <w:tab w:leader="none" w:pos="1347" w:val="left"/>
        </w:tabs>
        <w:numPr>
          <w:ilvl w:val="0"/>
          <w:numId w:val="327"/>
        </w:numPr>
        <w:rPr>
          <w:rFonts w:ascii="Arial" w:cs="Arial" w:eastAsia="Arial" w:hAnsi="Arial"/>
          <w:sz w:val="16"/>
          <w:szCs w:val="16"/>
          <w:color w:val="auto"/>
        </w:rPr>
      </w:pPr>
      <w:r>
        <w:rPr>
          <w:rFonts w:ascii="Arial" w:cs="Arial" w:eastAsia="Arial" w:hAnsi="Arial"/>
          <w:sz w:val="16"/>
          <w:szCs w:val="16"/>
          <w:u w:val="single" w:color="auto"/>
          <w:color w:val="auto"/>
        </w:rPr>
        <w:t>Duration of Agreement</w:t>
      </w:r>
      <w:r>
        <w:rPr>
          <w:rFonts w:ascii="Arial" w:cs="Arial" w:eastAsia="Arial" w:hAnsi="Arial"/>
          <w:sz w:val="16"/>
          <w:szCs w:val="16"/>
          <w:color w:val="auto"/>
        </w:rPr>
        <w:t xml:space="preserve">. All agreements and obligations of the Company contained herein shall continue until and terminate upon the later of (i) ten (10) years after the date that Indemnitee shall have ceased to serve as a director or officer of the Company or a director, officer, trustee, partner, managing member, fiduciary, employee or agent of any other corporation, partnership, joint venture, trust, employee benefit plan or other enterprise which Indemnitee served at the request of the Company, and (ii) one (1) year after the final termination of any Proceeding (including any rights of appeal thereto) in respect of which Indemnitee is granted rights of indemnification or advancement of Expenses hereunder and of any proceeding commenced by Indemnitee pursuant to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of this Agreement relating thereto (including any rights of appeal of any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proceeding).</w:t>
      </w:r>
    </w:p>
    <w:p>
      <w:pPr>
        <w:spacing w:after="0" w:line="191" w:lineRule="exact"/>
        <w:rPr>
          <w:rFonts w:ascii="Arial" w:cs="Arial" w:eastAsia="Arial" w:hAnsi="Arial"/>
          <w:sz w:val="16"/>
          <w:szCs w:val="16"/>
          <w:color w:val="auto"/>
        </w:rPr>
      </w:pPr>
    </w:p>
    <w:p>
      <w:pPr>
        <w:ind w:left="920" w:hanging="324"/>
        <w:spacing w:after="0"/>
        <w:tabs>
          <w:tab w:leader="none" w:pos="920" w:val="left"/>
        </w:tabs>
        <w:numPr>
          <w:ilvl w:val="0"/>
          <w:numId w:val="327"/>
        </w:numPr>
        <w:rPr>
          <w:rFonts w:ascii="Arial" w:cs="Arial" w:eastAsia="Arial" w:hAnsi="Arial"/>
          <w:sz w:val="18"/>
          <w:szCs w:val="18"/>
          <w:color w:val="auto"/>
        </w:rPr>
      </w:pPr>
      <w:r>
        <w:rPr>
          <w:rFonts w:ascii="Arial" w:cs="Arial" w:eastAsia="Arial" w:hAnsi="Arial"/>
          <w:sz w:val="18"/>
          <w:szCs w:val="18"/>
          <w:u w:val="single" w:color="auto"/>
          <w:color w:val="auto"/>
        </w:rPr>
        <w:t>Enforcement</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600" w:right="200" w:firstLine="645"/>
        <w:spacing w:after="0" w:line="264" w:lineRule="auto"/>
        <w:tabs>
          <w:tab w:leader="none" w:pos="1913" w:val="left"/>
        </w:tabs>
        <w:numPr>
          <w:ilvl w:val="1"/>
          <w:numId w:val="327"/>
        </w:numPr>
        <w:rPr>
          <w:rFonts w:ascii="Arial" w:cs="Arial" w:eastAsia="Arial" w:hAnsi="Arial"/>
          <w:sz w:val="18"/>
          <w:szCs w:val="18"/>
          <w:color w:val="auto"/>
        </w:rPr>
      </w:pPr>
      <w:r>
        <w:rPr>
          <w:rFonts w:ascii="Arial" w:cs="Arial" w:eastAsia="Arial" w:hAnsi="Arial"/>
          <w:sz w:val="18"/>
          <w:szCs w:val="18"/>
          <w:color w:val="auto"/>
        </w:rPr>
        <w:t>The Company expressly confirms and agrees that it has entered into this Agreement and assumes the obligations imposed on it hereby in order to induce Indemnitee to serve as an officer or director of the Company, and the Company acknowledges that Indemnitee is relying upon this Agreement in serving as an officer or director of the Company.</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38100</wp:posOffset>
            </wp:positionV>
            <wp:extent cx="7246620" cy="171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300" w:top="395" w:right="299" w:bottom="1440" w:gutter="0" w:footer="0" w:header="0"/>
        </w:sectPr>
      </w:pPr>
    </w:p>
    <w:bookmarkStart w:id="366" w:name="page367"/>
    <w:bookmarkEnd w:id="366"/>
    <w:p>
      <w:pPr>
        <w:ind w:left="4" w:right="240" w:firstLine="645"/>
        <w:spacing w:after="0" w:line="342" w:lineRule="auto"/>
        <w:tabs>
          <w:tab w:leader="none" w:pos="1327" w:val="left"/>
        </w:tabs>
        <w:numPr>
          <w:ilvl w:val="1"/>
          <w:numId w:val="328"/>
        </w:numPr>
        <w:rPr>
          <w:rFonts w:ascii="Arial" w:cs="Arial" w:eastAsia="Arial" w:hAnsi="Arial"/>
          <w:sz w:val="16"/>
          <w:szCs w:val="16"/>
          <w:color w:val="auto"/>
        </w:rPr>
      </w:pPr>
      <w:r>
        <w:rPr>
          <w:rFonts w:ascii="Arial" w:cs="Arial" w:eastAsia="Arial" w:hAnsi="Arial"/>
          <w:sz w:val="16"/>
          <w:szCs w:val="16"/>
          <w:color w:val="auto"/>
        </w:rPr>
        <w:t>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77" w:lineRule="exact"/>
        <w:rPr>
          <w:rFonts w:ascii="Arial" w:cs="Arial" w:eastAsia="Arial" w:hAnsi="Arial"/>
          <w:sz w:val="16"/>
          <w:szCs w:val="16"/>
          <w:color w:val="auto"/>
        </w:rPr>
      </w:pPr>
    </w:p>
    <w:p>
      <w:pPr>
        <w:ind w:left="4" w:right="640" w:firstLine="645"/>
        <w:spacing w:after="0" w:line="277" w:lineRule="auto"/>
        <w:tabs>
          <w:tab w:leader="none" w:pos="1317" w:val="left"/>
        </w:tabs>
        <w:numPr>
          <w:ilvl w:val="1"/>
          <w:numId w:val="328"/>
        </w:numPr>
        <w:rPr>
          <w:rFonts w:ascii="Arial" w:cs="Arial" w:eastAsia="Arial" w:hAnsi="Arial"/>
          <w:sz w:val="18"/>
          <w:szCs w:val="18"/>
          <w:color w:val="auto"/>
        </w:rPr>
      </w:pPr>
      <w:r>
        <w:rPr>
          <w:rFonts w:ascii="Arial" w:cs="Arial" w:eastAsia="Arial" w:hAnsi="Arial"/>
          <w:sz w:val="18"/>
          <w:szCs w:val="18"/>
          <w:color w:val="auto"/>
        </w:rPr>
        <w:t>The Company shall not seek from a court, or agree to, a “bar order” which would have the effect of prohibiting or limiting Indemnitee’s rights to receive advancement of Expenses under this Agreement.</w:t>
      </w:r>
    </w:p>
    <w:p>
      <w:pPr>
        <w:spacing w:after="0" w:line="197" w:lineRule="exact"/>
        <w:rPr>
          <w:rFonts w:ascii="Arial" w:cs="Arial" w:eastAsia="Arial" w:hAnsi="Arial"/>
          <w:sz w:val="18"/>
          <w:szCs w:val="18"/>
          <w:color w:val="auto"/>
        </w:rPr>
      </w:pPr>
    </w:p>
    <w:p>
      <w:pPr>
        <w:ind w:left="324" w:hanging="324"/>
        <w:spacing w:after="0"/>
        <w:tabs>
          <w:tab w:leader="none" w:pos="324" w:val="left"/>
        </w:tabs>
        <w:numPr>
          <w:ilvl w:val="0"/>
          <w:numId w:val="329"/>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w:t>
      </w:r>
    </w:p>
    <w:p>
      <w:pPr>
        <w:spacing w:after="0" w:line="248" w:lineRule="exact"/>
        <w:rPr>
          <w:rFonts w:ascii="Arial" w:cs="Arial" w:eastAsia="Arial" w:hAnsi="Arial"/>
          <w:sz w:val="18"/>
          <w:szCs w:val="18"/>
          <w:color w:val="auto"/>
        </w:rPr>
      </w:pPr>
    </w:p>
    <w:p>
      <w:pPr>
        <w:ind w:left="964" w:right="480" w:hanging="315"/>
        <w:spacing w:after="0" w:line="282" w:lineRule="auto"/>
        <w:tabs>
          <w:tab w:leader="none" w:pos="964" w:val="left"/>
        </w:tabs>
        <w:numPr>
          <w:ilvl w:val="1"/>
          <w:numId w:val="3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shall be deemed to occur upon the earliest to occur after the date of this Agreement of any of the following events:</w:t>
      </w:r>
    </w:p>
    <w:p>
      <w:pPr>
        <w:spacing w:after="0" w:line="219" w:lineRule="exact"/>
        <w:rPr>
          <w:rFonts w:ascii="Arial" w:cs="Arial" w:eastAsia="Arial" w:hAnsi="Arial"/>
          <w:sz w:val="18"/>
          <w:szCs w:val="18"/>
          <w:color w:val="auto"/>
        </w:rPr>
      </w:pPr>
    </w:p>
    <w:p>
      <w:pPr>
        <w:ind w:left="1304" w:right="100" w:firstLine="803"/>
        <w:spacing w:after="0" w:line="254" w:lineRule="auto"/>
        <w:tabs>
          <w:tab w:leader="none" w:pos="2749" w:val="left"/>
        </w:tabs>
        <w:numPr>
          <w:ilvl w:val="2"/>
          <w:numId w:val="329"/>
        </w:numPr>
        <w:rPr>
          <w:rFonts w:ascii="Arial" w:cs="Arial" w:eastAsia="Arial" w:hAnsi="Arial"/>
          <w:sz w:val="18"/>
          <w:szCs w:val="18"/>
          <w:color w:val="auto"/>
        </w:rPr>
      </w:pPr>
      <w:r>
        <w:rPr>
          <w:rFonts w:ascii="Arial" w:cs="Arial" w:eastAsia="Arial" w:hAnsi="Arial"/>
          <w:sz w:val="18"/>
          <w:szCs w:val="18"/>
          <w:i w:val="1"/>
          <w:iCs w:val="1"/>
          <w:color w:val="auto"/>
        </w:rPr>
        <w:t>Acquisition of Stock by Third Party</w:t>
      </w:r>
      <w:r>
        <w:rPr>
          <w:rFonts w:ascii="Arial" w:cs="Arial" w:eastAsia="Arial" w:hAnsi="Arial"/>
          <w:sz w:val="18"/>
          <w:szCs w:val="18"/>
          <w:color w:val="auto"/>
        </w:rPr>
        <w:t>. Any Person or any of its respective affiliates and other than a trustee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fiduciary holding securities under an employee benefit plan of the Company or a corporation owned directly or indirectly by the shareholders of the Company in substantially the same proportions as their ownership of stock of the Company, is or becomes the “beneficial owner” (as defined in Rule 13d-3 under the Exchange Act), directly or indirectly, of securities of the Company representing more than 50% of the combined voting power of the Company’s then outstanding securities, unless the change in relative “beneficial ownership” (as defined in Rule 13d-3 under the Exchange Act) of the Company’s securities by any Person results solely from a reduction in the aggregate number of outstanding securities entitled to vote generally in the election of directors;</w:t>
      </w:r>
    </w:p>
    <w:p>
      <w:pPr>
        <w:spacing w:after="0" w:line="246" w:lineRule="exact"/>
        <w:rPr>
          <w:rFonts w:ascii="Arial" w:cs="Arial" w:eastAsia="Arial" w:hAnsi="Arial"/>
          <w:sz w:val="18"/>
          <w:szCs w:val="18"/>
          <w:color w:val="auto"/>
        </w:rPr>
      </w:pPr>
    </w:p>
    <w:p>
      <w:pPr>
        <w:ind w:left="1304" w:firstLine="803"/>
        <w:spacing w:after="0" w:line="255" w:lineRule="auto"/>
        <w:tabs>
          <w:tab w:leader="none" w:pos="2799" w:val="left"/>
        </w:tabs>
        <w:numPr>
          <w:ilvl w:val="2"/>
          <w:numId w:val="329"/>
        </w:numPr>
        <w:rPr>
          <w:rFonts w:ascii="Arial" w:cs="Arial" w:eastAsia="Arial" w:hAnsi="Arial"/>
          <w:sz w:val="18"/>
          <w:szCs w:val="18"/>
          <w:color w:val="auto"/>
        </w:rPr>
      </w:pPr>
      <w:r>
        <w:rPr>
          <w:rFonts w:ascii="Arial" w:cs="Arial" w:eastAsia="Arial" w:hAnsi="Arial"/>
          <w:sz w:val="18"/>
          <w:szCs w:val="18"/>
          <w:i w:val="1"/>
          <w:iCs w:val="1"/>
          <w:color w:val="auto"/>
        </w:rPr>
        <w:t>Change in Board of Directors</w:t>
      </w:r>
      <w:r>
        <w:rPr>
          <w:rFonts w:ascii="Arial" w:cs="Arial" w:eastAsia="Arial" w:hAnsi="Arial"/>
          <w:sz w:val="18"/>
          <w:szCs w:val="18"/>
          <w:color w:val="auto"/>
        </w:rPr>
        <w:t>. During any period of two (2) consecutive years (not including any period prior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the execution of this Agreement), individuals who at the beginning of such period constitute the Board, and any new director (other than a director designated by a Person who has entered into an agreement with the Company to effect a transaction described in </w:t>
      </w:r>
      <w:r>
        <w:rPr>
          <w:rFonts w:ascii="Arial" w:cs="Arial" w:eastAsia="Arial" w:hAnsi="Arial"/>
          <w:sz w:val="18"/>
          <w:szCs w:val="18"/>
          <w:u w:val="single" w:color="auto"/>
          <w:color w:val="auto"/>
        </w:rPr>
        <w:t>Section 13(a)(i)</w:t>
      </w:r>
      <w:r>
        <w:rPr>
          <w:rFonts w:ascii="Arial" w:cs="Arial" w:eastAsia="Arial" w:hAnsi="Arial"/>
          <w:sz w:val="18"/>
          <w:szCs w:val="18"/>
          <w:color w:val="auto"/>
        </w:rPr>
        <w:t xml:space="preserve">, </w:t>
      </w:r>
      <w:r>
        <w:rPr>
          <w:rFonts w:ascii="Arial" w:cs="Arial" w:eastAsia="Arial" w:hAnsi="Arial"/>
          <w:sz w:val="18"/>
          <w:szCs w:val="18"/>
          <w:u w:val="single" w:color="auto"/>
          <w:color w:val="auto"/>
        </w:rPr>
        <w:t>13(a)(iii)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13(a)(iv)</w:t>
      </w:r>
      <w:r>
        <w:rPr>
          <w:rFonts w:ascii="Arial" w:cs="Arial" w:eastAsia="Arial" w:hAnsi="Arial"/>
          <w:sz w:val="18"/>
          <w:szCs w:val="18"/>
          <w:color w:val="auto"/>
        </w:rPr>
        <w:t>) whose election by the Board or nomination for election by the Company’s shareholders was approved by a vote of at least a majority of the directors then still in office who either were directors at the beginning of the period or whose election or nomination for election was previously so approved, cease for any reason to constitute at least a majority of the members of the Board;</w:t>
      </w:r>
    </w:p>
    <w:p>
      <w:pPr>
        <w:spacing w:after="0" w:line="243" w:lineRule="exact"/>
        <w:rPr>
          <w:rFonts w:ascii="Arial" w:cs="Arial" w:eastAsia="Arial" w:hAnsi="Arial"/>
          <w:sz w:val="18"/>
          <w:szCs w:val="18"/>
          <w:color w:val="auto"/>
        </w:rPr>
      </w:pPr>
    </w:p>
    <w:p>
      <w:pPr>
        <w:ind w:left="1304" w:right="60" w:firstLine="803"/>
        <w:spacing w:after="0" w:line="273" w:lineRule="auto"/>
        <w:tabs>
          <w:tab w:leader="none" w:pos="2849" w:val="left"/>
        </w:tabs>
        <w:numPr>
          <w:ilvl w:val="2"/>
          <w:numId w:val="329"/>
        </w:numPr>
        <w:rPr>
          <w:rFonts w:ascii="Arial" w:cs="Arial" w:eastAsia="Arial" w:hAnsi="Arial"/>
          <w:sz w:val="17"/>
          <w:szCs w:val="17"/>
          <w:color w:val="auto"/>
        </w:rPr>
      </w:pPr>
      <w:r>
        <w:rPr>
          <w:rFonts w:ascii="Arial" w:cs="Arial" w:eastAsia="Arial" w:hAnsi="Arial"/>
          <w:sz w:val="17"/>
          <w:szCs w:val="17"/>
          <w:i w:val="1"/>
          <w:iCs w:val="1"/>
          <w:color w:val="auto"/>
        </w:rPr>
        <w:t>Corporate Transactions</w:t>
      </w:r>
      <w:r>
        <w:rPr>
          <w:rFonts w:ascii="Arial" w:cs="Arial" w:eastAsia="Arial" w:hAnsi="Arial"/>
          <w:sz w:val="17"/>
          <w:szCs w:val="17"/>
          <w:color w:val="auto"/>
        </w:rPr>
        <w:t>. The effective date of a merger or consolidation of the Company with any other</w:t>
      </w:r>
      <w:r>
        <w:rPr>
          <w:rFonts w:ascii="Arial" w:cs="Arial" w:eastAsia="Arial" w:hAnsi="Arial"/>
          <w:sz w:val="17"/>
          <w:szCs w:val="17"/>
          <w:i w:val="1"/>
          <w:iCs w:val="1"/>
          <w:color w:val="auto"/>
        </w:rPr>
        <w:t xml:space="preserve"> </w:t>
      </w:r>
      <w:r>
        <w:rPr>
          <w:rFonts w:ascii="Arial" w:cs="Arial" w:eastAsia="Arial" w:hAnsi="Arial"/>
          <w:sz w:val="17"/>
          <w:szCs w:val="17"/>
          <w:color w:val="auto"/>
        </w:rPr>
        <w:t>entity, other than a merger or consolidation which would result in the voting securities of the Company outstanding immediately prior to such merger or consolidation continuing to represent (either by remaining outstanding or by being converted into voting securities of the surviving entity) more than 50% of the combined voting power of the voting securities of the surviving entity outstanding immediately after such merger or consolidation and with the power to elect at least a majority of the board of directors or other governing body of such surviving entity; and</w:t>
      </w:r>
    </w:p>
    <w:p>
      <w:pPr>
        <w:spacing w:after="0" w:line="232" w:lineRule="exact"/>
        <w:rPr>
          <w:rFonts w:ascii="Arial" w:cs="Arial" w:eastAsia="Arial" w:hAnsi="Arial"/>
          <w:sz w:val="17"/>
          <w:szCs w:val="17"/>
          <w:color w:val="auto"/>
        </w:rPr>
      </w:pPr>
    </w:p>
    <w:p>
      <w:pPr>
        <w:ind w:left="1304" w:right="60" w:firstLine="803"/>
        <w:spacing w:after="0" w:line="259" w:lineRule="auto"/>
        <w:tabs>
          <w:tab w:leader="none" w:pos="2828" w:val="left"/>
        </w:tabs>
        <w:numPr>
          <w:ilvl w:val="2"/>
          <w:numId w:val="329"/>
        </w:numPr>
        <w:rPr>
          <w:rFonts w:ascii="Arial" w:cs="Arial" w:eastAsia="Arial" w:hAnsi="Arial"/>
          <w:sz w:val="18"/>
          <w:szCs w:val="18"/>
          <w:color w:val="auto"/>
        </w:rPr>
      </w:pPr>
      <w:r>
        <w:rPr>
          <w:rFonts w:ascii="Arial" w:cs="Arial" w:eastAsia="Arial" w:hAnsi="Arial"/>
          <w:sz w:val="18"/>
          <w:szCs w:val="18"/>
          <w:i w:val="1"/>
          <w:iCs w:val="1"/>
          <w:color w:val="auto"/>
        </w:rPr>
        <w:t>Liquidation</w:t>
      </w:r>
      <w:r>
        <w:rPr>
          <w:rFonts w:ascii="Arial" w:cs="Arial" w:eastAsia="Arial" w:hAnsi="Arial"/>
          <w:sz w:val="18"/>
          <w:szCs w:val="18"/>
          <w:color w:val="auto"/>
        </w:rPr>
        <w:t>. The approval by the shareholders of the Company of a complete liquidation of the Company or</w:t>
      </w:r>
      <w:r>
        <w:rPr>
          <w:rFonts w:ascii="Arial" w:cs="Arial" w:eastAsia="Arial" w:hAnsi="Arial"/>
          <w:sz w:val="18"/>
          <w:szCs w:val="18"/>
          <w:i w:val="1"/>
          <w:iCs w:val="1"/>
          <w:color w:val="auto"/>
        </w:rPr>
        <w:t xml:space="preserve"> </w:t>
      </w:r>
      <w:r>
        <w:rPr>
          <w:rFonts w:ascii="Arial" w:cs="Arial" w:eastAsia="Arial" w:hAnsi="Arial"/>
          <w:sz w:val="18"/>
          <w:szCs w:val="18"/>
          <w:color w:val="auto"/>
        </w:rPr>
        <w:t>an agreement or series of agreements for the sale or disposition by the Company of all or substantially all of the Company’s assets, or, if such approval is not required, the decision by the Board to proceed with such a liquidation, sale, or disposition in one transaction or a series of related transactions.</w:t>
      </w:r>
    </w:p>
    <w:p>
      <w:pPr>
        <w:spacing w:after="0" w:line="236" w:lineRule="exact"/>
        <w:rPr>
          <w:rFonts w:ascii="Arial" w:cs="Arial" w:eastAsia="Arial" w:hAnsi="Arial"/>
          <w:sz w:val="18"/>
          <w:szCs w:val="18"/>
          <w:color w:val="auto"/>
        </w:rPr>
      </w:pPr>
    </w:p>
    <w:p>
      <w:pPr>
        <w:ind w:left="4" w:right="80" w:firstLine="645"/>
        <w:spacing w:after="0" w:line="266" w:lineRule="auto"/>
        <w:tabs>
          <w:tab w:leader="none" w:pos="1327" w:val="left"/>
        </w:tabs>
        <w:numPr>
          <w:ilvl w:val="1"/>
          <w:numId w:val="3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Status</w:t>
      </w:r>
      <w:r>
        <w:rPr>
          <w:rFonts w:ascii="Arial" w:cs="Arial" w:eastAsia="Arial" w:hAnsi="Arial"/>
          <w:sz w:val="18"/>
          <w:szCs w:val="18"/>
          <w:color w:val="auto"/>
        </w:rPr>
        <w:t>” describes the status of a person who is or was director or officer of the Company or, while a director or officer of the Company, is or was serving at the request of the Company as a director, officer, employee or agent of another corporation, partnership, joint venture, trust or other enterprise, including service with respect to employee benefit plans.</w:t>
      </w:r>
    </w:p>
    <w:p>
      <w:pPr>
        <w:spacing w:after="0" w:line="135" w:lineRule="exact"/>
        <w:rPr>
          <w:sz w:val="20"/>
          <w:szCs w:val="20"/>
          <w:color w:val="auto"/>
        </w:rPr>
      </w:pPr>
    </w:p>
    <w:p>
      <w:pPr>
        <w:ind w:left="4984"/>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246620" cy="171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52" w:right="239" w:bottom="1440" w:gutter="0" w:footer="0" w:header="0"/>
        </w:sectPr>
      </w:pPr>
    </w:p>
    <w:bookmarkStart w:id="367" w:name="page368"/>
    <w:bookmarkEnd w:id="367"/>
    <w:p>
      <w:pPr>
        <w:ind w:left="-540" w:right="180" w:firstLine="645"/>
        <w:spacing w:after="0" w:line="282" w:lineRule="auto"/>
        <w:tabs>
          <w:tab w:leader="none" w:pos="773" w:val="left"/>
        </w:tabs>
        <w:numPr>
          <w:ilvl w:val="0"/>
          <w:numId w:val="3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Disinterested Director</w:t>
      </w:r>
      <w:r>
        <w:rPr>
          <w:rFonts w:ascii="Arial" w:cs="Arial" w:eastAsia="Arial" w:hAnsi="Arial"/>
          <w:sz w:val="18"/>
          <w:szCs w:val="18"/>
          <w:color w:val="auto"/>
        </w:rPr>
        <w:t>” means a director of the Company who is not and was not a party to the Proceeding in respect of which indemnification is sought by Indemnitee.</w:t>
      </w:r>
    </w:p>
    <w:p>
      <w:pPr>
        <w:spacing w:after="0" w:line="215" w:lineRule="exact"/>
        <w:rPr>
          <w:rFonts w:ascii="Arial" w:cs="Arial" w:eastAsia="Arial" w:hAnsi="Arial"/>
          <w:sz w:val="18"/>
          <w:szCs w:val="18"/>
          <w:color w:val="auto"/>
        </w:rPr>
      </w:pPr>
    </w:p>
    <w:p>
      <w:pPr>
        <w:ind w:left="-540" w:right="100" w:firstLine="645"/>
        <w:spacing w:after="0" w:line="347" w:lineRule="auto"/>
        <w:tabs>
          <w:tab w:leader="none" w:pos="783" w:val="left"/>
        </w:tabs>
        <w:numPr>
          <w:ilvl w:val="0"/>
          <w:numId w:val="33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Enterprise</w:t>
      </w:r>
      <w:r>
        <w:rPr>
          <w:rFonts w:ascii="Arial" w:cs="Arial" w:eastAsia="Arial" w:hAnsi="Arial"/>
          <w:sz w:val="16"/>
          <w:szCs w:val="16"/>
          <w:color w:val="auto"/>
        </w:rPr>
        <w:t>” shall mean the Company and any other corporation, partnership, joint venture, trust, employee benefit plan or other enterprise that Indemnitee is or was serving at the express written request of the Company as a director, officer, employee, agent or fiduciary.</w:t>
      </w:r>
    </w:p>
    <w:p>
      <w:pPr>
        <w:spacing w:after="0" w:line="170" w:lineRule="exact"/>
        <w:rPr>
          <w:rFonts w:ascii="Arial" w:cs="Arial" w:eastAsia="Arial" w:hAnsi="Arial"/>
          <w:sz w:val="16"/>
          <w:szCs w:val="16"/>
          <w:color w:val="auto"/>
        </w:rPr>
      </w:pPr>
    </w:p>
    <w:p>
      <w:pPr>
        <w:ind w:left="-540" w:firstLine="645"/>
        <w:spacing w:after="0" w:line="290" w:lineRule="auto"/>
        <w:tabs>
          <w:tab w:leader="none" w:pos="773" w:val="left"/>
        </w:tabs>
        <w:numPr>
          <w:ilvl w:val="0"/>
          <w:numId w:val="33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Expenses</w:t>
      </w:r>
      <w:r>
        <w:rPr>
          <w:rFonts w:ascii="Arial" w:cs="Arial" w:eastAsia="Arial" w:hAnsi="Arial"/>
          <w:sz w:val="16"/>
          <w:szCs w:val="16"/>
          <w:color w:val="auto"/>
        </w:rPr>
        <w:t>” shall include all reasonable direct and indirect costs, including attorneys’ fees, retainers, disbursements of counsel, court costs, filing fees, transcript costs, fees of experts and other professionals, witness fees, travel expenses, duplicating and imaging costs, printing and binding costs, telephone charges, facsimile transmission charges, computer legal research costs, postage, delivery service fees, fees and expenses of third-party vendors, the premium, security for, and other costs associated with any bond (including appeal bonds, injunction bonds, cost bonds, appraisal bonds or their equivalents), and other out-of-pocket costs, disbursements and expenses of the types customarily incurred in connection with prosecuting, defending, preparing to prosecute or defend, investigating, participating in, or being or preparing to be a witness in a Proceeding, or responding to, or objecting to, a request to provide discovery in any Proceeding. Expenses also shall include Expenses incurred in connection with any appeal resulting from any Proceeding and any federal, state, local or foreign taxes imposed on Indemnitee as a result of the actual or deemed receipt of any payments under this Agreement. Expenses, however, shall not include any Liabilities.</w:t>
      </w:r>
    </w:p>
    <w:p>
      <w:pPr>
        <w:spacing w:after="0" w:line="214" w:lineRule="exact"/>
        <w:rPr>
          <w:rFonts w:ascii="Arial" w:cs="Arial" w:eastAsia="Arial" w:hAnsi="Arial"/>
          <w:sz w:val="16"/>
          <w:szCs w:val="16"/>
          <w:color w:val="auto"/>
        </w:rPr>
      </w:pPr>
    </w:p>
    <w:p>
      <w:pPr>
        <w:ind w:left="-540" w:right="180" w:firstLine="645"/>
        <w:spacing w:after="0" w:line="291" w:lineRule="auto"/>
        <w:tabs>
          <w:tab w:leader="none" w:pos="753" w:val="left"/>
        </w:tabs>
        <w:numPr>
          <w:ilvl w:val="0"/>
          <w:numId w:val="33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Independent Counsel</w:t>
      </w:r>
      <w:r>
        <w:rPr>
          <w:rFonts w:ascii="Arial" w:cs="Arial" w:eastAsia="Arial" w:hAnsi="Arial"/>
          <w:sz w:val="16"/>
          <w:szCs w:val="16"/>
          <w:color w:val="auto"/>
        </w:rPr>
        <w:t>” means a law firm, or a member of a law firm, that is experienced in matters of corporation law and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of the Independent Counsel referred to above and to fully indemnify such counsel against any and all Expenses, claims, liabilities and damages arising out of or relating to this Agreement or its engagement pursuant hereto.</w:t>
      </w:r>
    </w:p>
    <w:p>
      <w:pPr>
        <w:spacing w:after="0" w:line="214" w:lineRule="exact"/>
        <w:rPr>
          <w:rFonts w:ascii="Arial" w:cs="Arial" w:eastAsia="Arial" w:hAnsi="Arial"/>
          <w:sz w:val="16"/>
          <w:szCs w:val="16"/>
          <w:color w:val="auto"/>
        </w:rPr>
      </w:pPr>
    </w:p>
    <w:p>
      <w:pPr>
        <w:ind w:left="-540" w:firstLine="645"/>
        <w:spacing w:after="0" w:line="261" w:lineRule="auto"/>
        <w:tabs>
          <w:tab w:leader="none" w:pos="783" w:val="left"/>
        </w:tabs>
        <w:numPr>
          <w:ilvl w:val="0"/>
          <w:numId w:val="3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Liabilities</w:t>
      </w:r>
      <w:r>
        <w:rPr>
          <w:rFonts w:ascii="Arial" w:cs="Arial" w:eastAsia="Arial" w:hAnsi="Arial"/>
          <w:sz w:val="18"/>
          <w:szCs w:val="18"/>
          <w:color w:val="auto"/>
        </w:rPr>
        <w:t>” shall mean damages, losses and liabilities of any type whatsoever, including, but not limited to, any judgments, fines, Employee Retirement Income Security Act excise taxes and penalties, penalties and amounts paid in settlement (including all interest assessments and other charges paid or payable in connection with or in respect of such judgments, fines, penalties or amounts paid in settlement) of any Proceeding.</w:t>
      </w:r>
    </w:p>
    <w:p>
      <w:pPr>
        <w:spacing w:after="0" w:line="234" w:lineRule="exact"/>
        <w:rPr>
          <w:rFonts w:ascii="Arial" w:cs="Arial" w:eastAsia="Arial" w:hAnsi="Arial"/>
          <w:sz w:val="18"/>
          <w:szCs w:val="18"/>
          <w:color w:val="auto"/>
        </w:rPr>
      </w:pPr>
    </w:p>
    <w:p>
      <w:pPr>
        <w:ind w:left="-540" w:firstLine="645"/>
        <w:spacing w:after="0" w:line="261" w:lineRule="auto"/>
        <w:tabs>
          <w:tab w:leader="none" w:pos="783" w:val="left"/>
        </w:tabs>
        <w:numPr>
          <w:ilvl w:val="0"/>
          <w:numId w:val="3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xml:space="preserve">” shall have the meaning set forth in Sections 13(d) and 14(d) of the Exchange 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Person shall exclude (i) the Company, (ii) any trustee or other fiduciary holding securities under an employee benefit plan of the Company, and (iii) any corporation owned, directly or indirectly, by the shareholders of the Company in substantially the same proportions as their ownership of stock of the Company.</w:t>
      </w:r>
    </w:p>
    <w:p>
      <w:pPr>
        <w:spacing w:after="0" w:line="234" w:lineRule="exact"/>
        <w:rPr>
          <w:rFonts w:ascii="Arial" w:cs="Arial" w:eastAsia="Arial" w:hAnsi="Arial"/>
          <w:sz w:val="18"/>
          <w:szCs w:val="18"/>
          <w:color w:val="auto"/>
        </w:rPr>
      </w:pPr>
    </w:p>
    <w:p>
      <w:pPr>
        <w:ind w:left="-540" w:right="20" w:firstLine="645"/>
        <w:spacing w:after="0" w:line="272" w:lineRule="auto"/>
        <w:tabs>
          <w:tab w:leader="none" w:pos="744" w:val="left"/>
        </w:tabs>
        <w:numPr>
          <w:ilvl w:val="0"/>
          <w:numId w:val="33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Proceeding</w:t>
      </w:r>
      <w:r>
        <w:rPr>
          <w:rFonts w:ascii="Arial" w:cs="Arial" w:eastAsia="Arial" w:hAnsi="Arial"/>
          <w:sz w:val="17"/>
          <w:szCs w:val="17"/>
          <w:color w:val="auto"/>
        </w:rPr>
        <w:t xml:space="preserve">” includes any threatened, pending or completed action, suit, arbitration, alternate dispute resolution mechanism, investigation, inquiry, administrative hearing or any other actual, threatened or completed proceeding, whether brought by or in the right of the Company or otherwise and whether civil, criminal, administrative or investigative, in which Indemnitee was, is or will be involved as a party or otherwise, by reason of Indemnitee’s Corporate Status, by reason of any action taken by Indemnitee or of any inaction on Indemnitee’s part while acting in Indemnitee’s Corporate Status, in each case whether or not Indemnitee is acting or serving in any such capacity at the time any Liability or Expense is incurred for which indemnification or advancement can be provided under this Agreement, and including one pending on or before the date of this Agreement, but excluding one initiated by an Indemnitee unless such proceeding is (i) pursuant to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of this Agreement to enforce Indemnitee’s rights under this Agreement or (ii) authorized by the Board.</w:t>
      </w:r>
    </w:p>
    <w:p>
      <w:pPr>
        <w:spacing w:after="0" w:line="132"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00"/>
          </w:cols>
          <w:pgMar w:left="1440" w:top="148" w:right="259" w:bottom="1440" w:gutter="0" w:footer="0" w:header="0"/>
        </w:sectPr>
      </w:pPr>
    </w:p>
    <w:bookmarkStart w:id="368" w:name="page369"/>
    <w:bookmarkEnd w:id="368"/>
    <w:p>
      <w:pPr>
        <w:ind w:left="-80" w:right="40" w:firstLine="656"/>
        <w:spacing w:after="0" w:line="276" w:lineRule="auto"/>
        <w:tabs>
          <w:tab w:leader="none" w:pos="1333" w:val="left"/>
        </w:tabs>
        <w:numPr>
          <w:ilvl w:val="0"/>
          <w:numId w:val="331"/>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The invalidity or unenforceability of any provision hereof shall in no way affect the validity or enforceability of any other provision. Further, the invalidity or unenforceability of any provision hereof as to Indemnitee shall in no way affect the validity or enforceability of any provision hereof as to the other. Without limiting the generality of the foregoing, this Agreement is intended to confer upon Indemnitee indemnification and advancement rights to the fullest extent permitted by applicable law. In the event any provision hereof conflicts with any applicable law, such provision shall be deemed modified, consistent with the aforementioned intent, to the extent necessary to resolve such conflict.</w:t>
      </w:r>
    </w:p>
    <w:p>
      <w:pPr>
        <w:spacing w:after="0" w:line="226" w:lineRule="exact"/>
        <w:rPr>
          <w:rFonts w:ascii="Arial" w:cs="Arial" w:eastAsia="Arial" w:hAnsi="Arial"/>
          <w:sz w:val="17"/>
          <w:szCs w:val="17"/>
          <w:color w:val="auto"/>
        </w:rPr>
      </w:pPr>
    </w:p>
    <w:p>
      <w:pPr>
        <w:ind w:left="-80" w:right="20" w:firstLine="656"/>
        <w:spacing w:after="0" w:line="264" w:lineRule="auto"/>
        <w:tabs>
          <w:tab w:leader="none" w:pos="1333" w:val="left"/>
        </w:tabs>
        <w:numPr>
          <w:ilvl w:val="0"/>
          <w:numId w:val="331"/>
        </w:numPr>
        <w:rPr>
          <w:rFonts w:ascii="Arial" w:cs="Arial" w:eastAsia="Arial" w:hAnsi="Arial"/>
          <w:sz w:val="18"/>
          <w:szCs w:val="18"/>
          <w:color w:val="auto"/>
        </w:rPr>
      </w:pPr>
      <w:r>
        <w:rPr>
          <w:rFonts w:ascii="Arial" w:cs="Arial" w:eastAsia="Arial" w:hAnsi="Arial"/>
          <w:sz w:val="18"/>
          <w:szCs w:val="18"/>
          <w:u w:val="single" w:color="auto"/>
          <w:color w:val="auto"/>
        </w:rPr>
        <w:t>Modification and Waiver</w:t>
      </w:r>
      <w:r>
        <w:rPr>
          <w:rFonts w:ascii="Arial" w:cs="Arial" w:eastAsia="Arial" w:hAnsi="Arial"/>
          <w:sz w:val="18"/>
          <w:szCs w:val="18"/>
          <w:color w:val="auto"/>
        </w:rPr>
        <w:t>. No supplement, modification, termination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235" w:lineRule="exact"/>
        <w:rPr>
          <w:rFonts w:ascii="Arial" w:cs="Arial" w:eastAsia="Arial" w:hAnsi="Arial"/>
          <w:sz w:val="18"/>
          <w:szCs w:val="18"/>
          <w:color w:val="auto"/>
        </w:rPr>
      </w:pPr>
    </w:p>
    <w:p>
      <w:pPr>
        <w:ind w:left="-80" w:right="120" w:firstLine="656"/>
        <w:spacing w:after="0" w:line="279" w:lineRule="auto"/>
        <w:tabs>
          <w:tab w:leader="none" w:pos="1333" w:val="left"/>
        </w:tabs>
        <w:numPr>
          <w:ilvl w:val="0"/>
          <w:numId w:val="331"/>
        </w:numPr>
        <w:rPr>
          <w:rFonts w:ascii="Arial" w:cs="Arial" w:eastAsia="Arial" w:hAnsi="Arial"/>
          <w:sz w:val="17"/>
          <w:szCs w:val="17"/>
          <w:color w:val="auto"/>
        </w:rPr>
      </w:pPr>
      <w:r>
        <w:rPr>
          <w:rFonts w:ascii="Arial" w:cs="Arial" w:eastAsia="Arial" w:hAnsi="Arial"/>
          <w:sz w:val="17"/>
          <w:szCs w:val="17"/>
          <w:u w:val="single" w:color="auto"/>
          <w:color w:val="auto"/>
        </w:rPr>
        <w:t>Notice By Indemnitee</w:t>
      </w:r>
      <w:r>
        <w:rPr>
          <w:rFonts w:ascii="Arial" w:cs="Arial" w:eastAsia="Arial" w:hAnsi="Arial"/>
          <w:sz w:val="17"/>
          <w:szCs w:val="17"/>
          <w:color w:val="auto"/>
        </w:rPr>
        <w:t>. Indemnitee agrees promptly to notify the Company in writing upon being served with or otherwise receiving any summons, citation, subpoena, complaint, indictment, information or other document relating to any Proceeding or matter which may be subject to indemnification covered hereunder. The failure to so notify the Company shall not relieve the Company of any obligation which it may have to Indemnitee under this Agreement or otherwise unless and only to the extent that such failure or delay materially prejudices the Company.</w:t>
      </w:r>
    </w:p>
    <w:p>
      <w:pPr>
        <w:spacing w:after="0" w:line="225" w:lineRule="exact"/>
        <w:rPr>
          <w:rFonts w:ascii="Arial" w:cs="Arial" w:eastAsia="Arial" w:hAnsi="Arial"/>
          <w:sz w:val="17"/>
          <w:szCs w:val="17"/>
          <w:color w:val="auto"/>
        </w:rPr>
      </w:pPr>
    </w:p>
    <w:p>
      <w:pPr>
        <w:ind w:left="-80" w:firstLine="656"/>
        <w:spacing w:after="0" w:line="257" w:lineRule="auto"/>
        <w:tabs>
          <w:tab w:leader="none" w:pos="1333" w:val="left"/>
        </w:tabs>
        <w:numPr>
          <w:ilvl w:val="0"/>
          <w:numId w:val="33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given or made pursuant to this Agreement shall be in writing and shall be deemed effectively given (a) upon personal delivery to the party to be notified, (b) when sent by confirmed electronic mail or facsimile if sent during normal business hours of the recipient, and if not so confirmed,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All communications shall be sent:</w:t>
      </w:r>
    </w:p>
    <w:p>
      <w:pPr>
        <w:spacing w:after="0" w:line="215" w:lineRule="exact"/>
        <w:rPr>
          <w:rFonts w:ascii="Arial" w:cs="Arial" w:eastAsia="Arial" w:hAnsi="Arial"/>
          <w:sz w:val="18"/>
          <w:szCs w:val="18"/>
          <w:color w:val="auto"/>
        </w:rPr>
      </w:pPr>
    </w:p>
    <w:p>
      <w:pPr>
        <w:ind w:left="1540" w:hanging="315"/>
        <w:spacing w:after="0"/>
        <w:tabs>
          <w:tab w:leader="none" w:pos="154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To Indemnitee at the address set forth below Indemnitee signature hereto.</w:t>
      </w:r>
    </w:p>
    <w:p>
      <w:pPr>
        <w:spacing w:after="0" w:line="252" w:lineRule="exact"/>
        <w:rPr>
          <w:rFonts w:ascii="Arial" w:cs="Arial" w:eastAsia="Arial" w:hAnsi="Arial"/>
          <w:sz w:val="18"/>
          <w:szCs w:val="18"/>
          <w:color w:val="auto"/>
        </w:rPr>
      </w:pPr>
    </w:p>
    <w:p>
      <w:pPr>
        <w:ind w:left="1540" w:hanging="315"/>
        <w:spacing w:after="0"/>
        <w:tabs>
          <w:tab w:leader="none" w:pos="154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To the Company at:</w:t>
      </w:r>
    </w:p>
    <w:p>
      <w:pPr>
        <w:spacing w:after="0" w:line="252"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South Plains Financial, Inc.</w:t>
      </w:r>
    </w:p>
    <w:p>
      <w:pPr>
        <w:spacing w:after="0" w:line="252"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5219 City Bank Parkway</w:t>
      </w:r>
    </w:p>
    <w:p>
      <w:pPr>
        <w:spacing w:after="0" w:line="252"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Lubbock, Texas 79407</w:t>
      </w:r>
    </w:p>
    <w:p>
      <w:pPr>
        <w:spacing w:after="0" w:line="252"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Attention: Chief Executive Officer</w:t>
      </w:r>
    </w:p>
    <w:p>
      <w:pPr>
        <w:spacing w:after="0" w:line="252" w:lineRule="exact"/>
        <w:rPr>
          <w:sz w:val="20"/>
          <w:szCs w:val="20"/>
          <w:color w:val="auto"/>
        </w:rPr>
      </w:pPr>
    </w:p>
    <w:p>
      <w:pPr>
        <w:ind w:left="1540"/>
        <w:spacing w:after="0" w:line="277" w:lineRule="auto"/>
        <w:rPr>
          <w:sz w:val="20"/>
          <w:szCs w:val="20"/>
          <w:color w:val="auto"/>
        </w:rPr>
      </w:pPr>
      <w:r>
        <w:rPr>
          <w:rFonts w:ascii="Arial" w:cs="Arial" w:eastAsia="Arial" w:hAnsi="Arial"/>
          <w:sz w:val="18"/>
          <w:szCs w:val="18"/>
          <w:color w:val="auto"/>
        </w:rPr>
        <w:t>or to such other address as may have been furnished to Indemnitee by the Company or to the Company by Indemnitee, as the case may be.</w:t>
      </w:r>
    </w:p>
    <w:p>
      <w:pPr>
        <w:spacing w:after="0" w:line="224" w:lineRule="exact"/>
        <w:rPr>
          <w:sz w:val="20"/>
          <w:szCs w:val="20"/>
          <w:color w:val="auto"/>
        </w:rPr>
      </w:pPr>
    </w:p>
    <w:p>
      <w:pPr>
        <w:jc w:val="both"/>
        <w:ind w:left="-80" w:right="320" w:firstLine="656"/>
        <w:spacing w:after="0" w:line="279" w:lineRule="auto"/>
        <w:tabs>
          <w:tab w:leader="none" w:pos="1333" w:val="left"/>
        </w:tabs>
        <w:numPr>
          <w:ilvl w:val="0"/>
          <w:numId w:val="332"/>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xml:space="preserve">. This Agreement may be executed in two (2) or more counterparts, each of which shall be deemed an original, but all of which together shall constitute one and the same the same instrument. Counterparts may be delivered via facsimile, electronic mail (including pdf or any electronic signature complying with the U.S. federal ESIGN Act of 2000, </w:t>
      </w:r>
      <w:r>
        <w:rPr>
          <w:rFonts w:ascii="Arial" w:cs="Arial" w:eastAsia="Arial" w:hAnsi="Arial"/>
          <w:sz w:val="17"/>
          <w:szCs w:val="17"/>
          <w:i w:val="1"/>
          <w:iCs w:val="1"/>
          <w:color w:val="auto"/>
        </w:rPr>
        <w:t>e.g.</w:t>
      </w:r>
      <w:r>
        <w:rPr>
          <w:rFonts w:ascii="Arial" w:cs="Arial" w:eastAsia="Arial" w:hAnsi="Arial"/>
          <w:sz w:val="17"/>
          <w:szCs w:val="17"/>
          <w:color w:val="auto"/>
        </w:rPr>
        <w:t>, www.docusign.com) or other transmission method and any counterpart so delivered shall be deemed to have been duly and validly delivered and be valid and effective for all purposes.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38100</wp:posOffset>
            </wp:positionV>
            <wp:extent cx="7246620" cy="171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320" w:top="395" w:right="319" w:bottom="1440" w:gutter="0" w:footer="0" w:header="0"/>
        </w:sectPr>
      </w:pPr>
    </w:p>
    <w:bookmarkStart w:id="369" w:name="page370"/>
    <w:bookmarkEnd w:id="369"/>
    <w:p>
      <w:pPr>
        <w:ind w:left="-40" w:right="120" w:firstLine="656"/>
        <w:spacing w:after="0" w:line="277" w:lineRule="auto"/>
        <w:tabs>
          <w:tab w:leader="none" w:pos="1373" w:val="left"/>
        </w:tabs>
        <w:numPr>
          <w:ilvl w:val="0"/>
          <w:numId w:val="333"/>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paragraphs of this Agreement are inserted for convenience only and shall not be deemed to constitute part of this Agreement or to affect the construction thereof.</w:t>
      </w:r>
    </w:p>
    <w:p>
      <w:pPr>
        <w:spacing w:after="0" w:line="224" w:lineRule="exact"/>
        <w:rPr>
          <w:rFonts w:ascii="Arial" w:cs="Arial" w:eastAsia="Arial" w:hAnsi="Arial"/>
          <w:sz w:val="18"/>
          <w:szCs w:val="18"/>
          <w:color w:val="auto"/>
        </w:rPr>
      </w:pPr>
    </w:p>
    <w:p>
      <w:pPr>
        <w:ind w:left="-40" w:firstLine="656"/>
        <w:spacing w:after="0" w:line="271" w:lineRule="auto"/>
        <w:tabs>
          <w:tab w:leader="none" w:pos="1373" w:val="left"/>
        </w:tabs>
        <w:numPr>
          <w:ilvl w:val="0"/>
          <w:numId w:val="333"/>
        </w:numPr>
        <w:rPr>
          <w:rFonts w:ascii="Arial" w:cs="Arial" w:eastAsia="Arial" w:hAnsi="Arial"/>
          <w:sz w:val="17"/>
          <w:szCs w:val="17"/>
          <w:color w:val="auto"/>
        </w:rPr>
      </w:pPr>
      <w:r>
        <w:rPr>
          <w:rFonts w:ascii="Arial" w:cs="Arial" w:eastAsia="Arial" w:hAnsi="Arial"/>
          <w:sz w:val="17"/>
          <w:szCs w:val="17"/>
          <w:u w:val="single" w:color="auto"/>
          <w:color w:val="auto"/>
        </w:rPr>
        <w:t>Governing Law and Consent to Jurisdiction.</w:t>
      </w:r>
      <w:r>
        <w:rPr>
          <w:rFonts w:ascii="Arial" w:cs="Arial" w:eastAsia="Arial" w:hAnsi="Arial"/>
          <w:sz w:val="17"/>
          <w:szCs w:val="17"/>
          <w:color w:val="auto"/>
        </w:rPr>
        <w:t xml:space="preserve"> This Agreement and the legal relations among the parties shall be governed by, and construed and enforced in accordance with, the laws of the State of Texas, without regard to its conflict of laws rules. The Company and Indemnitee hereby irrevocably and unconditionally (i) agree that any action or proceeding arising out of or in connection with this Agreement shall be brought only in a court of competent jurisdiction in the State of Texas, and not in any other state or federal court in the United States of America or any court in any other country, (ii) consent to submit to the exclusive jurisdiction of a court of competent jurisdiction located in the State of Texas for purposes of any action or proceeding arising out of or in connection with this Agreement, (iii) waive any objection to the laying of venue of any such action or proceeding in the a court located in the State of Texas, and (v) waive, and agree not to plead or to make, any claim that any such action or proceeding brought in a court of competent jurisdiction in the State of Texas has been brought in an improper or inconvenient forum.</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38100</wp:posOffset>
            </wp:positionV>
            <wp:extent cx="7246620" cy="171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80" w:top="395" w:right="259" w:bottom="1440" w:gutter="0" w:footer="0" w:header="0"/>
        </w:sectPr>
      </w:pPr>
    </w:p>
    <w:bookmarkStart w:id="370" w:name="page371"/>
    <w:bookmarkEnd w:id="370"/>
    <w:p>
      <w:pPr>
        <w:spacing w:after="0"/>
        <w:rPr>
          <w:sz w:val="20"/>
          <w:szCs w:val="20"/>
          <w:color w:val="auto"/>
        </w:rPr>
      </w:pPr>
      <w:r>
        <w:rPr>
          <w:rFonts w:ascii="Arial" w:cs="Arial" w:eastAsia="Arial" w:hAnsi="Arial"/>
          <w:sz w:val="16"/>
          <w:szCs w:val="16"/>
          <w:color w:val="auto"/>
        </w:rPr>
        <w:t>IN WITNESS WHEREOF, the parties hereto have executed this Indemnification Agreement effective as of the day and year first above written.</w:t>
      </w:r>
    </w:p>
    <w:p>
      <w:pPr>
        <w:spacing w:after="0" w:line="244"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SOUTH PLAINS FINANCIAL, INC.</w:t>
      </w:r>
    </w:p>
    <w:p>
      <w:pPr>
        <w:spacing w:after="0" w:line="22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-130810</wp:posOffset>
            </wp:positionV>
            <wp:extent cx="3241675" cy="171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8">
                      <a:extLst>
                        <a:ext uri="{28A0092B-C50C-407E-A947-70E740481C1C}"/>
                      </a:extLst>
                    </a:blip>
                    <a:srcRect/>
                    <a:stretch>
                      <a:fillRect/>
                    </a:stretch>
                  </pic:blipFill>
                  <pic:spPr bwMode="auto">
                    <a:xfrm>
                      <a:off x="0" y="0"/>
                      <a:ext cx="3241675" cy="17145"/>
                    </a:xfrm>
                    <a:prstGeom prst="rect">
                      <a:avLst/>
                    </a:prstGeom>
                    <a:noFill/>
                  </pic:spPr>
                </pic:pic>
              </a:graphicData>
            </a:graphic>
          </wp:anchor>
        </w:drawing>
      </w:r>
    </w:p>
    <w:p>
      <w:pPr>
        <w:spacing w:after="0" w:line="15"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23495</wp:posOffset>
            </wp:positionV>
            <wp:extent cx="3241675" cy="171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9">
                      <a:extLst>
                        <a:ext uri="{28A0092B-C50C-407E-A947-70E740481C1C}"/>
                      </a:extLst>
                    </a:blip>
                    <a:srcRect/>
                    <a:stretch>
                      <a:fillRect/>
                    </a:stretch>
                  </pic:blipFill>
                  <pic:spPr bwMode="auto">
                    <a:xfrm>
                      <a:off x="0" y="0"/>
                      <a:ext cx="3241675" cy="17145"/>
                    </a:xfrm>
                    <a:prstGeom prst="rect">
                      <a:avLst/>
                    </a:prstGeom>
                    <a:noFill/>
                  </pic:spPr>
                </pic:pic>
              </a:graphicData>
            </a:graphic>
          </wp:anchor>
        </w:drawing>
        <w:drawing>
          <wp:anchor simplePos="0" relativeHeight="251657728" behindDoc="1" locked="0" layoutInCell="0" allowOverlap="1">
            <wp:simplePos x="0" y="0"/>
            <wp:positionH relativeFrom="column">
              <wp:posOffset>3590925</wp:posOffset>
            </wp:positionH>
            <wp:positionV relativeFrom="paragraph">
              <wp:posOffset>-130175</wp:posOffset>
            </wp:positionV>
            <wp:extent cx="3241675" cy="171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0">
                      <a:extLst>
                        <a:ext uri="{28A0092B-C50C-407E-A947-70E740481C1C}"/>
                      </a:extLst>
                    </a:blip>
                    <a:srcRect/>
                    <a:stretch>
                      <a:fillRect/>
                    </a:stretch>
                  </pic:blipFill>
                  <pic:spPr bwMode="auto">
                    <a:xfrm>
                      <a:off x="0" y="0"/>
                      <a:ext cx="3241675" cy="17145"/>
                    </a:xfrm>
                    <a:prstGeom prst="rect">
                      <a:avLst/>
                    </a:prstGeom>
                    <a:noFill/>
                  </pic:spPr>
                </pic:pic>
              </a:graphicData>
            </a:graphic>
          </wp:anchor>
        </w:drawing>
      </w:r>
    </w:p>
    <w:p>
      <w:pPr>
        <w:spacing w:after="0" w:line="228"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INDEMNITEE</w:t>
      </w:r>
    </w:p>
    <w:p>
      <w:pPr>
        <w:spacing w:after="0" w:line="22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22860</wp:posOffset>
            </wp:positionV>
            <wp:extent cx="3241675" cy="171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1">
                      <a:extLst>
                        <a:ext uri="{28A0092B-C50C-407E-A947-70E740481C1C}"/>
                      </a:extLst>
                    </a:blip>
                    <a:srcRect/>
                    <a:stretch>
                      <a:fillRect/>
                    </a:stretch>
                  </pic:blipFill>
                  <pic:spPr bwMode="auto">
                    <a:xfrm>
                      <a:off x="0" y="0"/>
                      <a:ext cx="3241675" cy="17145"/>
                    </a:xfrm>
                    <a:prstGeom prst="rect">
                      <a:avLst/>
                    </a:prstGeom>
                    <a:noFill/>
                  </pic:spPr>
                </pic:pic>
              </a:graphicData>
            </a:graphic>
          </wp:anchor>
        </w:drawing>
        <w:drawing>
          <wp:anchor simplePos="0" relativeHeight="251657728" behindDoc="1" locked="0" layoutInCell="0" allowOverlap="1">
            <wp:simplePos x="0" y="0"/>
            <wp:positionH relativeFrom="column">
              <wp:posOffset>3590925</wp:posOffset>
            </wp:positionH>
            <wp:positionV relativeFrom="paragraph">
              <wp:posOffset>-130810</wp:posOffset>
            </wp:positionV>
            <wp:extent cx="3241675" cy="171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2">
                      <a:extLst>
                        <a:ext uri="{28A0092B-C50C-407E-A947-70E740481C1C}"/>
                      </a:extLst>
                    </a:blip>
                    <a:srcRect/>
                    <a:stretch>
                      <a:fillRect/>
                    </a:stretch>
                  </pic:blipFill>
                  <pic:spPr bwMode="auto">
                    <a:xfrm>
                      <a:off x="0" y="0"/>
                      <a:ext cx="3241675" cy="17145"/>
                    </a:xfrm>
                    <a:prstGeom prst="rect">
                      <a:avLst/>
                    </a:prstGeom>
                    <a:noFill/>
                  </pic:spPr>
                </pic:pic>
              </a:graphicData>
            </a:graphic>
          </wp:anchor>
        </w:drawing>
      </w:r>
    </w:p>
    <w:p>
      <w:pPr>
        <w:spacing w:after="0" w:line="24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323850</wp:posOffset>
            </wp:positionV>
            <wp:extent cx="3241675" cy="171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3">
                      <a:extLst>
                        <a:ext uri="{28A0092B-C50C-407E-A947-70E740481C1C}"/>
                      </a:extLst>
                    </a:blip>
                    <a:srcRect/>
                    <a:stretch>
                      <a:fillRect/>
                    </a:stretch>
                  </pic:blipFill>
                  <pic:spPr bwMode="auto">
                    <a:xfrm>
                      <a:off x="0" y="0"/>
                      <a:ext cx="3241675" cy="17145"/>
                    </a:xfrm>
                    <a:prstGeom prst="rect">
                      <a:avLst/>
                    </a:prstGeom>
                    <a:noFill/>
                  </pic:spPr>
                </pic:pic>
              </a:graphicData>
            </a:graphic>
          </wp:anchor>
        </w:drawing>
        <w:drawing>
          <wp:anchor simplePos="0" relativeHeight="251657728" behindDoc="1" locked="0" layoutInCell="0" allowOverlap="1">
            <wp:simplePos x="0" y="0"/>
            <wp:positionH relativeFrom="column">
              <wp:posOffset>3590925</wp:posOffset>
            </wp:positionH>
            <wp:positionV relativeFrom="paragraph">
              <wp:posOffset>169545</wp:posOffset>
            </wp:positionV>
            <wp:extent cx="3241675" cy="171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4">
                      <a:extLst>
                        <a:ext uri="{28A0092B-C50C-407E-A947-70E740481C1C}"/>
                      </a:extLst>
                    </a:blip>
                    <a:srcRect/>
                    <a:stretch>
                      <a:fillRect/>
                    </a:stretch>
                  </pic:blipFill>
                  <pic:spPr bwMode="auto">
                    <a:xfrm>
                      <a:off x="0" y="0"/>
                      <a:ext cx="3241675" cy="17145"/>
                    </a:xfrm>
                    <a:prstGeom prst="rect">
                      <a:avLst/>
                    </a:prstGeom>
                    <a:noFill/>
                  </pic:spPr>
                </pic:pic>
              </a:graphicData>
            </a:graphic>
          </wp:anchor>
        </w:drawing>
        <w:drawing>
          <wp:anchor simplePos="0" relativeHeight="251657728" behindDoc="1" locked="0" layoutInCell="0" allowOverlap="1">
            <wp:simplePos x="0" y="0"/>
            <wp:positionH relativeFrom="column">
              <wp:posOffset>3590925</wp:posOffset>
            </wp:positionH>
            <wp:positionV relativeFrom="paragraph">
              <wp:posOffset>14605</wp:posOffset>
            </wp:positionV>
            <wp:extent cx="3241675" cy="171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5">
                      <a:extLst>
                        <a:ext uri="{28A0092B-C50C-407E-A947-70E740481C1C}"/>
                      </a:extLst>
                    </a:blip>
                    <a:srcRect/>
                    <a:stretch>
                      <a:fillRect/>
                    </a:stretch>
                  </pic:blipFill>
                  <pic:spPr bwMode="auto">
                    <a:xfrm>
                      <a:off x="0" y="0"/>
                      <a:ext cx="324167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Indemnification Agreement</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240"/>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72390</wp:posOffset>
            </wp:positionV>
            <wp:extent cx="7246620" cy="171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360"/>
          </w:cols>
          <w:pgMar w:left="900" w:top="368" w:right="639" w:bottom="1440" w:gutter="0" w:footer="0" w:header="0"/>
        </w:sectPr>
      </w:pPr>
    </w:p>
    <w:bookmarkStart w:id="371" w:name="page372"/>
    <w:bookmarkEnd w:id="371"/>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7">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21.1</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Subsidiaries of South Plains Financial, Inc.</w:t>
            </w:r>
          </w:p>
        </w:tc>
        <w:tc>
          <w:tcPr>
            <w:tcW w:w="1720" w:type="dxa"/>
            <w:vAlign w:val="bottom"/>
          </w:tcPr>
          <w:p>
            <w:pPr>
              <w:spacing w:after="0"/>
              <w:rPr>
                <w:sz w:val="20"/>
                <w:szCs w:val="20"/>
                <w:color w:val="auto"/>
              </w:rPr>
            </w:pPr>
          </w:p>
        </w:tc>
        <w:tc>
          <w:tcPr>
            <w:tcW w:w="3980" w:type="dxa"/>
            <w:vAlign w:val="bottom"/>
          </w:tcPr>
          <w:p>
            <w:pPr>
              <w:spacing w:after="0"/>
              <w:rPr>
                <w:sz w:val="20"/>
                <w:szCs w:val="20"/>
                <w:color w:val="auto"/>
              </w:rPr>
            </w:pPr>
          </w:p>
        </w:tc>
      </w:tr>
      <w:tr>
        <w:trPr>
          <w:trHeight w:val="419"/>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Entity Name</w:t>
            </w:r>
          </w:p>
        </w:tc>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State of Incorporation</w:t>
            </w:r>
          </w:p>
        </w:tc>
      </w:tr>
      <w:tr>
        <w:trPr>
          <w:trHeight w:val="438"/>
        </w:trPr>
        <w:tc>
          <w:tcPr>
            <w:tcW w:w="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City Bank</w:t>
            </w:r>
          </w:p>
        </w:tc>
        <w:tc>
          <w:tcPr>
            <w:tcW w:w="4740" w:type="dxa"/>
            <w:vAlign w:val="bottom"/>
          </w:tcPr>
          <w:p>
            <w:pPr>
              <w:spacing w:after="0"/>
              <w:rPr>
                <w:sz w:val="24"/>
                <w:szCs w:val="24"/>
                <w:color w:val="auto"/>
              </w:rPr>
            </w:pPr>
          </w:p>
        </w:tc>
        <w:tc>
          <w:tcPr>
            <w:tcW w:w="1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Texas</w:t>
            </w:r>
          </w:p>
        </w:tc>
        <w:tc>
          <w:tcPr>
            <w:tcW w:w="3980" w:type="dxa"/>
            <w:vAlign w:val="bottom"/>
          </w:tcPr>
          <w:p>
            <w:pPr>
              <w:spacing w:after="0"/>
              <w:rPr>
                <w:sz w:val="24"/>
                <w:szCs w:val="24"/>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South Plains Financial Capital Trust III</w:t>
            </w:r>
          </w:p>
        </w:tc>
        <w:tc>
          <w:tcPr>
            <w:tcW w:w="57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South Plains Financial Capital Trust IV</w:t>
            </w:r>
          </w:p>
        </w:tc>
        <w:tc>
          <w:tcPr>
            <w:tcW w:w="57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South Plains Financial Capital Trust V</w:t>
            </w:r>
          </w:p>
        </w:tc>
        <w:tc>
          <w:tcPr>
            <w:tcW w:w="57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Windmark Insurance Agency, Inc.</w:t>
            </w:r>
          </w:p>
        </w:tc>
        <w:tc>
          <w:tcPr>
            <w:tcW w:w="5700" w:type="dxa"/>
            <w:vAlign w:val="bottom"/>
            <w:gridSpan w:val="2"/>
          </w:tcPr>
          <w:p>
            <w:pPr>
              <w:spacing w:after="0"/>
              <w:rPr>
                <w:sz w:val="20"/>
                <w:szCs w:val="20"/>
                <w:color w:val="auto"/>
              </w:rPr>
            </w:pPr>
            <w:r>
              <w:rPr>
                <w:rFonts w:ascii="Arial" w:cs="Arial" w:eastAsia="Arial" w:hAnsi="Arial"/>
                <w:sz w:val="18"/>
                <w:szCs w:val="18"/>
                <w:color w:val="auto"/>
              </w:rPr>
              <w:t>Texas</w:t>
            </w:r>
          </w:p>
        </w:tc>
      </w:tr>
      <w:tr>
        <w:trPr>
          <w:trHeight w:val="358"/>
        </w:trPr>
        <w:tc>
          <w:tcPr>
            <w:tcW w:w="9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372" w:name="page373"/>
    <w:bookmarkEnd w:id="372"/>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23.1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Board of Directors and Audit Committee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South Plains Financial,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Lubbock, Texas</w:t>
      </w:r>
    </w:p>
    <w:p>
      <w:pPr>
        <w:spacing w:after="0" w:line="200" w:lineRule="exact"/>
        <w:rPr>
          <w:sz w:val="20"/>
          <w:szCs w:val="20"/>
          <w:color w:val="auto"/>
        </w:rPr>
      </w:pPr>
    </w:p>
    <w:p>
      <w:pPr>
        <w:spacing w:after="0" w:line="2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consent to the inclusion in South Plains Financial, Inc.’s Registration Statement (No. 333-230851) on Form S-1 (the Registration Statement) of our report dated April 10, 2019, on our audits of the consolidated financial statements of South Plains Financial, Inc. as of December 31, 2018 and 2017, and for each of the years in the two-year period ended December 31, 2018, which report is included in this Registration Statement. We also consent to the reference to our firm under the caption “Experts” in this Registration Statement.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b w:val="1"/>
          <w:bCs w:val="1"/>
          <w:color w:val="auto"/>
        </w:rPr>
        <w:t>Weaver and Tidwell, L.L.P.</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Fort Worth,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171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B867D3"/>
    <w:multiLevelType w:val="hybridMultilevel"/>
    <w:lvl w:ilvl="0">
      <w:lvlJc w:val="left"/>
      <w:lvlText w:val="(%1)"/>
      <w:numFmt w:val="decimal"/>
      <w:start w:val="1"/>
    </w:lvl>
  </w:abstractNum>
  <w:abstractNum w:abstractNumId="1">
    <w:nsid w:val="3F7F5DD9"/>
    <w:multiLevelType w:val="hybridMultilevel"/>
    <w:lvl w:ilvl="0">
      <w:lvlJc w:val="left"/>
      <w:lvlText w:val="(%1)"/>
      <w:numFmt w:val="decimal"/>
      <w:start w:val="1"/>
    </w:lvl>
  </w:abstractNum>
  <w:abstractNum w:abstractNumId="2">
    <w:nsid w:val="2AE05A34"/>
    <w:multiLevelType w:val="hybridMultilevel"/>
    <w:lvl w:ilvl="0">
      <w:lvlJc w:val="left"/>
      <w:lvlText w:val="•"/>
      <w:numFmt w:val="bullet"/>
      <w:start w:val="1"/>
    </w:lvl>
  </w:abstractNum>
  <w:abstractNum w:abstractNumId="3">
    <w:nsid w:val="32794FF7"/>
    <w:multiLevelType w:val="hybridMultilevel"/>
    <w:lvl w:ilvl="0">
      <w:lvlJc w:val="left"/>
      <w:lvlText w:val="•"/>
      <w:numFmt w:val="bullet"/>
      <w:start w:val="1"/>
    </w:lvl>
  </w:abstractNum>
  <w:abstractNum w:abstractNumId="4">
    <w:nsid w:val="5454945E"/>
    <w:multiLevelType w:val="hybridMultilevel"/>
    <w:lvl w:ilvl="0">
      <w:lvlJc w:val="left"/>
      <w:lvlText w:val="•"/>
      <w:numFmt w:val="bullet"/>
      <w:start w:val="1"/>
    </w:lvl>
  </w:abstractNum>
  <w:abstractNum w:abstractNumId="5">
    <w:nsid w:val="4DEFDFA0"/>
    <w:multiLevelType w:val="hybridMultilevel"/>
    <w:lvl w:ilvl="0">
      <w:lvlJc w:val="left"/>
      <w:lvlText w:val="•"/>
      <w:numFmt w:val="bullet"/>
      <w:start w:val="1"/>
    </w:lvl>
  </w:abstractNum>
  <w:abstractNum w:abstractNumId="6">
    <w:nsid w:val="2123D5F2"/>
    <w:multiLevelType w:val="hybridMultilevel"/>
    <w:lvl w:ilvl="0">
      <w:lvlJc w:val="left"/>
      <w:lvlText w:val="(%1)"/>
      <w:numFmt w:val="decimal"/>
      <w:start w:val="1"/>
    </w:lvl>
  </w:abstractNum>
  <w:abstractNum w:abstractNumId="7">
    <w:nsid w:val="135B8110"/>
    <w:multiLevelType w:val="hybridMultilevel"/>
    <w:lvl w:ilvl="0">
      <w:lvlJc w:val="left"/>
      <w:lvlText w:val="•"/>
      <w:numFmt w:val="bullet"/>
      <w:start w:val="1"/>
    </w:lvl>
  </w:abstractNum>
  <w:abstractNum w:abstractNumId="8">
    <w:nsid w:val="94927A8"/>
    <w:multiLevelType w:val="hybridMultilevel"/>
    <w:lvl w:ilvl="0">
      <w:lvlJc w:val="left"/>
      <w:lvlText w:val="•"/>
      <w:numFmt w:val="bullet"/>
      <w:start w:val="1"/>
    </w:lvl>
  </w:abstractNum>
  <w:abstractNum w:abstractNumId="9">
    <w:nsid w:val="DCDF8F6"/>
    <w:multiLevelType w:val="hybridMultilevel"/>
    <w:lvl w:ilvl="0">
      <w:lvlJc w:val="left"/>
      <w:lvlText w:val="•"/>
      <w:numFmt w:val="bullet"/>
      <w:start w:val="1"/>
    </w:lvl>
  </w:abstractNum>
  <w:abstractNum w:abstractNumId="10">
    <w:nsid w:val="52D7B105"/>
    <w:multiLevelType w:val="hybridMultilevel"/>
    <w:lvl w:ilvl="0">
      <w:lvlJc w:val="left"/>
      <w:lvlText w:val="•"/>
      <w:numFmt w:val="bullet"/>
      <w:start w:val="1"/>
    </w:lvl>
  </w:abstractNum>
  <w:abstractNum w:abstractNumId="11">
    <w:nsid w:val="2E8A6394"/>
    <w:multiLevelType w:val="hybridMultilevel"/>
    <w:lvl w:ilvl="0">
      <w:lvlJc w:val="left"/>
      <w:lvlText w:val="•"/>
      <w:numFmt w:val="bullet"/>
      <w:start w:val="1"/>
    </w:lvl>
  </w:abstractNum>
  <w:abstractNum w:abstractNumId="12">
    <w:nsid w:val="24E60401"/>
    <w:multiLevelType w:val="hybridMultilevel"/>
    <w:lvl w:ilvl="0">
      <w:lvlJc w:val="left"/>
      <w:lvlText w:val="•"/>
      <w:numFmt w:val="bullet"/>
      <w:start w:val="1"/>
    </w:lvl>
  </w:abstractNum>
  <w:abstractNum w:abstractNumId="13">
    <w:nsid w:val="2A6AD9BE"/>
    <w:multiLevelType w:val="hybridMultilevel"/>
    <w:lvl w:ilvl="0">
      <w:lvlJc w:val="left"/>
      <w:lvlText w:val="•"/>
      <w:numFmt w:val="bullet"/>
      <w:start w:val="1"/>
    </w:lvl>
  </w:abstractNum>
  <w:abstractNum w:abstractNumId="14">
    <w:nsid w:val="BAAC1B4"/>
    <w:multiLevelType w:val="hybridMultilevel"/>
    <w:lvl w:ilvl="0">
      <w:lvlJc w:val="left"/>
      <w:lvlText w:val="•"/>
      <w:numFmt w:val="bullet"/>
      <w:start w:val="1"/>
    </w:lvl>
  </w:abstractNum>
  <w:abstractNum w:abstractNumId="15">
    <w:nsid w:val="36B2ACBC"/>
    <w:multiLevelType w:val="hybridMultilevel"/>
    <w:lvl w:ilvl="0">
      <w:lvlJc w:val="left"/>
      <w:lvlText w:val="•"/>
      <w:numFmt w:val="bullet"/>
      <w:start w:val="1"/>
    </w:lvl>
  </w:abstractNum>
  <w:abstractNum w:abstractNumId="16">
    <w:nsid w:val="779D8544"/>
    <w:multiLevelType w:val="hybridMultilevel"/>
    <w:lvl w:ilvl="0">
      <w:lvlJc w:val="left"/>
      <w:lvlText w:val="(%1)"/>
      <w:numFmt w:val="decimal"/>
      <w:start w:val="806"/>
    </w:lvl>
  </w:abstractNum>
  <w:abstractNum w:abstractNumId="17">
    <w:nsid w:val="4AB26E78"/>
    <w:multiLevelType w:val="hybridMultilevel"/>
    <w:lvl w:ilvl="0">
      <w:lvlJc w:val="left"/>
      <w:lvlText w:val="•"/>
      <w:numFmt w:val="bullet"/>
      <w:start w:val="1"/>
    </w:lvl>
  </w:abstractNum>
  <w:abstractNum w:abstractNumId="18">
    <w:nsid w:val="21FAA2FA"/>
    <w:multiLevelType w:val="hybridMultilevel"/>
    <w:lvl w:ilvl="0">
      <w:lvlJc w:val="left"/>
      <w:lvlText w:val="(%1)"/>
      <w:numFmt w:val="decimal"/>
      <w:start w:val="1"/>
    </w:lvl>
  </w:abstractNum>
  <w:abstractNum w:abstractNumId="19">
    <w:nsid w:val="5451CF49"/>
    <w:multiLevelType w:val="hybridMultilevel"/>
    <w:lvl w:ilvl="0">
      <w:lvlJc w:val="left"/>
      <w:lvlText w:val="•"/>
      <w:numFmt w:val="bullet"/>
      <w:start w:val="1"/>
    </w:lvl>
  </w:abstractNum>
  <w:abstractNum w:abstractNumId="20">
    <w:nsid w:val="6181EF69"/>
    <w:multiLevelType w:val="hybridMultilevel"/>
    <w:lvl w:ilvl="0">
      <w:lvlJc w:val="left"/>
      <w:lvlText w:val="•"/>
      <w:numFmt w:val="bullet"/>
      <w:start w:val="1"/>
    </w:lvl>
  </w:abstractNum>
  <w:abstractNum w:abstractNumId="21">
    <w:nsid w:val="3E6400E6"/>
    <w:multiLevelType w:val="hybridMultilevel"/>
    <w:lvl w:ilvl="0">
      <w:lvlJc w:val="left"/>
      <w:lvlText w:val="•"/>
      <w:numFmt w:val="bullet"/>
      <w:start w:val="1"/>
    </w:lvl>
  </w:abstractNum>
  <w:abstractNum w:abstractNumId="22">
    <w:nsid w:val="14217E23"/>
    <w:multiLevelType w:val="hybridMultilevel"/>
    <w:lvl w:ilvl="0">
      <w:lvlJc w:val="left"/>
      <w:lvlText w:val="•"/>
      <w:numFmt w:val="bullet"/>
      <w:start w:val="1"/>
    </w:lvl>
  </w:abstractNum>
  <w:abstractNum w:abstractNumId="23">
    <w:nsid w:val="710757D0"/>
    <w:multiLevelType w:val="hybridMultilevel"/>
    <w:lvl w:ilvl="0">
      <w:lvlJc w:val="left"/>
      <w:lvlText w:val="•"/>
      <w:numFmt w:val="bullet"/>
      <w:start w:val="1"/>
    </w:lvl>
  </w:abstractNum>
  <w:abstractNum w:abstractNumId="24">
    <w:nsid w:val="5015CD1A"/>
    <w:multiLevelType w:val="hybridMultilevel"/>
    <w:lvl w:ilvl="0">
      <w:lvlJc w:val="left"/>
      <w:lvlText w:val="•"/>
      <w:numFmt w:val="bullet"/>
      <w:start w:val="1"/>
    </w:lvl>
  </w:abstractNum>
  <w:abstractNum w:abstractNumId="25">
    <w:nsid w:val="424479DA"/>
    <w:multiLevelType w:val="hybridMultilevel"/>
    <w:lvl w:ilvl="0">
      <w:lvlJc w:val="left"/>
      <w:lvlText w:val="•"/>
      <w:numFmt w:val="bullet"/>
      <w:start w:val="1"/>
    </w:lvl>
  </w:abstractNum>
  <w:abstractNum w:abstractNumId="26">
    <w:nsid w:val="1A9A9E69"/>
    <w:multiLevelType w:val="hybridMultilevel"/>
    <w:lvl w:ilvl="0">
      <w:lvlJc w:val="left"/>
      <w:lvlText w:val="(%1)"/>
      <w:numFmt w:val="decimal"/>
      <w:start w:val="1"/>
    </w:lvl>
  </w:abstractNum>
  <w:abstractNum w:abstractNumId="27">
    <w:nsid w:val="475E256A"/>
    <w:multiLevelType w:val="hybridMultilevel"/>
    <w:lvl w:ilvl="0">
      <w:lvlJc w:val="left"/>
      <w:lvlText w:val="(%1)"/>
      <w:numFmt w:val="decimal"/>
      <w:start w:val="1"/>
    </w:lvl>
  </w:abstractNum>
  <w:abstractNum w:abstractNumId="28">
    <w:nsid w:val="368DB37E"/>
    <w:multiLevelType w:val="hybridMultilevel"/>
    <w:lvl w:ilvl="0">
      <w:lvlJc w:val="left"/>
      <w:lvlText w:val="(%1)"/>
      <w:numFmt w:val="decimal"/>
      <w:start w:val="1"/>
    </w:lvl>
  </w:abstractNum>
  <w:abstractNum w:abstractNumId="29">
    <w:nsid w:val="6A3B714C"/>
    <w:multiLevelType w:val="hybridMultilevel"/>
    <w:lvl w:ilvl="0">
      <w:lvlJc w:val="left"/>
      <w:lvlText w:val="(%1)"/>
      <w:numFmt w:val="decimal"/>
      <w:start w:val="1"/>
    </w:lvl>
  </w:abstractNum>
  <w:abstractNum w:abstractNumId="30">
    <w:nsid w:val="327B517E"/>
    <w:multiLevelType w:val="hybridMultilevel"/>
    <w:lvl w:ilvl="0">
      <w:lvlJc w:val="left"/>
      <w:lvlText w:val="(%1)"/>
      <w:numFmt w:val="decimal"/>
      <w:start w:val="1"/>
    </w:lvl>
  </w:abstractNum>
  <w:abstractNum w:abstractNumId="31">
    <w:nsid w:val="1F461B51"/>
    <w:multiLevelType w:val="hybridMultilevel"/>
    <w:lvl w:ilvl="0">
      <w:lvlJc w:val="left"/>
      <w:lvlText w:val="(%1)"/>
      <w:numFmt w:val="decimal"/>
      <w:start w:val="1"/>
    </w:lvl>
  </w:abstractNum>
  <w:abstractNum w:abstractNumId="32">
    <w:nsid w:val="29BACF25"/>
    <w:multiLevelType w:val="hybridMultilevel"/>
    <w:lvl w:ilvl="0">
      <w:lvlJc w:val="left"/>
      <w:lvlText w:val="(%1)"/>
      <w:numFmt w:val="decimal"/>
      <w:start w:val="1"/>
    </w:lvl>
  </w:abstractNum>
  <w:abstractNum w:abstractNumId="33">
    <w:nsid w:val="5D5BABB3"/>
    <w:multiLevelType w:val="hybridMultilevel"/>
    <w:lvl w:ilvl="0">
      <w:lvlJc w:val="left"/>
      <w:lvlText w:val="(%1)"/>
      <w:numFmt w:val="decimal"/>
      <w:start w:val="1"/>
    </w:lvl>
  </w:abstractNum>
  <w:abstractNum w:abstractNumId="34">
    <w:nsid w:val="51BF6B48"/>
    <w:multiLevelType w:val="hybridMultilevel"/>
    <w:lvl w:ilvl="0">
      <w:lvlJc w:val="left"/>
      <w:lvlText w:val="(%1)"/>
      <w:numFmt w:val="decimal"/>
      <w:start w:val="1"/>
    </w:lvl>
  </w:abstractNum>
  <w:abstractNum w:abstractNumId="35">
    <w:nsid w:val="7E0F6384"/>
    <w:multiLevelType w:val="hybridMultilevel"/>
    <w:lvl w:ilvl="0">
      <w:lvlJc w:val="left"/>
      <w:lvlText w:val="•"/>
      <w:numFmt w:val="bullet"/>
      <w:start w:val="1"/>
    </w:lvl>
  </w:abstractNum>
  <w:abstractNum w:abstractNumId="36">
    <w:nsid w:val="2B4B8B53"/>
    <w:multiLevelType w:val="hybridMultilevel"/>
    <w:lvl w:ilvl="0">
      <w:lvlJc w:val="left"/>
      <w:lvlText w:val="•"/>
      <w:numFmt w:val="bullet"/>
      <w:start w:val="1"/>
    </w:lvl>
  </w:abstractNum>
  <w:abstractNum w:abstractNumId="37">
    <w:nsid w:val="72E3413A"/>
    <w:multiLevelType w:val="hybridMultilevel"/>
    <w:lvl w:ilvl="0">
      <w:lvlJc w:val="left"/>
      <w:lvlText w:val="(%1)"/>
      <w:numFmt w:val="decimal"/>
      <w:start w:val="1"/>
    </w:lvl>
  </w:abstractNum>
  <w:abstractNum w:abstractNumId="38">
    <w:nsid w:val="116AE494"/>
    <w:multiLevelType w:val="hybridMultilevel"/>
    <w:lvl w:ilvl="0">
      <w:lvlJc w:val="left"/>
      <w:lvlText w:val="•"/>
      <w:numFmt w:val="bullet"/>
      <w:start w:val="1"/>
    </w:lvl>
  </w:abstractNum>
  <w:abstractNum w:abstractNumId="39">
    <w:nsid w:val="3494B2FB"/>
    <w:multiLevelType w:val="hybridMultilevel"/>
    <w:lvl w:ilvl="0">
      <w:lvlJc w:val="left"/>
      <w:lvlText w:val="•"/>
      <w:numFmt w:val="bullet"/>
      <w:start w:val="1"/>
    </w:lvl>
  </w:abstractNum>
  <w:abstractNum w:abstractNumId="40">
    <w:nsid w:val="B13A31"/>
    <w:multiLevelType w:val="hybridMultilevel"/>
    <w:lvl w:ilvl="0">
      <w:lvlJc w:val="left"/>
      <w:lvlText w:val="•"/>
      <w:numFmt w:val="bullet"/>
      <w:start w:val="1"/>
    </w:lvl>
  </w:abstractNum>
  <w:abstractNum w:abstractNumId="41">
    <w:nsid w:val="64429599"/>
    <w:multiLevelType w:val="hybridMultilevel"/>
    <w:lvl w:ilvl="0">
      <w:lvlJc w:val="left"/>
      <w:lvlText w:val="•"/>
      <w:numFmt w:val="bullet"/>
      <w:start w:val="1"/>
    </w:lvl>
  </w:abstractNum>
  <w:abstractNum w:abstractNumId="42">
    <w:nsid w:val="631F1690"/>
    <w:multiLevelType w:val="hybridMultilevel"/>
    <w:lvl w:ilvl="0">
      <w:lvlJc w:val="left"/>
      <w:lvlText w:val="•"/>
      <w:numFmt w:val="bullet"/>
      <w:start w:val="1"/>
    </w:lvl>
  </w:abstractNum>
  <w:abstractNum w:abstractNumId="43">
    <w:nsid w:val="25973E32"/>
    <w:multiLevelType w:val="hybridMultilevel"/>
    <w:lvl w:ilvl="0">
      <w:lvlJc w:val="left"/>
      <w:lvlText w:val="•"/>
      <w:numFmt w:val="bullet"/>
      <w:start w:val="1"/>
    </w:lvl>
  </w:abstractNum>
  <w:abstractNum w:abstractNumId="44">
    <w:nsid w:val="EAD6F57"/>
    <w:multiLevelType w:val="hybridMultilevel"/>
    <w:lvl w:ilvl="0">
      <w:lvlJc w:val="left"/>
      <w:lvlText w:val="•"/>
      <w:numFmt w:val="bullet"/>
      <w:start w:val="1"/>
    </w:lvl>
  </w:abstractNum>
  <w:abstractNum w:abstractNumId="45">
    <w:nsid w:val="6EC9D844"/>
    <w:multiLevelType w:val="hybridMultilevel"/>
    <w:lvl w:ilvl="0">
      <w:lvlJc w:val="left"/>
      <w:lvlText w:val="•"/>
      <w:numFmt w:val="bullet"/>
      <w:start w:val="1"/>
    </w:lvl>
  </w:abstractNum>
  <w:abstractNum w:abstractNumId="46">
    <w:nsid w:val="5C49EAEE"/>
    <w:multiLevelType w:val="hybridMultilevel"/>
    <w:lvl w:ilvl="0">
      <w:lvlJc w:val="left"/>
      <w:lvlText w:val="•"/>
      <w:numFmt w:val="bullet"/>
      <w:start w:val="1"/>
    </w:lvl>
  </w:abstractNum>
  <w:abstractNum w:abstractNumId="47">
    <w:nsid w:val="64AF49B"/>
    <w:multiLevelType w:val="hybridMultilevel"/>
    <w:lvl w:ilvl="0">
      <w:lvlJc w:val="left"/>
      <w:lvlText w:val="•"/>
      <w:numFmt w:val="bullet"/>
      <w:start w:val="1"/>
    </w:lvl>
  </w:abstractNum>
  <w:abstractNum w:abstractNumId="48">
    <w:nsid w:val="397C46BC"/>
    <w:multiLevelType w:val="hybridMultilevel"/>
    <w:lvl w:ilvl="0">
      <w:lvlJc w:val="left"/>
      <w:lvlText w:val="•"/>
      <w:numFmt w:val="bullet"/>
      <w:start w:val="1"/>
    </w:lvl>
  </w:abstractNum>
  <w:abstractNum w:abstractNumId="49">
    <w:nsid w:val="7E448DE9"/>
    <w:multiLevelType w:val="hybridMultilevel"/>
    <w:lvl w:ilvl="0">
      <w:lvlJc w:val="left"/>
      <w:lvlText w:val="•"/>
      <w:numFmt w:val="bullet"/>
      <w:start w:val="1"/>
    </w:lvl>
  </w:abstractNum>
  <w:abstractNum w:abstractNumId="50">
    <w:nsid w:val="5A9CC3E5"/>
    <w:multiLevelType w:val="hybridMultilevel"/>
    <w:lvl w:ilvl="0">
      <w:lvlJc w:val="left"/>
      <w:lvlText w:val="•"/>
      <w:numFmt w:val="bullet"/>
      <w:start w:val="1"/>
    </w:lvl>
  </w:abstractNum>
  <w:abstractNum w:abstractNumId="51">
    <w:nsid w:val="1AFE3625"/>
    <w:multiLevelType w:val="hybridMultilevel"/>
    <w:lvl w:ilvl="0">
      <w:lvlJc w:val="left"/>
      <w:lvlText w:val="•"/>
      <w:numFmt w:val="bullet"/>
      <w:start w:val="1"/>
    </w:lvl>
  </w:abstractNum>
  <w:abstractNum w:abstractNumId="52">
    <w:nsid w:val="3CA88ECF"/>
    <w:multiLevelType w:val="hybridMultilevel"/>
    <w:lvl w:ilvl="0">
      <w:lvlJc w:val="left"/>
      <w:lvlText w:val="•"/>
      <w:numFmt w:val="bullet"/>
      <w:start w:val="1"/>
    </w:lvl>
  </w:abstractNum>
  <w:abstractNum w:abstractNumId="53">
    <w:nsid w:val="6EBE4208"/>
    <w:multiLevelType w:val="hybridMultilevel"/>
    <w:lvl w:ilvl="0">
      <w:lvlJc w:val="left"/>
      <w:lvlText w:val="(%1)"/>
      <w:numFmt w:val="decimal"/>
      <w:start w:val="2"/>
    </w:lvl>
  </w:abstractNum>
  <w:abstractNum w:abstractNumId="54">
    <w:nsid w:val="C058DF5"/>
    <w:multiLevelType w:val="hybridMultilevel"/>
    <w:lvl w:ilvl="0">
      <w:lvlJc w:val="left"/>
      <w:lvlText w:val="•"/>
      <w:numFmt w:val="bullet"/>
      <w:start w:val="1"/>
    </w:lvl>
  </w:abstractNum>
  <w:abstractNum w:abstractNumId="55">
    <w:nsid w:val="CBE5BE9"/>
    <w:multiLevelType w:val="hybridMultilevel"/>
    <w:lvl w:ilvl="0">
      <w:lvlJc w:val="left"/>
      <w:lvlText w:val="•"/>
      <w:numFmt w:val="bullet"/>
      <w:start w:val="1"/>
    </w:lvl>
  </w:abstractNum>
  <w:abstractNum w:abstractNumId="56">
    <w:nsid w:val="3102BBE2"/>
    <w:multiLevelType w:val="hybridMultilevel"/>
    <w:lvl w:ilvl="0">
      <w:lvlJc w:val="left"/>
      <w:lvlText w:val="•"/>
      <w:numFmt w:val="bullet"/>
      <w:start w:val="1"/>
    </w:lvl>
  </w:abstractNum>
  <w:abstractNum w:abstractNumId="57">
    <w:nsid w:val="26A02C5E"/>
    <w:multiLevelType w:val="hybridMultilevel"/>
    <w:lvl w:ilvl="0">
      <w:lvlJc w:val="left"/>
      <w:lvlText w:val="•"/>
      <w:numFmt w:val="bullet"/>
      <w:start w:val="1"/>
    </w:lvl>
  </w:abstractNum>
  <w:abstractNum w:abstractNumId="58">
    <w:nsid w:val="541C8153"/>
    <w:multiLevelType w:val="hybridMultilevel"/>
    <w:lvl w:ilvl="0">
      <w:lvlJc w:val="left"/>
      <w:lvlText w:val="(%1)"/>
      <w:numFmt w:val="decimal"/>
      <w:start w:val="1"/>
    </w:lvl>
    <w:lvl w:ilvl="1">
      <w:lvlJc w:val="left"/>
      <w:lvlText w:val="•"/>
      <w:numFmt w:val="bullet"/>
      <w:start w:val="1"/>
    </w:lvl>
  </w:abstractNum>
  <w:abstractNum w:abstractNumId="59">
    <w:nsid w:val="67906F60"/>
    <w:multiLevelType w:val="hybridMultilevel"/>
    <w:lvl w:ilvl="0">
      <w:lvlJc w:val="left"/>
      <w:lvlText w:val="(%1)"/>
      <w:numFmt w:val="decimal"/>
      <w:start w:val="1"/>
    </w:lvl>
  </w:abstractNum>
  <w:abstractNum w:abstractNumId="60">
    <w:nsid w:val="10DB9DAA"/>
    <w:multiLevelType w:val="hybridMultilevel"/>
    <w:lvl w:ilvl="0">
      <w:lvlJc w:val="left"/>
      <w:lvlText w:val="•"/>
      <w:numFmt w:val="bullet"/>
      <w:start w:val="1"/>
    </w:lvl>
  </w:abstractNum>
  <w:abstractNum w:abstractNumId="61">
    <w:nsid w:val="697D2D2"/>
    <w:multiLevelType w:val="hybridMultilevel"/>
    <w:lvl w:ilvl="0">
      <w:lvlJc w:val="left"/>
      <w:lvlText w:val="•"/>
      <w:numFmt w:val="bullet"/>
      <w:start w:val="1"/>
    </w:lvl>
    <w:lvl w:ilvl="1">
      <w:lvlJc w:val="left"/>
      <w:lvlText w:val="•"/>
      <w:numFmt w:val="bullet"/>
      <w:start w:val="1"/>
    </w:lvl>
  </w:abstractNum>
  <w:abstractNum w:abstractNumId="62">
    <w:nsid w:val="6D68AB2"/>
    <w:multiLevelType w:val="hybridMultilevel"/>
    <w:lvl w:ilvl="0">
      <w:lvlJc w:val="left"/>
      <w:lvlText w:val="(%1)"/>
      <w:numFmt w:val="decimal"/>
      <w:start w:val="1"/>
    </w:lvl>
  </w:abstractNum>
  <w:abstractNum w:abstractNumId="63">
    <w:nsid w:val="3A966CD0"/>
    <w:multiLevelType w:val="hybridMultilevel"/>
    <w:lvl w:ilvl="0">
      <w:lvlJc w:val="left"/>
      <w:lvlText w:val="•"/>
      <w:numFmt w:val="bullet"/>
      <w:start w:val="1"/>
    </w:lvl>
  </w:abstractNum>
  <w:abstractNum w:abstractNumId="64">
    <w:nsid w:val="63F37E85"/>
    <w:multiLevelType w:val="hybridMultilevel"/>
    <w:lvl w:ilvl="0">
      <w:lvlJc w:val="left"/>
      <w:lvlText w:val="•"/>
      <w:numFmt w:val="bullet"/>
      <w:start w:val="1"/>
    </w:lvl>
  </w:abstractNum>
  <w:abstractNum w:abstractNumId="65">
    <w:nsid w:val="5895F5FA"/>
    <w:multiLevelType w:val="hybridMultilevel"/>
    <w:lvl w:ilvl="0">
      <w:lvlJc w:val="left"/>
      <w:lvlText w:val="*"/>
      <w:numFmt w:val="bullet"/>
      <w:start w:val="1"/>
    </w:lvl>
  </w:abstractNum>
  <w:abstractNum w:abstractNumId="66">
    <w:nsid w:val="38A5D054"/>
    <w:multiLevelType w:val="hybridMultilevel"/>
    <w:lvl w:ilvl="0">
      <w:lvlJc w:val="left"/>
      <w:lvlText w:val="(%1)"/>
      <w:numFmt w:val="decimal"/>
      <w:start w:val="1"/>
    </w:lvl>
  </w:abstractNum>
  <w:abstractNum w:abstractNumId="67">
    <w:nsid w:val="F3F09D8"/>
    <w:multiLevelType w:val="hybridMultilevel"/>
    <w:lvl w:ilvl="0">
      <w:lvlJc w:val="left"/>
      <w:lvlText w:val="(%1)"/>
      <w:numFmt w:val="decimal"/>
      <w:start w:val="3"/>
    </w:lvl>
  </w:abstractNum>
  <w:abstractNum w:abstractNumId="68">
    <w:nsid w:val="4B793735"/>
    <w:multiLevelType w:val="hybridMultilevel"/>
    <w:lvl w:ilvl="0">
      <w:lvlJc w:val="left"/>
      <w:lvlText w:val="(%1)"/>
      <w:numFmt w:val="decimal"/>
      <w:start w:val="4"/>
    </w:lvl>
  </w:abstractNum>
  <w:abstractNum w:abstractNumId="69">
    <w:nsid w:val="4A10B4E8"/>
    <w:multiLevelType w:val="hybridMultilevel"/>
    <w:lvl w:ilvl="0">
      <w:lvlJc w:val="left"/>
      <w:lvlText w:val="(%1)"/>
      <w:numFmt w:val="lowerRoman"/>
      <w:start w:val="2"/>
    </w:lvl>
  </w:abstractNum>
  <w:abstractNum w:abstractNumId="70">
    <w:nsid w:val="43D3BCD4"/>
    <w:multiLevelType w:val="hybridMultilevel"/>
    <w:lvl w:ilvl="0">
      <w:lvlJc w:val="left"/>
      <w:lvlText w:val="•"/>
      <w:numFmt w:val="bullet"/>
      <w:start w:val="1"/>
    </w:lvl>
  </w:abstractNum>
  <w:abstractNum w:abstractNumId="71">
    <w:nsid w:val="4C2A7166"/>
    <w:multiLevelType w:val="hybridMultilevel"/>
    <w:lvl w:ilvl="0">
      <w:lvlJc w:val="left"/>
      <w:lvlText w:val="%1"/>
      <w:numFmt w:val="upperLetter"/>
      <w:start w:val="53"/>
    </w:lvl>
  </w:abstractNum>
  <w:abstractNum w:abstractNumId="72">
    <w:nsid w:val="2E534A82"/>
    <w:multiLevelType w:val="hybridMultilevel"/>
    <w:lvl w:ilvl="0">
      <w:lvlJc w:val="left"/>
      <w:lvlText w:val="(%1)"/>
      <w:numFmt w:val="decimal"/>
      <w:start w:val="1"/>
    </w:lvl>
  </w:abstractNum>
  <w:abstractNum w:abstractNumId="73">
    <w:nsid w:val="26F2D364"/>
    <w:multiLevelType w:val="hybridMultilevel"/>
    <w:lvl w:ilvl="0">
      <w:lvlJc w:val="left"/>
      <w:lvlText w:val="•"/>
      <w:numFmt w:val="bullet"/>
      <w:start w:val="1"/>
    </w:lvl>
  </w:abstractNum>
  <w:abstractNum w:abstractNumId="74">
    <w:nsid w:val="71C1AF98"/>
    <w:multiLevelType w:val="hybridMultilevel"/>
    <w:lvl w:ilvl="0">
      <w:lvlJc w:val="left"/>
      <w:lvlText w:val="•"/>
      <w:numFmt w:val="bullet"/>
      <w:start w:val="1"/>
    </w:lvl>
  </w:abstractNum>
  <w:abstractNum w:abstractNumId="75">
    <w:nsid w:val="3D00B9D9"/>
    <w:multiLevelType w:val="hybridMultilevel"/>
    <w:lvl w:ilvl="0">
      <w:lvlJc w:val="left"/>
      <w:lvlText w:val="•"/>
      <w:numFmt w:val="bullet"/>
      <w:start w:val="1"/>
    </w:lvl>
  </w:abstractNum>
  <w:abstractNum w:abstractNumId="76">
    <w:nsid w:val="15BCABA8"/>
    <w:multiLevelType w:val="hybridMultilevel"/>
    <w:lvl w:ilvl="0">
      <w:lvlJc w:val="left"/>
      <w:lvlText w:val="•"/>
      <w:numFmt w:val="bullet"/>
      <w:start w:val="1"/>
    </w:lvl>
  </w:abstractNum>
  <w:abstractNum w:abstractNumId="77">
    <w:nsid w:val="4E0B9A87"/>
    <w:multiLevelType w:val="hybridMultilevel"/>
    <w:lvl w:ilvl="0">
      <w:lvlJc w:val="left"/>
      <w:lvlText w:val="%1."/>
      <w:numFmt w:val="decimal"/>
      <w:start w:val="1"/>
    </w:lvl>
  </w:abstractNum>
  <w:abstractNum w:abstractNumId="78">
    <w:nsid w:val="434BAE75"/>
    <w:multiLevelType w:val="hybridMultilevel"/>
    <w:lvl w:ilvl="0">
      <w:lvlJc w:val="left"/>
      <w:lvlText w:val="%1."/>
      <w:numFmt w:val="decimal"/>
      <w:start w:val="1"/>
    </w:lvl>
  </w:abstractNum>
  <w:abstractNum w:abstractNumId="79">
    <w:nsid w:val="4F38F265"/>
    <w:multiLevelType w:val="hybridMultilevel"/>
    <w:lvl w:ilvl="0">
      <w:lvlJc w:val="left"/>
      <w:lvlText w:val="%1."/>
      <w:numFmt w:val="decimal"/>
      <w:start w:val="1"/>
    </w:lvl>
  </w:abstractNum>
  <w:abstractNum w:abstractNumId="80">
    <w:nsid w:val="4C502870"/>
    <w:multiLevelType w:val="hybridMultilevel"/>
    <w:lvl w:ilvl="0">
      <w:lvlJc w:val="left"/>
      <w:lvlText w:val="%1."/>
      <w:numFmt w:val="decimal"/>
      <w:start w:val="1"/>
    </w:lvl>
  </w:abstractNum>
  <w:abstractNum w:abstractNumId="81">
    <w:nsid w:val="1DE8725A"/>
    <w:multiLevelType w:val="hybridMultilevel"/>
    <w:lvl w:ilvl="0">
      <w:lvlJc w:val="left"/>
      <w:lvlText w:val="%1."/>
      <w:numFmt w:val="decimal"/>
      <w:start w:val="1"/>
    </w:lvl>
  </w:abstractNum>
  <w:abstractNum w:abstractNumId="82">
    <w:nsid w:val="6A37288A"/>
    <w:multiLevelType w:val="hybridMultilevel"/>
    <w:lvl w:ilvl="0">
      <w:lvlJc w:val="left"/>
      <w:lvlText w:val="%1."/>
      <w:numFmt w:val="decimal"/>
      <w:start w:val="1"/>
    </w:lvl>
  </w:abstractNum>
  <w:abstractNum w:abstractNumId="83">
    <w:nsid w:val="8F8B73F"/>
    <w:multiLevelType w:val="hybridMultilevel"/>
    <w:lvl w:ilvl="0">
      <w:lvlJc w:val="left"/>
      <w:lvlText w:val="%1."/>
      <w:numFmt w:val="decimal"/>
      <w:start w:val="1"/>
    </w:lvl>
  </w:abstractNum>
  <w:abstractNum w:abstractNumId="84">
    <w:nsid w:val="CA6B462"/>
    <w:multiLevelType w:val="hybridMultilevel"/>
    <w:lvl w:ilvl="0">
      <w:lvlJc w:val="left"/>
      <w:lvlText w:val="%1."/>
      <w:numFmt w:val="decimal"/>
      <w:start w:val="2"/>
    </w:lvl>
  </w:abstractNum>
  <w:abstractNum w:abstractNumId="85">
    <w:nsid w:val="763CB680"/>
    <w:multiLevelType w:val="hybridMultilevel"/>
    <w:lvl w:ilvl="0">
      <w:lvlJc w:val="left"/>
      <w:lvlText w:val="%1."/>
      <w:numFmt w:val="decimal"/>
      <w:start w:val="2"/>
    </w:lvl>
  </w:abstractNum>
  <w:abstractNum w:abstractNumId="86">
    <w:nsid w:val="15B71329"/>
    <w:multiLevelType w:val="hybridMultilevel"/>
    <w:lvl w:ilvl="0">
      <w:lvlJc w:val="left"/>
      <w:lvlText w:val="%1."/>
      <w:numFmt w:val="decimal"/>
      <w:start w:val="3"/>
    </w:lvl>
  </w:abstractNum>
  <w:abstractNum w:abstractNumId="87">
    <w:nsid w:val="3DA97044"/>
    <w:multiLevelType w:val="hybridMultilevel"/>
    <w:lvl w:ilvl="0">
      <w:lvlJc w:val="left"/>
      <w:lvlText w:val="%1."/>
      <w:numFmt w:val="decimal"/>
      <w:start w:val="3"/>
    </w:lvl>
  </w:abstractNum>
  <w:abstractNum w:abstractNumId="88">
    <w:nsid w:val="1CDCE2DE"/>
    <w:multiLevelType w:val="hybridMultilevel"/>
    <w:lvl w:ilvl="0">
      <w:lvlJc w:val="left"/>
      <w:lvlText w:val="%1."/>
      <w:numFmt w:val="decimal"/>
      <w:start w:val="3"/>
    </w:lvl>
  </w:abstractNum>
  <w:abstractNum w:abstractNumId="89">
    <w:nsid w:val="69D3947C"/>
    <w:multiLevelType w:val="hybridMultilevel"/>
    <w:lvl w:ilvl="0">
      <w:lvlJc w:val="left"/>
      <w:lvlText w:val="%1."/>
      <w:numFmt w:val="decimal"/>
      <w:start w:val="7"/>
    </w:lvl>
  </w:abstractNum>
  <w:abstractNum w:abstractNumId="90">
    <w:nsid w:val="2539DFA5"/>
    <w:multiLevelType w:val="hybridMultilevel"/>
    <w:lvl w:ilvl="0">
      <w:lvlJc w:val="left"/>
      <w:lvlText w:val="%1."/>
      <w:numFmt w:val="decimal"/>
      <w:start w:val="7"/>
    </w:lvl>
  </w:abstractNum>
  <w:abstractNum w:abstractNumId="91">
    <w:nsid w:val="2DB88089"/>
    <w:multiLevelType w:val="hybridMultilevel"/>
    <w:lvl w:ilvl="0">
      <w:lvlJc w:val="left"/>
      <w:lvlText w:val="(%1)"/>
      <w:numFmt w:val="decimal"/>
      <w:start w:val="1"/>
    </w:lvl>
  </w:abstractNum>
  <w:abstractNum w:abstractNumId="92">
    <w:nsid w:val="706B674E"/>
    <w:multiLevelType w:val="hybridMultilevel"/>
    <w:lvl w:ilvl="0">
      <w:lvlJc w:val="left"/>
      <w:lvlText w:val="%1."/>
      <w:numFmt w:val="decimal"/>
      <w:start w:val="8"/>
    </w:lvl>
  </w:abstractNum>
  <w:abstractNum w:abstractNumId="93">
    <w:nsid w:val="2C106A57"/>
    <w:multiLevelType w:val="hybridMultilevel"/>
    <w:lvl w:ilvl="0">
      <w:lvlJc w:val="left"/>
      <w:lvlText w:val="%1."/>
      <w:numFmt w:val="decimal"/>
      <w:start w:val="8"/>
    </w:lvl>
  </w:abstractNum>
  <w:abstractNum w:abstractNumId="94">
    <w:nsid w:val="684EED59"/>
    <w:multiLevelType w:val="hybridMultilevel"/>
    <w:lvl w:ilvl="0">
      <w:lvlJc w:val="left"/>
      <w:lvlText w:val="%1."/>
      <w:numFmt w:val="decimal"/>
      <w:start w:val="14"/>
    </w:lvl>
  </w:abstractNum>
  <w:abstractNum w:abstractNumId="95">
    <w:nsid w:val="545EE5D3"/>
    <w:multiLevelType w:val="hybridMultilevel"/>
    <w:lvl w:ilvl="0">
      <w:lvlJc w:val="left"/>
      <w:lvlText w:val="•"/>
      <w:numFmt w:val="bullet"/>
      <w:start w:val="1"/>
    </w:lvl>
  </w:abstractNum>
  <w:abstractNum w:abstractNumId="96">
    <w:nsid w:val="4A66051"/>
    <w:multiLevelType w:val="hybridMultilevel"/>
    <w:lvl w:ilvl="0">
      <w:lvlJc w:val="left"/>
      <w:lvlText w:val="%1."/>
      <w:numFmt w:val="decimal"/>
      <w:start w:val="18"/>
    </w:lvl>
  </w:abstractNum>
  <w:abstractNum w:abstractNumId="97">
    <w:nsid w:val="20F4BDAD"/>
    <w:multiLevelType w:val="hybridMultilevel"/>
    <w:lvl w:ilvl="0">
      <w:lvlJc w:val="left"/>
      <w:lvlText w:val="(%1)"/>
      <w:numFmt w:val="decimal"/>
      <w:start w:val="1"/>
    </w:lvl>
  </w:abstractNum>
  <w:abstractNum w:abstractNumId="98">
    <w:nsid w:val="639DEFAC"/>
    <w:multiLevelType w:val="hybridMultilevel"/>
    <w:lvl w:ilvl="0">
      <w:lvlJc w:val="left"/>
      <w:lvlText w:val="(%1)"/>
      <w:numFmt w:val="decimal"/>
      <w:start w:val="3"/>
    </w:lvl>
  </w:abstractNum>
  <w:abstractNum w:abstractNumId="99">
    <w:nsid w:val="501F9786"/>
    <w:multiLevelType w:val="hybridMultilevel"/>
    <w:lvl w:ilvl="0">
      <w:lvlJc w:val="left"/>
      <w:lvlText w:val="•"/>
      <w:numFmt w:val="bullet"/>
      <w:start w:val="1"/>
    </w:lvl>
    <w:lvl w:ilvl="1">
      <w:lvlJc w:val="left"/>
      <w:lvlText w:val="•"/>
      <w:numFmt w:val="bullet"/>
      <w:start w:val="1"/>
    </w:lvl>
  </w:abstractNum>
  <w:abstractNum w:abstractNumId="100">
    <w:nsid w:val="6B057295"/>
    <w:multiLevelType w:val="hybridMultilevel"/>
    <w:lvl w:ilvl="0">
      <w:lvlJc w:val="left"/>
      <w:lvlText w:val="*"/>
      <w:numFmt w:val="bullet"/>
      <w:start w:val="1"/>
    </w:lvl>
  </w:abstractNum>
  <w:abstractNum w:abstractNumId="101">
    <w:nsid w:val="2771AC80"/>
    <w:multiLevelType w:val="hybridMultilevel"/>
    <w:lvl w:ilvl="0">
      <w:lvlJc w:val="left"/>
      <w:lvlText w:val="(%1)"/>
      <w:numFmt w:val="decimal"/>
      <w:start w:val="1"/>
    </w:lvl>
  </w:abstractNum>
  <w:abstractNum w:abstractNumId="102">
    <w:nsid w:val="1C4A08EC"/>
    <w:multiLevelType w:val="hybridMultilevel"/>
    <w:lvl w:ilvl="0">
      <w:lvlJc w:val="left"/>
      <w:lvlText w:val="&amp;"/>
      <w:numFmt w:val="bullet"/>
      <w:start w:val="1"/>
    </w:lvl>
  </w:abstractNum>
  <w:abstractNum w:abstractNumId="103">
    <w:nsid w:val="1958BD17"/>
    <w:multiLevelType w:val="hybridMultilevel"/>
    <w:lvl w:ilvl="0">
      <w:lvlJc w:val="left"/>
      <w:lvlText w:val="(%1)"/>
      <w:numFmt w:val="lowerLetter"/>
      <w:start w:val="1"/>
    </w:lvl>
    <w:lvl w:ilvl="1">
      <w:lvlJc w:val="left"/>
      <w:lvlText w:val="(%2)"/>
      <w:numFmt w:val="lowerLetter"/>
      <w:start w:val="9"/>
    </w:lvl>
  </w:abstractNum>
  <w:abstractNum w:abstractNumId="104">
    <w:nsid w:val="4E647FE4"/>
    <w:multiLevelType w:val="hybridMultilevel"/>
    <w:lvl w:ilvl="0">
      <w:lvlJc w:val="left"/>
      <w:lvlText w:val="(%1)"/>
      <w:numFmt w:val="lowerRoman"/>
      <w:start w:val="2"/>
    </w:lvl>
  </w:abstractNum>
  <w:abstractNum w:abstractNumId="105">
    <w:nsid w:val="E0BB885"/>
    <w:multiLevelType w:val="hybridMultilevel"/>
    <w:lvl w:ilvl="0">
      <w:lvlJc w:val="left"/>
      <w:lvlText w:val="(%1)"/>
      <w:numFmt w:val="lowerRoman"/>
      <w:start w:val="3"/>
    </w:lvl>
  </w:abstractNum>
  <w:abstractNum w:abstractNumId="106">
    <w:nsid w:val="565976F1"/>
    <w:multiLevelType w:val="hybridMultilevel"/>
    <w:lvl w:ilvl="0">
      <w:lvlJc w:val="left"/>
      <w:lvlText w:val="(%1)"/>
      <w:numFmt w:val="lowerRoman"/>
      <w:start w:val="7"/>
    </w:lvl>
  </w:abstractNum>
  <w:abstractNum w:abstractNumId="107">
    <w:nsid w:val="64212B8C"/>
    <w:multiLevelType w:val="hybridMultilevel"/>
    <w:lvl w:ilvl="0">
      <w:lvlJc w:val="left"/>
      <w:lvlText w:val="(%1)"/>
      <w:numFmt w:val="lowerRoman"/>
      <w:start w:val="10"/>
    </w:lvl>
  </w:abstractNum>
  <w:abstractNum w:abstractNumId="108">
    <w:nsid w:val="5C17530C"/>
    <w:multiLevelType w:val="hybridMultilevel"/>
    <w:lvl w:ilvl="0">
      <w:lvlJc w:val="left"/>
      <w:lvlText w:val="(%1)"/>
      <w:numFmt w:val="lowerRoman"/>
      <w:start w:val="14"/>
    </w:lvl>
  </w:abstractNum>
  <w:abstractNum w:abstractNumId="109">
    <w:nsid w:val="19A52566"/>
    <w:multiLevelType w:val="hybridMultilevel"/>
    <w:lvl w:ilvl="0">
      <w:lvlJc w:val="left"/>
      <w:lvlText w:val="(%1)"/>
      <w:numFmt w:val="lowerRoman"/>
      <w:start w:val="18"/>
    </w:lvl>
  </w:abstractNum>
  <w:abstractNum w:abstractNumId="110">
    <w:nsid w:val="335A1DF1"/>
    <w:multiLevelType w:val="hybridMultilevel"/>
    <w:lvl w:ilvl="0">
      <w:lvlJc w:val="left"/>
      <w:lvlText w:val="(%1)"/>
      <w:numFmt w:val="lowerRoman"/>
      <w:start w:val="21"/>
    </w:lvl>
  </w:abstractNum>
  <w:abstractNum w:abstractNumId="111">
    <w:nsid w:val="28677B7C"/>
    <w:multiLevelType w:val="hybridMultilevel"/>
    <w:lvl w:ilvl="0">
      <w:lvlJc w:val="left"/>
      <w:lvlText w:val="(%1)"/>
      <w:numFmt w:val="lowerRoman"/>
      <w:start w:val="23"/>
    </w:lvl>
  </w:abstractNum>
  <w:abstractNum w:abstractNumId="112">
    <w:nsid w:val="378D97C0"/>
    <w:multiLevelType w:val="hybridMultilevel"/>
    <w:lvl w:ilvl="0">
      <w:lvlJc w:val="left"/>
      <w:lvlText w:val="(%1)"/>
      <w:numFmt w:val="lowerRoman"/>
      <w:start w:val="27"/>
    </w:lvl>
  </w:abstractNum>
  <w:abstractNum w:abstractNumId="113">
    <w:nsid w:val="1D91467C"/>
    <w:multiLevelType w:val="hybridMultilevel"/>
    <w:lvl w:ilvl="0">
      <w:lvlJc w:val="left"/>
      <w:lvlText w:val="(%1)"/>
      <w:numFmt w:val="lowerRoman"/>
      <w:start w:val="30"/>
    </w:lvl>
  </w:abstractNum>
  <w:abstractNum w:abstractNumId="114">
    <w:nsid w:val="316032BB"/>
    <w:multiLevelType w:val="hybridMultilevel"/>
    <w:lvl w:ilvl="0">
      <w:lvlJc w:val="left"/>
      <w:lvlText w:val="(%1)"/>
      <w:numFmt w:val="lowerRoman"/>
      <w:start w:val="32"/>
    </w:lvl>
  </w:abstractNum>
  <w:abstractNum w:abstractNumId="115">
    <w:nsid w:val="44344C22"/>
    <w:multiLevelType w:val="hybridMultilevel"/>
    <w:lvl w:ilvl="0">
      <w:lvlJc w:val="left"/>
      <w:lvlText w:val="(%1)"/>
      <w:numFmt w:val="lowerRoman"/>
      <w:start w:val="36"/>
    </w:lvl>
  </w:abstractNum>
  <w:abstractNum w:abstractNumId="116">
    <w:nsid w:val="13CDFCFC"/>
    <w:multiLevelType w:val="hybridMultilevel"/>
    <w:lvl w:ilvl="0">
      <w:lvlJc w:val="left"/>
      <w:lvlText w:val="(%1)"/>
      <w:numFmt w:val="upperLetter"/>
      <w:start w:val="1"/>
    </w:lvl>
  </w:abstractNum>
  <w:abstractNum w:abstractNumId="117">
    <w:nsid w:val="471745E4"/>
    <w:multiLevelType w:val="hybridMultilevel"/>
    <w:lvl w:ilvl="0">
      <w:lvlJc w:val="left"/>
      <w:lvlText w:val="(%1)"/>
      <w:numFmt w:val="lowerLetter"/>
      <w:start w:val="12"/>
    </w:lvl>
  </w:abstractNum>
  <w:abstractNum w:abstractNumId="118">
    <w:nsid w:val="1DDBC66"/>
    <w:multiLevelType w:val="hybridMultilevel"/>
    <w:lvl w:ilvl="0">
      <w:lvlJc w:val="left"/>
      <w:lvlText w:val="(%1)"/>
      <w:numFmt w:val="lowerLetter"/>
      <w:start w:val="2"/>
    </w:lvl>
    <w:lvl w:ilvl="1">
      <w:lvlJc w:val="left"/>
      <w:lvlText w:val="(%2)"/>
      <w:numFmt w:val="lowerRoman"/>
      <w:start w:val="1"/>
    </w:lvl>
  </w:abstractNum>
  <w:abstractNum w:abstractNumId="119">
    <w:nsid w:val="30AADFDA"/>
    <w:multiLevelType w:val="hybridMultilevel"/>
    <w:lvl w:ilvl="0">
      <w:lvlJc w:val="left"/>
      <w:lvlText w:val="%1"/>
      <w:numFmt w:val="lowerLetter"/>
      <w:start w:val="1"/>
    </w:lvl>
    <w:lvl w:ilvl="1">
      <w:lvlJc w:val="left"/>
      <w:lvlText w:val="(%2)"/>
      <w:numFmt w:val="lowerLetter"/>
      <w:start w:val="61"/>
    </w:lvl>
  </w:abstractNum>
  <w:abstractNum w:abstractNumId="120">
    <w:nsid w:val="30EADA61"/>
    <w:multiLevelType w:val="hybridMultilevel"/>
    <w:lvl w:ilvl="0">
      <w:lvlJc w:val="left"/>
      <w:lvlText w:val="(%1)"/>
      <w:numFmt w:val="lowerLetter"/>
      <w:start w:val="3"/>
    </w:lvl>
    <w:lvl w:ilvl="1">
      <w:lvlJc w:val="left"/>
      <w:lvlText w:val="(%2)"/>
      <w:numFmt w:val="lowerLetter"/>
      <w:start w:val="9"/>
    </w:lvl>
  </w:abstractNum>
  <w:abstractNum w:abstractNumId="121">
    <w:nsid w:val="27179C0B"/>
    <w:multiLevelType w:val="hybridMultilevel"/>
    <w:lvl w:ilvl="0">
      <w:lvlJc w:val="left"/>
      <w:lvlText w:val="(%1)"/>
      <w:numFmt w:val="lowerRoman"/>
      <w:start w:val="2"/>
    </w:lvl>
  </w:abstractNum>
  <w:abstractNum w:abstractNumId="122">
    <w:nsid w:val="5E636063"/>
    <w:multiLevelType w:val="hybridMultilevel"/>
    <w:lvl w:ilvl="0">
      <w:lvlJc w:val="left"/>
      <w:lvlText w:val="(%1)"/>
      <w:numFmt w:val="lowerRoman"/>
      <w:start w:val="5"/>
    </w:lvl>
  </w:abstractNum>
  <w:abstractNum w:abstractNumId="123">
    <w:nsid w:val="215641AF"/>
    <w:multiLevelType w:val="hybridMultilevel"/>
    <w:lvl w:ilvl="0">
      <w:lvlJc w:val="left"/>
      <w:lvlText w:val="(%1)"/>
      <w:numFmt w:val="lowerRoman"/>
      <w:start w:val="9"/>
    </w:lvl>
  </w:abstractNum>
  <w:abstractNum w:abstractNumId="124">
    <w:nsid w:val="53280662"/>
    <w:multiLevelType w:val="hybridMultilevel"/>
    <w:lvl w:ilvl="0">
      <w:lvlJc w:val="left"/>
      <w:lvlText w:val="%1"/>
      <w:numFmt w:val="lowerLetter"/>
      <w:start w:val="1"/>
    </w:lvl>
    <w:lvl w:ilvl="1">
      <w:lvlJc w:val="left"/>
      <w:lvlText w:val="(%2)"/>
      <w:numFmt w:val="lowerRoman"/>
      <w:start w:val="14"/>
    </w:lvl>
  </w:abstractNum>
  <w:abstractNum w:abstractNumId="125">
    <w:nsid w:val="46B24DBC"/>
    <w:multiLevelType w:val="hybridMultilevel"/>
    <w:lvl w:ilvl="0">
      <w:lvlJc w:val="left"/>
      <w:lvlText w:val="(%1)"/>
      <w:numFmt w:val="lowerLetter"/>
      <w:start w:val="4"/>
    </w:lvl>
    <w:lvl w:ilvl="1">
      <w:lvlJc w:val="left"/>
      <w:lvlText w:val="%2"/>
      <w:numFmt w:val="lowerRoman"/>
      <w:start w:val="1"/>
    </w:lvl>
  </w:abstractNum>
  <w:abstractNum w:abstractNumId="126">
    <w:nsid w:val="75B52783"/>
    <w:multiLevelType w:val="hybridMultilevel"/>
    <w:lvl w:ilvl="0">
      <w:lvlJc w:val="left"/>
      <w:lvlText w:val="(%1)"/>
      <w:numFmt w:val="lowerLetter"/>
      <w:start w:val="1"/>
    </w:lvl>
  </w:abstractNum>
  <w:abstractNum w:abstractNumId="127">
    <w:nsid w:val="57CE66B4"/>
    <w:multiLevelType w:val="hybridMultilevel"/>
    <w:lvl w:ilvl="0">
      <w:lvlJc w:val="left"/>
      <w:lvlText w:val="(%1)"/>
      <w:numFmt w:val="lowerLetter"/>
      <w:start w:val="1"/>
    </w:lvl>
  </w:abstractNum>
  <w:abstractNum w:abstractNumId="128">
    <w:nsid w:val="67A70B69"/>
    <w:multiLevelType w:val="hybridMultilevel"/>
    <w:lvl w:ilvl="0">
      <w:lvlJc w:val="left"/>
      <w:lvlText w:val="(%1)"/>
      <w:numFmt w:val="lowerLetter"/>
      <w:start w:val="1"/>
    </w:lvl>
    <w:lvl w:ilvl="1">
      <w:lvlJc w:val="left"/>
      <w:lvlText w:val="(%2)"/>
      <w:numFmt w:val="lowerRoman"/>
      <w:start w:val="1"/>
    </w:lvl>
  </w:abstractNum>
  <w:abstractNum w:abstractNumId="129">
    <w:nsid w:val="5953172F"/>
    <w:multiLevelType w:val="hybridMultilevel"/>
    <w:lvl w:ilvl="0">
      <w:lvlJc w:val="left"/>
      <w:lvlText w:val="(%1)"/>
      <w:numFmt w:val="lowerRoman"/>
      <w:start w:val="4"/>
    </w:lvl>
  </w:abstractNum>
  <w:abstractNum w:abstractNumId="130">
    <w:nsid w:val="27EDFE3A"/>
    <w:multiLevelType w:val="hybridMultilevel"/>
    <w:lvl w:ilvl="0">
      <w:lvlJc w:val="left"/>
      <w:lvlText w:val="(%1)"/>
      <w:numFmt w:val="lowerRoman"/>
      <w:start w:val="9"/>
    </w:lvl>
  </w:abstractNum>
  <w:abstractNum w:abstractNumId="131">
    <w:nsid w:val="52AC7DFF"/>
    <w:multiLevelType w:val="hybridMultilevel"/>
    <w:lvl w:ilvl="0">
      <w:lvlJc w:val="left"/>
      <w:lvlText w:val="(%1)"/>
      <w:numFmt w:val="lowerRoman"/>
      <w:start w:val="16"/>
    </w:lvl>
  </w:abstractNum>
  <w:abstractNum w:abstractNumId="132">
    <w:nsid w:val="C4C3AF"/>
    <w:multiLevelType w:val="hybridMultilevel"/>
    <w:lvl w:ilvl="0">
      <w:lvlJc w:val="left"/>
      <w:lvlText w:val="%1"/>
      <w:numFmt w:val="lowerLetter"/>
      <w:start w:val="1"/>
    </w:lvl>
    <w:lvl w:ilvl="1">
      <w:lvlJc w:val="left"/>
      <w:lvlText w:val="(%2)"/>
      <w:numFmt w:val="lowerRoman"/>
      <w:start w:val="21"/>
    </w:lvl>
  </w:abstractNum>
  <w:abstractNum w:abstractNumId="133">
    <w:nsid w:val="44380727"/>
    <w:multiLevelType w:val="hybridMultilevel"/>
    <w:lvl w:ilvl="0">
      <w:lvlJc w:val="left"/>
      <w:lvlText w:val="(%1)"/>
      <w:numFmt w:val="lowerLetter"/>
      <w:start w:val="2"/>
    </w:lvl>
    <w:lvl w:ilvl="1">
      <w:lvlJc w:val="left"/>
      <w:lvlText w:val="(%2)"/>
      <w:numFmt w:val="lowerRoman"/>
      <w:start w:val="1"/>
    </w:lvl>
  </w:abstractNum>
  <w:abstractNum w:abstractNumId="134">
    <w:nsid w:val="6C053B16"/>
    <w:multiLevelType w:val="hybridMultilevel"/>
    <w:lvl w:ilvl="0">
      <w:lvlJc w:val="left"/>
      <w:lvlText w:val="%1"/>
      <w:numFmt w:val="lowerLetter"/>
      <w:start w:val="1"/>
    </w:lvl>
    <w:lvl w:ilvl="1">
      <w:lvlJc w:val="left"/>
      <w:lvlText w:val="(%2)"/>
      <w:numFmt w:val="lowerRoman"/>
      <w:start w:val="2"/>
    </w:lvl>
  </w:abstractNum>
  <w:abstractNum w:abstractNumId="135">
    <w:nsid w:val="4F294393"/>
    <w:multiLevelType w:val="hybridMultilevel"/>
    <w:lvl w:ilvl="0">
      <w:lvlJc w:val="left"/>
      <w:lvlText w:val="(%1)"/>
      <w:numFmt w:val="lowerLetter"/>
      <w:start w:val="3"/>
    </w:lvl>
    <w:lvl w:ilvl="1">
      <w:lvlJc w:val="left"/>
      <w:lvlText w:val="%2"/>
      <w:numFmt w:val="lowerRoman"/>
      <w:start w:val="1"/>
    </w:lvl>
  </w:abstractNum>
  <w:abstractNum w:abstractNumId="136">
    <w:nsid w:val="5243BFAC"/>
    <w:multiLevelType w:val="hybridMultilevel"/>
    <w:lvl w:ilvl="0">
      <w:lvlJc w:val="left"/>
      <w:lvlText w:val="%1"/>
      <w:numFmt w:val="lowerLetter"/>
      <w:start w:val="1"/>
    </w:lvl>
    <w:lvl w:ilvl="1">
      <w:lvlJc w:val="left"/>
      <w:lvlText w:val="(%2)"/>
      <w:numFmt w:val="lowerLetter"/>
      <w:start w:val="1"/>
    </w:lvl>
  </w:abstractNum>
  <w:abstractNum w:abstractNumId="137">
    <w:nsid w:val="425EB207"/>
    <w:multiLevelType w:val="hybridMultilevel"/>
    <w:lvl w:ilvl="0">
      <w:lvlJc w:val="left"/>
      <w:lvlText w:val="(%1)"/>
      <w:numFmt w:val="lowerLetter"/>
      <w:start w:val="9"/>
    </w:lvl>
    <w:lvl w:ilvl="1">
      <w:lvlJc w:val="left"/>
      <w:lvlText w:val="%2"/>
      <w:numFmt w:val="lowerLetter"/>
      <w:start w:val="1"/>
    </w:lvl>
  </w:abstractNum>
  <w:abstractNum w:abstractNumId="138">
    <w:nsid w:val="334A6F1F"/>
    <w:multiLevelType w:val="hybridMultilevel"/>
    <w:lvl w:ilvl="0">
      <w:lvlJc w:val="left"/>
      <w:lvlText w:val="(%1)"/>
      <w:numFmt w:val="lowerLetter"/>
      <w:start w:val="6"/>
    </w:lvl>
  </w:abstractNum>
  <w:abstractNum w:abstractNumId="139">
    <w:nsid w:val="2E5B12B8"/>
    <w:multiLevelType w:val="hybridMultilevel"/>
    <w:lvl w:ilvl="0">
      <w:lvlJc w:val="left"/>
      <w:lvlText w:val="(%1)"/>
      <w:numFmt w:val="lowerLetter"/>
      <w:start w:val="14"/>
    </w:lvl>
  </w:abstractNum>
  <w:abstractNum w:abstractNumId="140">
    <w:nsid w:val="5C03D76D"/>
    <w:multiLevelType w:val="hybridMultilevel"/>
    <w:lvl w:ilvl="0">
      <w:lvlJc w:val="left"/>
      <w:lvlText w:val="(%1)"/>
      <w:numFmt w:val="lowerLetter"/>
      <w:start w:val="1"/>
    </w:lvl>
    <w:lvl w:ilvl="1">
      <w:lvlJc w:val="left"/>
      <w:lvlText w:val="(%2)"/>
      <w:numFmt w:val="lowerLetter"/>
      <w:start w:val="9"/>
    </w:lvl>
  </w:abstractNum>
  <w:abstractNum w:abstractNumId="141">
    <w:nsid w:val="66A48D11"/>
    <w:multiLevelType w:val="hybridMultilevel"/>
    <w:lvl w:ilvl="0">
      <w:lvlJc w:val="left"/>
      <w:lvlText w:val="(%1)"/>
      <w:numFmt w:val="lowerRoman"/>
      <w:start w:val="2"/>
    </w:lvl>
  </w:abstractNum>
  <w:abstractNum w:abstractNumId="142">
    <w:nsid w:val="56C28E34"/>
    <w:multiLevelType w:val="hybridMultilevel"/>
    <w:lvl w:ilvl="0">
      <w:lvlJc w:val="left"/>
      <w:lvlText w:val="(%1)"/>
      <w:numFmt w:val="lowerLetter"/>
      <w:start w:val="2"/>
    </w:lvl>
    <w:lvl w:ilvl="1">
      <w:lvlJc w:val="left"/>
      <w:lvlText w:val="(%2)"/>
      <w:numFmt w:val="lowerLetter"/>
      <w:start w:val="9"/>
    </w:lvl>
  </w:abstractNum>
  <w:abstractNum w:abstractNumId="143">
    <w:nsid w:val="13916F2D"/>
    <w:multiLevelType w:val="hybridMultilevel"/>
    <w:lvl w:ilvl="0">
      <w:lvlJc w:val="left"/>
      <w:lvlText w:val="(%1)"/>
      <w:numFmt w:val="lowerRoman"/>
      <w:start w:val="2"/>
    </w:lvl>
  </w:abstractNum>
  <w:abstractNum w:abstractNumId="144">
    <w:nsid w:val="435D38D"/>
    <w:multiLevelType w:val="hybridMultilevel"/>
    <w:lvl w:ilvl="0">
      <w:lvlJc w:val="left"/>
      <w:lvlText w:val="(%1)"/>
      <w:numFmt w:val="lowerLetter"/>
      <w:start w:val="3"/>
    </w:lvl>
  </w:abstractNum>
  <w:abstractNum w:abstractNumId="145">
    <w:nsid w:val="822C0EF"/>
    <w:multiLevelType w:val="hybridMultilevel"/>
    <w:lvl w:ilvl="0">
      <w:lvlJc w:val="left"/>
      <w:lvlText w:val="(%1)"/>
      <w:numFmt w:val="lowerLetter"/>
      <w:start w:val="4"/>
    </w:lvl>
  </w:abstractNum>
  <w:abstractNum w:abstractNumId="146">
    <w:nsid w:val="57C5BB4F"/>
    <w:multiLevelType w:val="hybridMultilevel"/>
    <w:lvl w:ilvl="0">
      <w:lvlJc w:val="left"/>
      <w:lvlText w:val="(%1)"/>
      <w:numFmt w:val="lowerLetter"/>
      <w:start w:val="1"/>
    </w:lvl>
  </w:abstractNum>
  <w:abstractNum w:abstractNumId="147">
    <w:nsid w:val="1803D089"/>
    <w:multiLevelType w:val="hybridMultilevel"/>
    <w:lvl w:ilvl="0">
      <w:lvlJc w:val="left"/>
      <w:lvlText w:val="%1"/>
      <w:numFmt w:val="decimal"/>
      <w:start w:val="1"/>
    </w:lvl>
    <w:lvl w:ilvl="1">
      <w:lvlJc w:val="left"/>
      <w:lvlText w:val="(%2)"/>
      <w:numFmt w:val="lowerLetter"/>
      <w:start w:val="1"/>
    </w:lvl>
  </w:abstractNum>
  <w:abstractNum w:abstractNumId="148">
    <w:nsid w:val="4F3A06D4"/>
    <w:multiLevelType w:val="hybridMultilevel"/>
    <w:lvl w:ilvl="0">
      <w:lvlJc w:val="left"/>
      <w:lvlText w:val="(%1)"/>
      <w:numFmt w:val="lowerLetter"/>
      <w:start w:val="4"/>
    </w:lvl>
  </w:abstractNum>
  <w:abstractNum w:abstractNumId="149">
    <w:nsid w:val="59A377B6"/>
    <w:multiLevelType w:val="hybridMultilevel"/>
    <w:lvl w:ilvl="0">
      <w:lvlJc w:val="left"/>
      <w:lvlText w:val="(%1)"/>
      <w:numFmt w:val="lowerLetter"/>
      <w:start w:val="1"/>
    </w:lvl>
  </w:abstractNum>
  <w:abstractNum w:abstractNumId="150">
    <w:nsid w:val="48AEB063"/>
    <w:multiLevelType w:val="hybridMultilevel"/>
    <w:lvl w:ilvl="0">
      <w:lvlJc w:val="left"/>
      <w:lvlText w:val="%1"/>
      <w:numFmt w:val="lowerRoman"/>
      <w:start w:val="1"/>
    </w:lvl>
    <w:lvl w:ilvl="1">
      <w:lvlJc w:val="left"/>
      <w:lvlText w:val="(%2)"/>
      <w:numFmt w:val="lowerLetter"/>
      <w:start w:val="2"/>
    </w:lvl>
  </w:abstractNum>
  <w:abstractNum w:abstractNumId="151">
    <w:nsid w:val="24E135"/>
    <w:multiLevelType w:val="hybridMultilevel"/>
    <w:lvl w:ilvl="0">
      <w:lvlJc w:val="left"/>
      <w:lvlText w:val="(%1)"/>
      <w:numFmt w:val="lowerRoman"/>
      <w:start w:val="4"/>
    </w:lvl>
    <w:lvl w:ilvl="1">
      <w:lvlJc w:val="left"/>
      <w:lvlText w:val="(%2)"/>
      <w:numFmt w:val="lowerLetter"/>
      <w:start w:val="3"/>
    </w:lvl>
  </w:abstractNum>
  <w:abstractNum w:abstractNumId="152">
    <w:nsid w:val="BB13C1"/>
    <w:multiLevelType w:val="hybridMultilevel"/>
    <w:lvl w:ilvl="0">
      <w:lvlJc w:val="left"/>
      <w:lvlText w:val="(%1)"/>
      <w:numFmt w:val="lowerRoman"/>
      <w:start w:val="1"/>
    </w:lvl>
  </w:abstractNum>
  <w:abstractNum w:abstractNumId="153">
    <w:nsid w:val="271210C7"/>
    <w:multiLevelType w:val="hybridMultilevel"/>
    <w:lvl w:ilvl="0">
      <w:lvlJc w:val="left"/>
      <w:lvlText w:val="(%1)"/>
      <w:numFmt w:val="lowerRoman"/>
      <w:start w:val="8"/>
    </w:lvl>
  </w:abstractNum>
  <w:abstractNum w:abstractNumId="154">
    <w:nsid w:val="217B22E4"/>
    <w:multiLevelType w:val="hybridMultilevel"/>
    <w:lvl w:ilvl="0">
      <w:lvlJc w:val="left"/>
      <w:lvlText w:val="(%1)"/>
      <w:numFmt w:val="lowerRoman"/>
      <w:start w:val="16"/>
    </w:lvl>
  </w:abstractNum>
  <w:abstractNum w:abstractNumId="155">
    <w:nsid w:val="53E31A24"/>
    <w:multiLevelType w:val="hybridMultilevel"/>
    <w:lvl w:ilvl="0">
      <w:lvlJc w:val="left"/>
      <w:lvlText w:val="(%1)"/>
      <w:numFmt w:val="lowerRoman"/>
      <w:start w:val="1"/>
    </w:lvl>
  </w:abstractNum>
  <w:abstractNum w:abstractNumId="156">
    <w:nsid w:val="6DC45E83"/>
    <w:multiLevelType w:val="hybridMultilevel"/>
    <w:lvl w:ilvl="0">
      <w:lvlJc w:val="left"/>
      <w:lvlText w:val="(%1)"/>
      <w:numFmt w:val="lowerRoman"/>
      <w:start w:val="5"/>
    </w:lvl>
  </w:abstractNum>
  <w:abstractNum w:abstractNumId="157">
    <w:nsid w:val="17304A67"/>
    <w:multiLevelType w:val="hybridMultilevel"/>
    <w:lvl w:ilvl="0">
      <w:lvlJc w:val="left"/>
      <w:lvlText w:val="(%1)"/>
      <w:numFmt w:val="lowerLetter"/>
      <w:start w:val="3"/>
    </w:lvl>
  </w:abstractNum>
  <w:abstractNum w:abstractNumId="158">
    <w:nsid w:val="2BB180D8"/>
    <w:multiLevelType w:val="hybridMultilevel"/>
    <w:lvl w:ilvl="0">
      <w:lvlJc w:val="left"/>
      <w:lvlText w:val="(%1)"/>
      <w:numFmt w:val="lowerLetter"/>
      <w:start w:val="4"/>
    </w:lvl>
  </w:abstractNum>
  <w:abstractNum w:abstractNumId="159">
    <w:nsid w:val="556B69ED"/>
    <w:multiLevelType w:val="hybridMultilevel"/>
    <w:lvl w:ilvl="0">
      <w:lvlJc w:val="left"/>
      <w:lvlText w:val="(%1)"/>
      <w:numFmt w:val="lowerRoman"/>
      <w:start w:val="1"/>
    </w:lvl>
  </w:abstractNum>
  <w:abstractNum w:abstractNumId="160">
    <w:nsid w:val="70836196"/>
    <w:multiLevelType w:val="hybridMultilevel"/>
    <w:lvl w:ilvl="0">
      <w:lvlJc w:val="left"/>
      <w:lvlText w:val="%1."/>
      <w:numFmt w:val="decimal"/>
      <w:start w:val="1"/>
    </w:lvl>
    <w:lvl w:ilvl="1">
      <w:lvlJc w:val="left"/>
      <w:lvlText w:val="(%2)"/>
      <w:numFmt w:val="lowerLetter"/>
      <w:start w:val="1"/>
    </w:lvl>
  </w:abstractNum>
  <w:abstractNum w:abstractNumId="161">
    <w:nsid w:val="539F7F12"/>
    <w:multiLevelType w:val="hybridMultilevel"/>
    <w:lvl w:ilvl="0">
      <w:lvlJc w:val="left"/>
      <w:lvlText w:val="(%1)"/>
      <w:numFmt w:val="lowerLetter"/>
      <w:start w:val="8"/>
    </w:lvl>
    <w:lvl w:ilvl="1">
      <w:lvlJc w:val="left"/>
      <w:lvlText w:val="(%2)"/>
      <w:numFmt w:val="lowerRoman"/>
      <w:start w:val="1"/>
    </w:lvl>
  </w:abstractNum>
  <w:abstractNum w:abstractNumId="162">
    <w:nsid w:val="2817E7EC"/>
    <w:multiLevelType w:val="hybridMultilevel"/>
    <w:lvl w:ilvl="0">
      <w:lvlJc w:val="left"/>
      <w:lvlText w:val="(%1)"/>
      <w:numFmt w:val="lowerLetter"/>
      <w:start w:val="14"/>
    </w:lvl>
    <w:lvl w:ilvl="1">
      <w:lvlJc w:val="left"/>
      <w:lvlText w:val="(%2)"/>
      <w:numFmt w:val="lowerLetter"/>
      <w:start w:val="9"/>
    </w:lvl>
  </w:abstractNum>
  <w:abstractNum w:abstractNumId="163">
    <w:nsid w:val="71482545"/>
    <w:multiLevelType w:val="hybridMultilevel"/>
    <w:lvl w:ilvl="0">
      <w:lvlJc w:val="left"/>
      <w:lvlText w:val="(%1)"/>
      <w:numFmt w:val="lowerRoman"/>
      <w:start w:val="2"/>
    </w:lvl>
  </w:abstractNum>
  <w:abstractNum w:abstractNumId="164">
    <w:nsid w:val="17D78639"/>
    <w:multiLevelType w:val="hybridMultilevel"/>
    <w:lvl w:ilvl="0">
      <w:lvlJc w:val="left"/>
      <w:lvlText w:val="(%1)"/>
      <w:numFmt w:val="lowerLetter"/>
      <w:start w:val="21"/>
    </w:lvl>
  </w:abstractNum>
  <w:abstractNum w:abstractNumId="165">
    <w:nsid w:val="141D2302"/>
    <w:multiLevelType w:val="hybridMultilevel"/>
    <w:lvl w:ilvl="0">
      <w:lvlJc w:val="left"/>
      <w:lvlText w:val="(%1)"/>
      <w:numFmt w:val="lowerLetter"/>
      <w:start w:val="27"/>
    </w:lvl>
  </w:abstractNum>
  <w:abstractNum w:abstractNumId="166">
    <w:nsid w:val="407168D8"/>
    <w:multiLevelType w:val="hybridMultilevel"/>
    <w:lvl w:ilvl="0">
      <w:lvlJc w:val="left"/>
      <w:lvlText w:val="(%1)"/>
      <w:numFmt w:val="lowerLetter"/>
      <w:start w:val="28"/>
    </w:lvl>
  </w:abstractNum>
  <w:abstractNum w:abstractNumId="167">
    <w:nsid w:val="6A1B45E5"/>
    <w:multiLevelType w:val="hybridMultilevel"/>
    <w:lvl w:ilvl="0">
      <w:lvlJc w:val="left"/>
      <w:lvlText w:val="%1"/>
      <w:numFmt w:val="decimal"/>
      <w:start w:val="1"/>
    </w:lvl>
    <w:lvl w:ilvl="1">
      <w:lvlJc w:val="left"/>
      <w:lvlText w:val="(%2)"/>
      <w:numFmt w:val="lowerLetter"/>
      <w:start w:val="40"/>
    </w:lvl>
    <w:lvl w:ilvl="2">
      <w:lvlJc w:val="left"/>
      <w:lvlText w:val="%3"/>
      <w:numFmt w:val="lowerRoman"/>
      <w:start w:val="1"/>
    </w:lvl>
  </w:abstractNum>
  <w:abstractNum w:abstractNumId="168">
    <w:nsid w:val="567BD50A"/>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69">
    <w:nsid w:val="73BBD7F8"/>
    <w:multiLevelType w:val="hybridMultilevel"/>
    <w:lvl w:ilvl="0">
      <w:lvlJc w:val="left"/>
      <w:lvlText w:val="(%1)"/>
      <w:numFmt w:val="lowerLetter"/>
      <w:start w:val="2"/>
    </w:lvl>
    <w:lvl w:ilvl="1">
      <w:lvlJc w:val="left"/>
      <w:lvlText w:val="(%2)"/>
      <w:numFmt w:val="lowerRoman"/>
      <w:start w:val="1"/>
    </w:lvl>
  </w:abstractNum>
  <w:abstractNum w:abstractNumId="170">
    <w:nsid w:val="1876589D"/>
    <w:multiLevelType w:val="hybridMultilevel"/>
    <w:lvl w:ilvl="0">
      <w:lvlJc w:val="left"/>
      <w:lvlText w:val="(%1)"/>
      <w:numFmt w:val="lowerRoman"/>
      <w:start w:val="13"/>
    </w:lvl>
  </w:abstractNum>
  <w:abstractNum w:abstractNumId="171">
    <w:nsid w:val="327FAC77"/>
    <w:multiLevelType w:val="hybridMultilevel"/>
    <w:lvl w:ilvl="0">
      <w:lvlJc w:val="left"/>
      <w:lvlText w:val="(%1)"/>
      <w:numFmt w:val="lowerLetter"/>
      <w:start w:val="3"/>
    </w:lvl>
  </w:abstractNum>
  <w:abstractNum w:abstractNumId="172">
    <w:nsid w:val="5A606509"/>
    <w:multiLevelType w:val="hybridMultilevel"/>
    <w:lvl w:ilvl="0">
      <w:lvlJc w:val="left"/>
      <w:lvlText w:val="%1"/>
      <w:numFmt w:val="decimal"/>
      <w:start w:val="1"/>
    </w:lvl>
    <w:lvl w:ilvl="1">
      <w:lvlJc w:val="left"/>
      <w:lvlText w:val="(%2)"/>
      <w:numFmt w:val="lowerLetter"/>
      <w:start w:val="4"/>
    </w:lvl>
  </w:abstractNum>
  <w:abstractNum w:abstractNumId="173">
    <w:nsid w:val="6F38E6D1"/>
    <w:multiLevelType w:val="hybridMultilevel"/>
    <w:lvl w:ilvl="0">
      <w:lvlJc w:val="left"/>
      <w:lvlText w:val="%1."/>
      <w:numFmt w:val="decimal"/>
      <w:start w:val="5"/>
    </w:lvl>
    <w:lvl w:ilvl="1">
      <w:lvlJc w:val="left"/>
      <w:lvlText w:val="(%2)"/>
      <w:numFmt w:val="lowerLetter"/>
      <w:start w:val="1"/>
    </w:lvl>
  </w:abstractNum>
  <w:abstractNum w:abstractNumId="174">
    <w:nsid w:val="46111BA5"/>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175">
    <w:nsid w:val="5E963896"/>
    <w:multiLevelType w:val="hybridMultilevel"/>
    <w:lvl w:ilvl="0">
      <w:lvlJc w:val="left"/>
      <w:lvlText w:val="(%1)"/>
      <w:numFmt w:val="lowerLetter"/>
      <w:start w:val="6"/>
    </w:lvl>
    <w:lvl w:ilvl="1">
      <w:lvlJc w:val="left"/>
      <w:lvlText w:val="(%2)"/>
      <w:numFmt w:val="lowerRoman"/>
      <w:start w:val="1"/>
    </w:lvl>
  </w:abstractNum>
  <w:abstractNum w:abstractNumId="176">
    <w:nsid w:val="775BA7C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77">
    <w:nsid w:val="1DD6D6F4"/>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78">
    <w:nsid w:val="769A091F"/>
    <w:multiLevelType w:val="hybridMultilevel"/>
    <w:lvl w:ilvl="0">
      <w:lvlJc w:val="left"/>
      <w:lvlText w:val="(%1)"/>
      <w:numFmt w:val="lowerLetter"/>
      <w:start w:val="2"/>
    </w:lvl>
    <w:lvl w:ilvl="1">
      <w:lvlJc w:val="left"/>
      <w:lvlText w:val="(%2)"/>
      <w:numFmt w:val="lowerRoman"/>
      <w:start w:val="1"/>
    </w:lvl>
  </w:abstractNum>
  <w:abstractNum w:abstractNumId="179">
    <w:nsid w:val="4695AE95"/>
    <w:multiLevelType w:val="hybridMultilevel"/>
    <w:lvl w:ilvl="0">
      <w:lvlJc w:val="left"/>
      <w:lvlText w:val="%1."/>
      <w:numFmt w:val="decimal"/>
      <w:start w:val="10"/>
    </w:lvl>
    <w:lvl w:ilvl="1">
      <w:lvlJc w:val="left"/>
      <w:lvlText w:val="(%2)"/>
      <w:numFmt w:val="lowerLetter"/>
      <w:start w:val="1"/>
    </w:lvl>
  </w:abstractNum>
  <w:abstractNum w:abstractNumId="180">
    <w:nsid w:val="777A4EAA"/>
    <w:multiLevelType w:val="hybridMultilevel"/>
    <w:lvl w:ilvl="0">
      <w:lvlJc w:val="left"/>
      <w:lvlText w:val="%1"/>
      <w:numFmt w:val="decimal"/>
      <w:start w:val="1"/>
    </w:lvl>
    <w:lvl w:ilvl="1">
      <w:lvlJc w:val="left"/>
      <w:lvlText w:val="(%2)"/>
      <w:numFmt w:val="lowerLetter"/>
      <w:start w:val="5"/>
    </w:lvl>
  </w:abstractNum>
  <w:abstractNum w:abstractNumId="181">
    <w:nsid w:val="3F48B982"/>
    <w:multiLevelType w:val="hybridMultilevel"/>
    <w:lvl w:ilvl="0">
      <w:lvlJc w:val="left"/>
      <w:lvlText w:val="%1."/>
      <w:numFmt w:val="decimal"/>
      <w:start w:val="11"/>
    </w:lvl>
    <w:lvl w:ilvl="1">
      <w:lvlJc w:val="left"/>
      <w:lvlText w:val="%2"/>
      <w:numFmt w:val="lowerLetter"/>
      <w:start w:val="1"/>
    </w:lvl>
  </w:abstractNum>
  <w:abstractNum w:abstractNumId="182">
    <w:nsid w:val="46BA8FCA"/>
    <w:multiLevelType w:val="hybridMultilevel"/>
    <w:lvl w:ilvl="0">
      <w:lvlJc w:val="left"/>
      <w:lvlText w:val="%1."/>
      <w:numFmt w:val="decimal"/>
      <w:start w:val="15"/>
    </w:lvl>
    <w:lvl w:ilvl="1">
      <w:lvlJc w:val="left"/>
      <w:lvlText w:val="(%2)"/>
      <w:numFmt w:val="lowerLetter"/>
      <w:start w:val="1"/>
    </w:lvl>
    <w:lvl w:ilvl="2">
      <w:lvlJc w:val="left"/>
      <w:lvlText w:val="(%3)"/>
      <w:numFmt w:val="lowerLetter"/>
      <w:start w:val="9"/>
    </w:lvl>
  </w:abstractNum>
  <w:abstractNum w:abstractNumId="183">
    <w:nsid w:val="7835626C"/>
    <w:multiLevelType w:val="hybridMultilevel"/>
    <w:lvl w:ilvl="0">
      <w:lvlJc w:val="left"/>
      <w:lvlText w:val="%1"/>
      <w:numFmt w:val="decimal"/>
      <w:start w:val="1"/>
    </w:lvl>
    <w:lvl w:ilvl="1">
      <w:lvlJc w:val="left"/>
      <w:lvlText w:val="(%2)"/>
      <w:numFmt w:val="lowerRoman"/>
      <w:start w:val="2"/>
    </w:lvl>
  </w:abstractNum>
  <w:abstractNum w:abstractNumId="184">
    <w:nsid w:val="665ACA49"/>
    <w:multiLevelType w:val="hybridMultilevel"/>
    <w:lvl w:ilvl="0">
      <w:lvlJc w:val="left"/>
      <w:lvlText w:val="%1."/>
      <w:numFmt w:val="decimal"/>
      <w:start w:val="16"/>
    </w:lvl>
    <w:lvl w:ilvl="1">
      <w:lvlJc w:val="left"/>
      <w:lvlText w:val="%2"/>
      <w:numFmt w:val="lowerRoman"/>
      <w:start w:val="1"/>
    </w:lvl>
  </w:abstractNum>
  <w:abstractNum w:abstractNumId="185">
    <w:nsid w:val="6835B2AE"/>
    <w:multiLevelType w:val="hybridMultilevel"/>
    <w:lvl w:ilvl="0">
      <w:lvlJc w:val="left"/>
      <w:lvlText w:val="%1."/>
      <w:numFmt w:val="decimal"/>
      <w:start w:val="18"/>
    </w:lvl>
    <w:lvl w:ilvl="1">
      <w:lvlJc w:val="left"/>
      <w:lvlText w:val="(%2)"/>
      <w:numFmt w:val="lowerLetter"/>
      <w:start w:val="1"/>
    </w:lvl>
  </w:abstractNum>
  <w:abstractNum w:abstractNumId="186">
    <w:nsid w:val="4C187C90"/>
    <w:multiLevelType w:val="hybridMultilevel"/>
    <w:lvl w:ilvl="0">
      <w:lvlJc w:val="left"/>
      <w:lvlText w:val="%1."/>
      <w:numFmt w:val="decimal"/>
      <w:start w:val="22"/>
    </w:lvl>
    <w:lvl w:ilvl="1">
      <w:lvlJc w:val="left"/>
      <w:lvlText w:val="(%2)"/>
      <w:numFmt w:val="lowerLetter"/>
      <w:start w:val="1"/>
    </w:lvl>
  </w:abstractNum>
  <w:abstractNum w:abstractNumId="187">
    <w:nsid w:val="541F28CD"/>
    <w:multiLevelType w:val="hybridMultilevel"/>
    <w:lvl w:ilvl="0">
      <w:lvlJc w:val="left"/>
      <w:lvlText w:val="%1"/>
      <w:numFmt w:val="decimal"/>
      <w:start w:val="1"/>
    </w:lvl>
    <w:lvl w:ilvl="1">
      <w:lvlJc w:val="left"/>
      <w:lvlText w:val="(%2)"/>
      <w:numFmt w:val="lowerLetter"/>
      <w:start w:val="3"/>
    </w:lvl>
  </w:abstractNum>
  <w:abstractNum w:abstractNumId="188">
    <w:nsid w:val="7F65FD16"/>
    <w:multiLevelType w:val="hybridMultilevel"/>
    <w:lvl w:ilvl="0">
      <w:lvlJc w:val="left"/>
      <w:lvlText w:val="%1."/>
      <w:numFmt w:val="decimal"/>
      <w:start w:val="29"/>
    </w:lvl>
    <w:lvl w:ilvl="1">
      <w:lvlJc w:val="left"/>
      <w:lvlText w:val="%2"/>
      <w:numFmt w:val="lowerLetter"/>
      <w:start w:val="1"/>
    </w:lvl>
  </w:abstractNum>
  <w:abstractNum w:abstractNumId="189">
    <w:nsid w:val="77C9FD68"/>
    <w:multiLevelType w:val="hybridMultilevel"/>
    <w:lvl w:ilvl="0">
      <w:lvlJc w:val="left"/>
      <w:lvlText w:val="%1."/>
      <w:numFmt w:val="decimal"/>
      <w:start w:val="2"/>
    </w:lvl>
    <w:lvl w:ilvl="1">
      <w:lvlJc w:val="left"/>
      <w:lvlText w:val="(%2)"/>
      <w:numFmt w:val="lowerLetter"/>
      <w:start w:val="1"/>
    </w:lvl>
  </w:abstractNum>
  <w:abstractNum w:abstractNumId="190">
    <w:nsid w:val="298A92BA"/>
    <w:multiLevelType w:val="hybridMultilevel"/>
    <w:lvl w:ilvl="0">
      <w:lvlJc w:val="left"/>
      <w:lvlText w:val="%1"/>
      <w:numFmt w:val="decimal"/>
      <w:start w:val="1"/>
    </w:lvl>
    <w:lvl w:ilvl="1">
      <w:lvlJc w:val="left"/>
      <w:lvlText w:val="(%2)"/>
      <w:numFmt w:val="lowerLetter"/>
      <w:start w:val="2"/>
    </w:lvl>
  </w:abstractNum>
  <w:abstractNum w:abstractNumId="191">
    <w:nsid w:val="6FE95EAC"/>
    <w:multiLevelType w:val="hybridMultilevel"/>
    <w:lvl w:ilvl="0">
      <w:lvlJc w:val="left"/>
      <w:lvlText w:val="%1."/>
      <w:numFmt w:val="decimal"/>
      <w:start w:val="4"/>
    </w:lvl>
    <w:lvl w:ilvl="1">
      <w:lvlJc w:val="left"/>
      <w:lvlText w:val="(%2)"/>
      <w:numFmt w:val="lowerLetter"/>
      <w:start w:val="1"/>
    </w:lvl>
  </w:abstractNum>
  <w:abstractNum w:abstractNumId="192">
    <w:nsid w:val="4B697C7A"/>
    <w:multiLevelType w:val="hybridMultilevel"/>
    <w:lvl w:ilvl="0">
      <w:lvlJc w:val="left"/>
      <w:lvlText w:val="%1."/>
      <w:numFmt w:val="decimal"/>
      <w:start w:val="6"/>
    </w:lvl>
    <w:lvl w:ilvl="1">
      <w:lvlJc w:val="left"/>
      <w:lvlText w:val="(%2)"/>
      <w:numFmt w:val="lowerLetter"/>
      <w:start w:val="1"/>
    </w:lvl>
  </w:abstractNum>
  <w:abstractNum w:abstractNumId="193">
    <w:nsid w:val="51A27AA6"/>
    <w:multiLevelType w:val="hybridMultilevel"/>
    <w:lvl w:ilvl="0">
      <w:lvlJc w:val="left"/>
      <w:lvlText w:val="%1."/>
      <w:numFmt w:val="decimal"/>
      <w:start w:val="9"/>
    </w:lvl>
  </w:abstractNum>
  <w:abstractNum w:abstractNumId="194">
    <w:nsid w:val="613183F2"/>
    <w:multiLevelType w:val="hybridMultilevel"/>
    <w:lvl w:ilvl="0">
      <w:lvlJc w:val="left"/>
      <w:lvlText w:val="%1."/>
      <w:numFmt w:val="decimal"/>
      <w:start w:val="16"/>
    </w:lvl>
    <w:lvl w:ilvl="1">
      <w:lvlJc w:val="left"/>
      <w:lvlText w:val="*"/>
      <w:numFmt w:val="bullet"/>
      <w:start w:val="1"/>
    </w:lvl>
  </w:abstractNum>
  <w:abstractNum w:abstractNumId="195">
    <w:nsid w:val="634102B4"/>
    <w:multiLevelType w:val="hybridMultilevel"/>
    <w:lvl w:ilvl="0">
      <w:lvlJc w:val="left"/>
      <w:lvlText w:val="%1."/>
      <w:numFmt w:val="decimal"/>
      <w:start w:val="1"/>
    </w:lvl>
    <w:lvl w:ilvl="1">
      <w:lvlJc w:val="left"/>
      <w:lvlText w:val="(%2)"/>
      <w:numFmt w:val="lowerLetter"/>
      <w:start w:val="1"/>
    </w:lvl>
  </w:abstractNum>
  <w:abstractNum w:abstractNumId="196">
    <w:nsid w:val="65BF9DA8"/>
    <w:multiLevelType w:val="hybridMultilevel"/>
    <w:lvl w:ilvl="0">
      <w:lvlJc w:val="left"/>
      <w:lvlText w:val="%1"/>
      <w:numFmt w:val="decimal"/>
      <w:start w:val="1"/>
    </w:lvl>
    <w:lvl w:ilvl="1">
      <w:lvlJc w:val="left"/>
      <w:lvlText w:val="(%2)"/>
      <w:numFmt w:val="lowerLetter"/>
      <w:start w:val="2"/>
    </w:lvl>
  </w:abstractNum>
  <w:abstractNum w:abstractNumId="197">
    <w:nsid w:val="21A2ECCA"/>
    <w:multiLevelType w:val="hybridMultilevel"/>
    <w:lvl w:ilvl="0">
      <w:lvlJc w:val="left"/>
      <w:lvlText w:val="%1."/>
      <w:numFmt w:val="decimal"/>
      <w:start w:val="5"/>
    </w:lvl>
    <w:lvl w:ilvl="1">
      <w:lvlJc w:val="left"/>
      <w:lvlText w:val="%2"/>
      <w:numFmt w:val="lowerLetter"/>
      <w:start w:val="1"/>
    </w:lvl>
  </w:abstractNum>
  <w:abstractNum w:abstractNumId="198">
    <w:nsid w:val="4D5C4899"/>
    <w:multiLevelType w:val="hybridMultilevel"/>
    <w:lvl w:ilvl="0">
      <w:lvlJc w:val="left"/>
      <w:lvlText w:val="%1."/>
      <w:numFmt w:val="decimal"/>
      <w:start w:val="9"/>
    </w:lvl>
  </w:abstractNum>
  <w:abstractNum w:abstractNumId="199">
    <w:nsid w:val="3C3B72B2"/>
    <w:multiLevelType w:val="hybridMultilevel"/>
    <w:lvl w:ilvl="0">
      <w:lvlJc w:val="left"/>
      <w:lvlText w:val="%1."/>
      <w:numFmt w:val="decimal"/>
      <w:start w:val="15"/>
    </w:lvl>
    <w:lvl w:ilvl="1">
      <w:lvlJc w:val="left"/>
      <w:lvlText w:val="*"/>
      <w:numFmt w:val="bullet"/>
      <w:start w:val="1"/>
    </w:lvl>
  </w:abstractNum>
  <w:abstractNum w:abstractNumId="200">
    <w:nsid w:val="155EC4C2"/>
    <w:multiLevelType w:val="hybridMultilevel"/>
    <w:lvl w:ilvl="0">
      <w:lvlJc w:val="left"/>
      <w:lvlText w:val="%1."/>
      <w:numFmt w:val="decimal"/>
      <w:start w:val="1"/>
    </w:lvl>
    <w:lvl w:ilvl="1">
      <w:lvlJc w:val="left"/>
      <w:lvlText w:val="(%2)"/>
      <w:numFmt w:val="lowerLetter"/>
      <w:start w:val="1"/>
    </w:lvl>
  </w:abstractNum>
  <w:abstractNum w:abstractNumId="201">
    <w:nsid w:val="65D2A137"/>
    <w:multiLevelType w:val="hybridMultilevel"/>
    <w:lvl w:ilvl="0">
      <w:lvlJc w:val="left"/>
      <w:lvlText w:val="%1."/>
      <w:numFmt w:val="decimal"/>
      <w:start w:val="2"/>
    </w:lvl>
    <w:lvl w:ilvl="1">
      <w:lvlJc w:val="left"/>
      <w:lvlText w:val="(%2)"/>
      <w:numFmt w:val="lowerLetter"/>
      <w:start w:val="1"/>
    </w:lvl>
  </w:abstractNum>
  <w:abstractNum w:abstractNumId="202">
    <w:nsid w:val="6EBB1F2A"/>
    <w:multiLevelType w:val="hybridMultilevel"/>
    <w:lvl w:ilvl="0">
      <w:lvlJc w:val="left"/>
      <w:lvlText w:val="(%1)"/>
      <w:numFmt w:val="lowerLetter"/>
      <w:start w:val="4"/>
    </w:lvl>
  </w:abstractNum>
  <w:abstractNum w:abstractNumId="203">
    <w:nsid w:val="6FBF29CB"/>
    <w:multiLevelType w:val="hybridMultilevel"/>
    <w:lvl w:ilvl="0">
      <w:lvlJc w:val="left"/>
      <w:lvlText w:val="(%1)"/>
      <w:numFmt w:val="lowerLetter"/>
      <w:start w:val="13"/>
    </w:lvl>
  </w:abstractNum>
  <w:abstractNum w:abstractNumId="204">
    <w:nsid w:val="550B8808"/>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5"/>
    </w:lvl>
    <w:lvl w:ilvl="3">
      <w:lvlJc w:val="left"/>
      <w:lvlText w:val="%4"/>
      <w:numFmt w:val="lowerLetter"/>
      <w:start w:val="1"/>
    </w:lvl>
  </w:abstractNum>
  <w:abstractNum w:abstractNumId="205">
    <w:nsid w:val="34CC3ACF"/>
    <w:multiLevelType w:val="hybridMultilevel"/>
    <w:lvl w:ilvl="0">
      <w:lvlJc w:val="left"/>
      <w:lvlText w:val="%1"/>
      <w:numFmt w:val="upperLetter"/>
      <w:start w:val="1"/>
    </w:lvl>
    <w:lvl w:ilvl="1">
      <w:lvlJc w:val="left"/>
      <w:lvlText w:val="%2."/>
      <w:numFmt w:val="decimal"/>
      <w:start w:val="4"/>
    </w:lvl>
    <w:lvl w:ilvl="2">
      <w:lvlJc w:val="left"/>
      <w:lvlText w:val="(%3)"/>
      <w:numFmt w:val="lowerLetter"/>
      <w:start w:val="1"/>
    </w:lvl>
    <w:lvl w:ilvl="3">
      <w:lvlJc w:val="left"/>
      <w:lvlText w:val="(%4)"/>
      <w:numFmt w:val="lowerLetter"/>
      <w:start w:val="9"/>
    </w:lvl>
  </w:abstractNum>
  <w:abstractNum w:abstractNumId="206">
    <w:nsid w:val="4E556261"/>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207">
    <w:nsid w:val="4C672FC9"/>
    <w:multiLevelType w:val="hybridMultilevel"/>
    <w:lvl w:ilvl="0">
      <w:lvlJc w:val="left"/>
      <w:lvlText w:val="(%1)"/>
      <w:numFmt w:val="lowerRoman"/>
      <w:start w:val="2"/>
    </w:lvl>
    <w:lvl w:ilvl="1">
      <w:lvlJc w:val="left"/>
      <w:lvlText w:val="(%2)"/>
      <w:numFmt w:val="upperLetter"/>
      <w:start w:val="1"/>
    </w:lvl>
  </w:abstractNum>
  <w:abstractNum w:abstractNumId="208">
    <w:nsid w:val="52A311C3"/>
    <w:multiLevelType w:val="hybridMultilevel"/>
    <w:lvl w:ilvl="0">
      <w:lvlJc w:val="left"/>
      <w:lvlText w:val="%1"/>
      <w:numFmt w:val="lowerLetter"/>
      <w:start w:val="1"/>
    </w:lvl>
    <w:lvl w:ilvl="1">
      <w:lvlJc w:val="left"/>
      <w:lvlText w:val="(%2)"/>
      <w:numFmt w:val="lowerRoman"/>
      <w:start w:val="4"/>
    </w:lvl>
  </w:abstractNum>
  <w:abstractNum w:abstractNumId="209">
    <w:nsid w:val="44EF6B80"/>
    <w:multiLevelType w:val="hybridMultilevel"/>
    <w:lvl w:ilvl="0">
      <w:lvlJc w:val="left"/>
      <w:lvlText w:val="(%1)"/>
      <w:numFmt w:val="lowerLetter"/>
      <w:start w:val="2"/>
    </w:lvl>
    <w:lvl w:ilvl="1">
      <w:lvlJc w:val="left"/>
      <w:lvlText w:val="(%2)"/>
      <w:numFmt w:val="lowerRoman"/>
      <w:start w:val="1"/>
    </w:lvl>
  </w:abstractNum>
  <w:abstractNum w:abstractNumId="210">
    <w:nsid w:val="12FCDE5E"/>
    <w:multiLevelType w:val="hybridMultilevel"/>
    <w:lvl w:ilvl="0">
      <w:lvlJc w:val="left"/>
      <w:lvlText w:val="%1"/>
      <w:numFmt w:val="lowerLetter"/>
      <w:start w:val="1"/>
    </w:lvl>
    <w:lvl w:ilvl="1">
      <w:lvlJc w:val="left"/>
      <w:lvlText w:val="(%2)"/>
      <w:numFmt w:val="lowerLetter"/>
      <w:start w:val="35"/>
    </w:lvl>
  </w:abstractNum>
  <w:abstractNum w:abstractNumId="211">
    <w:nsid w:val="4A1D606E"/>
    <w:multiLevelType w:val="hybridMultilevel"/>
    <w:lvl w:ilvl="0">
      <w:lvlJc w:val="left"/>
      <w:lvlText w:val="(%1)"/>
      <w:numFmt w:val="lowerLetter"/>
      <w:start w:val="3"/>
    </w:lvl>
    <w:lvl w:ilvl="1">
      <w:lvlJc w:val="left"/>
      <w:lvlText w:val="%2"/>
      <w:numFmt w:val="lowerLetter"/>
      <w:start w:val="1"/>
    </w:lvl>
  </w:abstractNum>
  <w:abstractNum w:abstractNumId="212">
    <w:nsid w:val="4382503"/>
    <w:multiLevelType w:val="hybridMultilevel"/>
    <w:lvl w:ilvl="0">
      <w:lvlJc w:val="left"/>
      <w:lvlText w:val="(%1)"/>
      <w:numFmt w:val="lowerLetter"/>
      <w:start w:val="4"/>
    </w:lvl>
  </w:abstractNum>
  <w:abstractNum w:abstractNumId="213">
    <w:nsid w:val="59B76E28"/>
    <w:multiLevelType w:val="hybridMultilevel"/>
    <w:lvl w:ilvl="0">
      <w:lvlJc w:val="left"/>
      <w:lvlText w:val="(%1)"/>
      <w:numFmt w:val="lowerLetter"/>
      <w:start w:val="5"/>
    </w:lvl>
  </w:abstractNum>
  <w:abstractNum w:abstractNumId="214">
    <w:nsid w:val="4252C2DA"/>
    <w:multiLevelType w:val="hybridMultilevel"/>
    <w:lvl w:ilvl="0">
      <w:lvlJc w:val="left"/>
      <w:lvlText w:val="%1."/>
      <w:numFmt w:val="decimal"/>
      <w:start w:val="5"/>
    </w:lvl>
    <w:lvl w:ilvl="1">
      <w:lvlJc w:val="left"/>
      <w:lvlText w:val="(%2)"/>
      <w:numFmt w:val="lowerLetter"/>
      <w:start w:val="1"/>
    </w:lvl>
  </w:abstractNum>
  <w:abstractNum w:abstractNumId="215">
    <w:nsid w:val="6A92EF4C"/>
    <w:multiLevelType w:val="hybridMultilevel"/>
    <w:lvl w:ilvl="0">
      <w:lvlJc w:val="left"/>
      <w:lvlText w:val="(%1)"/>
      <w:numFmt w:val="lowerLetter"/>
      <w:start w:val="3"/>
    </w:lvl>
    <w:lvl w:ilvl="1">
      <w:lvlJc w:val="left"/>
      <w:lvlText w:val="(%2)"/>
      <w:numFmt w:val="lowerRoman"/>
      <w:start w:val="1"/>
    </w:lvl>
  </w:abstractNum>
  <w:abstractNum w:abstractNumId="216">
    <w:nsid w:val="41ED20D7"/>
    <w:multiLevelType w:val="hybridMultilevel"/>
    <w:lvl w:ilvl="0">
      <w:lvlJc w:val="left"/>
      <w:lvlText w:val="(%1)"/>
      <w:numFmt w:val="lowerLetter"/>
      <w:start w:val="4"/>
    </w:lvl>
  </w:abstractNum>
  <w:abstractNum w:abstractNumId="217">
    <w:nsid w:val="E6B3F6A"/>
    <w:multiLevelType w:val="hybridMultilevel"/>
    <w:lvl w:ilvl="0">
      <w:lvlJc w:val="left"/>
      <w:lvlText w:val="%1."/>
      <w:numFmt w:val="decimal"/>
      <w:start w:val="7"/>
    </w:lvl>
    <w:lvl w:ilvl="1">
      <w:lvlJc w:val="left"/>
      <w:lvlText w:val="(%2)"/>
      <w:numFmt w:val="lowerLetter"/>
      <w:start w:val="1"/>
    </w:lvl>
  </w:abstractNum>
  <w:abstractNum w:abstractNumId="218">
    <w:nsid w:val="3EB21819"/>
    <w:multiLevelType w:val="hybridMultilevel"/>
    <w:lvl w:ilvl="0">
      <w:lvlJc w:val="left"/>
      <w:lvlText w:val="(%1)"/>
      <w:numFmt w:val="lowerLetter"/>
      <w:start w:val="2"/>
    </w:lvl>
  </w:abstractNum>
  <w:abstractNum w:abstractNumId="219">
    <w:nsid w:val="41531DED"/>
    <w:multiLevelType w:val="hybridMultilevel"/>
    <w:lvl w:ilvl="0">
      <w:lvlJc w:val="left"/>
      <w:lvlText w:val="(%1)"/>
      <w:numFmt w:val="lowerLetter"/>
      <w:start w:val="10"/>
    </w:lvl>
  </w:abstractNum>
  <w:abstractNum w:abstractNumId="220">
    <w:nsid w:val="6353CD2"/>
    <w:multiLevelType w:val="hybridMultilevel"/>
    <w:lvl w:ilvl="0">
      <w:lvlJc w:val="left"/>
      <w:lvlText w:val="(%1)"/>
      <w:numFmt w:val="lowerLetter"/>
      <w:start w:val="13"/>
    </w:lvl>
  </w:abstractNum>
  <w:abstractNum w:abstractNumId="221">
    <w:nsid w:val="683CAAD3"/>
    <w:multiLevelType w:val="hybridMultilevel"/>
    <w:lvl w:ilvl="0">
      <w:lvlJc w:val="left"/>
      <w:lvlText w:val="(%1)"/>
      <w:numFmt w:val="lowerLetter"/>
      <w:start w:val="14"/>
    </w:lvl>
  </w:abstractNum>
  <w:abstractNum w:abstractNumId="222">
    <w:nsid w:val="313C7C99"/>
    <w:multiLevelType w:val="hybridMultilevel"/>
    <w:lvl w:ilvl="0">
      <w:lvlJc w:val="left"/>
      <w:lvlText w:val="%1."/>
      <w:numFmt w:val="decimal"/>
      <w:start w:val="1"/>
    </w:lvl>
  </w:abstractNum>
  <w:abstractNum w:abstractNumId="223">
    <w:nsid w:val="519EB94C"/>
    <w:multiLevelType w:val="hybridMultilevel"/>
    <w:lvl w:ilvl="0">
      <w:lvlJc w:val="left"/>
      <w:lvlText w:val="%1."/>
      <w:numFmt w:val="decimal"/>
      <w:start w:val="3"/>
    </w:lvl>
    <w:lvl w:ilvl="1">
      <w:lvlJc w:val="left"/>
      <w:lvlText w:val="(%2)"/>
      <w:numFmt w:val="lowerLetter"/>
      <w:start w:val="1"/>
    </w:lvl>
  </w:abstractNum>
  <w:abstractNum w:abstractNumId="224">
    <w:nsid w:val="39DF2579"/>
    <w:multiLevelType w:val="hybridMultilevel"/>
    <w:lvl w:ilvl="0">
      <w:lvlJc w:val="left"/>
      <w:lvlText w:val="%1"/>
      <w:numFmt w:val="lowerRoman"/>
      <w:start w:val="1"/>
    </w:lvl>
    <w:lvl w:ilvl="1">
      <w:lvlJc w:val="left"/>
      <w:lvlText w:val="(%2)"/>
      <w:numFmt w:val="lowerLetter"/>
      <w:start w:val="3"/>
    </w:lvl>
  </w:abstractNum>
  <w:abstractNum w:abstractNumId="225">
    <w:nsid w:val="126E008B"/>
    <w:multiLevelType w:val="hybridMultilevel"/>
    <w:lvl w:ilvl="0">
      <w:lvlJc w:val="left"/>
      <w:lvlText w:val="(%1)"/>
      <w:numFmt w:val="lowerRoman"/>
      <w:start w:val="1"/>
    </w:lvl>
    <w:lvl w:ilvl="1">
      <w:lvlJc w:val="left"/>
      <w:lvlText w:val="%2"/>
      <w:numFmt w:val="lowerLetter"/>
      <w:start w:val="1"/>
    </w:lvl>
  </w:abstractNum>
  <w:abstractNum w:abstractNumId="226">
    <w:nsid w:val="34DFBC00"/>
    <w:multiLevelType w:val="hybridMultilevel"/>
    <w:lvl w:ilvl="0">
      <w:lvlJc w:val="left"/>
      <w:lvlText w:val="(%1)"/>
      <w:numFmt w:val="lowerRoman"/>
      <w:start w:val="4"/>
    </w:lvl>
    <w:lvl w:ilvl="1">
      <w:lvlJc w:val="left"/>
      <w:lvlText w:val="(%2)"/>
      <w:numFmt w:val="lowerLetter"/>
      <w:start w:val="5"/>
    </w:lvl>
  </w:abstractNum>
  <w:abstractNum w:abstractNumId="227">
    <w:nsid w:val="1F9EC322"/>
    <w:multiLevelType w:val="hybridMultilevel"/>
    <w:lvl w:ilvl="0">
      <w:lvlJc w:val="left"/>
      <w:lvlText w:val="%1"/>
      <w:numFmt w:val="decimal"/>
      <w:start w:val="1"/>
    </w:lvl>
    <w:lvl w:ilvl="1">
      <w:lvlJc w:val="left"/>
      <w:lvlText w:val="(%2)"/>
      <w:numFmt w:val="lowerLetter"/>
      <w:start w:val="7"/>
    </w:lvl>
  </w:abstractNum>
  <w:abstractNum w:abstractNumId="228">
    <w:nsid w:val="3410ED56"/>
    <w:multiLevelType w:val="hybridMultilevel"/>
    <w:lvl w:ilvl="0">
      <w:lvlJc w:val="left"/>
      <w:lvlText w:val="%1."/>
      <w:numFmt w:val="decimal"/>
      <w:start w:val="5"/>
    </w:lvl>
    <w:lvl w:ilvl="1">
      <w:lvlJc w:val="left"/>
      <w:lvlText w:val="%2"/>
      <w:numFmt w:val="lowerLetter"/>
      <w:start w:val="1"/>
    </w:lvl>
  </w:abstractNum>
  <w:abstractNum w:abstractNumId="229">
    <w:nsid w:val="23C049A"/>
    <w:multiLevelType w:val="hybridMultilevel"/>
    <w:lvl w:ilvl="0">
      <w:lvlJc w:val="left"/>
      <w:lvlText w:val="%1."/>
      <w:numFmt w:val="decimal"/>
      <w:start w:val="9"/>
    </w:lvl>
  </w:abstractNum>
  <w:abstractNum w:abstractNumId="230">
    <w:nsid w:val="5BDA35D4"/>
    <w:multiLevelType w:val="hybridMultilevel"/>
    <w:lvl w:ilvl="0">
      <w:lvlJc w:val="left"/>
      <w:lvlText w:val="%1."/>
      <w:numFmt w:val="decimal"/>
      <w:start w:val="1"/>
    </w:lvl>
    <w:lvl w:ilvl="1">
      <w:lvlJc w:val="left"/>
      <w:lvlText w:val="(%2)"/>
      <w:numFmt w:val="lowerLetter"/>
      <w:start w:val="1"/>
    </w:lvl>
  </w:abstractNum>
  <w:abstractNum w:abstractNumId="231">
    <w:nsid w:val="496FB218"/>
    <w:multiLevelType w:val="hybridMultilevel"/>
    <w:lvl w:ilvl="0">
      <w:lvlJc w:val="left"/>
      <w:lvlText w:val="%1"/>
      <w:numFmt w:val="decimal"/>
      <w:start w:val="1"/>
    </w:lvl>
    <w:lvl w:ilvl="1">
      <w:lvlJc w:val="left"/>
      <w:lvlText w:val="(%2)"/>
      <w:numFmt w:val="lowerLetter"/>
      <w:start w:val="6"/>
    </w:lvl>
  </w:abstractNum>
  <w:abstractNum w:abstractNumId="232">
    <w:nsid w:val="680EA5D1"/>
    <w:multiLevelType w:val="hybridMultilevel"/>
    <w:lvl w:ilvl="0">
      <w:lvlJc w:val="left"/>
      <w:lvlText w:val="%1."/>
      <w:numFmt w:val="decimal"/>
      <w:start w:val="2"/>
    </w:lvl>
    <w:lvl w:ilvl="1">
      <w:lvlJc w:val="left"/>
      <w:lvlText w:val="(%2)"/>
      <w:numFmt w:val="lowerLetter"/>
      <w:start w:val="1"/>
    </w:lvl>
  </w:abstractNum>
  <w:abstractNum w:abstractNumId="233">
    <w:nsid w:val="4A9554FE"/>
    <w:multiLevelType w:val="hybridMultilevel"/>
    <w:lvl w:ilvl="0">
      <w:lvlJc w:val="left"/>
      <w:lvlText w:val="%1"/>
      <w:numFmt w:val="decimal"/>
      <w:start w:val="1"/>
    </w:lvl>
    <w:lvl w:ilvl="1">
      <w:lvlJc w:val="left"/>
      <w:lvlText w:val="(%2)"/>
      <w:numFmt w:val="lowerLetter"/>
      <w:start w:val="6"/>
    </w:lvl>
  </w:abstractNum>
  <w:abstractNum w:abstractNumId="234">
    <w:nsid w:val="392EDBE4"/>
    <w:multiLevelType w:val="hybridMultilevel"/>
    <w:lvl w:ilvl="0">
      <w:lvlJc w:val="left"/>
      <w:lvlText w:val="%1."/>
      <w:numFmt w:val="decimal"/>
      <w:start w:val="3"/>
    </w:lvl>
    <w:lvl w:ilvl="1">
      <w:lvlJc w:val="left"/>
      <w:lvlText w:val="(%2)"/>
      <w:numFmt w:val="lowerLetter"/>
      <w:start w:val="1"/>
    </w:lvl>
  </w:abstractNum>
  <w:abstractNum w:abstractNumId="235">
    <w:nsid w:val="3D1A2DD9"/>
    <w:multiLevelType w:val="hybridMultilevel"/>
    <w:lvl w:ilvl="0">
      <w:lvlJc w:val="left"/>
      <w:lvlText w:val="%1"/>
      <w:numFmt w:val="decimal"/>
      <w:start w:val="1"/>
    </w:lvl>
    <w:lvl w:ilvl="1">
      <w:lvlJc w:val="left"/>
      <w:lvlText w:val="(%2)"/>
      <w:numFmt w:val="lowerLetter"/>
      <w:start w:val="4"/>
    </w:lvl>
  </w:abstractNum>
  <w:abstractNum w:abstractNumId="236">
    <w:nsid w:val="7F618FCD"/>
    <w:multiLevelType w:val="hybridMultilevel"/>
    <w:lvl w:ilvl="0">
      <w:lvlJc w:val="left"/>
      <w:lvlText w:val="%1."/>
      <w:numFmt w:val="decimal"/>
      <w:start w:val="4"/>
    </w:lvl>
    <w:lvl w:ilvl="1">
      <w:lvlJc w:val="left"/>
      <w:lvlText w:val="(%2)"/>
      <w:numFmt w:val="lowerLetter"/>
      <w:start w:val="1"/>
    </w:lvl>
  </w:abstractNum>
  <w:abstractNum w:abstractNumId="237">
    <w:nsid w:val="7843E45"/>
    <w:multiLevelType w:val="hybridMultilevel"/>
    <w:lvl w:ilvl="0">
      <w:lvlJc w:val="left"/>
      <w:lvlText w:val="☐"/>
      <w:numFmt w:val="bullet"/>
      <w:start w:val="1"/>
    </w:lvl>
  </w:abstractNum>
  <w:abstractNum w:abstractNumId="238">
    <w:nsid w:val="9815DA3"/>
    <w:multiLevelType w:val="hybridMultilevel"/>
    <w:lvl w:ilvl="0">
      <w:lvlJc w:val="left"/>
      <w:lvlText w:val="☒"/>
      <w:numFmt w:val="bullet"/>
      <w:start w:val="1"/>
    </w:lvl>
  </w:abstractNum>
  <w:abstractNum w:abstractNumId="239">
    <w:nsid w:val="5204A191"/>
    <w:multiLevelType w:val="hybridMultilevel"/>
    <w:lvl w:ilvl="0">
      <w:lvlJc w:val="left"/>
      <w:lvlText w:val="☐"/>
      <w:numFmt w:val="bullet"/>
      <w:start w:val="1"/>
    </w:lvl>
    <w:lvl w:ilvl="1">
      <w:lvlJc w:val="left"/>
      <w:lvlText w:val="☐"/>
      <w:numFmt w:val="bullet"/>
      <w:start w:val="1"/>
    </w:lvl>
  </w:abstractNum>
  <w:abstractNum w:abstractNumId="240">
    <w:nsid w:val="4C73A9C6"/>
    <w:multiLevelType w:val="hybridMultilevel"/>
    <w:lvl w:ilvl="0">
      <w:lvlJc w:val="left"/>
      <w:lvlText w:val="☒"/>
      <w:numFmt w:val="bullet"/>
      <w:start w:val="1"/>
    </w:lvl>
  </w:abstractNum>
  <w:abstractNum w:abstractNumId="241">
    <w:nsid w:val="1C7E3C01"/>
    <w:multiLevelType w:val="hybridMultilevel"/>
    <w:lvl w:ilvl="0">
      <w:lvlJc w:val="left"/>
      <w:lvlText w:val="☐"/>
      <w:numFmt w:val="bullet"/>
      <w:start w:val="1"/>
    </w:lvl>
  </w:abstractNum>
  <w:abstractNum w:abstractNumId="242">
    <w:nsid w:val="1C2201FF"/>
    <w:multiLevelType w:val="hybridMultilevel"/>
    <w:lvl w:ilvl="0">
      <w:lvlJc w:val="left"/>
      <w:lvlText w:val="☒"/>
      <w:numFmt w:val="bullet"/>
      <w:start w:val="1"/>
    </w:lvl>
  </w:abstractNum>
  <w:abstractNum w:abstractNumId="243">
    <w:nsid w:val="50ABCEC9"/>
    <w:multiLevelType w:val="hybridMultilevel"/>
    <w:lvl w:ilvl="0">
      <w:lvlJc w:val="left"/>
      <w:lvlText w:val="☐"/>
      <w:numFmt w:val="bullet"/>
      <w:start w:val="1"/>
    </w:lvl>
  </w:abstractNum>
  <w:abstractNum w:abstractNumId="244">
    <w:nsid w:val="7635AA2A"/>
    <w:multiLevelType w:val="hybridMultilevel"/>
    <w:lvl w:ilvl="0">
      <w:lvlJc w:val="left"/>
      <w:lvlText w:val="☒"/>
      <w:numFmt w:val="bullet"/>
      <w:start w:val="1"/>
    </w:lvl>
  </w:abstractNum>
  <w:abstractNum w:abstractNumId="245">
    <w:nsid w:val="5E74C4D9"/>
    <w:multiLevelType w:val="hybridMultilevel"/>
    <w:lvl w:ilvl="0">
      <w:lvlJc w:val="left"/>
      <w:lvlText w:val="☐"/>
      <w:numFmt w:val="bullet"/>
      <w:start w:val="1"/>
    </w:lvl>
  </w:abstractNum>
  <w:abstractNum w:abstractNumId="246">
    <w:nsid w:val="3B3EBE15"/>
    <w:multiLevelType w:val="hybridMultilevel"/>
    <w:lvl w:ilvl="0">
      <w:lvlJc w:val="left"/>
      <w:lvlText w:val="☒"/>
      <w:numFmt w:val="bullet"/>
      <w:start w:val="1"/>
    </w:lvl>
  </w:abstractNum>
  <w:abstractNum w:abstractNumId="247">
    <w:nsid w:val="3822CB01"/>
    <w:multiLevelType w:val="hybridMultilevel"/>
    <w:lvl w:ilvl="0">
      <w:lvlJc w:val="left"/>
      <w:lvlText w:val="☐"/>
      <w:numFmt w:val="bullet"/>
      <w:start w:val="1"/>
    </w:lvl>
  </w:abstractNum>
  <w:abstractNum w:abstractNumId="248">
    <w:nsid w:val="6CE00443"/>
    <w:multiLevelType w:val="hybridMultilevel"/>
    <w:lvl w:ilvl="0">
      <w:lvlJc w:val="left"/>
      <w:lvlText w:val="☒"/>
      <w:numFmt w:val="bullet"/>
      <w:start w:val="1"/>
    </w:lvl>
    <w:lvl w:ilvl="1">
      <w:lvlJc w:val="left"/>
      <w:lvlText w:val="☐"/>
      <w:numFmt w:val="bullet"/>
      <w:start w:val="1"/>
    </w:lvl>
  </w:abstractNum>
  <w:abstractNum w:abstractNumId="249">
    <w:nsid w:val="79F0D62F"/>
    <w:multiLevelType w:val="hybridMultilevel"/>
    <w:lvl w:ilvl="0">
      <w:lvlJc w:val="left"/>
      <w:lvlText w:val="☐"/>
      <w:numFmt w:val="bullet"/>
      <w:start w:val="1"/>
    </w:lvl>
  </w:abstractNum>
  <w:abstractNum w:abstractNumId="250">
    <w:nsid w:val="7975E8EE"/>
    <w:multiLevelType w:val="hybridMultilevel"/>
    <w:lvl w:ilvl="0">
      <w:lvlJc w:val="left"/>
      <w:lvlText w:val="☐"/>
      <w:numFmt w:val="bullet"/>
      <w:start w:val="1"/>
    </w:lvl>
  </w:abstractNum>
  <w:abstractNum w:abstractNumId="251">
    <w:nsid w:val="73154115"/>
    <w:multiLevelType w:val="hybridMultilevel"/>
    <w:lvl w:ilvl="0">
      <w:lvlJc w:val="left"/>
      <w:lvlText w:val="☒"/>
      <w:numFmt w:val="bullet"/>
      <w:start w:val="1"/>
    </w:lvl>
  </w:abstractNum>
  <w:abstractNum w:abstractNumId="252">
    <w:nsid w:val="622D8102"/>
    <w:multiLevelType w:val="hybridMultilevel"/>
    <w:lvl w:ilvl="0">
      <w:lvlJc w:val="left"/>
      <w:lvlText w:val="☒"/>
      <w:numFmt w:val="bullet"/>
      <w:start w:val="1"/>
    </w:lvl>
    <w:lvl w:ilvl="1">
      <w:lvlJc w:val="left"/>
      <w:lvlText w:val="(%2)"/>
      <w:numFmt w:val="lowerRoman"/>
      <w:start w:val="1"/>
    </w:lvl>
    <w:lvl w:ilvl="2">
      <w:lvlJc w:val="left"/>
      <w:lvlText w:val="(%3)"/>
      <w:numFmt w:val="upperLetter"/>
      <w:start w:val="1"/>
    </w:lvl>
  </w:abstractNum>
  <w:abstractNum w:abstractNumId="253">
    <w:nsid w:val="2AB26587"/>
    <w:multiLevelType w:val="hybridMultilevel"/>
    <w:lvl w:ilvl="0">
      <w:lvlJc w:val="left"/>
      <w:lvlText w:val="(%1)"/>
      <w:numFmt w:val="lowerRoman"/>
      <w:start w:val="2"/>
    </w:lvl>
  </w:abstractNum>
  <w:abstractNum w:abstractNumId="254">
    <w:nsid w:val="44B3FA61"/>
    <w:multiLevelType w:val="hybridMultilevel"/>
    <w:lvl w:ilvl="0">
      <w:lvlJc w:val="left"/>
      <w:lvlText w:val="%1"/>
      <w:numFmt w:val="lowerRoman"/>
      <w:start w:val="1"/>
    </w:lvl>
    <w:lvl w:ilvl="1">
      <w:lvlJc w:val="left"/>
      <w:lvlText w:val="(%2)"/>
      <w:numFmt w:val="upperLetter"/>
      <w:start w:val="1"/>
    </w:lvl>
  </w:abstractNum>
  <w:abstractNum w:abstractNumId="255">
    <w:nsid w:val="1C0CA67C"/>
    <w:multiLevelType w:val="hybridMultilevel"/>
    <w:lvl w:ilvl="0">
      <w:lvlJc w:val="left"/>
      <w:lvlText w:val="(%1)"/>
      <w:numFmt w:val="lowerRoman"/>
      <w:start w:val="5"/>
    </w:lvl>
    <w:lvl w:ilvl="1">
      <w:lvlJc w:val="left"/>
      <w:lvlText w:val="(%2)"/>
      <w:numFmt w:val="upperLetter"/>
      <w:start w:val="1"/>
    </w:lvl>
  </w:abstractNum>
  <w:abstractNum w:abstractNumId="256">
    <w:nsid w:val="3D206613"/>
    <w:multiLevelType w:val="hybridMultilevel"/>
    <w:lvl w:ilvl="0">
      <w:lvlJc w:val="left"/>
      <w:lvlText w:val="☐"/>
      <w:numFmt w:val="bullet"/>
      <w:start w:val="1"/>
    </w:lvl>
  </w:abstractNum>
  <w:abstractNum w:abstractNumId="257">
    <w:nsid w:val="7993B662"/>
    <w:multiLevelType w:val="hybridMultilevel"/>
    <w:lvl w:ilvl="0">
      <w:lvlJc w:val="left"/>
      <w:lvlText w:val="☒"/>
      <w:numFmt w:val="bullet"/>
      <w:start w:val="1"/>
    </w:lvl>
  </w:abstractNum>
  <w:abstractNum w:abstractNumId="258">
    <w:nsid w:val="3BAB699E"/>
    <w:multiLevelType w:val="hybridMultilevel"/>
    <w:lvl w:ilvl="0">
      <w:lvlJc w:val="left"/>
      <w:lvlText w:val="☒"/>
      <w:numFmt w:val="bullet"/>
      <w:start w:val="1"/>
    </w:lvl>
    <w:lvl w:ilvl="1">
      <w:lvlJc w:val="left"/>
      <w:lvlText w:val="(%2)"/>
      <w:numFmt w:val="lowerRoman"/>
      <w:start w:val="1"/>
    </w:lvl>
  </w:abstractNum>
  <w:abstractNum w:abstractNumId="259">
    <w:nsid w:val="71315369"/>
    <w:multiLevelType w:val="hybridMultilevel"/>
    <w:lvl w:ilvl="0">
      <w:lvlJc w:val="left"/>
      <w:lvlText w:val="☒"/>
      <w:numFmt w:val="bullet"/>
      <w:start w:val="1"/>
    </w:lvl>
    <w:lvl w:ilvl="1">
      <w:lvlJc w:val="left"/>
      <w:lvlText w:val="(%2)"/>
      <w:numFmt w:val="lowerRoman"/>
      <w:start w:val="3"/>
    </w:lvl>
    <w:lvl w:ilvl="2">
      <w:lvlJc w:val="left"/>
      <w:lvlText w:val="%3"/>
      <w:numFmt w:val="upperLetter"/>
      <w:start w:val="1"/>
    </w:lvl>
  </w:abstractNum>
  <w:abstractNum w:abstractNumId="260">
    <w:nsid w:val="7BCFBAFC"/>
    <w:multiLevelType w:val="hybridMultilevel"/>
    <w:lvl w:ilvl="0">
      <w:lvlJc w:val="left"/>
      <w:lvlText w:val="☒"/>
      <w:numFmt w:val="bullet"/>
      <w:start w:val="1"/>
    </w:lvl>
    <w:lvl w:ilvl="1">
      <w:lvlJc w:val="left"/>
      <w:lvlText w:val="(%2)"/>
      <w:numFmt w:val="lowerRoman"/>
      <w:start w:val="1"/>
    </w:lvl>
    <w:lvl w:ilvl="2">
      <w:lvlJc w:val="left"/>
      <w:lvlText w:val="(%3)"/>
      <w:numFmt w:val="upperLetter"/>
      <w:start w:val="1"/>
    </w:lvl>
  </w:abstractNum>
  <w:abstractNum w:abstractNumId="261">
    <w:nsid w:val="17859F72"/>
    <w:multiLevelType w:val="hybridMultilevel"/>
    <w:lvl w:ilvl="0">
      <w:lvlJc w:val="left"/>
      <w:lvlText w:val="(%1)"/>
      <w:numFmt w:val="lowerRoman"/>
      <w:start w:val="2"/>
    </w:lvl>
  </w:abstractNum>
  <w:abstractNum w:abstractNumId="262">
    <w:nsid w:val="3AA10581"/>
    <w:multiLevelType w:val="hybridMultilevel"/>
    <w:lvl w:ilvl="0">
      <w:lvlJc w:val="left"/>
      <w:lvlText w:val="☒"/>
      <w:numFmt w:val="bullet"/>
      <w:start w:val="1"/>
    </w:lvl>
  </w:abstractNum>
  <w:abstractNum w:abstractNumId="263">
    <w:nsid w:val="63DE60CD"/>
    <w:multiLevelType w:val="hybridMultilevel"/>
    <w:lvl w:ilvl="0">
      <w:lvlJc w:val="left"/>
      <w:lvlText w:val="☐"/>
      <w:numFmt w:val="bullet"/>
      <w:start w:val="1"/>
    </w:lvl>
  </w:abstractNum>
  <w:abstractNum w:abstractNumId="264">
    <w:nsid w:val="621AF471"/>
    <w:multiLevelType w:val="hybridMultilevel"/>
    <w:lvl w:ilvl="0">
      <w:lvlJc w:val="left"/>
      <w:lvlText w:val="☐"/>
      <w:numFmt w:val="bullet"/>
      <w:start w:val="1"/>
    </w:lvl>
  </w:abstractNum>
  <w:abstractNum w:abstractNumId="265">
    <w:nsid w:val="73CFE165"/>
    <w:multiLevelType w:val="hybridMultilevel"/>
    <w:lvl w:ilvl="0">
      <w:lvlJc w:val="left"/>
      <w:lvlText w:val="☒"/>
      <w:numFmt w:val="bullet"/>
      <w:start w:val="1"/>
    </w:lvl>
    <w:lvl w:ilvl="1">
      <w:lvlJc w:val="left"/>
      <w:lvlText w:val="☐"/>
      <w:numFmt w:val="bullet"/>
      <w:start w:val="1"/>
    </w:lvl>
  </w:abstractNum>
  <w:abstractNum w:abstractNumId="266">
    <w:nsid w:val="20F88EA6"/>
    <w:multiLevelType w:val="hybridMultilevel"/>
    <w:lvl w:ilvl="0">
      <w:lvlJc w:val="left"/>
      <w:lvlText w:val="☒"/>
      <w:numFmt w:val="bullet"/>
      <w:start w:val="1"/>
    </w:lvl>
  </w:abstractNum>
  <w:abstractNum w:abstractNumId="267">
    <w:nsid w:val="617C843E"/>
    <w:multiLevelType w:val="hybridMultilevel"/>
    <w:lvl w:ilvl="0">
      <w:lvlJc w:val="left"/>
      <w:lvlText w:val="☒"/>
      <w:numFmt w:val="bullet"/>
      <w:start w:val="1"/>
    </w:lvl>
    <w:lvl w:ilvl="1">
      <w:lvlJc w:val="left"/>
      <w:lvlText w:val="☐"/>
      <w:numFmt w:val="bullet"/>
      <w:start w:val="1"/>
    </w:lvl>
  </w:abstractNum>
  <w:abstractNum w:abstractNumId="268">
    <w:nsid w:val="7B541FAB"/>
    <w:multiLevelType w:val="hybridMultilevel"/>
    <w:lvl w:ilvl="0">
      <w:lvlJc w:val="left"/>
      <w:lvlText w:val="☒"/>
      <w:numFmt w:val="bullet"/>
      <w:start w:val="1"/>
    </w:lvl>
  </w:abstractNum>
  <w:abstractNum w:abstractNumId="269">
    <w:nsid w:val="2A79EC49"/>
    <w:multiLevelType w:val="hybridMultilevel"/>
    <w:lvl w:ilvl="0">
      <w:lvlJc w:val="left"/>
      <w:lvlText w:val="(%1)"/>
      <w:numFmt w:val="lowerLetter"/>
      <w:start w:val="1"/>
    </w:lvl>
    <w:lvl w:ilvl="1">
      <w:lvlJc w:val="left"/>
      <w:lvlText w:val="☐"/>
      <w:numFmt w:val="bullet"/>
      <w:start w:val="1"/>
    </w:lvl>
  </w:abstractNum>
  <w:abstractNum w:abstractNumId="270">
    <w:nsid w:val="338125CF"/>
    <w:multiLevelType w:val="hybridMultilevel"/>
    <w:lvl w:ilvl="0">
      <w:lvlJc w:val="left"/>
      <w:lvlText w:val="☒"/>
      <w:numFmt w:val="bullet"/>
      <w:start w:val="1"/>
    </w:lvl>
  </w:abstractNum>
  <w:abstractNum w:abstractNumId="271">
    <w:nsid w:val="47C7C971"/>
    <w:multiLevelType w:val="hybridMultilevel"/>
    <w:lvl w:ilvl="0">
      <w:lvlJc w:val="left"/>
      <w:lvlText w:val="☒"/>
      <w:numFmt w:val="bullet"/>
      <w:start w:val="1"/>
    </w:lvl>
    <w:lvl w:ilvl="1">
      <w:lvlJc w:val="left"/>
      <w:lvlText w:val="(%2)"/>
      <w:numFmt w:val="lowerRoman"/>
      <w:start w:val="1"/>
    </w:lvl>
    <w:lvl w:ilvl="2">
      <w:lvlJc w:val="left"/>
      <w:lvlText w:val="(%3)"/>
      <w:numFmt w:val="upperLetter"/>
      <w:start w:val="1"/>
    </w:lvl>
  </w:abstractNum>
  <w:abstractNum w:abstractNumId="272">
    <w:nsid w:val="46F8284B"/>
    <w:multiLevelType w:val="hybridMultilevel"/>
    <w:lvl w:ilvl="0">
      <w:lvlJc w:val="left"/>
      <w:lvlText w:val="☒"/>
      <w:numFmt w:val="bullet"/>
      <w:start w:val="1"/>
    </w:lvl>
    <w:lvl w:ilvl="1">
      <w:lvlJc w:val="left"/>
      <w:lvlText w:val="%2"/>
      <w:numFmt w:val="lowerRoman"/>
      <w:start w:val="1"/>
    </w:lvl>
    <w:lvl w:ilvl="2">
      <w:lvlJc w:val="left"/>
      <w:lvlText w:val="(%3)"/>
      <w:numFmt w:val="upperLetter"/>
      <w:start w:val="2"/>
    </w:lvl>
  </w:abstractNum>
  <w:abstractNum w:abstractNumId="273">
    <w:nsid w:val="4FA327CE"/>
    <w:multiLevelType w:val="hybridMultilevel"/>
    <w:lvl w:ilvl="0">
      <w:lvlJc w:val="left"/>
      <w:lvlText w:val="☒"/>
      <w:numFmt w:val="bullet"/>
      <w:start w:val="1"/>
    </w:lvl>
    <w:lvl w:ilvl="1">
      <w:lvlJc w:val="left"/>
      <w:lvlText w:val="(%2)"/>
      <w:numFmt w:val="lowerRoman"/>
      <w:start w:val="2"/>
    </w:lvl>
    <w:lvl w:ilvl="2">
      <w:lvlJc w:val="left"/>
      <w:lvlText w:val="(%3)"/>
      <w:numFmt w:val="upperLetter"/>
      <w:start w:val="1"/>
    </w:lvl>
  </w:abstractNum>
  <w:abstractNum w:abstractNumId="274">
    <w:nsid w:val="1873983A"/>
    <w:multiLevelType w:val="hybridMultilevel"/>
    <w:lvl w:ilvl="0">
      <w:lvlJc w:val="left"/>
      <w:lvlText w:val="☒"/>
      <w:numFmt w:val="bullet"/>
      <w:start w:val="1"/>
    </w:lvl>
    <w:lvl w:ilvl="1">
      <w:lvlJc w:val="left"/>
      <w:lvlText w:val="(%2)"/>
      <w:numFmt w:val="lowerRoman"/>
      <w:start w:val="1"/>
    </w:lvl>
    <w:lvl w:ilvl="2">
      <w:lvlJc w:val="left"/>
      <w:lvlText w:val="%3"/>
      <w:numFmt w:val="upperLetter"/>
      <w:start w:val="1"/>
    </w:lvl>
  </w:abstractNum>
  <w:abstractNum w:abstractNumId="275">
    <w:nsid w:val="3D2DD275"/>
    <w:multiLevelType w:val="hybridMultilevel"/>
    <w:lvl w:ilvl="0">
      <w:lvlJc w:val="left"/>
      <w:lvlText w:val="%1."/>
      <w:numFmt w:val="upperLetter"/>
      <w:start w:val="9"/>
    </w:lvl>
  </w:abstractNum>
  <w:abstractNum w:abstractNumId="276">
    <w:nsid w:val="2E17ECA7"/>
    <w:multiLevelType w:val="hybridMultilevel"/>
    <w:lvl w:ilvl="0">
      <w:lvlJc w:val="left"/>
      <w:lvlText w:val="%1."/>
      <w:numFmt w:val="upperLetter"/>
      <w:start w:val="35"/>
    </w:lvl>
    <w:lvl w:ilvl="1">
      <w:lvlJc w:val="left"/>
      <w:lvlText w:val="%2."/>
      <w:numFmt w:val="upperLetter"/>
      <w:start w:val="1"/>
    </w:lvl>
  </w:abstractNum>
  <w:abstractNum w:abstractNumId="277">
    <w:nsid w:val="53B2564F"/>
    <w:multiLevelType w:val="hybridMultilevel"/>
    <w:lvl w:ilvl="0">
      <w:lvlJc w:val="left"/>
      <w:lvlText w:val="%1."/>
      <w:numFmt w:val="upperLetter"/>
      <w:start w:val="3"/>
    </w:lvl>
  </w:abstractNum>
  <w:abstractNum w:abstractNumId="278">
    <w:nsid w:val="75509D76"/>
    <w:multiLevelType w:val="hybridMultilevel"/>
    <w:lvl w:ilvl="0">
      <w:lvlJc w:val="left"/>
      <w:lvlText w:val="%1"/>
      <w:numFmt w:val="upperLetter"/>
      <w:start w:val="1"/>
    </w:lvl>
    <w:lvl w:ilvl="1">
      <w:lvlJc w:val="left"/>
      <w:lvlText w:val="%2."/>
      <w:numFmt w:val="upperLetter"/>
      <w:start w:val="5"/>
    </w:lvl>
  </w:abstractNum>
  <w:abstractNum w:abstractNumId="279">
    <w:nsid w:val="1AF7F0EA"/>
    <w:multiLevelType w:val="hybridMultilevel"/>
    <w:lvl w:ilvl="0">
      <w:lvlJc w:val="left"/>
      <w:lvlText w:val="%1."/>
      <w:numFmt w:val="upperLetter"/>
      <w:start w:val="61"/>
    </w:lvl>
    <w:lvl w:ilvl="1">
      <w:lvlJc w:val="left"/>
      <w:lvlText w:val="%2"/>
      <w:numFmt w:val="upperLetter"/>
      <w:start w:val="1"/>
    </w:lvl>
  </w:abstractNum>
  <w:abstractNum w:abstractNumId="280">
    <w:nsid w:val="4DA32C7E"/>
    <w:multiLevelType w:val="hybridMultilevel"/>
    <w:lvl w:ilvl="0">
      <w:lvlJc w:val="left"/>
      <w:lvlText w:val="%1."/>
      <w:numFmt w:val="upperLetter"/>
      <w:start w:val="22"/>
    </w:lvl>
  </w:abstractNum>
  <w:abstractNum w:abstractNumId="281">
    <w:nsid w:val="6EC68664"/>
    <w:multiLevelType w:val="hybridMultilevel"/>
    <w:lvl w:ilvl="0">
      <w:lvlJc w:val="left"/>
      <w:lvlText w:val="%1."/>
      <w:numFmt w:val="upperLetter"/>
      <w:start w:val="1"/>
    </w:lvl>
  </w:abstractNum>
  <w:abstractNum w:abstractNumId="282">
    <w:nsid w:val="E0D31FF"/>
    <w:multiLevelType w:val="hybridMultilevel"/>
    <w:lvl w:ilvl="0">
      <w:lvlJc w:val="left"/>
      <w:lvlText w:val="%1."/>
      <w:numFmt w:val="upperLetter"/>
      <w:start w:val="2"/>
    </w:lvl>
  </w:abstractNum>
  <w:abstractNum w:abstractNumId="283">
    <w:nsid w:val="2FD0AD81"/>
    <w:multiLevelType w:val="hybridMultilevel"/>
    <w:lvl w:ilvl="0">
      <w:lvlJc w:val="left"/>
      <w:lvlText w:val="%1."/>
      <w:numFmt w:val="upperLetter"/>
      <w:start w:val="3"/>
    </w:lvl>
  </w:abstractNum>
  <w:abstractNum w:abstractNumId="284">
    <w:nsid w:val="1978EBEB"/>
    <w:multiLevelType w:val="hybridMultilevel"/>
    <w:lvl w:ilvl="0">
      <w:lvlJc w:val="left"/>
      <w:lvlText w:val="%1."/>
      <w:numFmt w:val="upperLetter"/>
      <w:start w:val="1"/>
    </w:lvl>
    <w:lvl w:ilvl="1">
      <w:lvlJc w:val="left"/>
      <w:lvlText w:val="%2."/>
      <w:numFmt w:val="decimal"/>
      <w:start w:val="1"/>
    </w:lvl>
  </w:abstractNum>
  <w:abstractNum w:abstractNumId="285">
    <w:nsid w:val="52C12C61"/>
    <w:multiLevelType w:val="hybridMultilevel"/>
    <w:lvl w:ilvl="0">
      <w:lvlJc w:val="left"/>
      <w:lvlText w:val="%1"/>
      <w:numFmt w:val="upperLetter"/>
      <w:start w:val="1"/>
    </w:lvl>
    <w:lvl w:ilvl="1">
      <w:lvlJc w:val="left"/>
      <w:lvlText w:val="%2."/>
      <w:numFmt w:val="upperLetter"/>
      <w:start w:val="2"/>
    </w:lvl>
  </w:abstractNum>
  <w:abstractNum w:abstractNumId="286">
    <w:nsid w:val="4BDD53FD"/>
    <w:multiLevelType w:val="hybridMultilevel"/>
    <w:lvl w:ilvl="0">
      <w:lvlJc w:val="left"/>
      <w:lvlText w:val="%1."/>
      <w:numFmt w:val="upperLetter"/>
      <w:start w:val="1"/>
    </w:lvl>
  </w:abstractNum>
  <w:abstractNum w:abstractNumId="287">
    <w:nsid w:val="569951FE"/>
    <w:multiLevelType w:val="hybridMultilevel"/>
    <w:lvl w:ilvl="0">
      <w:lvlJc w:val="left"/>
      <w:lvlText w:val="%1."/>
      <w:numFmt w:val="upperLetter"/>
      <w:start w:val="2"/>
    </w:lvl>
    <w:lvl w:ilvl="1">
      <w:lvlJc w:val="left"/>
      <w:lvlText w:val="%2."/>
      <w:numFmt w:val="lowerLetter"/>
      <w:start w:val="1"/>
    </w:lvl>
  </w:abstractNum>
  <w:abstractNum w:abstractNumId="288">
    <w:nsid w:val="4C54E2C3"/>
    <w:multiLevelType w:val="hybridMultilevel"/>
    <w:lvl w:ilvl="0">
      <w:lvlJc w:val="left"/>
      <w:lvlText w:val="%1."/>
      <w:numFmt w:val="upperLetter"/>
      <w:start w:val="4"/>
    </w:lvl>
    <w:lvl w:ilvl="1">
      <w:lvlJc w:val="left"/>
      <w:lvlText w:val="%2."/>
      <w:numFmt w:val="lowerLetter"/>
      <w:start w:val="1"/>
    </w:lvl>
  </w:abstractNum>
  <w:abstractNum w:abstractNumId="289">
    <w:nsid w:val="788BD9B"/>
    <w:multiLevelType w:val="hybridMultilevel"/>
    <w:lvl w:ilvl="0">
      <w:lvlJc w:val="left"/>
      <w:lvlText w:val="%1."/>
      <w:numFmt w:val="upperLetter"/>
      <w:start w:val="7"/>
    </w:lvl>
  </w:abstractNum>
  <w:abstractNum w:abstractNumId="290">
    <w:nsid w:val="47CAA567"/>
    <w:multiLevelType w:val="hybridMultilevel"/>
    <w:lvl w:ilvl="0">
      <w:lvlJc w:val="left"/>
      <w:lvlText w:val="%1."/>
      <w:numFmt w:val="upperLetter"/>
      <w:start w:val="1"/>
    </w:lvl>
  </w:abstractNum>
  <w:abstractNum w:abstractNumId="291">
    <w:nsid w:val="48249DBF"/>
    <w:multiLevelType w:val="hybridMultilevel"/>
    <w:lvl w:ilvl="0">
      <w:lvlJc w:val="left"/>
      <w:lvlText w:val="%1."/>
      <w:numFmt w:val="upperLetter"/>
      <w:start w:val="1"/>
    </w:lvl>
  </w:abstractNum>
  <w:abstractNum w:abstractNumId="292">
    <w:nsid w:val="1F0E5D0D"/>
    <w:multiLevelType w:val="hybridMultilevel"/>
    <w:lvl w:ilvl="0">
      <w:lvlJc w:val="left"/>
      <w:lvlText w:val="%1."/>
      <w:numFmt w:val="upperLetter"/>
      <w:start w:val="2"/>
    </w:lvl>
  </w:abstractNum>
  <w:abstractNum w:abstractNumId="293">
    <w:nsid w:val="26BAAE9"/>
    <w:multiLevelType w:val="hybridMultilevel"/>
    <w:lvl w:ilvl="0">
      <w:lvlJc w:val="left"/>
      <w:lvlText w:val="%1."/>
      <w:numFmt w:val="upperLetter"/>
      <w:start w:val="9"/>
    </w:lvl>
  </w:abstractNum>
  <w:abstractNum w:abstractNumId="294">
    <w:nsid w:val="2C02FE8C"/>
    <w:multiLevelType w:val="hybridMultilevel"/>
    <w:lvl w:ilvl="0">
      <w:lvlJc w:val="left"/>
      <w:lvlText w:val="%1."/>
      <w:numFmt w:val="upperLetter"/>
      <w:start w:val="35"/>
    </w:lvl>
    <w:lvl w:ilvl="1">
      <w:lvlJc w:val="left"/>
      <w:lvlText w:val="%2."/>
      <w:numFmt w:val="upperLetter"/>
      <w:start w:val="1"/>
    </w:lvl>
  </w:abstractNum>
  <w:abstractNum w:abstractNumId="295">
    <w:nsid w:val="129517E"/>
    <w:multiLevelType w:val="hybridMultilevel"/>
    <w:lvl w:ilvl="0">
      <w:lvlJc w:val="left"/>
      <w:lvlText w:val="%1."/>
      <w:numFmt w:val="upperLetter"/>
      <w:start w:val="3"/>
    </w:lvl>
  </w:abstractNum>
  <w:abstractNum w:abstractNumId="296">
    <w:nsid w:val="763B8C4E"/>
    <w:multiLevelType w:val="hybridMultilevel"/>
    <w:lvl w:ilvl="0">
      <w:lvlJc w:val="left"/>
      <w:lvlText w:val="%1"/>
      <w:numFmt w:val="upperLetter"/>
      <w:start w:val="1"/>
    </w:lvl>
    <w:lvl w:ilvl="1">
      <w:lvlJc w:val="left"/>
      <w:lvlText w:val="%2."/>
      <w:numFmt w:val="upperLetter"/>
      <w:start w:val="5"/>
    </w:lvl>
  </w:abstractNum>
  <w:abstractNum w:abstractNumId="297">
    <w:nsid w:val="4CFB8D32"/>
    <w:multiLevelType w:val="hybridMultilevel"/>
    <w:lvl w:ilvl="0">
      <w:lvlJc w:val="left"/>
      <w:lvlText w:val="%1."/>
      <w:numFmt w:val="upperLetter"/>
      <w:start w:val="61"/>
    </w:lvl>
    <w:lvl w:ilvl="1">
      <w:lvlJc w:val="left"/>
      <w:lvlText w:val="%2"/>
      <w:numFmt w:val="upperLetter"/>
      <w:start w:val="1"/>
    </w:lvl>
  </w:abstractNum>
  <w:abstractNum w:abstractNumId="298">
    <w:nsid w:val="62A5D5BD"/>
    <w:multiLevelType w:val="hybridMultilevel"/>
    <w:lvl w:ilvl="0">
      <w:lvlJc w:val="left"/>
      <w:lvlText w:val="%1."/>
      <w:numFmt w:val="upperLetter"/>
      <w:start w:val="22"/>
    </w:lvl>
  </w:abstractNum>
  <w:abstractNum w:abstractNumId="299">
    <w:nsid w:val="718FABF9"/>
    <w:multiLevelType w:val="hybridMultilevel"/>
    <w:lvl w:ilvl="0">
      <w:lvlJc w:val="left"/>
      <w:lvlText w:val="%1."/>
      <w:numFmt w:val="upperLetter"/>
      <w:start w:val="1"/>
    </w:lvl>
  </w:abstractNum>
  <w:abstractNum w:abstractNumId="300">
    <w:nsid w:val="7775797C"/>
    <w:multiLevelType w:val="hybridMultilevel"/>
    <w:lvl w:ilvl="0">
      <w:lvlJc w:val="left"/>
      <w:lvlText w:val="%1."/>
      <w:numFmt w:val="upperLetter"/>
      <w:start w:val="2"/>
    </w:lvl>
  </w:abstractNum>
  <w:abstractNum w:abstractNumId="301">
    <w:nsid w:val="1626FB8C"/>
    <w:multiLevelType w:val="hybridMultilevel"/>
    <w:lvl w:ilvl="0">
      <w:lvlJc w:val="left"/>
      <w:lvlText w:val="%1."/>
      <w:numFmt w:val="upperLetter"/>
      <w:start w:val="3"/>
    </w:lvl>
  </w:abstractNum>
  <w:abstractNum w:abstractNumId="302">
    <w:nsid w:val="3957756A"/>
    <w:multiLevelType w:val="hybridMultilevel"/>
    <w:lvl w:ilvl="0">
      <w:lvlJc w:val="left"/>
      <w:lvlText w:val="%1."/>
      <w:numFmt w:val="upperLetter"/>
      <w:start w:val="1"/>
    </w:lvl>
    <w:lvl w:ilvl="1">
      <w:lvlJc w:val="left"/>
      <w:lvlText w:val="%2."/>
      <w:numFmt w:val="decimal"/>
      <w:start w:val="1"/>
    </w:lvl>
  </w:abstractNum>
  <w:abstractNum w:abstractNumId="303">
    <w:nsid w:val="3E6DA1C7"/>
    <w:multiLevelType w:val="hybridMultilevel"/>
    <w:lvl w:ilvl="0">
      <w:lvlJc w:val="left"/>
      <w:lvlText w:val="%1"/>
      <w:numFmt w:val="upperLetter"/>
      <w:start w:val="1"/>
    </w:lvl>
    <w:lvl w:ilvl="1">
      <w:lvlJc w:val="left"/>
      <w:lvlText w:val="%2."/>
      <w:numFmt w:val="upperLetter"/>
      <w:start w:val="3"/>
    </w:lvl>
  </w:abstractNum>
  <w:abstractNum w:abstractNumId="304">
    <w:nsid w:val="65CA235B"/>
    <w:multiLevelType w:val="hybridMultilevel"/>
    <w:lvl w:ilvl="0">
      <w:lvlJc w:val="left"/>
      <w:lvlText w:val="%1."/>
      <w:numFmt w:val="upperLetter"/>
      <w:start w:val="1"/>
    </w:lvl>
    <w:lvl w:ilvl="1">
      <w:lvlJc w:val="left"/>
      <w:lvlText w:val="%2."/>
      <w:numFmt w:val="decimal"/>
      <w:start w:val="1"/>
    </w:lvl>
  </w:abstractNum>
  <w:abstractNum w:abstractNumId="305">
    <w:nsid w:val="51CB0DA4"/>
    <w:multiLevelType w:val="hybridMultilevel"/>
    <w:lvl w:ilvl="0">
      <w:lvlJc w:val="left"/>
      <w:lvlText w:val="%1"/>
      <w:numFmt w:val="upperLetter"/>
      <w:start w:val="1"/>
    </w:lvl>
    <w:lvl w:ilvl="1">
      <w:lvlJc w:val="left"/>
      <w:lvlText w:val="%2."/>
      <w:numFmt w:val="decimal"/>
      <w:start w:val="2"/>
    </w:lvl>
    <w:lvl w:ilvl="2">
      <w:lvlJc w:val="left"/>
      <w:lvlText w:val="●"/>
      <w:numFmt w:val="bullet"/>
      <w:start w:val="1"/>
    </w:lvl>
  </w:abstractNum>
  <w:abstractNum w:abstractNumId="306">
    <w:nsid w:val="7B9B743C"/>
    <w:multiLevelType w:val="hybridMultilevel"/>
    <w:lvl w:ilvl="0">
      <w:lvlJc w:val="left"/>
      <w:lvlText w:val="%1."/>
      <w:numFmt w:val="upperLetter"/>
      <w:start w:val="3"/>
    </w:lvl>
    <w:lvl w:ilvl="1">
      <w:lvlJc w:val="left"/>
      <w:lvlText w:val="%2"/>
      <w:numFmt w:val="decimal"/>
      <w:start w:val="1"/>
    </w:lvl>
    <w:lvl w:ilvl="2">
      <w:lvlJc w:val="left"/>
      <w:lvlText w:val="●"/>
      <w:numFmt w:val="bullet"/>
      <w:start w:val="1"/>
    </w:lvl>
  </w:abstractNum>
  <w:abstractNum w:abstractNumId="307">
    <w:nsid w:val="13E21002"/>
    <w:multiLevelType w:val="hybridMultilevel"/>
    <w:lvl w:ilvl="0">
      <w:lvlJc w:val="left"/>
      <w:lvlText w:val="%1."/>
      <w:numFmt w:val="upperLetter"/>
      <w:start w:val="4"/>
    </w:lvl>
    <w:lvl w:ilvl="1">
      <w:lvlJc w:val="left"/>
      <w:lvlText w:val="●"/>
      <w:numFmt w:val="bullet"/>
      <w:start w:val="1"/>
    </w:lvl>
  </w:abstractNum>
  <w:abstractNum w:abstractNumId="308">
    <w:nsid w:val="257D63F4"/>
    <w:multiLevelType w:val="hybridMultilevel"/>
    <w:lvl w:ilvl="0">
      <w:lvlJc w:val="left"/>
      <w:lvlText w:val="%1."/>
      <w:numFmt w:val="upperLetter"/>
      <w:start w:val="1"/>
    </w:lvl>
  </w:abstractNum>
  <w:abstractNum w:abstractNumId="309">
    <w:nsid w:val="70EC11B2"/>
    <w:multiLevelType w:val="hybridMultilevel"/>
    <w:lvl w:ilvl="0">
      <w:lvlJc w:val="left"/>
      <w:lvlText w:val="%1."/>
      <w:numFmt w:val="upperLetter"/>
      <w:start w:val="1"/>
    </w:lvl>
  </w:abstractNum>
  <w:abstractNum w:abstractNumId="310">
    <w:nsid w:val="2EDA00ED"/>
    <w:multiLevelType w:val="hybridMultilevel"/>
    <w:lvl w:ilvl="0">
      <w:lvlJc w:val="left"/>
      <w:lvlText w:val="%1."/>
      <w:numFmt w:val="upperLetter"/>
      <w:start w:val="3"/>
    </w:lvl>
  </w:abstractNum>
  <w:abstractNum w:abstractNumId="311">
    <w:nsid w:val="73209072"/>
    <w:multiLevelType w:val="hybridMultilevel"/>
    <w:lvl w:ilvl="0">
      <w:lvlJc w:val="left"/>
      <w:lvlText w:val="(%1)"/>
      <w:numFmt w:val="lowerLetter"/>
      <w:start w:val="1"/>
    </w:lvl>
  </w:abstractNum>
  <w:abstractNum w:abstractNumId="312">
    <w:nsid w:val="5FB29816"/>
    <w:multiLevelType w:val="hybridMultilevel"/>
    <w:lvl w:ilvl="0">
      <w:lvlJc w:val="left"/>
      <w:lvlText w:val="(%1)"/>
      <w:numFmt w:val="lowerLetter"/>
      <w:start w:val="2"/>
    </w:lvl>
  </w:abstractNum>
  <w:abstractNum w:abstractNumId="313">
    <w:nsid w:val="3CE732EC"/>
    <w:multiLevelType w:val="hybridMultilevel"/>
    <w:lvl w:ilvl="0">
      <w:lvlJc w:val="left"/>
      <w:lvlText w:val="(%1)"/>
      <w:numFmt w:val="lowerLetter"/>
      <w:start w:val="1"/>
    </w:lvl>
  </w:abstractNum>
  <w:abstractNum w:abstractNumId="314">
    <w:nsid w:val="22F13DF3"/>
    <w:multiLevelType w:val="hybridMultilevel"/>
    <w:lvl w:ilvl="0">
      <w:lvlJc w:val="left"/>
      <w:lvlText w:val="(%1)"/>
      <w:numFmt w:val="lowerLetter"/>
      <w:start w:val="2"/>
    </w:lvl>
  </w:abstractNum>
  <w:abstractNum w:abstractNumId="315">
    <w:nsid w:val="792B8401"/>
    <w:multiLevelType w:val="hybridMultilevel"/>
    <w:lvl w:ilvl="0">
      <w:lvlJc w:val="left"/>
      <w:lvlText w:val="%1."/>
      <w:numFmt w:val="decimal"/>
      <w:start w:val="1"/>
    </w:lvl>
    <w:lvl w:ilvl="1">
      <w:lvlJc w:val="left"/>
      <w:lvlText w:val="%2."/>
      <w:numFmt w:val="lowerLetter"/>
      <w:start w:val="1"/>
    </w:lvl>
  </w:abstractNum>
  <w:abstractNum w:abstractNumId="316">
    <w:nsid w:val="FA85F4D"/>
    <w:multiLevelType w:val="hybridMultilevel"/>
    <w:lvl w:ilvl="0">
      <w:lvlJc w:val="left"/>
      <w:lvlText w:val="%1"/>
      <w:numFmt w:val="decimal"/>
      <w:start w:val="1"/>
    </w:lvl>
    <w:lvl w:ilvl="1">
      <w:lvlJc w:val="left"/>
      <w:lvlText w:val="%2."/>
      <w:numFmt w:val="lowerLetter"/>
      <w:start w:val="2"/>
    </w:lvl>
  </w:abstractNum>
  <w:abstractNum w:abstractNumId="317">
    <w:nsid w:val="6ECE91F0"/>
    <w:multiLevelType w:val="hybridMultilevel"/>
    <w:lvl w:ilvl="0">
      <w:lvlJc w:val="left"/>
      <w:lvlText w:val="%1."/>
      <w:numFmt w:val="decimal"/>
      <w:start w:val="2"/>
    </w:lvl>
    <w:lvl w:ilvl="1">
      <w:lvlJc w:val="left"/>
      <w:lvlText w:val="%2"/>
      <w:numFmt w:val="lowerLetter"/>
      <w:start w:val="1"/>
    </w:lvl>
  </w:abstractNum>
  <w:abstractNum w:abstractNumId="318">
    <w:nsid w:val="4FC4D600"/>
    <w:multiLevelType w:val="hybridMultilevel"/>
    <w:lvl w:ilvl="0">
      <w:lvlJc w:val="left"/>
      <w:lvlText w:val="%1."/>
      <w:numFmt w:val="decimal"/>
      <w:start w:val="3"/>
    </w:lvl>
    <w:lvl w:ilvl="1">
      <w:lvlJc w:val="left"/>
      <w:lvlText w:val="%2."/>
      <w:numFmt w:val="lowerLetter"/>
      <w:start w:val="1"/>
    </w:lvl>
  </w:abstractNum>
  <w:abstractNum w:abstractNumId="319">
    <w:nsid w:val="5BFD4210"/>
    <w:multiLevelType w:val="hybridMultilevel"/>
    <w:lvl w:ilvl="0">
      <w:lvlJc w:val="left"/>
      <w:lvlText w:val="%1."/>
      <w:numFmt w:val="decimal"/>
      <w:start w:val="5"/>
    </w:lvl>
    <w:lvl w:ilvl="1">
      <w:lvlJc w:val="left"/>
      <w:lvlText w:val="%2."/>
      <w:numFmt w:val="lowerLetter"/>
      <w:start w:val="1"/>
    </w:lvl>
  </w:abstractNum>
  <w:abstractNum w:abstractNumId="320">
    <w:nsid w:val="76574F8B"/>
    <w:multiLevelType w:val="hybridMultilevel"/>
    <w:lvl w:ilvl="0">
      <w:lvlJc w:val="left"/>
      <w:lvlText w:val="%1"/>
      <w:numFmt w:val="lowerRoman"/>
      <w:start w:val="1"/>
    </w:lvl>
    <w:lvl w:ilvl="1">
      <w:lvlJc w:val="left"/>
      <w:lvlText w:val="%2."/>
      <w:numFmt w:val="lowerLetter"/>
      <w:start w:val="3"/>
    </w:lvl>
  </w:abstractNum>
  <w:abstractNum w:abstractNumId="321">
    <w:nsid w:val="178F7B67"/>
    <w:multiLevelType w:val="hybridMultilevel"/>
    <w:lvl w:ilvl="0">
      <w:lvlJc w:val="left"/>
      <w:lvlText w:val="(%1)"/>
      <w:numFmt w:val="lowerRoman"/>
      <w:start w:val="1"/>
    </w:lvl>
    <w:lvl w:ilvl="1">
      <w:lvlJc w:val="left"/>
      <w:lvlText w:val="%2"/>
      <w:numFmt w:val="lowerLetter"/>
      <w:start w:val="1"/>
    </w:lvl>
  </w:abstractNum>
  <w:abstractNum w:abstractNumId="322">
    <w:nsid w:val="2421DFCF"/>
    <w:multiLevelType w:val="hybridMultilevel"/>
    <w:lvl w:ilvl="0">
      <w:lvlJc w:val="left"/>
      <w:lvlText w:val="%1"/>
      <w:numFmt w:val="decimal"/>
      <w:start w:val="1"/>
    </w:lvl>
    <w:lvl w:ilvl="1">
      <w:lvlJc w:val="left"/>
      <w:lvlText w:val="%2."/>
      <w:numFmt w:val="lowerLetter"/>
      <w:start w:val="7"/>
    </w:lvl>
  </w:abstractNum>
  <w:abstractNum w:abstractNumId="323">
    <w:nsid w:val="1565AC99"/>
    <w:multiLevelType w:val="hybridMultilevel"/>
    <w:lvl w:ilvl="0">
      <w:lvlJc w:val="left"/>
      <w:lvlText w:val="%1."/>
      <w:numFmt w:val="decimal"/>
      <w:start w:val="7"/>
    </w:lvl>
    <w:lvl w:ilvl="1">
      <w:lvlJc w:val="left"/>
      <w:lvlText w:val="%2"/>
      <w:numFmt w:val="lowerLetter"/>
      <w:start w:val="1"/>
    </w:lvl>
  </w:abstractNum>
  <w:abstractNum w:abstractNumId="324">
    <w:nsid w:val="19FB2650"/>
    <w:multiLevelType w:val="hybridMultilevel"/>
    <w:lvl w:ilvl="0">
      <w:lvlJc w:val="left"/>
      <w:lvlText w:val="%1."/>
      <w:numFmt w:val="decimal"/>
      <w:start w:val="8"/>
    </w:lvl>
    <w:lvl w:ilvl="1">
      <w:lvlJc w:val="left"/>
      <w:lvlText w:val="%2."/>
      <w:numFmt w:val="lowerLetter"/>
      <w:start w:val="1"/>
    </w:lvl>
  </w:abstractNum>
  <w:abstractNum w:abstractNumId="325">
    <w:nsid w:val="5024DE5B"/>
    <w:multiLevelType w:val="hybridMultilevel"/>
    <w:lvl w:ilvl="0">
      <w:lvlJc w:val="left"/>
      <w:lvlText w:val="%1."/>
      <w:numFmt w:val="decimal"/>
      <w:start w:val="9"/>
    </w:lvl>
    <w:lvl w:ilvl="1">
      <w:lvlJc w:val="left"/>
      <w:lvlText w:val="%2."/>
      <w:numFmt w:val="lowerLetter"/>
      <w:start w:val="1"/>
    </w:lvl>
  </w:abstractNum>
  <w:abstractNum w:abstractNumId="326">
    <w:nsid w:val="168EFE17"/>
    <w:multiLevelType w:val="hybridMultilevel"/>
    <w:lvl w:ilvl="0">
      <w:lvlJc w:val="left"/>
      <w:lvlText w:val="%1."/>
      <w:numFmt w:val="decimal"/>
      <w:start w:val="10"/>
    </w:lvl>
    <w:lvl w:ilvl="1">
      <w:lvlJc w:val="left"/>
      <w:lvlText w:val="%2."/>
      <w:numFmt w:val="lowerLetter"/>
      <w:start w:val="1"/>
    </w:lvl>
  </w:abstractNum>
  <w:abstractNum w:abstractNumId="327">
    <w:nsid w:val="1036B29F"/>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28">
    <w:nsid w:val="1D206B8E"/>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329">
    <w:nsid w:val="7934D3D4"/>
    <w:multiLevelType w:val="hybridMultilevel"/>
    <w:lvl w:ilvl="0">
      <w:lvlJc w:val="left"/>
      <w:lvlText w:val="%1."/>
      <w:numFmt w:val="lowerLetter"/>
      <w:start w:val="3"/>
    </w:lvl>
  </w:abstractNum>
  <w:abstractNum w:abstractNumId="330">
    <w:nsid w:val="1C65E98"/>
    <w:multiLevelType w:val="hybridMultilevel"/>
    <w:lvl w:ilvl="0">
      <w:lvlJc w:val="left"/>
      <w:lvlText w:val="%1."/>
      <w:numFmt w:val="decimal"/>
      <w:start w:val="14"/>
    </w:lvl>
    <w:lvl w:ilvl="1">
      <w:lvlJc w:val="left"/>
      <w:lvlText w:val="%2."/>
      <w:numFmt w:val="lowerLetter"/>
      <w:start w:val="1"/>
    </w:lvl>
  </w:abstractNum>
  <w:abstractNum w:abstractNumId="331">
    <w:nsid w:val="1495E50A"/>
    <w:multiLevelType w:val="hybridMultilevel"/>
    <w:lvl w:ilvl="0">
      <w:lvlJc w:val="left"/>
      <w:lvlText w:val="%1."/>
      <w:numFmt w:val="decimal"/>
      <w:start w:val="18"/>
    </w:lvl>
  </w:abstractNum>
  <w:abstractNum w:abstractNumId="332">
    <w:nsid w:val="F5BCF61"/>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jpeg"/><Relationship Id="rId304" Type="http://schemas.openxmlformats.org/officeDocument/2006/relationships/image" Target="media/image296.png"/><Relationship Id="rId305" Type="http://schemas.openxmlformats.org/officeDocument/2006/relationships/image" Target="media/image297.jpe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7" Type="http://schemas.openxmlformats.org/officeDocument/2006/relationships/image" Target="media/image319.png"/><Relationship Id="rId328" Type="http://schemas.openxmlformats.org/officeDocument/2006/relationships/image" Target="media/image320.png"/><Relationship Id="rId329" Type="http://schemas.openxmlformats.org/officeDocument/2006/relationships/image" Target="media/image321.png"/><Relationship Id="rId330" Type="http://schemas.openxmlformats.org/officeDocument/2006/relationships/image" Target="media/image322.png"/><Relationship Id="rId331" Type="http://schemas.openxmlformats.org/officeDocument/2006/relationships/image" Target="media/image323.png"/><Relationship Id="rId332" Type="http://schemas.openxmlformats.org/officeDocument/2006/relationships/image" Target="media/image324.png"/><Relationship Id="rId333" Type="http://schemas.openxmlformats.org/officeDocument/2006/relationships/image" Target="media/image325.png"/><Relationship Id="rId334" Type="http://schemas.openxmlformats.org/officeDocument/2006/relationships/image" Target="media/image326.png"/><Relationship Id="rId335" Type="http://schemas.openxmlformats.org/officeDocument/2006/relationships/image" Target="media/image327.png"/><Relationship Id="rId336" Type="http://schemas.openxmlformats.org/officeDocument/2006/relationships/image" Target="media/image328.png"/><Relationship Id="rId337" Type="http://schemas.openxmlformats.org/officeDocument/2006/relationships/image" Target="media/image329.png"/><Relationship Id="rId338" Type="http://schemas.openxmlformats.org/officeDocument/2006/relationships/image" Target="media/image330.png"/><Relationship Id="rId339" Type="http://schemas.openxmlformats.org/officeDocument/2006/relationships/image" Target="media/image331.png"/><Relationship Id="rId340" Type="http://schemas.openxmlformats.org/officeDocument/2006/relationships/image" Target="media/image332.png"/><Relationship Id="rId341" Type="http://schemas.openxmlformats.org/officeDocument/2006/relationships/image" Target="media/image333.png"/><Relationship Id="rId342" Type="http://schemas.openxmlformats.org/officeDocument/2006/relationships/image" Target="media/image334.png"/><Relationship Id="rId343" Type="http://schemas.openxmlformats.org/officeDocument/2006/relationships/image" Target="media/image335.png"/><Relationship Id="rId344" Type="http://schemas.openxmlformats.org/officeDocument/2006/relationships/image" Target="media/image336.png"/><Relationship Id="rId345" Type="http://schemas.openxmlformats.org/officeDocument/2006/relationships/image" Target="media/image337.png"/><Relationship Id="rId346" Type="http://schemas.openxmlformats.org/officeDocument/2006/relationships/image" Target="media/image338.png"/><Relationship Id="rId347" Type="http://schemas.openxmlformats.org/officeDocument/2006/relationships/image" Target="media/image339.png"/><Relationship Id="rId348" Type="http://schemas.openxmlformats.org/officeDocument/2006/relationships/image" Target="media/image340.png"/><Relationship Id="rId349" Type="http://schemas.openxmlformats.org/officeDocument/2006/relationships/image" Target="media/image341.png"/><Relationship Id="rId350" Type="http://schemas.openxmlformats.org/officeDocument/2006/relationships/image" Target="media/image342.png"/><Relationship Id="rId351" Type="http://schemas.openxmlformats.org/officeDocument/2006/relationships/image" Target="media/image343.png"/><Relationship Id="rId352" Type="http://schemas.openxmlformats.org/officeDocument/2006/relationships/image" Target="media/image344.png"/><Relationship Id="rId353" Type="http://schemas.openxmlformats.org/officeDocument/2006/relationships/image" Target="media/image345.png"/><Relationship Id="rId354" Type="http://schemas.openxmlformats.org/officeDocument/2006/relationships/image" Target="media/image346.png"/><Relationship Id="rId355" Type="http://schemas.openxmlformats.org/officeDocument/2006/relationships/image" Target="media/image347.png"/><Relationship Id="rId356" Type="http://schemas.openxmlformats.org/officeDocument/2006/relationships/image" Target="media/image348.png"/><Relationship Id="rId357" Type="http://schemas.openxmlformats.org/officeDocument/2006/relationships/image" Target="media/image349.png"/><Relationship Id="rId358" Type="http://schemas.openxmlformats.org/officeDocument/2006/relationships/image" Target="media/image350.png"/><Relationship Id="rId359" Type="http://schemas.openxmlformats.org/officeDocument/2006/relationships/image" Target="media/image351.png"/><Relationship Id="rId360" Type="http://schemas.openxmlformats.org/officeDocument/2006/relationships/image" Target="media/image352.png"/><Relationship Id="rId361" Type="http://schemas.openxmlformats.org/officeDocument/2006/relationships/image" Target="media/image353.png"/><Relationship Id="rId362" Type="http://schemas.openxmlformats.org/officeDocument/2006/relationships/image" Target="media/image354.png"/><Relationship Id="rId363" Type="http://schemas.openxmlformats.org/officeDocument/2006/relationships/image" Target="media/image355.png"/><Relationship Id="rId364" Type="http://schemas.openxmlformats.org/officeDocument/2006/relationships/image" Target="media/image356.png"/><Relationship Id="rId365" Type="http://schemas.openxmlformats.org/officeDocument/2006/relationships/image" Target="media/image357.png"/><Relationship Id="rId366" Type="http://schemas.openxmlformats.org/officeDocument/2006/relationships/image" Target="media/image358.png"/><Relationship Id="rId367" Type="http://schemas.openxmlformats.org/officeDocument/2006/relationships/image" Target="media/image359.png"/><Relationship Id="rId368" Type="http://schemas.openxmlformats.org/officeDocument/2006/relationships/image" Target="media/image360.png"/><Relationship Id="rId369" Type="http://schemas.openxmlformats.org/officeDocument/2006/relationships/image" Target="media/image361.png"/><Relationship Id="rId370" Type="http://schemas.openxmlformats.org/officeDocument/2006/relationships/image" Target="media/image362.png"/><Relationship Id="rId371" Type="http://schemas.openxmlformats.org/officeDocument/2006/relationships/image" Target="media/image363.png"/><Relationship Id="rId372" Type="http://schemas.openxmlformats.org/officeDocument/2006/relationships/image" Target="media/image364.png"/><Relationship Id="rId373" Type="http://schemas.openxmlformats.org/officeDocument/2006/relationships/image" Target="media/image365.png"/><Relationship Id="rId374" Type="http://schemas.openxmlformats.org/officeDocument/2006/relationships/image" Target="media/image366.png"/><Relationship Id="rId375" Type="http://schemas.openxmlformats.org/officeDocument/2006/relationships/image" Target="media/image367.png"/><Relationship Id="rId376" Type="http://schemas.openxmlformats.org/officeDocument/2006/relationships/image" Target="media/image368.png"/><Relationship Id="rId377" Type="http://schemas.openxmlformats.org/officeDocument/2006/relationships/image" Target="media/image369.png"/><Relationship Id="rId378" Type="http://schemas.openxmlformats.org/officeDocument/2006/relationships/image" Target="media/image370.png"/><Relationship Id="rId379" Type="http://schemas.openxmlformats.org/officeDocument/2006/relationships/image" Target="media/image371.png"/><Relationship Id="rId380" Type="http://schemas.openxmlformats.org/officeDocument/2006/relationships/image" Target="media/image372.png"/><Relationship Id="rId381" Type="http://schemas.openxmlformats.org/officeDocument/2006/relationships/image" Target="media/image373.png"/><Relationship Id="rId382" Type="http://schemas.openxmlformats.org/officeDocument/2006/relationships/image" Target="media/image374.png"/><Relationship Id="rId383" Type="http://schemas.openxmlformats.org/officeDocument/2006/relationships/image" Target="media/image375.png"/><Relationship Id="rId384" Type="http://schemas.openxmlformats.org/officeDocument/2006/relationships/image" Target="media/image376.png"/><Relationship Id="rId385" Type="http://schemas.openxmlformats.org/officeDocument/2006/relationships/image" Target="media/image377.png"/><Relationship Id="rId386" Type="http://schemas.openxmlformats.org/officeDocument/2006/relationships/image" Target="media/image378.png"/><Relationship Id="rId387" Type="http://schemas.openxmlformats.org/officeDocument/2006/relationships/image" Target="media/image379.png"/><Relationship Id="rId388" Type="http://schemas.openxmlformats.org/officeDocument/2006/relationships/image" Target="media/image380.png"/><Relationship Id="rId389" Type="http://schemas.openxmlformats.org/officeDocument/2006/relationships/image" Target="media/image381.png"/><Relationship Id="rId390" Type="http://schemas.openxmlformats.org/officeDocument/2006/relationships/image" Target="media/image382.png"/><Relationship Id="rId391" Type="http://schemas.openxmlformats.org/officeDocument/2006/relationships/image" Target="media/image383.png"/><Relationship Id="rId392" Type="http://schemas.openxmlformats.org/officeDocument/2006/relationships/image" Target="media/image384.png"/><Relationship Id="rId393" Type="http://schemas.openxmlformats.org/officeDocument/2006/relationships/image" Target="media/image385.png"/><Relationship Id="rId394" Type="http://schemas.openxmlformats.org/officeDocument/2006/relationships/image" Target="media/image386.png"/><Relationship Id="rId395" Type="http://schemas.openxmlformats.org/officeDocument/2006/relationships/image" Target="media/image387.png"/><Relationship Id="rId396" Type="http://schemas.openxmlformats.org/officeDocument/2006/relationships/image" Target="media/image388.png"/><Relationship Id="rId397" Type="http://schemas.openxmlformats.org/officeDocument/2006/relationships/image" Target="media/image389.png"/><Relationship Id="rId398" Type="http://schemas.openxmlformats.org/officeDocument/2006/relationships/image" Target="media/image390.png"/><Relationship Id="rId399" Type="http://schemas.openxmlformats.org/officeDocument/2006/relationships/image" Target="media/image391.png"/><Relationship Id="rId400" Type="http://schemas.openxmlformats.org/officeDocument/2006/relationships/image" Target="media/image392.png"/><Relationship Id="rId401" Type="http://schemas.openxmlformats.org/officeDocument/2006/relationships/image" Target="media/image393.png"/><Relationship Id="rId402" Type="http://schemas.openxmlformats.org/officeDocument/2006/relationships/image" Target="media/image394.png"/><Relationship Id="rId403" Type="http://schemas.openxmlformats.org/officeDocument/2006/relationships/image" Target="media/image395.png"/><Relationship Id="rId404" Type="http://schemas.openxmlformats.org/officeDocument/2006/relationships/image" Target="media/image396.png"/><Relationship Id="rId405" Type="http://schemas.openxmlformats.org/officeDocument/2006/relationships/image" Target="media/image397.png"/><Relationship Id="rId406" Type="http://schemas.openxmlformats.org/officeDocument/2006/relationships/image" Target="media/image398.png"/><Relationship Id="rId407" Type="http://schemas.openxmlformats.org/officeDocument/2006/relationships/image" Target="media/image399.png"/><Relationship Id="rId408" Type="http://schemas.openxmlformats.org/officeDocument/2006/relationships/image" Target="media/image400.png"/><Relationship Id="rId409" Type="http://schemas.openxmlformats.org/officeDocument/2006/relationships/image" Target="media/image401.png"/><Relationship Id="rId410" Type="http://schemas.openxmlformats.org/officeDocument/2006/relationships/image" Target="media/image402.png"/><Relationship Id="rId411" Type="http://schemas.openxmlformats.org/officeDocument/2006/relationships/image" Target="media/image403.png"/><Relationship Id="rId412" Type="http://schemas.openxmlformats.org/officeDocument/2006/relationships/image" Target="media/image404.png"/><Relationship Id="rId413" Type="http://schemas.openxmlformats.org/officeDocument/2006/relationships/image" Target="media/image405.png"/><Relationship Id="rId414" Type="http://schemas.openxmlformats.org/officeDocument/2006/relationships/image" Target="media/image406.png"/><Relationship Id="rId415" Type="http://schemas.openxmlformats.org/officeDocument/2006/relationships/image" Target="media/image407.png"/><Relationship Id="rId416" Type="http://schemas.openxmlformats.org/officeDocument/2006/relationships/image" Target="media/image408.png"/><Relationship Id="rId417" Type="http://schemas.openxmlformats.org/officeDocument/2006/relationships/image" Target="media/image409.png"/><Relationship Id="rId418" Type="http://schemas.openxmlformats.org/officeDocument/2006/relationships/image" Target="media/image410.png"/><Relationship Id="rId419" Type="http://schemas.openxmlformats.org/officeDocument/2006/relationships/image" Target="media/image411.png"/><Relationship Id="rId420" Type="http://schemas.openxmlformats.org/officeDocument/2006/relationships/image" Target="media/image412.png"/><Relationship Id="rId421" Type="http://schemas.openxmlformats.org/officeDocument/2006/relationships/image" Target="media/image413.png"/><Relationship Id="rId422" Type="http://schemas.openxmlformats.org/officeDocument/2006/relationships/image" Target="media/image414.png"/><Relationship Id="rId423" Type="http://schemas.openxmlformats.org/officeDocument/2006/relationships/image" Target="media/image415.png"/><Relationship Id="rId424" Type="http://schemas.openxmlformats.org/officeDocument/2006/relationships/image" Target="media/image416.png"/><Relationship Id="rId425" Type="http://schemas.openxmlformats.org/officeDocument/2006/relationships/image" Target="media/image417.png"/><Relationship Id="rId426" Type="http://schemas.openxmlformats.org/officeDocument/2006/relationships/image" Target="media/image418.png"/><Relationship Id="rId427" Type="http://schemas.openxmlformats.org/officeDocument/2006/relationships/image" Target="media/image419.png"/><Relationship Id="rId428" Type="http://schemas.openxmlformats.org/officeDocument/2006/relationships/image" Target="media/image420.png"/><Relationship Id="rId429" Type="http://schemas.openxmlformats.org/officeDocument/2006/relationships/image" Target="media/image421.png"/><Relationship Id="rId430" Type="http://schemas.openxmlformats.org/officeDocument/2006/relationships/image" Target="media/image422.png"/><Relationship Id="rId431" Type="http://schemas.openxmlformats.org/officeDocument/2006/relationships/image" Target="media/image423.png"/><Relationship Id="rId432" Type="http://schemas.openxmlformats.org/officeDocument/2006/relationships/image" Target="media/image424.png"/><Relationship Id="rId433" Type="http://schemas.openxmlformats.org/officeDocument/2006/relationships/image" Target="media/image425.png"/><Relationship Id="rId434" Type="http://schemas.openxmlformats.org/officeDocument/2006/relationships/image" Target="media/image426.png"/><Relationship Id="rId435" Type="http://schemas.openxmlformats.org/officeDocument/2006/relationships/image" Target="media/image427.png"/><Relationship Id="rId436" Type="http://schemas.openxmlformats.org/officeDocument/2006/relationships/image" Target="media/image428.png"/><Relationship Id="rId437" Type="http://schemas.openxmlformats.org/officeDocument/2006/relationships/image" Target="media/image429.png"/><Relationship Id="rId438" Type="http://schemas.openxmlformats.org/officeDocument/2006/relationships/image" Target="media/image430.png"/><Relationship Id="rId439" Type="http://schemas.openxmlformats.org/officeDocument/2006/relationships/image" Target="media/image431.png"/><Relationship Id="rId440" Type="http://schemas.openxmlformats.org/officeDocument/2006/relationships/image" Target="media/image432.png"/><Relationship Id="rId441" Type="http://schemas.openxmlformats.org/officeDocument/2006/relationships/image" Target="media/image433.png"/><Relationship Id="rId442" Type="http://schemas.openxmlformats.org/officeDocument/2006/relationships/image" Target="media/image434.png"/><Relationship Id="rId443" Type="http://schemas.openxmlformats.org/officeDocument/2006/relationships/image" Target="media/image435.png"/><Relationship Id="rId444" Type="http://schemas.openxmlformats.org/officeDocument/2006/relationships/image" Target="media/image436.png"/><Relationship Id="rId445" Type="http://schemas.openxmlformats.org/officeDocument/2006/relationships/image" Target="media/image437.png"/><Relationship Id="rId446" Type="http://schemas.openxmlformats.org/officeDocument/2006/relationships/image" Target="media/image438.png"/><Relationship Id="rId447" Type="http://schemas.openxmlformats.org/officeDocument/2006/relationships/image" Target="media/image439.png"/><Relationship Id="rId448" Type="http://schemas.openxmlformats.org/officeDocument/2006/relationships/image" Target="media/image440.png"/><Relationship Id="rId449" Type="http://schemas.openxmlformats.org/officeDocument/2006/relationships/image" Target="media/image441.png"/><Relationship Id="rId450" Type="http://schemas.openxmlformats.org/officeDocument/2006/relationships/image" Target="media/image442.png"/><Relationship Id="rId451" Type="http://schemas.openxmlformats.org/officeDocument/2006/relationships/image" Target="media/image443.png"/><Relationship Id="rId452" Type="http://schemas.openxmlformats.org/officeDocument/2006/relationships/image" Target="media/image444.png"/><Relationship Id="rId453" Type="http://schemas.openxmlformats.org/officeDocument/2006/relationships/image" Target="media/image445.png"/><Relationship Id="rId454" Type="http://schemas.openxmlformats.org/officeDocument/2006/relationships/image" Target="media/image446.png"/><Relationship Id="rId455" Type="http://schemas.openxmlformats.org/officeDocument/2006/relationships/image" Target="media/image447.png"/><Relationship Id="rId456" Type="http://schemas.openxmlformats.org/officeDocument/2006/relationships/image" Target="media/image448.png"/><Relationship Id="rId457" Type="http://schemas.openxmlformats.org/officeDocument/2006/relationships/image" Target="media/image449.png"/><Relationship Id="rId458" Type="http://schemas.openxmlformats.org/officeDocument/2006/relationships/image" Target="media/image450.png"/><Relationship Id="rId459" Type="http://schemas.openxmlformats.org/officeDocument/2006/relationships/image" Target="media/image451.png"/><Relationship Id="rId460" Type="http://schemas.openxmlformats.org/officeDocument/2006/relationships/image" Target="media/image452.png"/><Relationship Id="rId461" Type="http://schemas.openxmlformats.org/officeDocument/2006/relationships/image" Target="media/image453.png"/><Relationship Id="rId462" Type="http://schemas.openxmlformats.org/officeDocument/2006/relationships/image" Target="media/image454.png"/><Relationship Id="rId463" Type="http://schemas.openxmlformats.org/officeDocument/2006/relationships/image" Target="media/image455.png"/><Relationship Id="rId464" Type="http://schemas.openxmlformats.org/officeDocument/2006/relationships/image" Target="media/image456.png"/><Relationship Id="rId465" Type="http://schemas.openxmlformats.org/officeDocument/2006/relationships/image" Target="media/image457.png"/><Relationship Id="rId466" Type="http://schemas.openxmlformats.org/officeDocument/2006/relationships/image" Target="media/image458.png"/><Relationship Id="rId467" Type="http://schemas.openxmlformats.org/officeDocument/2006/relationships/image" Target="media/image459.png"/><Relationship Id="rId468" Type="http://schemas.openxmlformats.org/officeDocument/2006/relationships/image" Target="media/image460.png"/><Relationship Id="rId469" Type="http://schemas.openxmlformats.org/officeDocument/2006/relationships/image" Target="media/image461.png"/><Relationship Id="rId217" Type="http://schemas.openxmlformats.org/officeDocument/2006/relationships/hyperlink" Target="http://www.sec.gov/Archives/edgar/data/1163668/000114036119007042/s002614x4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2019-12-03T03:18:03Z</dcterms:created>
  <dcterms:modified xsi:type="dcterms:W3CDTF">2019-12-03T03:18:03Z</dcterms:modified>
</cp:coreProperties>
</file>