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19245x2_def14a_100-regcov_pg1"/>
        <w:bookmarkStart w:id="1" w:name="ny20019245x2_def14a.htm"/>
        <w:bookmarkStart w:id="2" w:name="ksny20019245x2_def14a"/>
        <w:bookmarkEnd w:id="0"/>
        <w:bookmarkEnd w:id="1"/>
        <w:bookmarkEnd w:id="2"/>
        <w:r>
          <w:rPr>
            <w:rStyle w:val="InternetLink"/>
            <w:rFonts w:ascii="Times New Roman;Times;Serif" w:hAnsi="Times New Roman;Times;Serif"/>
            <w:b/>
            <w:caps w:val="false"/>
            <w:smallCaps w:val="false"/>
            <w:sz w:val="16"/>
          </w:rPr>
          <w:t>TABLE OF CONTENTS</w:t>
        </w:r>
      </w:hyperlink>
    </w:p>
    <w:p>
      <w:pPr>
        <w:pStyle w:val="TextBody"/>
        <w:bidi w:val="0"/>
        <w:spacing w:before="175" w:after="283"/>
        <w:ind w:left="0" w:right="0" w:hanging="0"/>
        <w:jc w:val="center"/>
        <w:rPr>
          <w:rFonts w:ascii="Times New Roman;Times;serif" w:hAnsi="Times New Roman;Times;serif"/>
          <w:b/>
          <w:color w:val="000000"/>
          <w:sz w:val="26"/>
        </w:rPr>
      </w:pPr>
      <w:r>
        <w:rPr>
          <w:rFonts w:ascii="Times New Roman;Times;serif" w:hAnsi="Times New Roman;Times;serif"/>
          <w:b/>
          <w:color w:val="000000"/>
          <w:sz w:val="26"/>
        </w:rPr>
        <w:t xml:space="preserve">UNITED STATES </w:t>
      </w:r>
    </w:p>
    <w:p>
      <w:pPr>
        <w:pStyle w:val="TextBody"/>
        <w:bidi w:val="0"/>
        <w:spacing w:before="0" w:after="283"/>
        <w:jc w:val="center"/>
        <w:rPr>
          <w:rFonts w:ascii="Times New Roman;Times;serif" w:hAnsi="Times New Roman;Times;serif"/>
          <w:b/>
          <w:color w:val="000000"/>
          <w:sz w:val="26"/>
        </w:rPr>
      </w:pPr>
      <w:r>
        <w:rPr>
          <w:rFonts w:ascii="Times New Roman;Times;serif" w:hAnsi="Times New Roman;Times;serif"/>
          <w:b/>
          <w:color w:val="000000"/>
          <w:sz w:val="26"/>
        </w:rPr>
        <w:t xml:space="preserve">SECURITIES AND EXCHANGE COMMISSION </w:t>
      </w:r>
    </w:p>
    <w:p>
      <w:pPr>
        <w:pStyle w:val="TextBody"/>
        <w:bidi w:val="0"/>
        <w:spacing w:before="0" w:after="283"/>
        <w:jc w:val="center"/>
        <w:rPr>
          <w:rFonts w:ascii="Times New Roman;Times;serif" w:hAnsi="Times New Roman;Times;serif"/>
          <w:b/>
          <w:color w:val="000000"/>
          <w:sz w:val="26"/>
        </w:rPr>
      </w:pPr>
      <w:r>
        <w:rPr>
          <w:rFonts w:ascii="Times New Roman;Times;serif" w:hAnsi="Times New Roman;Times;serif"/>
          <w:b/>
          <w:color w:val="000000"/>
          <w:sz w:val="26"/>
        </w:rPr>
        <w:t xml:space="preserve">Washington, D.C. 20549 </w:t>
      </w:r>
    </w:p>
    <w:p>
      <w:pPr>
        <w:pStyle w:val="TextBody"/>
        <w:bidi w:val="0"/>
        <w:spacing w:before="37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SCHEDULE 14A </w:t>
      </w:r>
    </w:p>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 xml:space="preserve">Proxy Statement Pursuant to Section 14(a) of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the Securities Exchange Act of 1934 (Amendment No.</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of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left"/>
              <w:rPr>
                <w:color w:val="000000"/>
              </w:rPr>
            </w:pPr>
            <w:r>
              <w:rPr>
                <w:color w:val="000000"/>
              </w:rPr>
              <w:t> ☐</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6895" w:type="dxa"/>
        <w:jc w:val="left"/>
        <w:tblInd w:w="0" w:type="dxa"/>
        <w:tblLayout w:type="fixed"/>
        <w:tblCellMar>
          <w:top w:w="0" w:type="dxa"/>
          <w:left w:w="0" w:type="dxa"/>
          <w:bottom w:w="0" w:type="dxa"/>
          <w:right w:w="0" w:type="dxa"/>
        </w:tblCellMar>
      </w:tblPr>
      <w:tblGrid>
        <w:gridCol w:w="275"/>
        <w:gridCol w:w="6620"/>
      </w:tblGrid>
      <w:tr>
        <w:trPr/>
        <w:tc>
          <w:tcPr>
            <w:tcW w:w="275" w:type="dxa"/>
            <w:tcBorders/>
            <w:vAlign w:val="center"/>
          </w:tcPr>
          <w:p>
            <w:pPr>
              <w:pStyle w:val="TableContents"/>
              <w:bidi w:val="0"/>
              <w:spacing w:before="0" w:after="0"/>
              <w:jc w:val="left"/>
              <w:rPr>
                <w:color w:val="000000"/>
              </w:rPr>
            </w:pPr>
            <w:r>
              <w:rPr>
                <w:color w:val="000000"/>
              </w:rPr>
              <w:t> ☐</w:t>
            </w:r>
          </w:p>
        </w:tc>
        <w:tc>
          <w:tcPr>
            <w:tcW w:w="6620" w:type="dxa"/>
            <w:tcBorders/>
            <w:vAlign w:val="center"/>
          </w:tcPr>
          <w:p>
            <w:pPr>
              <w:pStyle w:val="TableContents"/>
              <w:bidi w:val="0"/>
              <w:spacing w:before="0" w:after="0"/>
              <w:jc w:val="left"/>
              <w:rPr>
                <w:rFonts w:ascii="Times New Roman;Times;serif" w:hAnsi="Times New Roman;Times;serif"/>
                <w:color w:val="000000"/>
                <w:sz w:val="2"/>
              </w:rPr>
            </w:pPr>
            <w:r>
              <w:rPr>
                <w:rFonts w:ascii="Times New Roman;Times;serif" w:hAnsi="Times New Roman;Times;serif"/>
                <w:b/>
                <w:color w:val="000000"/>
                <w:sz w:val="20"/>
              </w:rPr>
              <w:t>Confidential for Use of the Commission Only (as permitted by Rule 14s-6(e)(2))</w:t>
            </w:r>
            <w:r>
              <w:rPr>
                <w:rFonts w:ascii="Times New Roman;Times;serif" w:hAnsi="Times New Roman;Times;serif"/>
                <w:color w:val="000000"/>
                <w:sz w:val="2"/>
              </w:rPr>
              <w:t xml:space="preserve"> </w:t>
            </w:r>
          </w:p>
        </w:tc>
      </w:tr>
    </w:tbl>
    <w:tbl>
      <w:tblPr>
        <w:tblW w:w="2500" w:type="dxa"/>
        <w:jc w:val="left"/>
        <w:tblInd w:w="0" w:type="dxa"/>
        <w:tblLayout w:type="fixed"/>
        <w:tblCellMar>
          <w:top w:w="0" w:type="dxa"/>
          <w:left w:w="0" w:type="dxa"/>
          <w:bottom w:w="0" w:type="dxa"/>
          <w:right w:w="0" w:type="dxa"/>
        </w:tblCellMar>
      </w:tblPr>
      <w:tblGrid>
        <w:gridCol w:w="230"/>
        <w:gridCol w:w="2270"/>
      </w:tblGrid>
      <w:tr>
        <w:trPr/>
        <w:tc>
          <w:tcPr>
            <w:tcW w:w="23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475" w:type="dxa"/>
        <w:jc w:val="left"/>
        <w:tblInd w:w="0" w:type="dxa"/>
        <w:tblLayout w:type="fixed"/>
        <w:tblCellMar>
          <w:top w:w="0" w:type="dxa"/>
          <w:left w:w="0" w:type="dxa"/>
          <w:bottom w:w="0" w:type="dxa"/>
          <w:right w:w="0" w:type="dxa"/>
        </w:tblCellMar>
      </w:tblPr>
      <w:tblGrid>
        <w:gridCol w:w="275"/>
        <w:gridCol w:w="3200"/>
      </w:tblGrid>
      <w:tr>
        <w:trPr/>
        <w:tc>
          <w:tcPr>
            <w:tcW w:w="275" w:type="dxa"/>
            <w:tcBorders/>
            <w:vAlign w:val="center"/>
          </w:tcPr>
          <w:p>
            <w:pPr>
              <w:pStyle w:val="TableContents"/>
              <w:bidi w:val="0"/>
              <w:spacing w:before="0" w:after="0"/>
              <w:jc w:val="left"/>
              <w:rPr>
                <w:color w:val="000000"/>
              </w:rPr>
            </w:pPr>
            <w:r>
              <w:rPr>
                <w:color w:val="000000"/>
              </w:rPr>
              <w:t> ☐</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South Plains Financial, Inc. </w:t>
      </w:r>
    </w:p>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 xml:space="preserve">(Name of Registrant as Specified In Its Charter)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(Name of Person(s) Filing Proxy Statement, if other than the Registrant)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Filing Fee (Check the appropriate box):</w:t>
      </w:r>
    </w:p>
    <w:tbl>
      <w:tblPr>
        <w:tblW w:w="1585" w:type="dxa"/>
        <w:jc w:val="left"/>
        <w:tblInd w:w="0" w:type="dxa"/>
        <w:tblLayout w:type="fixed"/>
        <w:tblCellMar>
          <w:top w:w="0" w:type="dxa"/>
          <w:left w:w="0" w:type="dxa"/>
          <w:bottom w:w="0" w:type="dxa"/>
          <w:right w:w="0" w:type="dxa"/>
        </w:tblCellMar>
      </w:tblPr>
      <w:tblGrid>
        <w:gridCol w:w="230"/>
        <w:gridCol w:w="1355"/>
      </w:tblGrid>
      <w:tr>
        <w:trPr/>
        <w:tc>
          <w:tcPr>
            <w:tcW w:w="230" w:type="dxa"/>
            <w:tcBorders/>
            <w:vAlign w:val="center"/>
          </w:tcPr>
          <w:p>
            <w:pPr>
              <w:pStyle w:val="TableContents"/>
              <w:bidi w:val="0"/>
              <w:spacing w:before="0" w:after="0"/>
              <w:jc w:val="left"/>
              <w:rPr>
                <w:color w:val="000000"/>
              </w:rPr>
            </w:pPr>
            <w:r>
              <w:rPr>
                <w:color w:val="000000"/>
              </w:rPr>
              <w:t>☒</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165" w:type="dxa"/>
        <w:jc w:val="left"/>
        <w:tblInd w:w="0" w:type="dxa"/>
        <w:tblLayout w:type="fixed"/>
        <w:tblCellMar>
          <w:top w:w="0" w:type="dxa"/>
          <w:left w:w="0" w:type="dxa"/>
          <w:bottom w:w="0" w:type="dxa"/>
          <w:right w:w="0" w:type="dxa"/>
        </w:tblCellMar>
      </w:tblPr>
      <w:tblGrid>
        <w:gridCol w:w="275"/>
        <w:gridCol w:w="3890"/>
      </w:tblGrid>
      <w:tr>
        <w:trPr/>
        <w:tc>
          <w:tcPr>
            <w:tcW w:w="275" w:type="dxa"/>
            <w:tcBorders/>
            <w:vAlign w:val="center"/>
          </w:tcPr>
          <w:p>
            <w:pPr>
              <w:pStyle w:val="TableContents"/>
              <w:bidi w:val="0"/>
              <w:spacing w:before="0" w:after="0"/>
              <w:jc w:val="left"/>
              <w:rPr>
                <w:color w:val="000000"/>
              </w:rPr>
            </w:pPr>
            <w:r>
              <w:rPr>
                <w:color w:val="000000"/>
              </w:rPr>
              <w:t> ☐</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05" w:type="dxa"/>
        <w:jc w:val="left"/>
        <w:tblInd w:w="0" w:type="dxa"/>
        <w:tblLayout w:type="fixed"/>
        <w:tblCellMar>
          <w:top w:w="0" w:type="dxa"/>
          <w:left w:w="0" w:type="dxa"/>
          <w:bottom w:w="0" w:type="dxa"/>
          <w:right w:w="0" w:type="dxa"/>
        </w:tblCellMar>
      </w:tblPr>
      <w:tblGrid>
        <w:gridCol w:w="275"/>
        <w:gridCol w:w="8330"/>
      </w:tblGrid>
      <w:tr>
        <w:trPr/>
        <w:tc>
          <w:tcPr>
            <w:tcW w:w="275" w:type="dxa"/>
            <w:tcBorders/>
            <w:vAlign w:val="center"/>
          </w:tcPr>
          <w:p>
            <w:pPr>
              <w:pStyle w:val="TableContents"/>
              <w:bidi w:val="0"/>
              <w:spacing w:before="0" w:after="0"/>
              <w:jc w:val="left"/>
              <w:rPr>
                <w:color w:val="000000"/>
              </w:rPr>
            </w:pPr>
            <w:r>
              <w:rPr>
                <w:color w:val="000000"/>
              </w:rPr>
              <w:t> ☐</w:t>
            </w:r>
          </w:p>
        </w:tc>
        <w:tc>
          <w:tcPr>
            <w:tcW w:w="8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 w:name="ny20019245x2_def14a_101-letter_pg1"/>
        <w:bookmarkEnd w:id="3"/>
        <w:r>
          <w:rPr>
            <w:rStyle w:val="InternetLink"/>
            <w:rFonts w:ascii="Times New Roman;Times;Serif" w:hAnsi="Times New Roman;Times;Serif"/>
            <w:b/>
            <w:caps w:val="false"/>
            <w:smallCaps w:val="false"/>
            <w:sz w:val="16"/>
          </w:rPr>
          <w:t>TABLE OF CONTENTS</w:t>
        </w:r>
      </w:hyperlink>
    </w:p>
    <w:p>
      <w:pPr>
        <w:pStyle w:val="TextBody"/>
        <w:bidi w:val="0"/>
        <w:spacing w:before="189" w:after="283"/>
        <w:ind w:left="0" w:right="0" w:hanging="0"/>
        <w:jc w:val="center"/>
        <w:rPr>
          <w:color w:val="000000"/>
        </w:rPr>
      </w:pPr>
      <w:r>
        <w:rPr>
          <w:color w:val="000000"/>
        </w:rPr>
        <w:drawing>
          <wp:inline distT="0" distB="0" distL="0" distR="0">
            <wp:extent cx="3819525"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9525" cy="5619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30" w:after="283"/>
        <w:jc w:val="right"/>
        <w:rPr>
          <w:rFonts w:ascii="Times New Roman;Times;serif" w:hAnsi="Times New Roman;Times;serif"/>
          <w:color w:val="000000"/>
          <w:sz w:val="20"/>
        </w:rPr>
      </w:pPr>
      <w:r>
        <w:rPr>
          <w:rFonts w:ascii="Times New Roman;Times;serif" w:hAnsi="Times New Roman;Times;serif"/>
          <w:color w:val="000000"/>
          <w:sz w:val="20"/>
        </w:rPr>
        <w:t xml:space="preserve">April 8, 2024 </w:t>
      </w:r>
    </w:p>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Fellow Shareholder: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behalf of the board of directors of South Plains Financial, Inc. (the “Company”), I invite you to attend the 2024 annual meeting of shareholders (the “annual meeting”) to be held solely by means of remote communication on Monday, May 13, 2024, at 2:00 p.m., Central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purposes of the annual meeting are set forth in the accompanying Notice of 2024 Annual Meeting of Shareholders and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Texas law and the Second Amended and Restated Bylaws of the Company, the Company’s board of directors has decided that the annual meeting will be held solely by means of remote communication. </w:t>
      </w:r>
      <w:r>
        <w:rPr>
          <w:rFonts w:ascii="Times New Roman;Times;serif" w:hAnsi="Times New Roman;Times;serif"/>
          <w:b/>
          <w:color w:val="000000"/>
          <w:sz w:val="20"/>
          <w:u w:val="single"/>
        </w:rPr>
        <w:t>You will not be able to attend the annual meeting in-person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Shareholders may attend and participate in the annual meeting by means of remote communication by logging onto the virtual meeting platform at www.virtualshareholdermeeting.com/SPFI2024 with your sixteen-digit control number provided on your proxy card or, if your shares of common stock of the Company are held in “street name,” on your broker’s or intermediary’s voting instruction card. Individuals without a control number may attend the annual meeting as a guest using the link to the virtual meeting platform, but will not have the option to vote. Those planning to participate in the annual meeting should connect to the virtual meeting platform at least 15 minutes prior to the start of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Whether or not you plan to attend the annual meeting, it is important that your shares be represented. Please take a moment to complete, date, sign and return the enclosed proxy card as soon as possible, or use Internet or telephone voting according to the instructions on the proxy card. You may also attend the annual meeting and vote by means of remote communication by logging onto the virtual meeting platform, as discussed above. </w:t>
      </w:r>
    </w:p>
    <w:p>
      <w:pPr>
        <w:pStyle w:val="TextBody"/>
        <w:bidi w:val="0"/>
        <w:spacing w:before="17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appreciate your continued support of our Company and look forward to seeing you at the annual meeting. </w:t>
      </w:r>
    </w:p>
    <w:tbl>
      <w:tblPr>
        <w:tblW w:w="3291" w:type="dxa"/>
        <w:jc w:val="left"/>
        <w:tblInd w:w="0" w:type="dxa"/>
        <w:tblLayout w:type="fixed"/>
        <w:tblCellMar>
          <w:top w:w="0" w:type="dxa"/>
          <w:left w:w="0" w:type="dxa"/>
          <w:bottom w:w="0" w:type="dxa"/>
          <w:right w:w="0" w:type="dxa"/>
        </w:tblCellMar>
      </w:tblPr>
      <w:tblGrid>
        <w:gridCol w:w="75"/>
        <w:gridCol w:w="23"/>
        <w:gridCol w:w="23"/>
        <w:gridCol w:w="3170"/>
      </w:tblGrid>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0"/>
              <w:jc w:val="left"/>
              <w:rPr>
                <w:color w:val="000000"/>
              </w:rPr>
            </w:pPr>
            <w:r>
              <w:rPr>
                <w:color w:val="000000"/>
              </w:rPr>
              <w:t>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Curtis C. Griffith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Curtis C. Griffith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Chairman and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 w:name="ny20019245x2_def14a_102-notice_pg1"/>
        <w:bookmarkEnd w:id="4"/>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3819525" cy="561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19525" cy="5619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5219 City Bank Parkway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Lubbock, Texas 79407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(800) 687-2265 </w:t>
      </w:r>
    </w:p>
    <w:p>
      <w:pPr>
        <w:pStyle w:val="TextBody"/>
        <w:bidi w:val="0"/>
        <w:spacing w:before="150" w:after="283"/>
        <w:jc w:val="right"/>
        <w:rPr>
          <w:rFonts w:ascii="Times New Roman;Times;serif" w:hAnsi="Times New Roman;Times;serif"/>
          <w:color w:val="000000"/>
          <w:sz w:val="20"/>
        </w:rPr>
      </w:pPr>
      <w:r>
        <w:rPr>
          <w:rFonts w:ascii="Times New Roman;Times;serif" w:hAnsi="Times New Roman;Times;serif"/>
          <w:color w:val="000000"/>
          <w:sz w:val="20"/>
        </w:rPr>
        <w:t xml:space="preserve">April 8, 2024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2024 ANNUAL MEETING OF SHAREHOLDERS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shareholders of South Plains Financial,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2024 Annual Meeting of Shareholders (the “annual meeting”) of South Plains Financial, Inc. (the “Company”) will be held solely by means of remote communication on Monday, May 13, 2024, at 2:00 p.m., Central Time, for the following purposes: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elect two (2) Class II directors to serve on the Company’s board of directors until the Company’s 2027 annual meeting of shareholders or each until their respective successor or successors are duly elected and qualified or until their earlier resignation or removal from office;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4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ratify the appointment of FORVIS, LLP as the independent registered public accounting firm of the Company for the year ending December 31, 2024; and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as may properly come before the annual meeting or any adjournment(s) or postponement(s) thereof.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Texas law and the Second Amended and Restated Bylaws of the Company, the Company’s board of directors has decided that the annual meeting will be held solely by means of remote communication. </w:t>
      </w:r>
      <w:r>
        <w:rPr>
          <w:rFonts w:ascii="Times New Roman;Times;serif" w:hAnsi="Times New Roman;Times;serif"/>
          <w:b/>
          <w:color w:val="000000"/>
          <w:sz w:val="20"/>
          <w:u w:val="single"/>
        </w:rPr>
        <w:t>You will not be able to attend the annual meeting in-person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Shareholders may attend and participate in the annual meeting by means of remote communication by logging onto the virtual meeting platform at www.virtualshareholdermeeting.com/SPFI2024 with your sixteen-digit control number provided on your proxy card or, if your shares of common stock of the Company are held in “street name,” on your broker’s or intermediary’s voting instruction card. Individuals without a control number may attend the annual meeting as a guest using the link to the virtual meeting platform, but will not have the option to vote. Those planning to participate in the annual meeting should connect to the virtual meeting platform at least 15 minutes prior to the start of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shareholders of record at the close of business on March 18, 2024, the record date, will be entitled to receive notice of and to vote at the annual meeting. For instructions on voting, please refer to the enclosed proxy card or voting information form. A list of shareholders entitled to vote at the annual meeting will be available for inspection by any shareholder at the principal office of the Company during ordinary business hours for a period of ten (10) days prior to the annual meeting. This list also will be available on the virtual meeting platform to shareholders who attend the annual meeting by means of remote communication. </w:t>
      </w:r>
    </w:p>
    <w:tbl>
      <w:tblPr>
        <w:tblW w:w="3291" w:type="dxa"/>
        <w:jc w:val="left"/>
        <w:tblInd w:w="0" w:type="dxa"/>
        <w:tblLayout w:type="fixed"/>
        <w:tblCellMar>
          <w:top w:w="0" w:type="dxa"/>
          <w:left w:w="0" w:type="dxa"/>
          <w:bottom w:w="0" w:type="dxa"/>
          <w:right w:w="0" w:type="dxa"/>
        </w:tblCellMar>
      </w:tblPr>
      <w:tblGrid>
        <w:gridCol w:w="75"/>
        <w:gridCol w:w="23"/>
        <w:gridCol w:w="23"/>
        <w:gridCol w:w="3170"/>
      </w:tblGrid>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Curtis C. Griffith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Curtis C. Griffith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Chairman and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 w:name="ny20019245x2_def14a_102-notice_pg2"/>
        <w:bookmarkEnd w:id="5"/>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2024 Annual Meeting of Shareholders To Be Held on May 13, 2024: electronic copies of the Notice of 2024 Annual Meeting of Shareholders, the proxy statement, our 2023 Annual Report to Shareholders and our Annual Report on Form 10-K for the year ended December 31, 2023 are available at www.proxyvote.com and on the SEC Filings page of the Company’s Investor Relations website at https://www.spfi.bank/financials-filings/sec-filings.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Your Vote is Important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proxy card is included with this proxy statement. Whether or not you plan to attend the annual meeting by means of remote communication, please vote by completing, signing and dating the proxy card and promptly mailing it or via the Internet pursuant to the instructions provided on the enclosed proxy card. You may revoke your proxy card in the manner described in the proxy statement at any time before it is exercised. See “About the Annual Meeting” for more information on how to vote your shares or revoke your proxy.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 w:name="ny20019245x2_def14a_103-toc_pg1"/>
        <w:bookmarkEnd w:id="6"/>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7" w:name="TOC"/>
      <w:bookmarkStart w:id="8" w:name="TOC"/>
      <w:bookmarkEnd w:id="8"/>
    </w:p>
    <w:tbl>
      <w:tblPr>
        <w:tblW w:w="10205" w:type="dxa"/>
        <w:jc w:val="left"/>
        <w:tblInd w:w="0" w:type="dxa"/>
        <w:tblLayout w:type="fixed"/>
        <w:tblCellMar>
          <w:top w:w="0" w:type="dxa"/>
          <w:left w:w="0" w:type="dxa"/>
          <w:bottom w:w="0" w:type="dxa"/>
          <w:right w:w="0" w:type="dxa"/>
        </w:tblCellMar>
      </w:tblPr>
      <w:tblGrid>
        <w:gridCol w:w="9914"/>
        <w:gridCol w:w="23"/>
        <w:gridCol w:w="23"/>
        <w:gridCol w:w="245"/>
      </w:tblGrid>
      <w:tr>
        <w:trPr/>
        <w:tc>
          <w:tcPr>
            <w:tcW w:w="9914" w:type="dxa"/>
            <w:tcBorders/>
            <w:shd w:fill="CCEEFF" w:val="clear"/>
            <w:vAlign w:val="center"/>
          </w:tcPr>
          <w:p>
            <w:pPr>
              <w:pStyle w:val="TableContents"/>
              <w:bidi w:val="0"/>
              <w:spacing w:before="0" w:after="283"/>
              <w:ind w:left="0" w:right="0" w:hanging="0"/>
              <w:jc w:val="left"/>
              <w:rPr/>
            </w:pPr>
            <w:hyperlink w:anchor="tPSF">
              <w:r>
                <w:rPr>
                  <w:rStyle w:val="InternetLink"/>
                  <w:rFonts w:ascii="Times New Roman;Times;serif" w:hAnsi="Times New Roman;Times;serif"/>
                  <w:color w:val="000000"/>
                  <w:sz w:val="20"/>
                </w:rPr>
                <w:t>PROXY STATEMENT FOR 2024 ANNUAL MEETING OF SHAREHOLDERS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PSF">
              <w:r>
                <w:rPr>
                  <w:rStyle w:val="InternetLink"/>
                  <w:rFonts w:ascii="Times New Roman;Times;serif" w:hAnsi="Times New Roman;Times;serif"/>
                  <w:color w:val="000000"/>
                  <w:sz w:val="20"/>
                </w:rPr>
                <w:t>1</w:t>
              </w:r>
            </w:hyperlink>
          </w:p>
        </w:tc>
      </w:tr>
      <w:tr>
        <w:trPr/>
        <w:tc>
          <w:tcPr>
            <w:tcW w:w="9914" w:type="dxa"/>
            <w:tcBorders/>
            <w:vAlign w:val="center"/>
          </w:tcPr>
          <w:p>
            <w:pPr>
              <w:pStyle w:val="TableContents"/>
              <w:bidi w:val="0"/>
              <w:spacing w:before="0" w:after="283"/>
              <w:ind w:left="0" w:right="0" w:hanging="0"/>
              <w:jc w:val="left"/>
              <w:rPr/>
            </w:pPr>
            <w:hyperlink w:anchor="tATA">
              <w:r>
                <w:rPr>
                  <w:rStyle w:val="InternetLink"/>
                  <w:rFonts w:ascii="Times New Roman;Times;serif" w:hAnsi="Times New Roman;Times;serif"/>
                  <w:color w:val="000000"/>
                  <w:sz w:val="20"/>
                </w:rPr>
                <w:t>ABOUT THE ANNUAL MEETING</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ATA">
              <w:r>
                <w:rPr>
                  <w:rStyle w:val="InternetLink"/>
                  <w:rFonts w:ascii="Times New Roman;Times;serif" w:hAnsi="Times New Roman;Times;serif"/>
                  <w:color w:val="000000"/>
                  <w:sz w:val="20"/>
                </w:rPr>
                <w:t>3</w:t>
              </w:r>
            </w:hyperlink>
          </w:p>
        </w:tc>
      </w:tr>
      <w:tr>
        <w:trPr/>
        <w:tc>
          <w:tcPr>
            <w:tcW w:w="9914" w:type="dxa"/>
            <w:tcBorders/>
            <w:shd w:fill="CCEEFF" w:val="clear"/>
            <w:vAlign w:val="center"/>
          </w:tcPr>
          <w:p>
            <w:pPr>
              <w:pStyle w:val="TableContents"/>
              <w:bidi w:val="0"/>
              <w:spacing w:before="0" w:after="283"/>
              <w:ind w:left="0" w:right="0" w:hanging="0"/>
              <w:jc w:val="left"/>
              <w:rPr/>
            </w:pPr>
            <w:hyperlink w:anchor="tP1">
              <w:r>
                <w:rPr>
                  <w:rStyle w:val="InternetLink"/>
                  <w:rFonts w:ascii="Times New Roman;Times;serif" w:hAnsi="Times New Roman;Times;serif"/>
                  <w:color w:val="000000"/>
                  <w:sz w:val="20"/>
                </w:rPr>
                <w:t>PROPOSAL 1. ELECTION OF DIRECTORS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P1">
              <w:r>
                <w:rPr>
                  <w:rStyle w:val="InternetLink"/>
                  <w:rFonts w:ascii="Times New Roman;Times;serif" w:hAnsi="Times New Roman;Times;serif"/>
                  <w:color w:val="000000"/>
                  <w:sz w:val="20"/>
                </w:rPr>
                <w:t>8</w:t>
              </w:r>
            </w:hyperlink>
          </w:p>
        </w:tc>
      </w:tr>
      <w:tr>
        <w:trPr/>
        <w:tc>
          <w:tcPr>
            <w:tcW w:w="9914" w:type="dxa"/>
            <w:tcBorders/>
            <w:vAlign w:val="center"/>
          </w:tcPr>
          <w:p>
            <w:pPr>
              <w:pStyle w:val="TableContents"/>
              <w:bidi w:val="0"/>
              <w:spacing w:before="0" w:after="283"/>
              <w:ind w:left="200" w:right="0" w:hanging="200"/>
              <w:jc w:val="left"/>
              <w:rPr/>
            </w:pPr>
            <w:hyperlink w:anchor="tP2">
              <w:r>
                <w:rPr>
                  <w:rStyle w:val="InternetLink"/>
                  <w:rFonts w:ascii="Times New Roman;Times;serif" w:hAnsi="Times New Roman;Times;serif"/>
                  <w:color w:val="000000"/>
                  <w:sz w:val="20"/>
                </w:rPr>
                <w:t>PROPOSAL 2. RATIFICATION OF THE APPOINTMENT OF INDEPENDENT REGISTERED PUBLIC ACCOUNTING FIRM</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P2">
              <w:r>
                <w:rPr>
                  <w:rStyle w:val="InternetLink"/>
                  <w:rFonts w:ascii="Times New Roman;Times;serif" w:hAnsi="Times New Roman;Times;serif"/>
                  <w:color w:val="000000"/>
                  <w:sz w:val="20"/>
                </w:rPr>
                <w:t>10</w:t>
              </w:r>
            </w:hyperlink>
          </w:p>
        </w:tc>
      </w:tr>
      <w:tr>
        <w:trPr/>
        <w:tc>
          <w:tcPr>
            <w:tcW w:w="9914" w:type="dxa"/>
            <w:tcBorders/>
            <w:shd w:fill="CCEEFF" w:val="clear"/>
            <w:vAlign w:val="center"/>
          </w:tcPr>
          <w:p>
            <w:pPr>
              <w:pStyle w:val="TableContents"/>
              <w:bidi w:val="0"/>
              <w:spacing w:before="0" w:after="283"/>
              <w:ind w:left="0" w:right="0" w:hanging="0"/>
              <w:jc w:val="left"/>
              <w:rPr/>
            </w:pPr>
            <w:hyperlink w:anchor="tCG">
              <w:r>
                <w:rPr>
                  <w:rStyle w:val="InternetLink"/>
                  <w:rFonts w:ascii="Times New Roman;Times;serif" w:hAnsi="Times New Roman;Times;serif"/>
                  <w:color w:val="000000"/>
                  <w:sz w:val="20"/>
                </w:rPr>
                <w:t>CORPORATE GOVERNANCE</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CG">
              <w:r>
                <w:rPr>
                  <w:rStyle w:val="InternetLink"/>
                  <w:rFonts w:ascii="Times New Roman;Times;serif" w:hAnsi="Times New Roman;Times;serif"/>
                  <w:color w:val="000000"/>
                  <w:sz w:val="20"/>
                </w:rPr>
                <w:t>11</w:t>
              </w:r>
            </w:hyperlink>
          </w:p>
        </w:tc>
      </w:tr>
      <w:tr>
        <w:trPr/>
        <w:tc>
          <w:tcPr>
            <w:tcW w:w="9914" w:type="dxa"/>
            <w:tcBorders/>
            <w:vAlign w:val="center"/>
          </w:tcPr>
          <w:p>
            <w:pPr>
              <w:pStyle w:val="TableContents"/>
              <w:bidi w:val="0"/>
              <w:spacing w:before="0" w:after="283"/>
              <w:ind w:left="0" w:right="0" w:hanging="0"/>
              <w:jc w:val="left"/>
              <w:rPr/>
            </w:pPr>
            <w:hyperlink w:anchor="tCEO">
              <w:r>
                <w:rPr>
                  <w:rStyle w:val="InternetLink"/>
                  <w:rFonts w:ascii="Times New Roman;Times;serif" w:hAnsi="Times New Roman;Times;serif"/>
                  <w:color w:val="000000"/>
                  <w:sz w:val="20"/>
                </w:rPr>
                <w:t>CURRENT EXECUTIVE OFFICERS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CEO">
              <w:r>
                <w:rPr>
                  <w:rStyle w:val="InternetLink"/>
                  <w:rFonts w:ascii="Times New Roman;Times;serif" w:hAnsi="Times New Roman;Times;serif"/>
                  <w:color w:val="000000"/>
                  <w:sz w:val="20"/>
                </w:rPr>
                <w:t>19</w:t>
              </w:r>
            </w:hyperlink>
          </w:p>
        </w:tc>
      </w:tr>
      <w:tr>
        <w:trPr/>
        <w:tc>
          <w:tcPr>
            <w:tcW w:w="9914" w:type="dxa"/>
            <w:tcBorders/>
            <w:shd w:fill="CCEEFF" w:val="clear"/>
            <w:vAlign w:val="center"/>
          </w:tcPr>
          <w:p>
            <w:pPr>
              <w:pStyle w:val="TableContents"/>
              <w:bidi w:val="0"/>
              <w:spacing w:before="0" w:after="283"/>
              <w:ind w:left="0" w:right="0" w:hanging="0"/>
              <w:jc w:val="left"/>
              <w:rPr/>
            </w:pPr>
            <w:hyperlink w:anchor="tECA">
              <w:r>
                <w:rPr>
                  <w:rStyle w:val="InternetLink"/>
                  <w:rFonts w:ascii="Times New Roman;Times;serif" w:hAnsi="Times New Roman;Times;serif"/>
                  <w:color w:val="000000"/>
                  <w:sz w:val="20"/>
                </w:rPr>
                <w:t>EXECUTIVE COMPENSATION AND OTHER MATTERS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ECA">
              <w:r>
                <w:rPr>
                  <w:rStyle w:val="InternetLink"/>
                  <w:rFonts w:ascii="Times New Roman;Times;serif" w:hAnsi="Times New Roman;Times;serif"/>
                  <w:color w:val="000000"/>
                  <w:sz w:val="20"/>
                </w:rPr>
                <w:t>20</w:t>
              </w:r>
            </w:hyperlink>
          </w:p>
        </w:tc>
      </w:tr>
      <w:tr>
        <w:trPr/>
        <w:tc>
          <w:tcPr>
            <w:tcW w:w="9914" w:type="dxa"/>
            <w:tcBorders/>
            <w:vAlign w:val="center"/>
          </w:tcPr>
          <w:p>
            <w:pPr>
              <w:pStyle w:val="TableContents"/>
              <w:bidi w:val="0"/>
              <w:spacing w:before="0" w:after="283"/>
              <w:ind w:left="0" w:right="0" w:hanging="0"/>
              <w:jc w:val="left"/>
              <w:rPr/>
            </w:pPr>
            <w:hyperlink w:anchor="tCRA">
              <w:r>
                <w:rPr>
                  <w:rStyle w:val="InternetLink"/>
                  <w:rFonts w:ascii="Times New Roman;Times;serif" w:hAnsi="Times New Roman;Times;serif"/>
                  <w:color w:val="000000"/>
                  <w:sz w:val="20"/>
                </w:rPr>
                <w:t>CERTAIN RELATIONSHIPS AND RELATED PERSON TRANSACTIONS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CRA">
              <w:r>
                <w:rPr>
                  <w:rStyle w:val="InternetLink"/>
                  <w:rFonts w:ascii="Times New Roman;Times;serif" w:hAnsi="Times New Roman;Times;serif"/>
                  <w:color w:val="000000"/>
                  <w:sz w:val="20"/>
                </w:rPr>
                <w:t>32</w:t>
              </w:r>
            </w:hyperlink>
          </w:p>
        </w:tc>
      </w:tr>
      <w:tr>
        <w:trPr/>
        <w:tc>
          <w:tcPr>
            <w:tcW w:w="9914" w:type="dxa"/>
            <w:tcBorders/>
            <w:shd w:fill="CCEEFF" w:val="clear"/>
            <w:vAlign w:val="center"/>
          </w:tcPr>
          <w:p>
            <w:pPr>
              <w:pStyle w:val="TableContents"/>
              <w:bidi w:val="0"/>
              <w:spacing w:before="0" w:after="283"/>
              <w:ind w:left="200" w:right="0" w:hanging="200"/>
              <w:jc w:val="left"/>
              <w:rPr/>
            </w:pPr>
            <w:hyperlink w:anchor="tBOO">
              <w:r>
                <w:rPr>
                  <w:rStyle w:val="InternetLink"/>
                  <w:rFonts w:ascii="Times New Roman;Times;serif" w:hAnsi="Times New Roman;Times;serif"/>
                  <w:color w:val="000000"/>
                  <w:sz w:val="20"/>
                </w:rPr>
                <w:t>BENEFICIAL OWNERSHIP OF THE COMPANY’S COMMON STOCK BY MANAGEMENT AND PRINCIPAL SHAREHOLDERS OF THE COMPANY</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BOO">
              <w:r>
                <w:rPr>
                  <w:rStyle w:val="InternetLink"/>
                  <w:rFonts w:ascii="Times New Roman;Times;serif" w:hAnsi="Times New Roman;Times;serif"/>
                  <w:color w:val="000000"/>
                  <w:sz w:val="20"/>
                </w:rPr>
                <w:t>34</w:t>
              </w:r>
            </w:hyperlink>
          </w:p>
        </w:tc>
      </w:tr>
      <w:tr>
        <w:trPr/>
        <w:tc>
          <w:tcPr>
            <w:tcW w:w="9914" w:type="dxa"/>
            <w:tcBorders/>
            <w:vAlign w:val="center"/>
          </w:tcPr>
          <w:p>
            <w:pPr>
              <w:pStyle w:val="TableContents"/>
              <w:bidi w:val="0"/>
              <w:spacing w:before="0" w:after="283"/>
              <w:ind w:left="0" w:right="0" w:hanging="0"/>
              <w:jc w:val="left"/>
              <w:rPr/>
            </w:pPr>
            <w:hyperlink w:anchor="tD16">
              <w:r>
                <w:rPr>
                  <w:rStyle w:val="InternetLink"/>
                  <w:rFonts w:ascii="Times New Roman;Times;serif" w:hAnsi="Times New Roman;Times;serif"/>
                  <w:color w:val="000000"/>
                  <w:sz w:val="20"/>
                </w:rPr>
                <w:t>DELINQUENT SECTION 16(A) REPORTS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D16">
              <w:r>
                <w:rPr>
                  <w:rStyle w:val="InternetLink"/>
                  <w:rFonts w:ascii="Times New Roman;Times;serif" w:hAnsi="Times New Roman;Times;serif"/>
                  <w:color w:val="000000"/>
                  <w:sz w:val="20"/>
                </w:rPr>
                <w:t>36</w:t>
              </w:r>
            </w:hyperlink>
          </w:p>
        </w:tc>
      </w:tr>
      <w:tr>
        <w:trPr/>
        <w:tc>
          <w:tcPr>
            <w:tcW w:w="9914" w:type="dxa"/>
            <w:tcBorders/>
            <w:shd w:fill="CCEEFF" w:val="clear"/>
            <w:vAlign w:val="center"/>
          </w:tcPr>
          <w:p>
            <w:pPr>
              <w:pStyle w:val="TableContents"/>
              <w:bidi w:val="0"/>
              <w:spacing w:before="0" w:after="283"/>
              <w:ind w:left="0" w:right="0" w:hanging="0"/>
              <w:jc w:val="left"/>
              <w:rPr/>
            </w:pPr>
            <w:hyperlink w:anchor="tACR">
              <w:r>
                <w:rPr>
                  <w:rStyle w:val="InternetLink"/>
                  <w:rFonts w:ascii="Times New Roman;Times;serif" w:hAnsi="Times New Roman;Times;serif"/>
                  <w:color w:val="000000"/>
                  <w:sz w:val="20"/>
                </w:rPr>
                <w:t>AUDIT COMMITTEE REPORT</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ACR">
              <w:r>
                <w:rPr>
                  <w:rStyle w:val="InternetLink"/>
                  <w:rFonts w:ascii="Times New Roman;Times;serif" w:hAnsi="Times New Roman;Times;serif"/>
                  <w:color w:val="000000"/>
                  <w:sz w:val="20"/>
                </w:rPr>
                <w:t>37</w:t>
              </w:r>
            </w:hyperlink>
          </w:p>
        </w:tc>
      </w:tr>
      <w:tr>
        <w:trPr/>
        <w:tc>
          <w:tcPr>
            <w:tcW w:w="9914" w:type="dxa"/>
            <w:tcBorders/>
            <w:vAlign w:val="center"/>
          </w:tcPr>
          <w:p>
            <w:pPr>
              <w:pStyle w:val="TableContents"/>
              <w:bidi w:val="0"/>
              <w:spacing w:before="0" w:after="283"/>
              <w:ind w:left="0" w:right="0" w:hanging="0"/>
              <w:jc w:val="left"/>
              <w:rPr/>
            </w:pPr>
            <w:hyperlink w:anchor="tDFS">
              <w:r>
                <w:rPr>
                  <w:rStyle w:val="InternetLink"/>
                  <w:rFonts w:ascii="Times New Roman;Times;serif" w:hAnsi="Times New Roman;Times;serif"/>
                  <w:color w:val="000000"/>
                  <w:sz w:val="20"/>
                </w:rPr>
                <w:t>DATE FOR SUBMISSION OF SHAREHOLDER PROPOSALS FOR 2025 ANNUAL MEETING</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DFS">
              <w:r>
                <w:rPr>
                  <w:rStyle w:val="InternetLink"/>
                  <w:rFonts w:ascii="Times New Roman;Times;serif" w:hAnsi="Times New Roman;Times;serif"/>
                  <w:color w:val="000000"/>
                  <w:sz w:val="20"/>
                </w:rPr>
                <w:t>39</w:t>
              </w:r>
            </w:hyperlink>
          </w:p>
        </w:tc>
      </w:tr>
      <w:tr>
        <w:trPr/>
        <w:tc>
          <w:tcPr>
            <w:tcW w:w="9914" w:type="dxa"/>
            <w:tcBorders/>
            <w:shd w:fill="CCEEFF" w:val="clear"/>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 w:name="ny20019245x2_def14a_104-proxy_pg1"/>
        <w:bookmarkEnd w:id="9"/>
        <w:r>
          <w:rPr>
            <w:rStyle w:val="InternetLink"/>
            <w:rFonts w:ascii="Times New Roman;Times;Serif" w:hAnsi="Times New Roman;Times;Serif"/>
            <w:b/>
            <w:caps w:val="false"/>
            <w:smallCaps w:val="false"/>
            <w:sz w:val="16"/>
          </w:rPr>
          <w:t>TABLE OF CONTENTS</w:t>
        </w:r>
      </w:hyperlink>
    </w:p>
    <w:p>
      <w:pPr>
        <w:pStyle w:val="TextBody"/>
        <w:bidi w:val="0"/>
        <w:spacing w:before="189" w:after="283"/>
        <w:ind w:left="0" w:right="0" w:hanging="0"/>
        <w:jc w:val="center"/>
        <w:rPr>
          <w:color w:val="000000"/>
        </w:rPr>
      </w:pPr>
      <w:r>
        <w:rPr>
          <w:color w:val="000000"/>
        </w:rPr>
        <w:drawing>
          <wp:inline distT="0" distB="0" distL="0" distR="0">
            <wp:extent cx="3819525" cy="561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819525" cy="5619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5219 City Bank Parkway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Lubbock, Texas 79407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(800) 687-2265 </w:t>
      </w:r>
    </w:p>
    <w:p>
      <w:pPr>
        <w:pStyle w:val="TextBody"/>
        <w:bidi w:val="0"/>
        <w:spacing w:before="380" w:after="283"/>
        <w:jc w:val="center"/>
        <w:rPr>
          <w:rFonts w:ascii="Times New Roman;Times;serif" w:hAnsi="Times New Roman;Times;serif"/>
          <w:b/>
          <w:color w:val="000000"/>
          <w:sz w:val="20"/>
        </w:rPr>
      </w:pPr>
      <w:bookmarkStart w:id="10" w:name="tPSF"/>
      <w:bookmarkEnd w:id="10"/>
      <w:r>
        <w:rPr>
          <w:rFonts w:ascii="Times New Roman;Times;serif" w:hAnsi="Times New Roman;Times;serif"/>
          <w:b/>
          <w:color w:val="000000"/>
          <w:sz w:val="20"/>
        </w:rPr>
        <w:t xml:space="preserve">PROXY STATEMENT FOR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2024 ANNUAL MEETING OF SHAREHOLDERS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MAY 13,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the context otherwise requires, references in this proxy statement to “we,” “us,” “our,” “our company,” the “Company” or “South Plains” refer to South Plains Financial, Inc., a Texas corporation, and its consolidated subsidiaries; references to “the Bank” or “our Bank” refer to City Bank, a wholly-owned subsidiary of the Company. In addition, unless the context otherwise requires, references to “shareholders” are to the holders of outstanding shares of our common stock, par value $1.00 per share (the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being furnished in connection with the solicitation of proxies by the board of directors of the Company (the “board of directors” or the “board”) for use at the 2024 annual meeting of shareholders of the Company to be held solely by means of remote communication on Monday, May 13, 2024 at 2:00 p.m., Central Time, and any adjournment(s) or postponement(s) thereof (the “annual meeting”) for the purposes set forth in this proxy statement and the accompanying notice of the annual meeting. This proxy statement, the notice of the annual meeting, the 2023 annual report to shareholders, the annual report on Form 10-K for the year ended December 31, 2023, and the enclosed proxy card (collectively, the “proxy materials”) are first being sent to shareholders on or about April 8, 2024. You should read the entire proxy statement carefully before voting.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Important Notice Regarding Internet Availability of Proxy Materials for the 2024 Annual Meeting</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rules promulgated by the Securities and Exchange Commission (the “SEC”), the Company is providing access to its proxy materials both by sending you a full set of proxy materials and making copies of these materials available on the Internet on the SEC Filings page of the Company’s Investor Relations website, available at https://www.spfi.bank/financials-filings/sec-filings. Additionally, you may access the Company’s proxy materials at www.proxyvote.com. Shareholders are encouraged to access and review the proxy materials before voting. The website www.proxyvote.com will also have directions to attend the annual meeting and vote by means of remote communication. </w:t>
      </w:r>
    </w:p>
    <w:p>
      <w:pPr>
        <w:pStyle w:val="TextBody"/>
        <w:bidi w:val="0"/>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SPECIAL NOTE REGARDING ATTENDANCE AND PARTICIPATION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BY MEANS OF REMOTE COMMUNICATION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holding the annual meeting solely by means of remote communication, in accordance with Texas law and the Second Amended and Restated Bylaws of the Company (the “bylaws”). Instructions for attending and participating in the annual meeting by means of remote communication are provided below.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u w:val="single"/>
        </w:rPr>
        <w:t>Shareholders may only attend and participate in the annual meeting by means of remote communication. Shareholders will not be able to attend the annual meeting physically</w:t>
      </w:r>
      <w:r>
        <w:rPr>
          <w:rFonts w:ascii="Times New Roman;Times;serif" w:hAnsi="Times New Roman;Times;serif"/>
          <w:b/>
          <w:i/>
          <w:color w:val="000000"/>
          <w:sz w:val="20"/>
        </w:rPr>
        <w:t>.</w:t>
      </w:r>
      <w:r>
        <w:rPr>
          <w:rFonts w:ascii="Times New Roman;Times;serif" w:hAnsi="Times New Roman;Times;serif"/>
          <w:b/>
          <w:i/>
          <w:caps w:val="false"/>
          <w:smallCaps w:val="false"/>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Attendance and Participation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Shareholders of record as of the close of business on March 18, 2024, the record date for the annual meeting, may attend and participate in the annual meeting by means of remote communication by logging onto the virtual meeting platform at www.virtualshareholdermeeting.com/SPFI2024 with your sixteen-digit control number provided on your proxy card or, if your shares of common stock of the Company are held in “street name,” on your broker’s or intermediary’s voting instruction card. Individuals without a control number may attend the annual meeting as a guest using the link to the virtual meeting platform, but will not have the option to vote. Those planning to attend and participate in the annual meeting by means of remote communication should connect to the virtual meeting platform at least 15 minutes prior to the start of the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1" w:name="ny20019245x2_def14a_104-proxy_pg2"/>
        <w:bookmarkEnd w:id="11"/>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Shareholders will have the opportunity to vote their shares during the annual meeting if attending and participating by means of remote communication. </w:t>
      </w:r>
      <w:r>
        <w:rPr>
          <w:rFonts w:ascii="Times New Roman;Times;serif" w:hAnsi="Times New Roman;Times;serif"/>
          <w:i/>
          <w:color w:val="000000"/>
          <w:sz w:val="20"/>
          <w:u w:val="single"/>
        </w:rPr>
        <w:t>Whether or not you plan to attend the annual meeting, the Company encourages eligible shareholders to vote on the proposals prior to the annual meeting using the instructions provided in this proxy statement</w:t>
      </w:r>
      <w:r>
        <w:rPr>
          <w:rFonts w:ascii="Times New Roman;Times;serif" w:hAnsi="Times New Roman;Times;serif"/>
          <w:color w:val="000000"/>
          <w:sz w:val="20"/>
        </w:rPr>
        <w:t xml:space="preserve">. The proxy card included with this proxy statement should continue to be used to vote shares in connection with the annual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Questions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will be permitted to submit written questions at the annual meeting just as if you were attending a physical meeting. You may submit written questions during the annual meeting by logging onto the virtual meeting platform at www.virtualshareholdermeeting.com/SPFI2024 with your sixteen-digit control number provided on your proxy card and typing your question in the “Ask a Question” box. You must log into the virtual meeting platform with your sixteen-digit control number in order to attend and participate and ask questions during the annual meeting. Each shareholder will be limited to no more than one question. We will try to answer all questions pertinent to the business of the annual meeting, subject to time constraints. If we receive substantially similar questions, we may group them together and provide a single response to avoid repetition. Also, we reserve the right to edit inappropriate language and to exclude questions that are personal matters, not pertinent to annual meeting matters, do not comply with the annual meeting rules of conduct or otherwise are inappropriate.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 information regarding the rules of conduct and other materials for the annual meeting will be made available on the virtual meeting platform at www.virtualshareholdermeeting.com/SPFI2024 during the annual meeting. Please read the remainder of this proxy statement for additional information about the annual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 List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list of our shareholders entitled to vote at the annual meeting will be available for inspection by our shareholders at the principal office of the Company during ordinary business hours for a period of ten (10) days prior to the annual meeting. This list also will be available during the annual meeting at www.virtualshareholdermeeting.com/SPFI2024.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Technical Difficulties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Technical support for accessing the annual meeting through the virtual meeting platform will be available at www.virtualshareholdermeeting.com/SPFI2024 beginning at 1:45 p.m., Central Time, on Monday, May 13, 2024 through the conclusion of the annual meeting. If you encounter any difficulties accessing the virtual meeting during the check-in or meeting time, please call the technical support number that will be posted on the Virtual Shareholder Meeting log in page.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 w:name="ny20019245x2_def14a_105-about_pg1"/>
        <w:bookmarkEnd w:id="12"/>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 w:name="tATA"/>
      <w:bookmarkEnd w:id="13"/>
      <w:r>
        <w:rPr>
          <w:rFonts w:ascii="Times New Roman;Times;serif" w:hAnsi="Times New Roman;Times;serif"/>
          <w:b/>
          <w:color w:val="000000"/>
          <w:sz w:val="20"/>
        </w:rPr>
        <w:t xml:space="preserve">ABOUT THE ANNUAL MEETING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and where will the annual meeting be held?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annual meeting is scheduled to take place at 2:00 pm Central Time, on May 13, 2024. We are holding the annual meeting solely by means of remote communication, in accordance with Texas law and the Company’s bylaws. You will not be able to attend the annual meeting in-person.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attend and participate in the virtual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attend and participate in the annual meeting, go to www.virtualshareholdermeeting.com/SPFI2024 on the day of the annual meeting and enter your unique sixteen-digit control number which is printed on the proxy card you received with your copy of this proxy statement or, if you are the beneficial owner of shares held in “street name,” on the voting instruction form you received from your bank, broker or other nominee that is the record holder of your shares. The sixteen-digit control number appears on the portion of your proxy card or voting instruction form that you retain.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annual meeting will begin at 2:00 p.m., Central Time, on May 13, 2024. However, you may begin to log in to the virtual meeting platform at 1:45 p.m. and we encourage you to do so. The virtual meeting platform will be supported across most Internet browsers and devices (including desktop and laptop computers, tablets and smart phones) running updated versions of applicable software and plugins.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can I do if I no longer have my control number to access the virtual meeting platform?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record holder of shares and wish to attend and participate in the annual meeting but you no longer have your sixteen-digit control number provided on your proxy card, you may obtain your control number by accessing shareholder@broadridge.com or by calling Broadridge Corporate Issuer Solutions at 1-877-830-4936 for assistance. If you are a beneficial holder of shares held in street name and no longer have the control number printed on your voting instruction form, you should call your broker or other nominee.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there be help available if I have trouble logging in to the virtual meeting platform?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Yes. Technical support for accessing the annual meeting through the virtual meeting platform will be available at www.virtualshareholdermeeting.com/SPFI2024 beginning at 1:45 p.m., Central Time, on Monday, May 13, 2024 through the conclusion of the annual meeting. If you encounter any difficulties accessing the virtual meeting during the check-in or meeting time, please call the technical support number that will be posted on the Virtual Shareholder Meeting log in page.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I be able to ask questions during the virtual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Yes. You may submit a written question during the annual meeting by logging onto the virtual meeting platform at www.virtualshareholdermeeting.com/SPFI2024 with your sixteen-digit control number provided on your proxy card and typing your question in the “Ask a Question” box. You must log into the virtual meeting platform with you sixteen-digit control number in order to ask questions during the annual meeting. Each shareholder will be limited to no more than one question. We will try to answer all questions pertinent to the business of the annual meeting, subject to time constraints. If we receive substantially similar questions, we may group them together and provide a single response to avoid repetition. Also, we reserve the right to edit inappropriate language and to exclude questions that are personal matters, not pertinent to annual meeting matters, do not comply with the annual meeting rules of conduct or otherwise are inappropriate.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purpose of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2024 annual meeting of shareholders, shareholders will act upon the matters outlined in the notice, including the following: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elect two (2) Class II directors to serve on the Company’s board of directors until the Company’s 2027 annual meeting of shareholders or until their respective successor or successors are duly elected and qualified or until their earlier death, resignation or removal from office;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4" w:name="ny20019245x2_def14a_105-about_pg2"/>
        <w:bookmarkEnd w:id="14"/>
        <w:r>
          <w:rPr>
            <w:rStyle w:val="InternetLink"/>
            <w:rFonts w:ascii="Times New Roman;Times;Serif" w:hAnsi="Times New Roman;Times;Serif"/>
            <w:b/>
            <w:caps w:val="false"/>
            <w:smallCaps w:val="false"/>
            <w:sz w:val="16"/>
          </w:rPr>
          <w:t>TABLE OF CONTENTS</w:t>
        </w:r>
      </w:hyperlink>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4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ratify the appointment of FORVIS, LLP as the independent registered public accounting firm of the Company for the year ending December 31, 2024; and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as may properly come before the annual meeting or any adjournment(s) or postponement(s) thereof. </w:t>
            </w:r>
          </w:p>
        </w:tc>
      </w:tr>
    </w:tbl>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are the nominees for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two (2) persons have been nominated for election as Class II directors of the Company to serve until the Company’s 2027 annual meeting of shareholders or until their respective successor or successors are duly elected and qualified or until their earlier death, resignation or removal from office: </w:t>
      </w:r>
    </w:p>
    <w:tbl>
      <w:tblPr>
        <w:tblW w:w="1525" w:type="dxa"/>
        <w:jc w:val="left"/>
        <w:tblInd w:w="0" w:type="dxa"/>
        <w:tblLayout w:type="fixed"/>
        <w:tblCellMar>
          <w:top w:w="0" w:type="dxa"/>
          <w:left w:w="0" w:type="dxa"/>
          <w:bottom w:w="0" w:type="dxa"/>
          <w:right w:w="0" w:type="dxa"/>
        </w:tblCellMar>
      </w:tblPr>
      <w:tblGrid>
        <w:gridCol w:w="110"/>
        <w:gridCol w:w="1415"/>
      </w:tblGrid>
      <w:tr>
        <w:trPr/>
        <w:tc>
          <w:tcPr>
            <w:tcW w:w="110" w:type="dxa"/>
            <w:tcBorders/>
            <w:vAlign w:val="center"/>
          </w:tcPr>
          <w:p>
            <w:pPr>
              <w:pStyle w:val="TableContents"/>
              <w:bidi w:val="0"/>
              <w:spacing w:before="0" w:after="0"/>
              <w:jc w:val="left"/>
              <w:rPr>
                <w:color w:val="000000"/>
              </w:rPr>
            </w:pPr>
            <w:r>
              <w:rPr>
                <w:color w:val="000000"/>
              </w:rPr>
              <w:t>•</w:t>
            </w:r>
          </w:p>
        </w:tc>
        <w:tc>
          <w:tcPr>
            <w:tcW w:w="1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Cory T. Newsom </w:t>
            </w:r>
          </w:p>
        </w:tc>
      </w:tr>
    </w:tbl>
    <w:tbl>
      <w:tblPr>
        <w:tblW w:w="1285" w:type="dxa"/>
        <w:jc w:val="left"/>
        <w:tblInd w:w="0" w:type="dxa"/>
        <w:tblLayout w:type="fixed"/>
        <w:tblCellMar>
          <w:top w:w="0" w:type="dxa"/>
          <w:left w:w="0" w:type="dxa"/>
          <w:bottom w:w="0" w:type="dxa"/>
          <w:right w:w="0" w:type="dxa"/>
        </w:tblCellMar>
      </w:tblPr>
      <w:tblGrid>
        <w:gridCol w:w="110"/>
        <w:gridCol w:w="1175"/>
      </w:tblGrid>
      <w:tr>
        <w:trPr/>
        <w:tc>
          <w:tcPr>
            <w:tcW w:w="110" w:type="dxa"/>
            <w:tcBorders/>
            <w:vAlign w:val="center"/>
          </w:tcPr>
          <w:p>
            <w:pPr>
              <w:pStyle w:val="TableContents"/>
              <w:bidi w:val="0"/>
              <w:spacing w:before="0" w:after="0"/>
              <w:jc w:val="left"/>
              <w:rPr>
                <w:color w:val="000000"/>
              </w:rPr>
            </w:pPr>
            <w:r>
              <w:rPr>
                <w:color w:val="000000"/>
              </w:rPr>
              <w:t>•</w:t>
            </w:r>
          </w:p>
        </w:tc>
        <w:tc>
          <w:tcPr>
            <w:tcW w:w="1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Noe G. Valles </w:t>
            </w:r>
          </w:p>
        </w:tc>
      </w:tr>
    </w:tbl>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at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holders of record of the Company’s outstanding common stock as of the close of business on March 18, 2024, which is the date that the board has fixed as the record date for the annual meeting (the “record date”), are entitled to vote at the annual meeting. Each holder of record of the Company’s outstanding common stock on the record date will be entitled to one vote for each share held on all matters to be voted upon at the annual meeting. The Company had 16,432,851 shares of outstanding common stock on the record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list of our shareholders entitled to vote at the annual meeting will be available for inspection by our shareholders at the principal office of the Company during ordinary business hours for a period of ten (10) days prior to the annual meeting. This list also will be available on the virtual meeting platform during the annual meeting.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may vote your shares of common stock either by means of remote communication or by proxy. The process for voting your shares depends on how your shares are held as described below. If you are a record holder on the record date for the annual meeting, you may vote by proxy or you may attend the annual meeting and vote by means of remote communication. If you are a record holder and want to vote your shares by proxy, you may vote using any of the following methods: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indicate on the proxy card applicable to your common stock how you want to vote and sign, date and mail your proxy card in the enclosed pre-addressed postage-paid envelope as soon as possible to ensure that it will be received in advance of the annual meeting; </w:t>
            </w:r>
          </w:p>
        </w:tc>
      </w:tr>
    </w:tbl>
    <w:tbl>
      <w:tblPr>
        <w:tblW w:w="8575" w:type="dxa"/>
        <w:jc w:val="left"/>
        <w:tblInd w:w="0" w:type="dxa"/>
        <w:tblLayout w:type="fixed"/>
        <w:tblCellMar>
          <w:top w:w="0" w:type="dxa"/>
          <w:left w:w="0" w:type="dxa"/>
          <w:bottom w:w="0" w:type="dxa"/>
          <w:right w:w="0" w:type="dxa"/>
        </w:tblCellMar>
      </w:tblPr>
      <w:tblGrid>
        <w:gridCol w:w="110"/>
        <w:gridCol w:w="8465"/>
      </w:tblGrid>
      <w:tr>
        <w:trPr/>
        <w:tc>
          <w:tcPr>
            <w:tcW w:w="110" w:type="dxa"/>
            <w:tcBorders/>
            <w:vAlign w:val="center"/>
          </w:tcPr>
          <w:p>
            <w:pPr>
              <w:pStyle w:val="TableContents"/>
              <w:bidi w:val="0"/>
              <w:spacing w:before="0" w:after="0"/>
              <w:jc w:val="left"/>
              <w:rPr>
                <w:color w:val="000000"/>
              </w:rPr>
            </w:pPr>
            <w:r>
              <w:rPr>
                <w:color w:val="000000"/>
              </w:rPr>
              <w:t>•</w:t>
            </w:r>
          </w:p>
        </w:tc>
        <w:tc>
          <w:tcPr>
            <w:tcW w:w="84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go to the website www.proxyvote.com and follow the instructions for Internet voting on that website; or </w:t>
            </w:r>
          </w:p>
        </w:tc>
      </w:tr>
    </w:tbl>
    <w:tbl>
      <w:tblPr>
        <w:tblW w:w="5965" w:type="dxa"/>
        <w:jc w:val="left"/>
        <w:tblInd w:w="0" w:type="dxa"/>
        <w:tblLayout w:type="fixed"/>
        <w:tblCellMar>
          <w:top w:w="0" w:type="dxa"/>
          <w:left w:w="0" w:type="dxa"/>
          <w:bottom w:w="0" w:type="dxa"/>
          <w:right w:w="0" w:type="dxa"/>
        </w:tblCellMar>
      </w:tblPr>
      <w:tblGrid>
        <w:gridCol w:w="110"/>
        <w:gridCol w:w="5855"/>
      </w:tblGrid>
      <w:tr>
        <w:trPr/>
        <w:tc>
          <w:tcPr>
            <w:tcW w:w="110" w:type="dxa"/>
            <w:tcBorders/>
            <w:vAlign w:val="center"/>
          </w:tcPr>
          <w:p>
            <w:pPr>
              <w:pStyle w:val="TableContents"/>
              <w:bidi w:val="0"/>
              <w:spacing w:before="0" w:after="0"/>
              <w:jc w:val="left"/>
              <w:rPr>
                <w:color w:val="000000"/>
              </w:rPr>
            </w:pPr>
            <w:r>
              <w:rPr>
                <w:color w:val="000000"/>
              </w:rPr>
              <w:t>•</w:t>
            </w:r>
          </w:p>
        </w:tc>
        <w:tc>
          <w:tcPr>
            <w:tcW w:w="5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vote over the telephone by following the instructions in the proxy card.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must receive your vote no later than the time the polls close for voting at the annual meeting for your vote to be counted at the annual meeting. Please note that Internet and telephone voting will close at 11:59 pm, Eastern Time on May 12,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Voting your shares by proxy will enable your shares of common stock to be represented and voted at the annual meeting if you do not attend the annual meeting and vote your shares by means of remote communication. By following the voting instructions in the materials you receive, you will direct the designated persons (known as “proxies”) to vote your common stock at the annual meeting in accordance with your instructions. The board has appointed Curtis C. Griffith and Cory T. Newsom to serve as the proxies for the annual meeting. If you vote by Internet or telephone, you do not have to return your proxy or voting instruction card. Please note, no proxy shall be valid after eleven (11) months from the date of its execution unless otherwise provided in the proxy.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of common stock are held in “street name,” your ability to vote over the Internet depends on your broker’s voting process. You should follow the instructions on your broker’s or intermediary’s voting instruction card.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vote the shares that you hold in “street name” by means of remote communication at the annual meeting, you must provide to the Company in advance of the annual meeting a legal proxy from your broker, bank or other nominee, (1) confirming that you were the beneficial owner of those shares as of the close of business on the record date, (2) stating the number of shares of which you were the beneficial owner that were held for your benefit at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5" w:name="ny20019245x2_def14a_105-about_pg3"/>
        <w:bookmarkEnd w:id="15"/>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time by that broker, bank or other nominee, and (3) appointing you as the record holder’s proxy to vote the shares covered by that proxy at the annual meeting. If you fail to provide the Company a nominee-issued proxy prior to the annual meeting, you will not be able to vote your nominee-held shares by means of remote communication at the annual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difference between a shareholder of record and a “street name” 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registered directly in your name with Broadridge Corporate Issuer Solutions, the Company’s stock transfer agent, you are considered the “shareholder of record” with respect to those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a brokerage account or by a bank or other nominee, the nominee is considered the record holder of those shares. You are considered the beneficial owner of these shares, and your shares are held in “street name.” This proxy statement and the proxy card or voting instruction card have been forwarded to you by your nominee. As the beneficial owner, you have the right to direct your nominee concerning how to vote your shares by using the voting instructions your nominee included in the mailing or by following its instructions for voting.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for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quorum will be present at a meeting of shareholders if the holders of shares having a majority of the voting power represented by all of the issued and outstanding shares entitled to vote at the meeting are present by means of remote communication or represented by proxy at the annual meeting. Each record holder of shares of common stock is entitled to one vote for each share of common stock registered, on the record date, in such holder’s name on the books of the Company on all matters to be acted upon at the annual meeting. The Company’s Amended and Restated Certificate of Formation, or certificate of formation, prohibits cumulative voting. Attendance and participation by shareholders via remote communication constitutes presence for the determination of a quorum for the annual meeting. Broker non-votes and abstentions will be counted for purposes of determining the presence or absence of a quorum.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broker non-vote?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broker non-vote occurs when a broker holding shares for a beneficial owner does not vote on a particular proposal because the broker does not have discretionary voting power with respect to that item and has not received voting instructions from the beneficial owner. Your broker has discretionary authority to vote your shares with respect to the ratification of the appointment of FORVIS, LLP as our independent registered public accounting firm (Proposal 2). In the absence of specific instructions from you, your broker does not have discretionary authority to vote your shares with respect to the election of directors to the board (Proposal 1).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should I do if I receive more than one set of voting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Similarly, if you are a shareholder of record and hold shares in a brokerage account, you will receive a proxy card for shares held in your name and a voting instruction card for shares held in “street name.” Please complete, sign, date and return each proxy card and voting instruction card that you receive to ensure that all your shares are voted.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board’s recommendations on how I should vote my shares?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recommends that you vote your shares as follows: </w:t>
      </w:r>
    </w:p>
    <w:tbl>
      <w:tblPr>
        <w:tblW w:w="10205" w:type="dxa"/>
        <w:jc w:val="left"/>
        <w:tblInd w:w="0" w:type="dxa"/>
        <w:tblLayout w:type="fixed"/>
        <w:tblCellMar>
          <w:top w:w="0" w:type="dxa"/>
          <w:left w:w="0" w:type="dxa"/>
          <w:bottom w:w="0" w:type="dxa"/>
          <w:right w:w="0" w:type="dxa"/>
        </w:tblCellMar>
      </w:tblPr>
      <w:tblGrid>
        <w:gridCol w:w="900"/>
        <w:gridCol w:w="9305"/>
      </w:tblGrid>
      <w:tr>
        <w:trPr/>
        <w:tc>
          <w:tcPr>
            <w:tcW w:w="900" w:type="dxa"/>
            <w:tcBorders/>
            <w:vAlign w:val="center"/>
          </w:tcPr>
          <w:p>
            <w:pPr>
              <w:pStyle w:val="TableContents"/>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 xml:space="preserve">Proposal 1 </w:t>
            </w:r>
            <w:r>
              <w:rPr>
                <w:rFonts w:ascii="Times New Roman;Times;serif" w:hAnsi="Times New Roman;Times;serif"/>
                <w:i/>
                <w:caps w:val="false"/>
                <w:smallCaps w:val="false"/>
                <w:color w:val="000000"/>
                <w:sz w:val="20"/>
              </w:rPr>
              <w:t>—</w:t>
            </w:r>
          </w:p>
        </w:tc>
        <w:tc>
          <w:tcPr>
            <w:tcW w:w="9305" w:type="dxa"/>
            <w:tcBorders/>
            <w:vAlign w:val="center"/>
          </w:tcPr>
          <w:p>
            <w:pPr>
              <w:pStyle w:val="TableContents"/>
              <w:bidi w:val="0"/>
              <w:spacing w:before="0" w:after="0"/>
              <w:jc w:val="both"/>
              <w:rPr>
                <w:rFonts w:ascii="Times New Roman;Times;serif" w:hAnsi="Times New Roman;Times;serif"/>
                <w:i/>
                <w:color w:val="000000"/>
                <w:sz w:val="20"/>
              </w:rPr>
            </w:pPr>
            <w:r>
              <w:rPr>
                <w:rFonts w:ascii="Times New Roman;Times;serif" w:hAnsi="Times New Roman;Times;serif"/>
                <w:b/>
                <w:i w:val="false"/>
                <w:caps w:val="false"/>
                <w:smallCaps w:val="false"/>
                <w:color w:val="000000"/>
                <w:sz w:val="20"/>
              </w:rPr>
              <w:t>FOR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election of the two (2) nominees for Class II directors to serve on the Company’s board of directors until the Company’s 2027 annual meeting of shareholders or until their respective successor or successors are duly elected and qualified or until their earlier death, resignation or removal from office; </w:t>
            </w:r>
          </w:p>
        </w:tc>
      </w:tr>
    </w:tbl>
    <w:tbl>
      <w:tblPr>
        <w:tblW w:w="10205" w:type="dxa"/>
        <w:jc w:val="left"/>
        <w:tblInd w:w="0" w:type="dxa"/>
        <w:tblLayout w:type="fixed"/>
        <w:tblCellMar>
          <w:top w:w="0" w:type="dxa"/>
          <w:left w:w="0" w:type="dxa"/>
          <w:bottom w:w="0" w:type="dxa"/>
          <w:right w:w="0" w:type="dxa"/>
        </w:tblCellMar>
      </w:tblPr>
      <w:tblGrid>
        <w:gridCol w:w="1012"/>
        <w:gridCol w:w="9193"/>
      </w:tblGrid>
      <w:tr>
        <w:trPr/>
        <w:tc>
          <w:tcPr>
            <w:tcW w:w="1012" w:type="dxa"/>
            <w:tcBorders/>
            <w:vAlign w:val="center"/>
          </w:tcPr>
          <w:p>
            <w:pPr>
              <w:pStyle w:val="TableContents"/>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Proposal 2 —</w:t>
            </w:r>
          </w:p>
        </w:tc>
        <w:tc>
          <w:tcPr>
            <w:tcW w:w="9193" w:type="dxa"/>
            <w:tcBorders/>
            <w:vAlign w:val="center"/>
          </w:tcPr>
          <w:p>
            <w:pPr>
              <w:pStyle w:val="TableContents"/>
              <w:bidi w:val="0"/>
              <w:spacing w:before="0" w:after="0"/>
              <w:jc w:val="both"/>
              <w:rPr>
                <w:rFonts w:ascii="Times New Roman;Times;serif" w:hAnsi="Times New Roman;Times;serif"/>
                <w:i/>
                <w:color w:val="000000"/>
                <w:sz w:val="20"/>
              </w:rPr>
            </w:pPr>
            <w:r>
              <w:rPr>
                <w:rFonts w:ascii="Times New Roman;Times;serif" w:hAnsi="Times New Roman;Times;serif"/>
                <w:b/>
                <w:i w:val="false"/>
                <w:caps w:val="false"/>
                <w:smallCaps w:val="false"/>
                <w:color w:val="000000"/>
                <w:sz w:val="20"/>
              </w:rPr>
              <w:t>FOR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ratification of the appointment of FORVIS, LLP as the independent registered public accounting firm of the Company for the year ending December 31, 2024.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6" w:name="ny20019245x2_def14a_105-about_pg4"/>
        <w:bookmarkEnd w:id="16"/>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will my shares be voted if I return a signed and dated proxy card, but don’t specify how my shares will be voted?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record holder of common stock as of the record date and return a completed proxy card that does not specify how you want to vote your shares on one or more proposals, the proxies will vote your shares for each proposal as to which you provide no voting instructions, and such shares will be voted in the following manner: </w:t>
      </w:r>
    </w:p>
    <w:tbl>
      <w:tblPr>
        <w:tblW w:w="10205" w:type="dxa"/>
        <w:jc w:val="left"/>
        <w:tblInd w:w="0" w:type="dxa"/>
        <w:tblLayout w:type="fixed"/>
        <w:tblCellMar>
          <w:top w:w="0" w:type="dxa"/>
          <w:left w:w="0" w:type="dxa"/>
          <w:bottom w:w="0" w:type="dxa"/>
          <w:right w:w="0" w:type="dxa"/>
        </w:tblCellMar>
      </w:tblPr>
      <w:tblGrid>
        <w:gridCol w:w="900"/>
        <w:gridCol w:w="9305"/>
      </w:tblGrid>
      <w:tr>
        <w:trPr/>
        <w:tc>
          <w:tcPr>
            <w:tcW w:w="900" w:type="dxa"/>
            <w:tcBorders/>
            <w:vAlign w:val="center"/>
          </w:tcPr>
          <w:p>
            <w:pPr>
              <w:pStyle w:val="TableContents"/>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 xml:space="preserve">Proposal 1 </w:t>
            </w:r>
            <w:r>
              <w:rPr>
                <w:rFonts w:ascii="Times New Roman;Times;serif" w:hAnsi="Times New Roman;Times;serif"/>
                <w:i/>
                <w:caps w:val="false"/>
                <w:smallCaps w:val="false"/>
                <w:color w:val="000000"/>
                <w:sz w:val="20"/>
              </w:rPr>
              <w:t>—</w:t>
            </w:r>
          </w:p>
        </w:tc>
        <w:tc>
          <w:tcPr>
            <w:tcW w:w="9305" w:type="dxa"/>
            <w:tcBorders/>
            <w:vAlign w:val="center"/>
          </w:tcPr>
          <w:p>
            <w:pPr>
              <w:pStyle w:val="TableContents"/>
              <w:bidi w:val="0"/>
              <w:spacing w:before="0" w:after="0"/>
              <w:jc w:val="both"/>
              <w:rPr>
                <w:rFonts w:ascii="Times New Roman;Times;serif" w:hAnsi="Times New Roman;Times;serif"/>
                <w:i/>
                <w:color w:val="000000"/>
                <w:sz w:val="20"/>
              </w:rPr>
            </w:pPr>
            <w:r>
              <w:rPr>
                <w:rFonts w:ascii="Times New Roman;Times;serif" w:hAnsi="Times New Roman;Times;serif"/>
                <w:b/>
                <w:i w:val="false"/>
                <w:caps w:val="false"/>
                <w:smallCaps w:val="false"/>
                <w:color w:val="000000"/>
                <w:sz w:val="20"/>
              </w:rPr>
              <w:t>FOR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election of the two (2) nominees for Class II directors to serve on the Company’s board of directors until the Company’s 2027 annual meeting of shareholders or until their respective successor or successors are duly elected and qualified or until their earlier death, resignation or removal from office; </w:t>
            </w:r>
          </w:p>
        </w:tc>
      </w:tr>
    </w:tbl>
    <w:tbl>
      <w:tblPr>
        <w:tblW w:w="10205" w:type="dxa"/>
        <w:jc w:val="left"/>
        <w:tblInd w:w="0" w:type="dxa"/>
        <w:tblLayout w:type="fixed"/>
        <w:tblCellMar>
          <w:top w:w="0" w:type="dxa"/>
          <w:left w:w="0" w:type="dxa"/>
          <w:bottom w:w="0" w:type="dxa"/>
          <w:right w:w="0" w:type="dxa"/>
        </w:tblCellMar>
      </w:tblPr>
      <w:tblGrid>
        <w:gridCol w:w="1012"/>
        <w:gridCol w:w="9193"/>
      </w:tblGrid>
      <w:tr>
        <w:trPr/>
        <w:tc>
          <w:tcPr>
            <w:tcW w:w="1012" w:type="dxa"/>
            <w:tcBorders/>
            <w:vAlign w:val="center"/>
          </w:tcPr>
          <w:p>
            <w:pPr>
              <w:pStyle w:val="TableContents"/>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Proposal 2 —</w:t>
            </w:r>
          </w:p>
        </w:tc>
        <w:tc>
          <w:tcPr>
            <w:tcW w:w="9193" w:type="dxa"/>
            <w:tcBorders/>
            <w:vAlign w:val="center"/>
          </w:tcPr>
          <w:p>
            <w:pPr>
              <w:pStyle w:val="TableContents"/>
              <w:bidi w:val="0"/>
              <w:spacing w:before="0" w:after="0"/>
              <w:jc w:val="both"/>
              <w:rPr>
                <w:rFonts w:ascii="Times New Roman;Times;serif" w:hAnsi="Times New Roman;Times;serif"/>
                <w:i/>
                <w:color w:val="000000"/>
                <w:sz w:val="20"/>
              </w:rPr>
            </w:pPr>
            <w:r>
              <w:rPr>
                <w:rFonts w:ascii="Times New Roman;Times;serif" w:hAnsi="Times New Roman;Times;serif"/>
                <w:b/>
                <w:i w:val="false"/>
                <w:caps w:val="false"/>
                <w:smallCaps w:val="false"/>
                <w:color w:val="000000"/>
                <w:sz w:val="20"/>
              </w:rPr>
              <w:t>FOR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ratification of the appointment of FORVIS, LLP as the independent registered public accounting firm of the Company for the year ending December 31, 2024.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“street name” holder and do not provide voting instructions on one or more proposals, your bank, broker or other nominee will be unable to vote those shares, except that such nominee will have discretion to vote on the ratification of the appointment of FORVIS, LLP as the independent registered public accounting firm of the Company for the year ending December 31, 2024 (Proposal 2).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my choices when voting?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the election of the two (2) nominees for Class II directors (Proposal 1), you may vote for, against or abstain from any one or all of the director nominees. With respect to the proposal to ratify the appointment of FORVIS, LLP (Proposal 2), you may vote for the proposal, against the proposal or abstain from voting on the proposal.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May I change my vote after I have submitted my proxy card?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Yes, if you are a record holder of common stock as of the record date, you may revoke your proxy or change your voting instructions at any time before your shares are voted at the annual meeting 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to the Company prior to the annual meeting a written notice of revocation addressed to: South Plains Financial, Inc., 5219 City Bank Parkway, Lubbock, Texas 79407, Attn: Corporate Secretary;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completing, signing and returning a new proxy card with a later date than your original proxy card, prior to such time that the proxy card for any such holder of common stock must be received, and any earlier proxy will be revoked automatically;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logging onto the Internet website specified on your proxy card in the same manner you would to submit your proxy electronically and following the instructions indicated on the proxy card;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attending the annual meeting and voting by means of remote communication, and any earlier proxy will be revoked. However, attending the annual meeting without voting by means of remote communication will not revoke your proxy.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and you desire to change any voting instructions you have previously given to the record holder of the shares of which you are the beneficial owner, you should contact the broker, bank or other nominee holding your shares in “street name” in order to direct a change in the manner your shares will be voted.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percentage of the vote is required to approve each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the presence of a quorum, the election of the two (2) nominees for Class II directors to serve on the Company’s board of directors until the Company’s 2027 annual meeting of shareholders or until their respective successor or successors are duly elected and qualified or until their earlier death, resignation or removal from office (Proposal 1) will require the affirmative vote of the holders of a majority of the shares entitled to vote in the election of directors and represented by means of remote communication or by proxy at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the presence of a quorum, the ratification of the appointment of FORVIS, LLP as the independent registered public accounting firm of the Company for the year ending December 31, 2024 (Proposal 2) will require the affirmative vote of the majority of the shares entitled to vote and represented by means of remote communication or by proxy at the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7" w:name="ny20019245x2_def14a_105-about_pg5"/>
        <w:bookmarkEnd w:id="17"/>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are broker non-votes and abstentions treated?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Broker non-votes, as long as there is one routine matter to be voted on at the meeting, such as the ratification of appointment of FORVIS, LLP as the Company’s independent registered public accounting firm for the year ending December 31, 2024 (Proposal 2), and abstentions are counted for purposes of determining the presence or absence of a quorum. A broker non-vote with respect to one or more nominees for director will not have the effect of a vote against such nominee or nominees (Proposal 1), while abstentions with respect to one or more nominees for director will have the same effect as a vote against such nominee or nominees. Because the ratification of the appointment of the independent registered public accounting firm is considered a routine matter and a broker or other nominee may generally vote on routine matters, no broker non-votes are expected to occur in connection with the proposal to ratify the appointment of FORVIS, LLP as the Company’s independent registered public accounting firm for the year ending December 31, 2024 (Proposal 2). Abstentions with respect to ratification of the appointment of FORVIS, LLP as the Company’s independent registered public accounting firm for the year ending December 31, 2024 (Proposal 2) will have the effect of a vote against the proposal to ratify.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solicitation expenses and who pays the cost of this proxy solicitation?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is asking for your proxy, and we will pay all of the costs of soliciting shareholder proxies. In addition to the solicitation of proxies via mail, our officers, directors and employees may solicit proxies personally or by other means of communication, without being paid additional compensation for such services. The Company will reimburse banks, brokerage houses and other custodians, nominees and fiduciaries for their reasonable expenses in forwarding the proxy materials to beneficial owners of common stock.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Are there any other matters to be acted upon at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Management does not intend to present any business at the annual meeting for a vote other than the matters set forth in the notice of the annual meeting, and management has no information that others will do so. The proxy also confers on the proxies the discretionary authority to vote with respect to any matter properly presented at the annual meeting. If other matters requiring a vote of the shareholders properly come before the annual meeting, it is the intention of the persons named in the accompanying proxy card to vote the shares represented by the proxies held by them in accordance with applicable law and their judgment on such matters.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voting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will publish the voting results in a current report on Form 8-K, which will be filed with the SEC within four (4) business days following the date of the annual meeting, or any adjournment(s) or postponement(s) thereof.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communicate with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communicate with the board, shareholders should submit their comments by sending written correspondence via mail or courier to South Plains Financial, Inc., 5219 City Bank Parkway, Lubbock, Texas 79407, Attn: Corporate Secretary; or via email at investors@city.bank. Shareholder communications will be sent directly to the specific director or directors of the Company indicated in the communication or to all members of the board if not specified.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8" w:name="ny20019245x2_def14a_106-prop1_pg1"/>
        <w:bookmarkEnd w:id="18"/>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 w:name="tP1"/>
      <w:bookmarkEnd w:id="19"/>
      <w:r>
        <w:rPr>
          <w:rFonts w:ascii="Times New Roman;Times;serif" w:hAnsi="Times New Roman;Times;serif"/>
          <w:b/>
          <w:color w:val="000000"/>
          <w:sz w:val="20"/>
        </w:rPr>
        <w:t xml:space="preserve">PROPOSAL 1. ELECTION OF DIRECTORS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Number of Directors; Term of Office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currently consists of six (6) directors. Pursuant to our certificate of formation, our board is divided into three (3) classes, which results in a “staggered” board. Directors stand for election for a term expiring at the third annual meeting of shareholders following the annual meeting of shareholders at which such director was elected, or until each person’s successor is duly elected and qualified, or until such director’s earlier death, resignation or removal from office. The term of the current Class II directors of the Company will expire at this year’s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elected, the below-listed Class II nominees will serve for a term commencing on the date of the annual meeting and continuing until the 2027 annual meeting of shareholders of the Company or until each person’s successor is duly elected and qualified, or until such director’s earlier death, resignation or removal from office. Each of the nominees listed below is currently serving as a Class II director of the Company.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Nominees for Election as Class II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name, age as of December 31, 2023, and positions with the Company for each nominee for election as a Class II director of the Company: </w:t>
      </w:r>
    </w:p>
    <w:tbl>
      <w:tblPr>
        <w:tblW w:w="3623" w:type="dxa"/>
        <w:jc w:val="left"/>
        <w:tblInd w:w="0" w:type="dxa"/>
        <w:tblLayout w:type="fixed"/>
        <w:tblCellMar>
          <w:top w:w="0" w:type="dxa"/>
          <w:left w:w="0" w:type="dxa"/>
          <w:bottom w:w="85" w:type="dxa"/>
          <w:right w:w="0" w:type="dxa"/>
        </w:tblCellMar>
      </w:tblPr>
      <w:tblGrid>
        <w:gridCol w:w="1385"/>
        <w:gridCol w:w="23"/>
        <w:gridCol w:w="23"/>
        <w:gridCol w:w="305"/>
        <w:gridCol w:w="23"/>
        <w:gridCol w:w="23"/>
        <w:gridCol w:w="680"/>
        <w:gridCol w:w="23"/>
        <w:gridCol w:w="23"/>
        <w:gridCol w:w="1115"/>
      </w:tblGrid>
      <w:tr>
        <w:trPr/>
        <w:tc>
          <w:tcPr>
            <w:tcW w:w="138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Nominee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30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Director Since </w:t>
            </w:r>
          </w:p>
        </w:tc>
      </w:tr>
      <w:tr>
        <w:trPr/>
        <w:tc>
          <w:tcPr>
            <w:tcW w:w="13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Cory T. Newsom</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15" w:type="dxa"/>
            <w:tcBorders/>
            <w:shd w:fill="CCEEFF" w:val="clear"/>
            <w:tcMar>
              <w:bottom w:w="0" w:type="dxa"/>
            </w:tcMar>
            <w:vAlign w:val="center"/>
          </w:tcPr>
          <w:p>
            <w:pPr>
              <w:pStyle w:val="TableContents"/>
              <w:bidi w:val="0"/>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2008 </w:t>
            </w:r>
          </w:p>
        </w:tc>
      </w:tr>
      <w:tr>
        <w:trPr/>
        <w:tc>
          <w:tcPr>
            <w:tcW w:w="138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Noe G. Valles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05" w:type="dxa"/>
            <w:tcBorders/>
            <w:tcMar>
              <w:bottom w:w="0" w:type="dxa"/>
            </w:tcM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15" w:type="dxa"/>
            <w:tcBorders/>
            <w:tcMar>
              <w:bottom w:w="0" w:type="dxa"/>
            </w:tcMar>
            <w:vAlign w:val="center"/>
          </w:tcPr>
          <w:p>
            <w:pPr>
              <w:pStyle w:val="TableContents"/>
              <w:bidi w:val="0"/>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2019</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Cory T. Newsom – Director and President</w:t>
      </w:r>
      <w:r>
        <w:rPr>
          <w:rFonts w:ascii="Times New Roman;Times;serif" w:hAnsi="Times New Roman;Times;serif"/>
          <w:i w:val="false"/>
          <w:caps w:val="false"/>
          <w:smallCaps w:val="false"/>
          <w:color w:val="000000"/>
          <w:sz w:val="20"/>
        </w:rPr>
        <w:t xml:space="preserve">. Mr. Newsom was named President of the Company in 2019 and has served on the board of directors of the Company since 2008. From 2004 to 2019, he served in various roles at the Company, including Chief Operating Officer, Senior Vice President, and Executive Vice President. Mr. Newsom also served as Chief Operating Officer of the Bank from 1993 to 2007 before being named as President and Chief Executive Officer of the Bank in 2008, positions he continues to hold. He has also served on the board of directors of the Bank since 2002. Mr. Newsom began his career in banking in 1984 with the Bank and its predecessors by progressing through the retail and operations areas. He currently serves on the board of directors of IBAT, Lubbock Children’s Home Foundation, Texas Boys Ranch Foundation, and the University Medical Center Foundation and has previously served on the Board of Managers of University Medical Center in Lubbock. Mr. Newsom earned a Bachelor of Business degree in management from Texas Tech University in 1989 and holds licenses as a managing general agent and general lines agent with the Texas Department of Insurance. His many years of banking experience, and his long-standing business and banking relationships in our markets, qualify him to serve on our board.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Noe G. Valles</w:t>
      </w:r>
      <w:r>
        <w:rPr>
          <w:rFonts w:ascii="Times New Roman;Times;serif" w:hAnsi="Times New Roman;Times;serif"/>
          <w:i w:val="false"/>
          <w:caps w:val="false"/>
          <w:smallCaps w:val="false"/>
          <w:color w:val="000000"/>
          <w:sz w:val="20"/>
        </w:rPr>
        <w:t xml:space="preserve">. Mr. Valles joined the board of directors of the Company in 2019 and has served on the board of directors of the Bank since 2015. He is an attorney and has acted as the pre-litigation managing partner of Glasheen, Valles and Inderman, LLP since 2004. Mr. Valles is experienced in handling cases involving all types of injuries and has provided personal injury services in English and Spanish for 25 years. He is licensed to practice law in Texas and New Mexico state courts as well as the U.S. District Court for the Northern and Eastern Districts of Texas. Mr. Valles served on the Board of Managers of University Medical Center in Lubbock for 11 years. In 2018, he was awarded the Community Leader of the Year by the Lubbock League of Latin American Citizens. Mr. Valles earned a Bachelor of Arts degree from Wayland Baptist University in 1988 and was awarded the Distinguished Alumni Award from the University in 2018. He also earned a law degree from Texas Tech University in 1993. Mr. Valles is qualified to serve on our board because of his vast legal expertise and his intimate knowledge of the Texas and New Mexico communities that we serve.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Election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the presence of a quorum at the annual meeting, the election of directors will require the affirmative vote of the holders of a majority of the shares entitled to vote in the election of directors and represented by means of remote communication or by proxy. This means that the two (2) Class II director nominees who receive a majority of affirmative votes for their election at this year’s annual meeting will be elected.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represented by proxy will be voted in accordance with instructions. In the absence of instructions to the contrary, completed proxy cards that do not specify how shares should be voted with respect to the election of directors will be voted FOR the election of each Class II nominee listed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0" w:name="ny20019245x2_def14a_106-prop1_pg2"/>
        <w:bookmarkEnd w:id="20"/>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nominee becomes unavailable to serve as a director for any reason before the election, the shares represented by proxy will be voted for such other person, if any, as may be designated by the Company’s board of directors. Alternatively, in lieu of designating a substitute, the Company’s board of directors may reduce the number of directors of the Company. The board has no reason to believe that any of the Class II nominees listed above will be unavailable to serve as a director. All of the Class II nominees listed above have consented to being named herein and to serve if elected. </w:t>
      </w:r>
    </w:p>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THE BOARD RECOMMENDS A VOTE “FOR” THE ELECTION OF EACH OF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THE TWO (2) CLASS II NOMINEES LISTED ABOVE FOR ELECTION TO THE BOARD.</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1" w:name="ny20019245x2_def14a_107-prop2_pg1"/>
        <w:bookmarkEnd w:id="21"/>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 w:name="tP2"/>
      <w:bookmarkEnd w:id="22"/>
      <w:r>
        <w:rPr>
          <w:rFonts w:ascii="Times New Roman;Times;serif" w:hAnsi="Times New Roman;Times;serif"/>
          <w:b/>
          <w:color w:val="000000"/>
          <w:sz w:val="20"/>
        </w:rPr>
        <w:t xml:space="preserve">PROPOSAL 2. RATIFICATION OF THE APPOINTMENT OF INDEPENDENT REGISTERED PUBLIC ACCOUNTING FIRM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recommendation of the audit committee of the board of directors (the “Audit Committee”), the board has appointed FORVIS, LLP as the independent registered public accounting firm of the Company for the year ending December 31, 2024. The board is seeking shareholder ratification of the appointment of FORVIS, LLP for the 2024 fiscal year. Shareholder ratification of the selection of FORVIS, LLP as our independent registered public accounting firm for the 2024 fiscal year is not required by our governing documents, state law or otherwise. However, the board is submitting the selection of FORVIS, LLP to our shareholders for ratification as a matter of good corporate governance. If the shareholders fail to ratify the selection, the Audit Committee may consider this information when determining whether to retain FORVIS, LLP for future services. Even if the appointment is ratified, the Audit Committee in its discretion may direct the appointment of a different independent registered public accounting firm at any time if it is determined that such a change would be in the best interests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annual meeting, shareholders will be asked to consider and act upon a proposal to ratify the appointment of FORVIS, LLP as the independent registered public accounting firm of the Company for the year ending December 31, 2024. Assuming a quorum is present, the ratification of such appointment will require the affirmative vote of the majority of the shares entitled to vote and represented by means of remote communication or by proxy. Shares represented by proxy will be voted in accordance with instructions. In the absence of instructions to the contrary, completed proxy cards that do not specify how shares should be voted with respect to the ratification of the appointment of FORVIS, LLP will be voted FOR the ratification.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Representatives of FORVIS, LLP are expected to be in attendance at the annual meeting, will be afforded the opportunity to make a statement, and will be available to respond to appropriate questions. </w:t>
      </w:r>
    </w:p>
    <w:p>
      <w:pPr>
        <w:pStyle w:val="TextBody"/>
        <w:bidi w:val="0"/>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THE BOARD RECOMMENDS A VOTE “FOR” THE PROPOSAL TO RATIFY THE APPOINTMENT OF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FORVIS, LLP AS THE COMPANY’S INDEPENDENT REGISTERED PUBLIC ACCOUNTING FIRM FOR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THE YEAR ENDING DECEMBER 31, 2024.</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3" w:name="ny20019245x2_def14a_108-corp_pg1"/>
        <w:bookmarkEnd w:id="2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 w:name="tCG"/>
      <w:bookmarkEnd w:id="24"/>
      <w:r>
        <w:rPr>
          <w:rFonts w:ascii="Times New Roman;Times;serif" w:hAnsi="Times New Roman;Times;serif"/>
          <w:b/>
          <w:color w:val="000000"/>
          <w:sz w:val="20"/>
        </w:rPr>
        <w:t xml:space="preserve">CORPORATE GOVERNANCE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met eighteen (18) times during the 2023 fiscal year (including regularly scheduled and special meetings). During the 2023 fiscal year, each director participated in at least 75% or more of the aggregate of (i) the total number of meetings of the board (held during the period for which he or she was a director) and (ii) the total number of meetings of all committees of the board on which he or she served (during the period that he or she served).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Attendance at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the Company does not have a formal policy requiring the directors’ attendance, the board encourages all directors to attend the annual meeting of shareholders. All of our directors attended the 2023 annual meeting of shareholders.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 Communications: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Shareholders who wish to communicate directly with the board may do so by writing to South Plains Financial, Inc. Board of Directors, Corporate Secretary, South Plains Financial, Inc., 5219 City Bank Parkway, Lubbock, Texas 79407. Shareholders may also communicate directly with individual directors by addressing their correspondence accordingly.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Composition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size of our board is currently set at six members and the board is divided into three classes. In accordance with the Company’s bylaws, the size of the board is fixed as determined from time to time by resolution of the board. The members of each class are elected for a term of office to expire at the third annual meeting of shareholders following the annual meeting of shareholders at which such director was elected. Any director vacancies may be filled only by the board, even if the remaining directors constitute less than a quorum of the full board; provided, however, that the board may not fill more than two (2) such vacancies resulting from an increase in the number of directors, and, further, that any vacancy in the board resulting from the removal of a director by the shareholders shall be filled only by the shareholders entitled to vote at an annual meeting or a special meeting called for that purpose. In accordance with the Company’s bylaws, a director appointed to fill a vacancy will be appointed to serve until such director’s successor shall have been duly elected and qualified.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our board has six members, divided into three classes, Class I, Class II and Class III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Class I directors are Richard D. Campbell and LaDana R. Washburn, and their term will expire at the annual meeting of shareholders to be held in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Class II directors are Cory T. Newsom and Noe G. Valles, and their term will expire at the annual meeting of shareholders to be held in 2024;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Class III directors are Curtis C. Griffith and Kyle R. Wargo, and their term will expire at the annual meeting of shareholders to be held in 2025.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discussed in greater detail below, the board has affirmatively determined that each of Richard D. Campbell, Noe G. Valles, Kyle R. Wargo, and LaDana R. Washburn is an independent director, as defined under the applicable rules. The board determined that each of Curtis C. Griffith and Cory T. Newsom do not qualify as an independent director because each is an executive officer of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5" w:name="ny20019245x2_def14a_108-corp_pg2"/>
        <w:bookmarkEnd w:id="25"/>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provides information about the directors. The board is divided into three classes, the terms of which expire at our annual shareholders’ meetings in 2024, 2025, and 2026. Ages are as of December 31, 2023. </w:t>
      </w:r>
    </w:p>
    <w:tbl>
      <w:tblPr>
        <w:tblW w:w="10205" w:type="dxa"/>
        <w:jc w:val="left"/>
        <w:tblInd w:w="0" w:type="dxa"/>
        <w:tblLayout w:type="fixed"/>
        <w:tblCellMar>
          <w:top w:w="0" w:type="dxa"/>
          <w:left w:w="0" w:type="dxa"/>
          <w:bottom w:w="85" w:type="dxa"/>
          <w:right w:w="0" w:type="dxa"/>
        </w:tblCellMar>
      </w:tblPr>
      <w:tblGrid>
        <w:gridCol w:w="1596"/>
        <w:gridCol w:w="23"/>
        <w:gridCol w:w="23"/>
        <w:gridCol w:w="305"/>
        <w:gridCol w:w="23"/>
        <w:gridCol w:w="23"/>
        <w:gridCol w:w="3335"/>
        <w:gridCol w:w="23"/>
        <w:gridCol w:w="23"/>
        <w:gridCol w:w="3065"/>
        <w:gridCol w:w="23"/>
        <w:gridCol w:w="23"/>
        <w:gridCol w:w="761"/>
        <w:gridCol w:w="23"/>
        <w:gridCol w:w="23"/>
        <w:gridCol w:w="913"/>
      </w:tblGrid>
      <w:tr>
        <w:trPr/>
        <w:tc>
          <w:tcPr>
            <w:tcW w:w="1596"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30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333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 with the Company</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306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 with the Bank</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61"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Director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Since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13"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Director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Until / Class </w:t>
            </w:r>
          </w:p>
        </w:tc>
      </w:tr>
      <w:tr>
        <w:trPr/>
        <w:tc>
          <w:tcPr>
            <w:tcW w:w="159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Curtis C. Griffith</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71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3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Chairman of the Board; Chief Executive Officer</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0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Chairman of the Board</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61"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1993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1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2025 / III </w:t>
            </w:r>
          </w:p>
        </w:tc>
      </w:tr>
      <w:tr>
        <w:trPr/>
        <w:tc>
          <w:tcPr>
            <w:tcW w:w="1596"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Cory T. Newsom</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05" w:type="dxa"/>
            <w:tcBorders/>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3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President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0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President; Chief Executive Officer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61"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2008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1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 II </w:t>
            </w:r>
          </w:p>
        </w:tc>
      </w:tr>
      <w:tr>
        <w:trPr/>
        <w:tc>
          <w:tcPr>
            <w:tcW w:w="159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D. Campbell</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3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0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61"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2011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1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2026 / I </w:t>
            </w:r>
          </w:p>
        </w:tc>
      </w:tr>
      <w:tr>
        <w:trPr/>
        <w:tc>
          <w:tcPr>
            <w:tcW w:w="1596"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Noe G. Valles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05" w:type="dxa"/>
            <w:tcBorders/>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3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0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61"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2019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1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 II </w:t>
            </w:r>
          </w:p>
        </w:tc>
      </w:tr>
      <w:tr>
        <w:trPr/>
        <w:tc>
          <w:tcPr>
            <w:tcW w:w="159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Kyle R. Wargo</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3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0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61"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2016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1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2025 / III </w:t>
            </w:r>
          </w:p>
        </w:tc>
      </w:tr>
      <w:tr>
        <w:trPr/>
        <w:tc>
          <w:tcPr>
            <w:tcW w:w="1596"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LaDana R. Washburn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05" w:type="dxa"/>
            <w:tcBorders/>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3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0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61"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1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 / I</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brief discussion of the business and banking background and experience of our directors.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 Directors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Curtis C. Griffith</w:t>
      </w:r>
      <w:r>
        <w:rPr>
          <w:rFonts w:ascii="Times New Roman;Times;serif" w:hAnsi="Times New Roman;Times;serif"/>
          <w:i/>
          <w:caps w:val="false"/>
          <w:smallCaps w:val="false"/>
          <w:color w:val="000000"/>
          <w:sz w:val="20"/>
        </w:rPr>
        <w:t xml:space="preserve"> </w:t>
      </w:r>
      <w:r>
        <w:rPr>
          <w:rFonts w:ascii="Times New Roman;Times;serif" w:hAnsi="Times New Roman;Times;serif"/>
          <w:i/>
          <w:color w:val="000000"/>
          <w:sz w:val="20"/>
        </w:rPr>
        <w:t>– Chairman and Chief Executive Officer</w:t>
      </w:r>
      <w:r>
        <w:rPr>
          <w:rFonts w:ascii="Times New Roman;Times;serif" w:hAnsi="Times New Roman;Times;serif"/>
          <w:i w:val="false"/>
          <w:caps w:val="false"/>
          <w:smallCaps w:val="false"/>
          <w:color w:val="000000"/>
          <w:sz w:val="20"/>
        </w:rPr>
        <w:t xml:space="preserve">. Mr. Griffith has been with the Company since its inception and has worked with the Bank and its predecessor institutions since 1972. Mr. Griffith became our Chairman and Chief Executive Officer in 1993. In 1972, he was elected to the board of directors of First State Bank of Morton, Texas, a predecessor institution to the Bank, and continues to serve on the board of directors of the Bank. Mr. Griffith has also served as Chairman of the Bank since 1993. Mr. Griffith owns and operates several agriculture-related businesses. In addition, he is a member of the State Bar of Texas, National Cotton Council, Plains Cotton Growers, Texas Cotton Ginners Association and the Texas Independent Ginners Association. He has served on the board of directors of IBAT and continues to serve on the Legislative and PAC committees for IBAT. He has served on the boards of several civic and charitable organizations, including Lubbock Economic Development Alliance, University Medical Center, Texas Tech University Foundation, Lubbock Symphony Orchestra, and the Texas Tech Cotton Economics Advisory Committee. He currently serves as a director and officer of the Agriculture Heritage Museum, and as a director of the Texas Tech Research Park, Inc. Mr. Griffith earned degrees in agricultural economics and law from Texas Tech University in 1973 and 1977, respectively. Mr. Griffith’s extensive banking experience, reputable position in the community and invaluable leadership qualify him to serve on our board of directors.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Cory T. Newsom – Director and President</w:t>
      </w:r>
      <w:r>
        <w:rPr>
          <w:rFonts w:ascii="Times New Roman;Times;serif" w:hAnsi="Times New Roman;Times;serif"/>
          <w:i w:val="false"/>
          <w:caps w:val="false"/>
          <w:smallCaps w:val="false"/>
          <w:color w:val="000000"/>
          <w:sz w:val="20"/>
        </w:rPr>
        <w:t xml:space="preserve">. Mr. Newsom was named President of the Company in 2019 and has served on the board of directors of the Company since 2008. From 2004 to 2019, he served in various roles at the Company, including Chief Operating Officer, Senior Vice President, and Executive Vice President. Mr. Newsom also served as Chief Operating Officer of the Bank from 1993 to 2007 before being named as President and Chief Executive Officer of the Bank in 2008, positions he continues to hold. He has also served on the board of directors of the Bank since 2002. Mr. Newsom began his career in banking in 1984 with the Bank and its predecessors by progressing through the retail and operations areas. He currently serves on the board of directors of IBAT, Lubbock Children’s Home Foundation, Texas Boys Ranch Foundation, and the University Medical Center Foundation and has previously served on the Board of Managers of University Medical Center in Lubbock. Mr. Newsom earned a Bachelor of Business degree in management from Texas Tech University in 1989 and holds licenses as a managing general agent and general lines agent with the Texas Department of Insurance. His many years of banking experience, and his long-standing business and banking relationships in our markets, qualify him to serve on our board.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Non-Employee Directors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Richard “Danny” Campbell</w:t>
      </w:r>
      <w:r>
        <w:rPr>
          <w:rFonts w:ascii="Times New Roman;Times;serif" w:hAnsi="Times New Roman;Times;serif"/>
          <w:i w:val="false"/>
          <w:caps w:val="false"/>
          <w:smallCaps w:val="false"/>
          <w:color w:val="000000"/>
          <w:sz w:val="20"/>
        </w:rPr>
        <w:t xml:space="preserve">. Mr. Campbell serves as the Lead Independent Director on the board of directors of the Company and has served on the board of directors of each of the Company and the Bank since 2011. He currently serves as Co-Manager of Henry Resources LLC, President and Chief Executive Officer of Henry TAW LP and as a member of the board of directors and head of the investment team of The Henry Companies Control Trust, part of the Henry family office. He is the former President of Henry Resources LLC, an oil and gas company, Vice President and Chief Investment Officer to the Henry family and Vice President of Business Development for Henry Resources. Mr. Campbell joined Henry Resources in May 2007 after 26 years of oil and gas and banking experience.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6" w:name="ny20019245x2_def14a_108-corp_pg3"/>
        <w:bookmarkEnd w:id="26"/>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He served as Executive Vice President and as a member of the board of directors of Community National Bank in Midland, Texas, from 2002 until 2007. He brings energy lending oversight and energy advisor experience to the Company from his role as Executive Vice President at Chase Bank in the Permian Basin from 1998 to 2000. In addition to many community service organizations, he has served as a trustee of Wayland Baptist University and on the board of directors for each of the Permian Basin Petroleum Association, Midland Petroleum Club and the Mabee Foundation. He obtained a degree in petroleum engineering from Louisiana State University in 1980. Mr. Campbell’s extensive experience in the energy lending and banking industries qualify him to serve on our board. Henry TAW’s investment in 2011 provided for the appointment of one board member. Richard Campbell was chosen as the appointed board member. All of the shares of the Company owned by Henry TAW LP and James C. Henry are subject to a voting agreement and irrevocable proxy pursuant to which Mr. Campbell exercises voting authority.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Noe G. Valles</w:t>
      </w:r>
      <w:r>
        <w:rPr>
          <w:rFonts w:ascii="Times New Roman;Times;serif" w:hAnsi="Times New Roman;Times;serif"/>
          <w:i w:val="false"/>
          <w:caps w:val="false"/>
          <w:smallCaps w:val="false"/>
          <w:color w:val="000000"/>
          <w:sz w:val="20"/>
        </w:rPr>
        <w:t xml:space="preserve">. Mr. Valles joined the board of directors of the Company in 2019 and has served on the board of directors of the Bank since 2015. He is an attorney and has acted as the pre-litigation managing partner of Glasheen, Valles and Inderman, LLP since 2004. Mr. Valles is experienced in handling cases involving all types of injuries and has provided personal injury services in English and Spanish for 25 years. He is licensed to practice law in Texas and New Mexico state courts as well as the U.S. District Court for the Northern and Eastern Districts of Texas. Mr. Valles served on the Board of Managers of University Medical Center in Lubbock for 11 years. In 2018, he was awarded the Community Leader of the Year by the Lubbock League of Latin American Citizens. Mr. Valles earned a Bachelor of Arts degree from Wayland Baptist University in 1988 and was awarded the Distinguished Alumni Award from the University in 2018. He also earned a law degree from Texas Tech University in 1993. Mr. Valles is qualified to serve on our board because of his vast legal expertise and his intimate knowledge of the Texas and New Mexico communities that we serve.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Kyle R. Wargo</w:t>
      </w:r>
      <w:r>
        <w:rPr>
          <w:rFonts w:ascii="Times New Roman;Times;serif" w:hAnsi="Times New Roman;Times;serif"/>
          <w:i w:val="false"/>
          <w:caps w:val="false"/>
          <w:smallCaps w:val="false"/>
          <w:color w:val="000000"/>
          <w:sz w:val="20"/>
        </w:rPr>
        <w:t xml:space="preserve">. Dr. Wargo has served on the board of directors of the Company since 2016 and on the board of directors of the Bank since 2013. He also served as an advisory director to the Bank from 2002 to 2013. Dr. Wargo has served as Executive Director of Region 17 Education Service Center since 1996 and has previously been a member of the Texas Tech University graduate faculty. Prior to these roles, he served as superintendent of Levelland Independent School District from 1993 to 1996. He also served as Assistant to Superintendent at La Marque Independent School District from 1989 to 1993. Dr. Wargo is a member of the Texas Association of School Administrators and the American Association of School Administrators. Since 1996, he has served as a member of the board of directors and treasurer of the Science Spectrum Museum in Lubbock and since 2008, he has served as a member of the board of directors of Workforce Solutions South Plains. He earned a Bachelor of Science degree from Baylor University in 1982, a Masters of Education from the University of Houston-Clear Lake in 1984, and a Doctorate in Education from the University of Houston in 1995. Dr. Wargo’s experience in administration and leadership, as well as his understanding of state and local government, qualify him to serve on our board.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LaDana R. Washburn</w:t>
      </w:r>
      <w:r>
        <w:rPr>
          <w:rFonts w:ascii="Times New Roman;Times;serif" w:hAnsi="Times New Roman;Times;serif"/>
          <w:i w:val="false"/>
          <w:caps w:val="false"/>
          <w:smallCaps w:val="false"/>
          <w:color w:val="000000"/>
          <w:sz w:val="20"/>
        </w:rPr>
        <w:t xml:space="preserve">. Ms. Washburn joined the board of directors of the Company in 2023. She enjoyed a 26 year career with EY, serving as lead audit partner for public and private companies of varying sizes, primarily within the financial services industry, including both commercial and community banks. Ms. Washburn assisted numerous clients in mergers and acquisitions and capital raising initiatives, along with providing advice to support private companies in transitioning to a public company. Ms. Washburn spent four years within EY’s Professional Practice Quality and Regulatory Matters national assurance practice. During that time, she provided oversight of inspections of public and private clients of varying sizes within banking and capital markets and other industries. She was also selected to coach and provide ongoing training to audit professionals in EY’s Latin America Chile banking practice, focusing on risk and audit. Ms. Washburn earned both a Bachelor of Business degree in finance and a Master of Professional Accounting degree from the University of Texas at Arlington in 1991 and 1993, respectively. She is a Certified Public Accountant and a member of the AICPA. Ms. Washburn serves as Treasurer for the National Charity League, Inc., DFW Metroport Chapter, and serves on the University of Texas at Arlington Department of Accounting Advisory Board.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Independence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rules of the Nasdaq Global Select Market, a majority of the members of our board are required to be independent. The rules of the Nasdaq Global Select Market, as well as those of the SEC, also impose several other requirements with respect to the independence of our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7" w:name="ny20019245x2_def14a_108-corp_pg4"/>
        <w:bookmarkEnd w:id="27"/>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evaluated the independence of each director based upon the rules of the NASDAQ Stock Market and the SEC and has considered the relationships that each director has with the Company, including the transactions described under the section titled “Certain Relationships and Related Person Transactions” in this proxy statement. Applying these standards, our board has affirmatively determined that each of Richard D. Campbell, Noe G. Valles, Kyle R. Wargo, and LaDana R. Washburn is an independent director, as defined under the applicable rules. The board determined that each of Curtis C. Griffith and Cory T. Newsom does not qualify as an independent director because each is an executive officer of the Company.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Leadership Structure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Chairman</w:t>
      </w:r>
      <w:r>
        <w:rPr>
          <w:rFonts w:ascii="Times New Roman;Times;serif" w:hAnsi="Times New Roman;Times;serif"/>
          <w:i w:val="false"/>
          <w:caps w:val="false"/>
          <w:smallCaps w:val="false"/>
          <w:color w:val="000000"/>
          <w:sz w:val="20"/>
        </w:rPr>
        <w:t xml:space="preserve">. Curtis C. Griffith currently serves as our Chairman and Chief Executive Officer. Mr. Griffith has been with the Company since its inception and has worked with the Bank and its predecessor institutions for over 50 years. Mr. Griffith has served as Chairman and President of the Company since 1993. In 2019, our executive officer titles were updated, and Mr. Griffith began serving as Chief Executive Officer of the Company rather than President of the Company. Mr. Griffith has also served as Chairman of the Bank since 1984. Mr. Griffith’s primary duties are to lead our board in establishing the Company’s overall vision and strategic plan and to lead the Company’s management in carrying out that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does not have a formal policy requiring the separation of the roles of Chief Executive Officer and Chairman of the Board. It is the board’s view that rather than having a rigid policy, the board, with the advice and assistance of the nominating and corporate governance committee of the board of directors (the “Nominating and Corporate Governance Committee”), and upon consideration of all relevant factors and circumstances, will determine, as and when appropriate, whether the two offices should be separate. Currently, our leadership structure does not separate the offices of Chief Executive Officer and Chairman of the Board. The board has determined that this leadership structure is in the best interest of our shareholders at this time. Our board believes that this structure makes best use of the Chief Executive Officer’s extensive knowledge of our organization and the banking industry. The board views this arrangement as also providing an efficient nexus between our organization and the board, enabling the board to obtain information pertaining to operational matters expeditiously and enabling our Chairman to bring areas of concern before the board in a timely manner.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Lead Independent Director</w:t>
      </w:r>
      <w:r>
        <w:rPr>
          <w:rFonts w:ascii="Times New Roman;Times;serif" w:hAnsi="Times New Roman;Times;serif"/>
          <w:i w:val="false"/>
          <w:caps w:val="false"/>
          <w:smallCaps w:val="false"/>
          <w:color w:val="000000"/>
          <w:sz w:val="20"/>
        </w:rPr>
        <w:t xml:space="preserve">. At any time that the Chairman is not independent, the independent directors elect a director to serve as the Lead Independent Director. The Lead Independent Director serves as a liaison between the Chairman and the independent directors and has the authority to call and chair meetings or executive sessions of the independent directors, which are held periodically as appropriate but at least twice annually. The Lead Independent Director also chairs full board of directors’ meetings in the absence of the Chairman. Our board has designated Richard D. Campbell to serve as Lead Independent Director.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 Management and Oversight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ultimate authority and responsibility for overseeing our risk management. The board monitors, reviews and reacts to material enterprise risks identified by management. The board receives specific reports from executive management on credit, interest rate, liquidity, transactional, compliance and legal, strategic, and reputational risks and the degree of exposure to those risks. The board helps ensure that management is properly focused on risk by, among other things, reviewing and discussing the performance of senior management and business line leaders. Committees of the board have responsibility for risk oversight in specific areas. The Audit Committee oversees financial, accounting and internal control risk management policies. The compensation committee of the board of directors (the “Compensation Committee”) assesses and monitors risks in our compensation program. While our full board maintains the ultimate oversight responsibility for the risk management process, its committees oversee risk in certain specified areas as described in the section entitled “Committees of the Board.”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Nominations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considers nominees to serve as directors of the Company and recommends such persons to the board. The Nominating and Corporate Governance Committee also considers director candidates recommended by shareholders in accordance with the procedures and deadlines summarized in the section titled “Date for Submission of Shareholder Proposals for 2025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8" w:name="ny20019245x2_def14a_108-corp_pg5"/>
        <w:bookmarkEnd w:id="28"/>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Criteria for Director Nominees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believes that our directors should have the highest professional and personal ethics and values. They should have broad experience at the policy-making level in areas relevant to our business. They should be committed to enhancing shareholder value and should have sufficient time to carry out their duties and to provide insight and practical wisdom based on experience. Each director must represent the interests of all shareholders. When considering potential director candidates, our board also considers the candidate’s character, judgment, diversity, skill set, specific business background and experience in the context of our needs and those of the board. The Company does not maintain a specific diversity policy, but diversity is considered in the Company’s review of candidates. Diversity includes not only gender and ethnicity, but the various perspectives that come from having differing viewpoints, background, experience and demographics.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Committees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established standing committees in connection with the discharge of its responsibilities. These committees include the Audit Committee, the Compensation Committee and the Nominating and Corporate Governance Committee. Our board also may establish such other committees as it deems appropriate, in accordance with applicable law and regulations and our certificate of formation and our bylaws.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a separately designated standing Audit Committee as required by the rules of the NASDAQ Stock Market. The Charter of the Audit Committee adopted by the board sets out the responsibilities, authority and specific duties of the Audit Committee. The Charter of the Audit Committee is available on the Company’s website at www.spfi.bank under the “Governance” tab. The Audit Committee met nine (9) times during the year 2023.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responsibilities of the Audit Committee include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overseeing the quality and integrity of regulatory and financial accounting, financial statements, financial reporting processes and systems of internal accounting and financial controls;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overseeing the annual independent audit of the Company’s financial statements and internal control over the Bank’s financial reporting, the engagement, compensation and retention of the independent registered public accounting firm and the evaluation of the independent registered public accounting firm’s qualifications, independence and performance; </w:t>
            </w:r>
          </w:p>
        </w:tc>
      </w:tr>
    </w:tbl>
    <w:tbl>
      <w:tblPr>
        <w:tblW w:w="9070" w:type="dxa"/>
        <w:jc w:val="left"/>
        <w:tblInd w:w="0" w:type="dxa"/>
        <w:tblLayout w:type="fixed"/>
        <w:tblCellMar>
          <w:top w:w="0" w:type="dxa"/>
          <w:left w:w="0" w:type="dxa"/>
          <w:bottom w:w="0" w:type="dxa"/>
          <w:right w:w="0" w:type="dxa"/>
        </w:tblCellMar>
      </w:tblPr>
      <w:tblGrid>
        <w:gridCol w:w="110"/>
        <w:gridCol w:w="8960"/>
      </w:tblGrid>
      <w:tr>
        <w:trPr/>
        <w:tc>
          <w:tcPr>
            <w:tcW w:w="110" w:type="dxa"/>
            <w:tcBorders/>
            <w:vAlign w:val="center"/>
          </w:tcPr>
          <w:p>
            <w:pPr>
              <w:pStyle w:val="TableContents"/>
              <w:bidi w:val="0"/>
              <w:spacing w:before="0" w:after="0"/>
              <w:jc w:val="left"/>
              <w:rPr>
                <w:color w:val="000000"/>
              </w:rPr>
            </w:pPr>
            <w:r>
              <w:rPr>
                <w:color w:val="000000"/>
              </w:rPr>
              <w:t>•</w:t>
            </w:r>
          </w:p>
        </w:tc>
        <w:tc>
          <w:tcPr>
            <w:tcW w:w="89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resolving any disagreements regarding financial reporting between management and the independent auditor; </w:t>
            </w:r>
          </w:p>
        </w:tc>
      </w:tr>
    </w:tbl>
    <w:tbl>
      <w:tblPr>
        <w:tblW w:w="7045" w:type="dxa"/>
        <w:jc w:val="left"/>
        <w:tblInd w:w="0" w:type="dxa"/>
        <w:tblLayout w:type="fixed"/>
        <w:tblCellMar>
          <w:top w:w="0" w:type="dxa"/>
          <w:left w:w="0" w:type="dxa"/>
          <w:bottom w:w="0" w:type="dxa"/>
          <w:right w:w="0" w:type="dxa"/>
        </w:tblCellMar>
      </w:tblPr>
      <w:tblGrid>
        <w:gridCol w:w="110"/>
        <w:gridCol w:w="6935"/>
      </w:tblGrid>
      <w:tr>
        <w:trPr/>
        <w:tc>
          <w:tcPr>
            <w:tcW w:w="110" w:type="dxa"/>
            <w:tcBorders/>
            <w:vAlign w:val="center"/>
          </w:tcPr>
          <w:p>
            <w:pPr>
              <w:pStyle w:val="TableContents"/>
              <w:bidi w:val="0"/>
              <w:spacing w:before="0" w:after="0"/>
              <w:jc w:val="left"/>
              <w:rPr>
                <w:color w:val="000000"/>
              </w:rPr>
            </w:pPr>
            <w:r>
              <w:rPr>
                <w:color w:val="000000"/>
              </w:rPr>
              <w:t>•</w:t>
            </w:r>
          </w:p>
        </w:tc>
        <w:tc>
          <w:tcPr>
            <w:tcW w:w="6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and evaluating the performance of the internal audit function and review;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meeting with management and the independent auditor to review the effectiveness of our system of internal control and internal audit procedures, and to address any deficiencies in such procedures;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overseeing the effectiveness of the system for monitoring compliance with laws and regulations and the results of any investigation by management; </w:t>
            </w:r>
          </w:p>
        </w:tc>
      </w:tr>
    </w:tbl>
    <w:tbl>
      <w:tblPr>
        <w:tblW w:w="4525" w:type="dxa"/>
        <w:jc w:val="left"/>
        <w:tblInd w:w="0" w:type="dxa"/>
        <w:tblLayout w:type="fixed"/>
        <w:tblCellMar>
          <w:top w:w="0" w:type="dxa"/>
          <w:left w:w="0" w:type="dxa"/>
          <w:bottom w:w="0" w:type="dxa"/>
          <w:right w:w="0" w:type="dxa"/>
        </w:tblCellMar>
      </w:tblPr>
      <w:tblGrid>
        <w:gridCol w:w="110"/>
        <w:gridCol w:w="4415"/>
      </w:tblGrid>
      <w:tr>
        <w:trPr/>
        <w:tc>
          <w:tcPr>
            <w:tcW w:w="110" w:type="dxa"/>
            <w:tcBorders/>
            <w:vAlign w:val="center"/>
          </w:tcPr>
          <w:p>
            <w:pPr>
              <w:pStyle w:val="TableContents"/>
              <w:bidi w:val="0"/>
              <w:spacing w:before="0" w:after="0"/>
              <w:jc w:val="left"/>
              <w:rPr>
                <w:color w:val="000000"/>
              </w:rPr>
            </w:pPr>
            <w:r>
              <w:rPr>
                <w:color w:val="000000"/>
              </w:rPr>
              <w:t>•</w:t>
            </w:r>
          </w:p>
        </w:tc>
        <w:tc>
          <w:tcPr>
            <w:tcW w:w="4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instituting and overseeing any special investigations;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establishing and overseeing procedures for the receipt, retention and treatment of complaints received by the Company regarding accounting, internal accounting controls or auditing matters, and for the confidential anonymous submission by Company employees of concerns, regarding questionable accounting or auditing matters; </w:t>
            </w:r>
          </w:p>
        </w:tc>
      </w:tr>
    </w:tbl>
    <w:tbl>
      <w:tblPr>
        <w:tblW w:w="5245" w:type="dxa"/>
        <w:jc w:val="left"/>
        <w:tblInd w:w="0" w:type="dxa"/>
        <w:tblLayout w:type="fixed"/>
        <w:tblCellMar>
          <w:top w:w="0" w:type="dxa"/>
          <w:left w:w="0" w:type="dxa"/>
          <w:bottom w:w="0" w:type="dxa"/>
          <w:right w:w="0" w:type="dxa"/>
        </w:tblCellMar>
      </w:tblPr>
      <w:tblGrid>
        <w:gridCol w:w="110"/>
        <w:gridCol w:w="5135"/>
      </w:tblGrid>
      <w:tr>
        <w:trPr/>
        <w:tc>
          <w:tcPr>
            <w:tcW w:w="110" w:type="dxa"/>
            <w:tcBorders/>
            <w:vAlign w:val="center"/>
          </w:tcPr>
          <w:p>
            <w:pPr>
              <w:pStyle w:val="TableContents"/>
              <w:bidi w:val="0"/>
              <w:spacing w:before="0" w:after="0"/>
              <w:jc w:val="left"/>
              <w:rPr>
                <w:color w:val="000000"/>
              </w:rPr>
            </w:pPr>
            <w:r>
              <w:rPr>
                <w:color w:val="000000"/>
              </w:rPr>
              <w:t>•</w:t>
            </w:r>
          </w:p>
        </w:tc>
        <w:tc>
          <w:tcPr>
            <w:tcW w:w="5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our earnings releases and reports filed with the SEC; </w:t>
            </w:r>
          </w:p>
        </w:tc>
      </w:tr>
    </w:tbl>
    <w:tbl>
      <w:tblPr>
        <w:tblW w:w="7975" w:type="dxa"/>
        <w:jc w:val="left"/>
        <w:tblInd w:w="0" w:type="dxa"/>
        <w:tblLayout w:type="fixed"/>
        <w:tblCellMar>
          <w:top w:w="0" w:type="dxa"/>
          <w:left w:w="0" w:type="dxa"/>
          <w:bottom w:w="0" w:type="dxa"/>
          <w:right w:w="0" w:type="dxa"/>
        </w:tblCellMar>
      </w:tblPr>
      <w:tblGrid>
        <w:gridCol w:w="110"/>
        <w:gridCol w:w="7865"/>
      </w:tblGrid>
      <w:tr>
        <w:trPr/>
        <w:tc>
          <w:tcPr>
            <w:tcW w:w="110" w:type="dxa"/>
            <w:tcBorders/>
            <w:vAlign w:val="center"/>
          </w:tcPr>
          <w:p>
            <w:pPr>
              <w:pStyle w:val="TableContents"/>
              <w:bidi w:val="0"/>
              <w:spacing w:before="0" w:after="0"/>
              <w:jc w:val="left"/>
              <w:rPr>
                <w:color w:val="000000"/>
              </w:rPr>
            </w:pPr>
            <w:r>
              <w:rPr>
                <w:color w:val="000000"/>
              </w:rPr>
              <w:t>•</w:t>
            </w:r>
          </w:p>
        </w:tc>
        <w:tc>
          <w:tcPr>
            <w:tcW w:w="7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preparing the Audit Committee report required by SEC rules to be included in our annual report;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the design of the Company’s enterprise-wide risk management framework, including the process for assessing and managing risks, benchmarks for and major financial risk exposures from such risks, supporting methods, risk policies, and risk inventories, as they relate to credit, interest rate, liquidity, transactional, compliance and legal, strategic and reputational risks;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9" w:name="ny20019245x2_def14a_108-corp_pg6"/>
        <w:bookmarkEnd w:id="29"/>
        <w:r>
          <w:rPr>
            <w:rStyle w:val="InternetLink"/>
            <w:rFonts w:ascii="Times New Roman;Times;Serif" w:hAnsi="Times New Roman;Times;Serif"/>
            <w:b/>
            <w:caps w:val="false"/>
            <w:smallCaps w:val="false"/>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reports and recommendations provided by senior management or third party consultants retained by the committee related to the Company’s financial, operational, credit, strategic, market, investment, liquidity, reputational and compliance risks;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significant aggregate risk concentrations and other escalations, and approving significant corrective actions recommended by senior management; and </w:t>
            </w:r>
          </w:p>
        </w:tc>
      </w:tr>
    </w:tbl>
    <w:tbl>
      <w:tblPr>
        <w:tblW w:w="9430" w:type="dxa"/>
        <w:jc w:val="left"/>
        <w:tblInd w:w="0" w:type="dxa"/>
        <w:tblLayout w:type="fixed"/>
        <w:tblCellMar>
          <w:top w:w="0" w:type="dxa"/>
          <w:left w:w="0" w:type="dxa"/>
          <w:bottom w:w="0" w:type="dxa"/>
          <w:right w:w="0" w:type="dxa"/>
        </w:tblCellMar>
      </w:tblPr>
      <w:tblGrid>
        <w:gridCol w:w="110"/>
        <w:gridCol w:w="9320"/>
      </w:tblGrid>
      <w:tr>
        <w:trPr/>
        <w:tc>
          <w:tcPr>
            <w:tcW w:w="110" w:type="dxa"/>
            <w:tcBorders/>
            <w:vAlign w:val="center"/>
          </w:tcPr>
          <w:p>
            <w:pPr>
              <w:pStyle w:val="TableContents"/>
              <w:bidi w:val="0"/>
              <w:spacing w:before="0" w:after="0"/>
              <w:jc w:val="left"/>
              <w:rPr>
                <w:color w:val="000000"/>
              </w:rPr>
            </w:pPr>
            <w:r>
              <w:rPr>
                <w:color w:val="000000"/>
              </w:rPr>
              <w:t>•</w:t>
            </w:r>
          </w:p>
        </w:tc>
        <w:tc>
          <w:tcPr>
            <w:tcW w:w="93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handling such other matters that are specifically delegated to the Audit Committee by our board from time to time.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members of the Audit Committee are Kyle R. Wargo (Committee Chairman), Richard D. Campbell, and LaDana R. Washburn. Our board has evaluated the independence of each of the members of our Audit Committee and has affirmatively determined that each of the members of our Audit Committee (1) is an independent director under NASDAQ Stock Market rules, (2) satisfies the additional independence standards under applicable SEC rules for Audit Committee service, and (3) has the ability to read and understand fundamental financial statements. The board has determined that each of Richard D. Campbell and LaDana R. Washburn qualifies as an “audit committee financial expert,” as defined by the SEC.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a separately designated Compensation Committee, which consists entirely of independent directors as defined by the applicable rules and regulations of the NASDAQ Stock Market. The Charter of the Compensation Committee adopted by the board sets out the responsibilities, authority and specific duties of the Compensation Committee. The Charter of the Compensation Committee is available on our website at www.spfi.bank under the “Governance” tab. The Compensation Committee met six (6) times during the year 2023.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the following responsibilities: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determining, and recommending to the board for its confirmation, the annual compensation, annual incentive opportunities and any other matter relating to the compensation of the Company’s executive officers; </w:t>
            </w:r>
          </w:p>
        </w:tc>
      </w:tr>
    </w:tbl>
    <w:tbl>
      <w:tblPr>
        <w:tblW w:w="8305" w:type="dxa"/>
        <w:jc w:val="left"/>
        <w:tblInd w:w="0" w:type="dxa"/>
        <w:tblLayout w:type="fixed"/>
        <w:tblCellMar>
          <w:top w:w="0" w:type="dxa"/>
          <w:left w:w="0" w:type="dxa"/>
          <w:bottom w:w="0" w:type="dxa"/>
          <w:right w:w="0" w:type="dxa"/>
        </w:tblCellMar>
      </w:tblPr>
      <w:tblGrid>
        <w:gridCol w:w="110"/>
        <w:gridCol w:w="8195"/>
      </w:tblGrid>
      <w:tr>
        <w:trPr/>
        <w:tc>
          <w:tcPr>
            <w:tcW w:w="110" w:type="dxa"/>
            <w:tcBorders/>
            <w:vAlign w:val="center"/>
          </w:tcPr>
          <w:p>
            <w:pPr>
              <w:pStyle w:val="TableContents"/>
              <w:bidi w:val="0"/>
              <w:spacing w:before="0" w:after="0"/>
              <w:jc w:val="left"/>
              <w:rPr>
                <w:color w:val="000000"/>
              </w:rPr>
            </w:pPr>
            <w:r>
              <w:rPr>
                <w:color w:val="000000"/>
              </w:rPr>
              <w:t>•</w:t>
            </w:r>
          </w:p>
        </w:tc>
        <w:tc>
          <w:tcPr>
            <w:tcW w:w="8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monitoring and evaluating the risks related to the Company’s compensation programs and practices;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comparing, in its discretion, compensation practices of any relevant peer group in order to assist in the committee’s evaluation of the appropriateness of the Company’s compensation practices and programs;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approving and administering each of the Company’s non-qualified deferred compensation plans and annual incentive plans, and performing such other duties and responsibilities as may be assigned to the committee under the terms of those plans;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annually reviewing and recommending to the board the annual director’s compensation and any additional compensation for services on committees of the board, service as a committee or board chairman, meeting fees or any other benefit payable by virtue of the director’s position as a member of the board; </w:t>
            </w:r>
          </w:p>
        </w:tc>
      </w:tr>
    </w:tbl>
    <w:tbl>
      <w:tblPr>
        <w:tblW w:w="5950" w:type="dxa"/>
        <w:jc w:val="left"/>
        <w:tblInd w:w="0" w:type="dxa"/>
        <w:tblLayout w:type="fixed"/>
        <w:tblCellMar>
          <w:top w:w="0" w:type="dxa"/>
          <w:left w:w="0" w:type="dxa"/>
          <w:bottom w:w="0" w:type="dxa"/>
          <w:right w:w="0" w:type="dxa"/>
        </w:tblCellMar>
      </w:tblPr>
      <w:tblGrid>
        <w:gridCol w:w="110"/>
        <w:gridCol w:w="5840"/>
      </w:tblGrid>
      <w:tr>
        <w:trPr/>
        <w:tc>
          <w:tcPr>
            <w:tcW w:w="11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the performance of the executive officers for each fiscal year;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producing the Compensation Committee Report on executive compensation if required for inclusion in the Company’s annual meeting proxy statement in compliance with the rules and regulations promulgated by the SEC;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determining, and recommending to the board for its confirmation, the establishment of the performance measures applicable to each performance-based cash incentive and equity incentive award to be made under any plan, and the applicable performance targets for each such performance measure for each such award granted under any plan;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overseeing and making recommendations to the board regarding the Company’s compliance with SEC rules and regulations regarding shareholder approval of certain executive compensation matters, including advisory votes on executive compensation and golden parachute compensation, and the requirement under the NASDAQ rules that, with limited exceptions, shareholders approve equity compensation plans;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performing any other duties or responsibilities the board may expressly delegate to the committee from time to time on matters relating to the Company’s compensation programs.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0" w:name="ny20019245x2_def14a_108-corp_pg7"/>
        <w:bookmarkEnd w:id="30"/>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members of the Compensation Committee are Richard D. Campbell (Committee Chairman), Noe G. Valles, and Kyle R. Wargo. Our board has evaluated the independence of each of the members of our Compensation Committee and has affirmatively determined that each of the members of our Compensation Committee meets the definition of an “independent director” under NASDAQ Stock Market rules.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also determined that each of the members of the Compensation Committee qualifies as a “nonemployee director” within the meaning of Rule 16b-3 under the Exchange Act. All compensation, equity awards and transactions subject to Section 16 of the Exchange Act will be approved by a committee or subcommittee of the board that is composed solely of two or more “non-employee directors.”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Corporate Governance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separately designated a Nominating and Corporate Governance Committee, which consists entirely of independent directors as defined by the applicable rules and regulations of the NASDAQ Stock Market. The Charter of the Nominating and Corporate Governance Committee adopted by the board sets out the responsibilities, authority and specific duties of the Nominating and Corporate Governance Committee. The Charter of the Nominating and Corporate Governance Committee is available on our website at www.spfi.bank under the “Governance” tab. The Nominating and Corporate Governance Committee met two (2) times during the year of 2023.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has the following responsibilities: </w:t>
      </w:r>
    </w:p>
    <w:tbl>
      <w:tblPr>
        <w:tblW w:w="5215" w:type="dxa"/>
        <w:jc w:val="left"/>
        <w:tblInd w:w="0" w:type="dxa"/>
        <w:tblLayout w:type="fixed"/>
        <w:tblCellMar>
          <w:top w:w="0" w:type="dxa"/>
          <w:left w:w="0" w:type="dxa"/>
          <w:bottom w:w="0" w:type="dxa"/>
          <w:right w:w="0" w:type="dxa"/>
        </w:tblCellMar>
      </w:tblPr>
      <w:tblGrid>
        <w:gridCol w:w="110"/>
        <w:gridCol w:w="5105"/>
      </w:tblGrid>
      <w:tr>
        <w:trPr/>
        <w:tc>
          <w:tcPr>
            <w:tcW w:w="110" w:type="dxa"/>
            <w:tcBorders/>
            <w:vAlign w:val="center"/>
          </w:tcPr>
          <w:p>
            <w:pPr>
              <w:pStyle w:val="TableContents"/>
              <w:bidi w:val="0"/>
              <w:spacing w:before="0" w:after="0"/>
              <w:jc w:val="left"/>
              <w:rPr>
                <w:color w:val="000000"/>
              </w:rPr>
            </w:pPr>
            <w:r>
              <w:rPr>
                <w:color w:val="000000"/>
              </w:rPr>
              <w:t>•</w:t>
            </w:r>
          </w:p>
        </w:tc>
        <w:tc>
          <w:tcPr>
            <w:tcW w:w="5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developing policies on the size and composition of our board; </w:t>
            </w:r>
          </w:p>
        </w:tc>
      </w:tr>
    </w:tbl>
    <w:tbl>
      <w:tblPr>
        <w:tblW w:w="9865" w:type="dxa"/>
        <w:jc w:val="left"/>
        <w:tblInd w:w="0" w:type="dxa"/>
        <w:tblLayout w:type="fixed"/>
        <w:tblCellMar>
          <w:top w:w="0" w:type="dxa"/>
          <w:left w:w="0" w:type="dxa"/>
          <w:bottom w:w="0" w:type="dxa"/>
          <w:right w:w="0" w:type="dxa"/>
        </w:tblCellMar>
      </w:tblPr>
      <w:tblGrid>
        <w:gridCol w:w="110"/>
        <w:gridCol w:w="9755"/>
      </w:tblGrid>
      <w:tr>
        <w:trPr/>
        <w:tc>
          <w:tcPr>
            <w:tcW w:w="110" w:type="dxa"/>
            <w:tcBorders/>
            <w:vAlign w:val="center"/>
          </w:tcPr>
          <w:p>
            <w:pPr>
              <w:pStyle w:val="TableContents"/>
              <w:bidi w:val="0"/>
              <w:spacing w:before="0" w:after="0"/>
              <w:jc w:val="left"/>
              <w:rPr>
                <w:color w:val="000000"/>
              </w:rPr>
            </w:pPr>
            <w:r>
              <w:rPr>
                <w:color w:val="000000"/>
              </w:rPr>
              <w:t>•</w:t>
            </w:r>
          </w:p>
        </w:tc>
        <w:tc>
          <w:tcPr>
            <w:tcW w:w="97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developing and recommending to our board criteria to be considered in identifying and selecting nominees for director; </w:t>
            </w:r>
          </w:p>
        </w:tc>
      </w:tr>
    </w:tbl>
    <w:tbl>
      <w:tblPr>
        <w:tblW w:w="4675" w:type="dxa"/>
        <w:jc w:val="left"/>
        <w:tblInd w:w="0" w:type="dxa"/>
        <w:tblLayout w:type="fixed"/>
        <w:tblCellMar>
          <w:top w:w="0" w:type="dxa"/>
          <w:left w:w="0" w:type="dxa"/>
          <w:bottom w:w="0" w:type="dxa"/>
          <w:right w:w="0" w:type="dxa"/>
        </w:tblCellMar>
      </w:tblPr>
      <w:tblGrid>
        <w:gridCol w:w="110"/>
        <w:gridCol w:w="4565"/>
      </w:tblGrid>
      <w:tr>
        <w:trPr/>
        <w:tc>
          <w:tcPr>
            <w:tcW w:w="110" w:type="dxa"/>
            <w:tcBorders/>
            <w:vAlign w:val="center"/>
          </w:tcPr>
          <w:p>
            <w:pPr>
              <w:pStyle w:val="TableContents"/>
              <w:bidi w:val="0"/>
              <w:spacing w:before="0" w:after="0"/>
              <w:jc w:val="left"/>
              <w:rPr>
                <w:color w:val="000000"/>
              </w:rPr>
            </w:pPr>
            <w:r>
              <w:rPr>
                <w:color w:val="000000"/>
              </w:rPr>
              <w:t>•</w:t>
            </w:r>
          </w:p>
        </w:tc>
        <w:tc>
          <w:tcPr>
            <w:tcW w:w="4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possible candidates for election to the board; </w:t>
            </w:r>
          </w:p>
        </w:tc>
      </w:tr>
    </w:tbl>
    <w:tbl>
      <w:tblPr>
        <w:tblW w:w="7480" w:type="dxa"/>
        <w:jc w:val="left"/>
        <w:tblInd w:w="0" w:type="dxa"/>
        <w:tblLayout w:type="fixed"/>
        <w:tblCellMar>
          <w:top w:w="0" w:type="dxa"/>
          <w:left w:w="0" w:type="dxa"/>
          <w:bottom w:w="0" w:type="dxa"/>
          <w:right w:w="0" w:type="dxa"/>
        </w:tblCellMar>
      </w:tblPr>
      <w:tblGrid>
        <w:gridCol w:w="110"/>
        <w:gridCol w:w="7370"/>
      </w:tblGrid>
      <w:tr>
        <w:trPr/>
        <w:tc>
          <w:tcPr>
            <w:tcW w:w="110" w:type="dxa"/>
            <w:tcBorders/>
            <w:vAlign w:val="center"/>
          </w:tcPr>
          <w:p>
            <w:pPr>
              <w:pStyle w:val="TableContents"/>
              <w:bidi w:val="0"/>
              <w:spacing w:before="0" w:after="0"/>
              <w:jc w:val="left"/>
              <w:rPr>
                <w:color w:val="000000"/>
              </w:rPr>
            </w:pPr>
            <w:r>
              <w:rPr>
                <w:color w:val="000000"/>
              </w:rPr>
              <w:t>•</w:t>
            </w:r>
          </w:p>
        </w:tc>
        <w:tc>
          <w:tcPr>
            <w:tcW w:w="7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recommending to the board candidates for election or re-election to our board of directors; </w:t>
            </w:r>
          </w:p>
        </w:tc>
      </w:tr>
    </w:tbl>
    <w:tbl>
      <w:tblPr>
        <w:tblW w:w="5590" w:type="dxa"/>
        <w:jc w:val="left"/>
        <w:tblInd w:w="0" w:type="dxa"/>
        <w:tblLayout w:type="fixed"/>
        <w:tblCellMar>
          <w:top w:w="0" w:type="dxa"/>
          <w:left w:w="0" w:type="dxa"/>
          <w:bottom w:w="0" w:type="dxa"/>
          <w:right w:w="0" w:type="dxa"/>
        </w:tblCellMar>
      </w:tblPr>
      <w:tblGrid>
        <w:gridCol w:w="110"/>
        <w:gridCol w:w="5480"/>
      </w:tblGrid>
      <w:tr>
        <w:trPr/>
        <w:tc>
          <w:tcPr>
            <w:tcW w:w="110" w:type="dxa"/>
            <w:tcBorders/>
            <w:vAlign w:val="center"/>
          </w:tcPr>
          <w:p>
            <w:pPr>
              <w:pStyle w:val="TableContents"/>
              <w:bidi w:val="0"/>
              <w:spacing w:before="0" w:after="0"/>
              <w:jc w:val="left"/>
              <w:rPr>
                <w:color w:val="000000"/>
              </w:rPr>
            </w:pPr>
            <w:r>
              <w:rPr>
                <w:color w:val="000000"/>
              </w:rPr>
              <w:t>•</w:t>
            </w:r>
          </w:p>
        </w:tc>
        <w:tc>
          <w:tcPr>
            <w:tcW w:w="5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recommending committee structure, composition and assignments; </w:t>
            </w:r>
          </w:p>
        </w:tc>
      </w:tr>
    </w:tbl>
    <w:tbl>
      <w:tblPr>
        <w:tblW w:w="7915" w:type="dxa"/>
        <w:jc w:val="left"/>
        <w:tblInd w:w="0" w:type="dxa"/>
        <w:tblLayout w:type="fixed"/>
        <w:tblCellMar>
          <w:top w:w="0" w:type="dxa"/>
          <w:left w:w="0" w:type="dxa"/>
          <w:bottom w:w="0" w:type="dxa"/>
          <w:right w:w="0" w:type="dxa"/>
        </w:tblCellMar>
      </w:tblPr>
      <w:tblGrid>
        <w:gridCol w:w="110"/>
        <w:gridCol w:w="7805"/>
      </w:tblGrid>
      <w:tr>
        <w:trPr/>
        <w:tc>
          <w:tcPr>
            <w:tcW w:w="110" w:type="dxa"/>
            <w:tcBorders/>
            <w:vAlign w:val="center"/>
          </w:tcPr>
          <w:p>
            <w:pPr>
              <w:pStyle w:val="TableContents"/>
              <w:bidi w:val="0"/>
              <w:spacing w:before="0" w:after="0"/>
              <w:jc w:val="left"/>
              <w:rPr>
                <w:color w:val="000000"/>
              </w:rPr>
            </w:pPr>
            <w:r>
              <w:rPr>
                <w:color w:val="000000"/>
              </w:rPr>
              <w:t>•</w:t>
            </w:r>
          </w:p>
        </w:tc>
        <w:tc>
          <w:tcPr>
            <w:tcW w:w="78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recommending changes to the Company’s corporate governance documents;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the committee’s performance and the adequacy of the Charter of the Nominating and Corporate Governance Committee on an annual basis.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members of the Nominating and Corporate Governance Committee are Richard D. Campbell (Committee Chairman), Kyle R. Wargo, and Noe G. Valles. Our board has evaluated the independence of each of the members of our Nominating and Corporate Governance Committee and has affirmatively determined that each of the members of our Nominating and Corporate Governance Committee meets the definition of an “independent director” under NASDAQ Stock Market rules.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will consider shareholder recommendations for nominees, provided that such shareholder complies with the procedures described in the section titled “—Date For Submission Of Shareholder Proposals For 2025 Annual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Code of Business Conduct and Ethics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adopted a Code of Business Conduct and Ethics that applies to all of our directors, officers and employees. The Code of Business Conduct and Ethics sets forth the standard of conduct that we expect all of our directors, officers and employees to follow, including our Chief Executive Officer and Chief Financial Officer. Our Code of Business Conduct and Ethics is available on our website at www.spfi.bank. Amendments to the Code of Business Conduct and Ethics, or any waivers of their respective requirements, have been, and we expect that any future amendments will be disclosed on our website, as well as any other means required by NASDAQ Global Select Market rules or the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1" w:name="ny20019245x2_def14a_108-corp_pg8"/>
        <w:bookmarkEnd w:id="31"/>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Diversity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shown below in our Board Diversity Matrix is based on voluntary self-identification of each member of our Board of Directors. </w:t>
      </w:r>
    </w:p>
    <w:tbl>
      <w:tblPr>
        <w:tblW w:w="3812" w:type="dxa"/>
        <w:jc w:val="left"/>
        <w:tblInd w:w="0" w:type="dxa"/>
        <w:tblLayout w:type="fixed"/>
        <w:tblCellMar>
          <w:top w:w="0" w:type="dxa"/>
          <w:left w:w="0" w:type="dxa"/>
          <w:bottom w:w="85" w:type="dxa"/>
          <w:right w:w="0" w:type="dxa"/>
        </w:tblCellMar>
      </w:tblPr>
      <w:tblGrid>
        <w:gridCol w:w="2555"/>
        <w:gridCol w:w="23"/>
        <w:gridCol w:w="23"/>
        <w:gridCol w:w="650"/>
        <w:gridCol w:w="23"/>
        <w:gridCol w:w="23"/>
        <w:gridCol w:w="515"/>
      </w:tblGrid>
      <w:tr>
        <w:trPr/>
        <w:tc>
          <w:tcPr>
            <w:tcW w:w="3812" w:type="dxa"/>
            <w:gridSpan w:val="7"/>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Board Diversity Matrix as of March 18, 2024 </w:t>
            </w:r>
          </w:p>
        </w:tc>
      </w:tr>
      <w:tr>
        <w:trPr/>
        <w:tc>
          <w:tcPr>
            <w:tcW w:w="255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Directors</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211" w:type="dxa"/>
            <w:gridSpan w:val="4"/>
            <w:tcBorders/>
            <w:shd w:fill="CCEEFF"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w:t>
            </w:r>
          </w:p>
        </w:tc>
      </w:tr>
      <w:tr>
        <w:trPr/>
        <w:tc>
          <w:tcPr>
            <w:tcW w:w="255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b/>
                <w:color w:val="000000"/>
                <w:sz w:val="20"/>
                <w:bdr w:val="single" w:sz="8" w:space="1" w:color="000000"/>
              </w:rPr>
            </w:pPr>
            <w:r>
              <w:rPr>
                <w:rFonts w:ascii="Times New Roman;Times;serif" w:hAnsi="Times New Roman;Times;serif"/>
                <w:b/>
                <w:color w:val="000000"/>
                <w:sz w:val="20"/>
                <w:bdr w:val="single" w:sz="8" w:space="1" w:color="000000"/>
              </w:rPr>
              <w:t>Female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15" w:type="dxa"/>
            <w:tcBorders/>
            <w:tcMar>
              <w:bottom w:w="0" w:type="dxa"/>
            </w:tcMar>
            <w:vAlign w:val="center"/>
          </w:tcPr>
          <w:p>
            <w:pPr>
              <w:pStyle w:val="TableContents"/>
              <w:bidi w:val="0"/>
              <w:spacing w:before="0" w:after="283"/>
              <w:jc w:val="center"/>
              <w:rPr>
                <w:rFonts w:ascii="Times New Roman;Times;serif" w:hAnsi="Times New Roman;Times;serif"/>
                <w:b/>
                <w:color w:val="000000"/>
                <w:sz w:val="20"/>
                <w:bdr w:val="single" w:sz="8" w:space="1" w:color="000000"/>
              </w:rPr>
            </w:pPr>
            <w:r>
              <w:rPr>
                <w:rFonts w:ascii="Times New Roman;Times;serif" w:hAnsi="Times New Roman;Times;serif"/>
                <w:b/>
                <w:color w:val="000000"/>
                <w:sz w:val="20"/>
                <w:bdr w:val="single" w:sz="8" w:space="1" w:color="000000"/>
              </w:rPr>
              <w:t xml:space="preserve">Male </w:t>
            </w:r>
          </w:p>
        </w:tc>
      </w:tr>
      <w:tr>
        <w:trPr/>
        <w:tc>
          <w:tcPr>
            <w:tcW w:w="3812" w:type="dxa"/>
            <w:gridSpan w:val="7"/>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Part I: Gender Identity </w:t>
            </w:r>
          </w:p>
        </w:tc>
      </w:tr>
      <w:tr>
        <w:trPr/>
        <w:tc>
          <w:tcPr>
            <w:tcW w:w="255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50"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1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 </w:t>
            </w:r>
          </w:p>
        </w:tc>
      </w:tr>
      <w:tr>
        <w:trPr/>
        <w:tc>
          <w:tcPr>
            <w:tcW w:w="3812" w:type="dxa"/>
            <w:gridSpan w:val="7"/>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Part II: Demographic Background </w:t>
            </w:r>
          </w:p>
        </w:tc>
      </w:tr>
      <w:tr>
        <w:trPr/>
        <w:tc>
          <w:tcPr>
            <w:tcW w:w="255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Hispanic or Latinx (Mr. Valles)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50" w:type="dxa"/>
            <w:tcBorders/>
            <w:tcMar>
              <w:bottom w:w="0" w:type="dxa"/>
            </w:tcMar>
            <w:vAlign w:val="center"/>
          </w:tcPr>
          <w:p>
            <w:pPr>
              <w:pStyle w:val="TableContents"/>
              <w:bidi w:val="0"/>
              <w:spacing w:before="0" w:after="283"/>
              <w:jc w:val="center"/>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1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 </w:t>
            </w:r>
          </w:p>
        </w:tc>
      </w:tr>
      <w:tr>
        <w:trPr/>
        <w:tc>
          <w:tcPr>
            <w:tcW w:w="255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White (Ms. Washburn)</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50"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Environmental, Social, and Governance (“ESG”) Practices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committed to being a responsible corporate citizen in each of the unique communities in which we operate, and we strive to provide unrivaled customer service while fulfilling and exceeding our customers’ financial needs in each community we serve. Oversight of the Company’s ESG initiatives starts with the Company’s board of directors. The Nominating and Corporate Governance Committee is responsible for oversight of risks associated with the Company’s overall corporate governance practices, including ESG practices. The Company issued a community impact report in the first quarter of 2023 that detailed its ESG initiatives, highlighted contributions to the communities that we serve, our responsible business practices and the Company’s four primary pillars under its sustainability framework: social responsibility, people, environmental management, and governance and risk management. The sustainability report may be found on our website with additional information on community outreach at www.spfi.bank, under “Community Impact.”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information contained in this “Environmental, Social, and Governance (“ESG”) Practices” section of this proxy statement and in our sustainability report shall not be considered “filed” with the SEC, and such information contained in this “Environmental, Social, and Governance (“ESG”) Practices” section of this proxy statement and in our sustainability report shall not be incorporated by reference into this filing or any future filing under the Securities Act of 1933, as amended, or the Securities Exchange Act of 1934, as amended.</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2" w:name="ny20019245x2_def14a_108-corp_pg9"/>
        <w:bookmarkEnd w:id="32"/>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3" w:name="tCEO"/>
      <w:bookmarkEnd w:id="33"/>
      <w:r>
        <w:rPr>
          <w:rFonts w:ascii="Times New Roman;Times;serif" w:hAnsi="Times New Roman;Times;serif"/>
          <w:b/>
          <w:color w:val="000000"/>
          <w:sz w:val="20"/>
        </w:rPr>
        <w:t xml:space="preserve">CURRENT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name, age and position with the Company of each of our named executive officers. The business address for all of these individuals is 5219 City Bank Parkway, Lubbock, Texas 79407. </w:t>
      </w:r>
    </w:p>
    <w:tbl>
      <w:tblPr>
        <w:tblW w:w="10205" w:type="dxa"/>
        <w:jc w:val="left"/>
        <w:tblInd w:w="0" w:type="dxa"/>
        <w:tblLayout w:type="fixed"/>
        <w:tblCellMar>
          <w:top w:w="0" w:type="dxa"/>
          <w:left w:w="0" w:type="dxa"/>
          <w:bottom w:w="85" w:type="dxa"/>
          <w:right w:w="0" w:type="dxa"/>
        </w:tblCellMar>
      </w:tblPr>
      <w:tblGrid>
        <w:gridCol w:w="2441"/>
        <w:gridCol w:w="23"/>
        <w:gridCol w:w="23"/>
        <w:gridCol w:w="3915"/>
        <w:gridCol w:w="23"/>
        <w:gridCol w:w="23"/>
        <w:gridCol w:w="3348"/>
        <w:gridCol w:w="23"/>
        <w:gridCol w:w="23"/>
        <w:gridCol w:w="363"/>
      </w:tblGrid>
      <w:tr>
        <w:trPr/>
        <w:tc>
          <w:tcPr>
            <w:tcW w:w="2441"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Named Executive Officers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391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 with the Company</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3348"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 with the Bank</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363"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Age </w:t>
            </w:r>
          </w:p>
        </w:tc>
      </w:tr>
      <w:tr>
        <w:trPr/>
        <w:tc>
          <w:tcPr>
            <w:tcW w:w="244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Curtis C. Griffith</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91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Chairman of the Board and Chief Executive Officer</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34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Chairman of the Board</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63" w:type="dxa"/>
            <w:tcBorders/>
            <w:shd w:fill="CCEEFF" w:val="clear"/>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 </w:t>
            </w:r>
          </w:p>
        </w:tc>
      </w:tr>
      <w:tr>
        <w:trPr/>
        <w:tc>
          <w:tcPr>
            <w:tcW w:w="2441"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Cory T. Newsom</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91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and President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348"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President; Chief Executive Officer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363" w:type="dxa"/>
            <w:tcBorders/>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 </w:t>
            </w:r>
          </w:p>
        </w:tc>
      </w:tr>
      <w:tr>
        <w:trPr/>
        <w:tc>
          <w:tcPr>
            <w:tcW w:w="244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B. Crockett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91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Treasurer</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34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63" w:type="dxa"/>
            <w:tcBorders/>
            <w:shd w:fill="CCEEFF" w:val="clear"/>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Background of our Named Executive Officers who are not also Directors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Steven B. Crockett – Chief Financial Officer and Treasurer</w:t>
      </w:r>
      <w:r>
        <w:rPr>
          <w:rFonts w:ascii="Times New Roman;Times;serif" w:hAnsi="Times New Roman;Times;serif"/>
          <w:i w:val="false"/>
          <w:caps w:val="false"/>
          <w:smallCaps w:val="false"/>
          <w:color w:val="000000"/>
          <w:sz w:val="20"/>
        </w:rPr>
        <w:t xml:space="preserve">. Mr. Crockett has served as Chief Financial Officer and Treasurer of the Company and as Chief Financial Officer of the Bank since 2015. He served as Senior Vice President and Controller of the Company from 2010 to 2014 and as Controller of the Bank from 2001 to 2014. Mr. Crockett began his career in public accounting in 1994, working for seven years with the Lubbock accounting firm Robinson Burdette Martin &amp; Cowan, LLP, which previously functioned as a practicing office of PricewaterhouseCoopers, LLP. As Controller of the Company and the Bank, he was responsible for financial and regulatory reporting, coordinating financial statement audits, budgeting, capital forecasting, and financial projections. He currently serves on the Board of Trustees for Lubbock Christian University. Mr. Crockett earned a degree in accounting from Abilene Christian University and is a licensed Certified Public Accountant.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Senior Leadership Team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other members of our Bank’s senior leadership team who, in addition to Messrs. Griffith, Newsom and Crockett, serve as officers of City Bank. </w:t>
      </w:r>
    </w:p>
    <w:tbl>
      <w:tblPr>
        <w:tblW w:w="5978" w:type="dxa"/>
        <w:jc w:val="left"/>
        <w:tblInd w:w="0" w:type="dxa"/>
        <w:tblLayout w:type="fixed"/>
        <w:tblCellMar>
          <w:top w:w="0" w:type="dxa"/>
          <w:left w:w="0" w:type="dxa"/>
          <w:bottom w:w="85" w:type="dxa"/>
          <w:right w:w="0" w:type="dxa"/>
        </w:tblCellMar>
      </w:tblPr>
      <w:tblGrid>
        <w:gridCol w:w="1640"/>
        <w:gridCol w:w="23"/>
        <w:gridCol w:w="23"/>
        <w:gridCol w:w="2345"/>
        <w:gridCol w:w="23"/>
        <w:gridCol w:w="23"/>
        <w:gridCol w:w="1490"/>
        <w:gridCol w:w="23"/>
        <w:gridCol w:w="23"/>
        <w:gridCol w:w="365"/>
      </w:tblGrid>
      <w:tr>
        <w:trPr/>
        <w:tc>
          <w:tcPr>
            <w:tcW w:w="1640"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Officer</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4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 at the Company</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490"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 at the Bank</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36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Age </w:t>
            </w:r>
          </w:p>
        </w:tc>
      </w:tr>
      <w:tr>
        <w:trPr/>
        <w:tc>
          <w:tcPr>
            <w:tcW w:w="16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Mikella D. Newsom</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4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Risk Officer; Secretary</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49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Risk Officer</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365" w:type="dxa"/>
            <w:tcBorders/>
            <w:shd w:fill="CCEEFF" w:val="clear"/>
            <w:tcMar>
              <w:bottom w:w="0" w:type="dxa"/>
            </w:tcM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Background of our Senior Leadership Team who are not also Directors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Mikella D. Newsom – Chief Risk Officer and Secretary</w:t>
      </w:r>
      <w:r>
        <w:rPr>
          <w:rFonts w:ascii="Times New Roman;Times;serif" w:hAnsi="Times New Roman;Times;serif"/>
          <w:i w:val="false"/>
          <w:caps w:val="false"/>
          <w:smallCaps w:val="false"/>
          <w:color w:val="000000"/>
          <w:sz w:val="20"/>
        </w:rPr>
        <w:t xml:space="preserve">. Ms. Newsom was named Chief Risk Officer of the Company in 2019 and has served as Secretary of the Company since 2013. She previously served in a number of other capacities at the Company since 2013, including Senior Vice President, Chief Financial Officer, and Treasurer through 2015. She has worked more than 20 years with the Bank and its predecessors and has served as Chief Risk Officer of the Bank since 2015 and previously held the positions of Senior Vice President and Chief Financial Officer of the Bank. She is a member of the Texas Bankers Association Community Bankers Council. She currently serves on the Board of Managers of University Medical Center in Lubbock. She previously served on the Board of Trustees for the Frenship Independent School District. Ms. Newsom earned a Bachelor of Science degree in agricultural economics from Texas Tech University in 1996.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4" w:name="ny20019245x2_def14a_109-executive_pg1"/>
        <w:bookmarkEnd w:id="34"/>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5" w:name="tECA"/>
      <w:bookmarkEnd w:id="35"/>
      <w:r>
        <w:rPr>
          <w:rFonts w:ascii="Times New Roman;Times;serif" w:hAnsi="Times New Roman;Times;serif"/>
          <w:b/>
          <w:color w:val="000000"/>
          <w:sz w:val="20"/>
        </w:rPr>
        <w:t xml:space="preserve">EXECUTIVE COMPENSATION AND OTHER MATTERS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We are an “emerging growth company,” as defined in the Jumpstart Our Business Startups Act of 2012, or the JOBS Act. As such, we are eligible to take advantage of certain exemptions from various reporting requirements that are applicable to other public companies that are not emerging growth companies. These include, but are not limited to, reduced disclosure obligations regarding executive compensation in our proxy statements, including the requirement to include a specific form of Compensation Discussion and Analysis, as well as exemptions from the requirement to hold a non-binding advisory vote on executive compensation and the requirement to obtain shareholder approval of any golden parachute payments not previously approved. We have elected to comply with the scaled disclosure requirements applicable to emerging growth companies.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“named executive officers,” which consist of our principal executive officer and the two other most highly compensated executive officers, are: </w:t>
      </w:r>
    </w:p>
    <w:tbl>
      <w:tblPr>
        <w:tblW w:w="4960" w:type="dxa"/>
        <w:jc w:val="left"/>
        <w:tblInd w:w="0" w:type="dxa"/>
        <w:tblLayout w:type="fixed"/>
        <w:tblCellMar>
          <w:top w:w="0" w:type="dxa"/>
          <w:left w:w="0" w:type="dxa"/>
          <w:bottom w:w="0" w:type="dxa"/>
          <w:right w:w="0" w:type="dxa"/>
        </w:tblCellMar>
      </w:tblPr>
      <w:tblGrid>
        <w:gridCol w:w="110"/>
        <w:gridCol w:w="4850"/>
      </w:tblGrid>
      <w:tr>
        <w:trPr/>
        <w:tc>
          <w:tcPr>
            <w:tcW w:w="110" w:type="dxa"/>
            <w:tcBorders/>
            <w:vAlign w:val="center"/>
          </w:tcPr>
          <w:p>
            <w:pPr>
              <w:pStyle w:val="TableContents"/>
              <w:bidi w:val="0"/>
              <w:spacing w:before="0" w:after="0"/>
              <w:jc w:val="left"/>
              <w:rPr>
                <w:color w:val="000000"/>
              </w:rPr>
            </w:pPr>
            <w:r>
              <w:rPr>
                <w:color w:val="000000"/>
              </w:rPr>
              <w:t>•</w:t>
            </w:r>
          </w:p>
        </w:tc>
        <w:tc>
          <w:tcPr>
            <w:tcW w:w="4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 xml:space="preserve">Curtis C. Griffith </w:t>
            </w:r>
            <w:r>
              <w:rPr>
                <w:rFonts w:ascii="Times New Roman;Times;serif" w:hAnsi="Times New Roman;Times;serif"/>
                <w:color w:val="000000"/>
                <w:sz w:val="20"/>
              </w:rPr>
              <w:t xml:space="preserve">— Chairman and Chief Executive Officer </w:t>
            </w:r>
          </w:p>
        </w:tc>
      </w:tr>
    </w:tbl>
    <w:tbl>
      <w:tblPr>
        <w:tblW w:w="2560" w:type="dxa"/>
        <w:jc w:val="left"/>
        <w:tblInd w:w="0" w:type="dxa"/>
        <w:tblLayout w:type="fixed"/>
        <w:tblCellMar>
          <w:top w:w="0" w:type="dxa"/>
          <w:left w:w="0" w:type="dxa"/>
          <w:bottom w:w="0" w:type="dxa"/>
          <w:right w:w="0" w:type="dxa"/>
        </w:tblCellMar>
      </w:tblPr>
      <w:tblGrid>
        <w:gridCol w:w="110"/>
        <w:gridCol w:w="2450"/>
      </w:tblGrid>
      <w:tr>
        <w:trPr/>
        <w:tc>
          <w:tcPr>
            <w:tcW w:w="11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 xml:space="preserve">Cory T. Newsom </w:t>
            </w:r>
            <w:r>
              <w:rPr>
                <w:rFonts w:ascii="Times New Roman;Times;serif" w:hAnsi="Times New Roman;Times;serif"/>
                <w:color w:val="000000"/>
                <w:sz w:val="20"/>
              </w:rPr>
              <w:t xml:space="preserve">— President </w:t>
            </w:r>
          </w:p>
        </w:tc>
      </w:tr>
    </w:tbl>
    <w:tbl>
      <w:tblPr>
        <w:tblW w:w="3850" w:type="dxa"/>
        <w:jc w:val="left"/>
        <w:tblInd w:w="0" w:type="dxa"/>
        <w:tblLayout w:type="fixed"/>
        <w:tblCellMar>
          <w:top w:w="0" w:type="dxa"/>
          <w:left w:w="0" w:type="dxa"/>
          <w:bottom w:w="0" w:type="dxa"/>
          <w:right w:w="0" w:type="dxa"/>
        </w:tblCellMar>
      </w:tblPr>
      <w:tblGrid>
        <w:gridCol w:w="110"/>
        <w:gridCol w:w="3740"/>
      </w:tblGrid>
      <w:tr>
        <w:trPr/>
        <w:tc>
          <w:tcPr>
            <w:tcW w:w="110" w:type="dxa"/>
            <w:tcBorders/>
            <w:vAlign w:val="center"/>
          </w:tcPr>
          <w:p>
            <w:pPr>
              <w:pStyle w:val="TableContents"/>
              <w:bidi w:val="0"/>
              <w:spacing w:before="0" w:after="0"/>
              <w:jc w:val="left"/>
              <w:rPr>
                <w:color w:val="000000"/>
              </w:rPr>
            </w:pPr>
            <w:r>
              <w:rPr>
                <w:color w:val="000000"/>
              </w:rPr>
              <w:t>•</w:t>
            </w:r>
          </w:p>
        </w:tc>
        <w:tc>
          <w:tcPr>
            <w:tcW w:w="3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 xml:space="preserve">Steven B. Crockett </w:t>
            </w:r>
            <w:r>
              <w:rPr>
                <w:rFonts w:ascii="Times New Roman;Times;serif" w:hAnsi="Times New Roman;Times;serif"/>
                <w:color w:val="000000"/>
                <w:sz w:val="20"/>
              </w:rPr>
              <w:t xml:space="preserve">— Chief Financial Officer </w:t>
            </w:r>
          </w:p>
        </w:tc>
      </w:tr>
    </w:tbl>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Compensation 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the compensation paid, awarded to, or earned by each of our named executive officers for the fiscal years indicated. </w:t>
      </w:r>
    </w:p>
    <w:tbl>
      <w:tblPr>
        <w:tblW w:w="10205" w:type="dxa"/>
        <w:jc w:val="left"/>
        <w:tblInd w:w="0" w:type="dxa"/>
        <w:tblLayout w:type="fixed"/>
        <w:tblCellMar>
          <w:top w:w="0" w:type="dxa"/>
          <w:left w:w="0" w:type="dxa"/>
          <w:bottom w:w="85" w:type="dxa"/>
          <w:right w:w="0" w:type="dxa"/>
        </w:tblCellMar>
      </w:tblPr>
      <w:tblGrid>
        <w:gridCol w:w="2459"/>
        <w:gridCol w:w="23"/>
        <w:gridCol w:w="23"/>
        <w:gridCol w:w="440"/>
        <w:gridCol w:w="23"/>
        <w:gridCol w:w="23"/>
        <w:gridCol w:w="695"/>
        <w:gridCol w:w="23"/>
        <w:gridCol w:w="23"/>
        <w:gridCol w:w="695"/>
        <w:gridCol w:w="23"/>
        <w:gridCol w:w="23"/>
        <w:gridCol w:w="695"/>
        <w:gridCol w:w="23"/>
        <w:gridCol w:w="23"/>
        <w:gridCol w:w="695"/>
        <w:gridCol w:w="23"/>
        <w:gridCol w:w="23"/>
        <w:gridCol w:w="1076"/>
        <w:gridCol w:w="23"/>
        <w:gridCol w:w="23"/>
        <w:gridCol w:w="1076"/>
        <w:gridCol w:w="23"/>
        <w:gridCol w:w="23"/>
        <w:gridCol w:w="1076"/>
        <w:gridCol w:w="23"/>
        <w:gridCol w:w="23"/>
        <w:gridCol w:w="884"/>
      </w:tblGrid>
      <w:tr>
        <w:trPr/>
        <w:tc>
          <w:tcPr>
            <w:tcW w:w="2459"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and Principal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44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76"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76"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Nonqualified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76"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(4)</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84"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459" w:type="dxa"/>
            <w:vMerge w:val="restart"/>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Curtis C. Griffith</w:t>
            </w:r>
          </w:p>
          <w:p>
            <w:pPr>
              <w:pStyle w:val="TableContents"/>
              <w:bidi w:val="0"/>
              <w:spacing w:before="0" w:after="283"/>
              <w:ind w:left="200" w:right="0" w:hanging="0"/>
              <w:jc w:val="left"/>
              <w:rPr>
                <w:rFonts w:ascii="Times New Roman;Times;serif" w:hAnsi="Times New Roman;Times;serif"/>
                <w:b w:val="false"/>
                <w:color w:val="000000"/>
                <w:sz w:val="19"/>
              </w:rPr>
            </w:pPr>
            <w:r>
              <w:rPr>
                <w:rFonts w:ascii="Times New Roman;Times;serif" w:hAnsi="Times New Roman;Times;serif"/>
                <w:b w:val="false"/>
                <w:color w:val="000000"/>
                <w:sz w:val="19"/>
              </w:rPr>
              <w:t>Chairman of the Board and Chief Executive Officer</w:t>
            </w:r>
          </w:p>
        </w:tc>
        <w:tc>
          <w:tcPr>
            <w:tcW w:w="23" w:type="dxa"/>
            <w:vMerge w:val="restart"/>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400,000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160,000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124,986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139,993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76" w:type="dxa"/>
            <w:tcBorders/>
            <w:shd w:fill="CCEEFF" w:val="clear"/>
            <w:tcMar>
              <w:bottom w:w="0" w:type="dxa"/>
            </w:tcMar>
            <w:vAlign w:val="center"/>
          </w:tcPr>
          <w:p>
            <w:pPr>
              <w:pStyle w:val="TableContents"/>
              <w:bidi w:val="0"/>
              <w:spacing w:before="0" w:after="283"/>
              <w:ind w:left="192" w:right="0" w:hanging="0"/>
              <w:jc w:val="left"/>
              <w:rPr>
                <w:rFonts w:ascii="Times New Roman;Times;serif" w:hAnsi="Times New Roman;Times;serif"/>
                <w:color w:val="000000"/>
                <w:sz w:val="19"/>
              </w:rPr>
            </w:pPr>
            <w:r>
              <w:rPr>
                <w:rFonts w:ascii="Times New Roman;Times;serif" w:hAnsi="Times New Roman;Times;serif"/>
                <w:color w:val="000000"/>
                <w:sz w:val="19"/>
              </w:rPr>
              <w:t>240,000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76" w:type="dxa"/>
            <w:tcBorders/>
            <w:shd w:fill="CCEEFF" w:val="clear"/>
            <w:tcMar>
              <w:bottom w:w="0" w:type="dxa"/>
            </w:tcMar>
            <w:vAlign w:val="center"/>
          </w:tcPr>
          <w:p>
            <w:pPr>
              <w:pStyle w:val="TableContents"/>
              <w:bidi w:val="0"/>
              <w:spacing w:before="0" w:after="283"/>
              <w:ind w:left="399"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76" w:type="dxa"/>
            <w:tcBorders/>
            <w:shd w:fill="CCEEFF" w:val="clear"/>
            <w:tcMar>
              <w:bottom w:w="0" w:type="dxa"/>
            </w:tcMar>
            <w:vAlign w:val="center"/>
          </w:tcPr>
          <w:p>
            <w:pPr>
              <w:pStyle w:val="TableContents"/>
              <w:bidi w:val="0"/>
              <w:spacing w:before="0" w:after="283"/>
              <w:ind w:left="188" w:right="0" w:hanging="0"/>
              <w:jc w:val="left"/>
              <w:rPr>
                <w:rFonts w:ascii="Times New Roman;Times;serif" w:hAnsi="Times New Roman;Times;serif"/>
                <w:color w:val="000000"/>
                <w:sz w:val="19"/>
              </w:rPr>
            </w:pPr>
            <w:r>
              <w:rPr>
                <w:rFonts w:ascii="Times New Roman;Times;serif" w:hAnsi="Times New Roman;Times;serif"/>
                <w:color w:val="000000"/>
                <w:sz w:val="19"/>
              </w:rPr>
              <w:t>88,333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8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1,153,312 </w:t>
            </w:r>
          </w:p>
        </w:tc>
      </w:tr>
      <w:tr>
        <w:trPr/>
        <w:tc>
          <w:tcPr>
            <w:tcW w:w="2459"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4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400,000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160,000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124,999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139,990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76" w:type="dxa"/>
            <w:tcBorders/>
            <w:shd w:fill="CCEEFF" w:val="clear"/>
            <w:tcMar>
              <w:bottom w:w="0" w:type="dxa"/>
            </w:tcMar>
            <w:vAlign w:val="center"/>
          </w:tcPr>
          <w:p>
            <w:pPr>
              <w:pStyle w:val="TableContents"/>
              <w:bidi w:val="0"/>
              <w:spacing w:before="0" w:after="283"/>
              <w:ind w:left="192" w:right="0" w:hanging="0"/>
              <w:jc w:val="left"/>
              <w:rPr>
                <w:rFonts w:ascii="Times New Roman;Times;serif" w:hAnsi="Times New Roman;Times;serif"/>
                <w:color w:val="000000"/>
                <w:sz w:val="19"/>
              </w:rPr>
            </w:pPr>
            <w:r>
              <w:rPr>
                <w:rFonts w:ascii="Times New Roman;Times;serif" w:hAnsi="Times New Roman;Times;serif"/>
                <w:color w:val="000000"/>
                <w:sz w:val="19"/>
              </w:rPr>
              <w:t>202,000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76" w:type="dxa"/>
            <w:tcBorders/>
            <w:shd w:fill="CCEEFF" w:val="clear"/>
            <w:tcMar>
              <w:bottom w:w="0" w:type="dxa"/>
            </w:tcMar>
            <w:vAlign w:val="center"/>
          </w:tcPr>
          <w:p>
            <w:pPr>
              <w:pStyle w:val="TableContents"/>
              <w:bidi w:val="0"/>
              <w:spacing w:before="0" w:after="283"/>
              <w:ind w:left="399"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76" w:type="dxa"/>
            <w:tcBorders/>
            <w:shd w:fill="CCEEFF" w:val="clear"/>
            <w:tcMar>
              <w:bottom w:w="0" w:type="dxa"/>
            </w:tcMar>
            <w:vAlign w:val="center"/>
          </w:tcPr>
          <w:p>
            <w:pPr>
              <w:pStyle w:val="TableContents"/>
              <w:bidi w:val="0"/>
              <w:spacing w:before="0" w:after="283"/>
              <w:ind w:left="188" w:right="0" w:hanging="0"/>
              <w:jc w:val="left"/>
              <w:rPr>
                <w:rFonts w:ascii="Times New Roman;Times;serif" w:hAnsi="Times New Roman;Times;serif"/>
                <w:color w:val="000000"/>
                <w:sz w:val="19"/>
              </w:rPr>
            </w:pPr>
            <w:r>
              <w:rPr>
                <w:rFonts w:ascii="Times New Roman;Times;serif" w:hAnsi="Times New Roman;Times;serif"/>
                <w:color w:val="000000"/>
                <w:sz w:val="19"/>
              </w:rPr>
              <w:t>149,837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8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1,176,826 </w:t>
            </w:r>
          </w:p>
        </w:tc>
      </w:tr>
      <w:tr>
        <w:trPr/>
        <w:tc>
          <w:tcPr>
            <w:tcW w:w="2459" w:type="dxa"/>
            <w:vMerge w:val="restart"/>
            <w:tcBorders/>
            <w:tcMar>
              <w:bottom w:w="0" w:type="dxa"/>
            </w:tcMar>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Cory T. Newsom</w:t>
            </w:r>
          </w:p>
          <w:p>
            <w:pPr>
              <w:pStyle w:val="TableContents"/>
              <w:bidi w:val="0"/>
              <w:spacing w:before="0" w:after="283"/>
              <w:ind w:left="200" w:right="0" w:hanging="0"/>
              <w:jc w:val="left"/>
              <w:rPr>
                <w:rFonts w:ascii="Times New Roman;Times;serif" w:hAnsi="Times New Roman;Times;serif"/>
                <w:b w:val="false"/>
                <w:color w:val="000000"/>
                <w:sz w:val="19"/>
              </w:rPr>
            </w:pPr>
            <w:r>
              <w:rPr>
                <w:rFonts w:ascii="Times New Roman;Times;serif" w:hAnsi="Times New Roman;Times;serif"/>
                <w:b w:val="false"/>
                <w:color w:val="000000"/>
                <w:sz w:val="19"/>
              </w:rPr>
              <w:t>President</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4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630,000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157,500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250,000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220,500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6" w:type="dxa"/>
            <w:tcBorders/>
            <w:tcMar>
              <w:bottom w:w="0" w:type="dxa"/>
            </w:tcMar>
            <w:vAlign w:val="center"/>
          </w:tcPr>
          <w:p>
            <w:pPr>
              <w:pStyle w:val="TableContents"/>
              <w:bidi w:val="0"/>
              <w:spacing w:before="0" w:after="283"/>
              <w:ind w:left="192" w:right="0" w:hanging="0"/>
              <w:jc w:val="left"/>
              <w:rPr>
                <w:rFonts w:ascii="Times New Roman;Times;serif" w:hAnsi="Times New Roman;Times;serif"/>
                <w:color w:val="000000"/>
                <w:sz w:val="19"/>
              </w:rPr>
            </w:pPr>
            <w:r>
              <w:rPr>
                <w:rFonts w:ascii="Times New Roman;Times;serif" w:hAnsi="Times New Roman;Times;serif"/>
                <w:color w:val="000000"/>
                <w:sz w:val="19"/>
              </w:rPr>
              <w:t>472,500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6" w:type="dxa"/>
            <w:tcBorders/>
            <w:tcMar>
              <w:bottom w:w="0" w:type="dxa"/>
            </w:tcMar>
            <w:vAlign w:val="center"/>
          </w:tcPr>
          <w:p>
            <w:pPr>
              <w:pStyle w:val="TableContents"/>
              <w:bidi w:val="0"/>
              <w:spacing w:before="0" w:after="283"/>
              <w:ind w:left="399"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6" w:type="dxa"/>
            <w:tcBorders/>
            <w:tcMar>
              <w:bottom w:w="0" w:type="dxa"/>
            </w:tcMar>
            <w:vAlign w:val="center"/>
          </w:tcPr>
          <w:p>
            <w:pPr>
              <w:pStyle w:val="TableContents"/>
              <w:bidi w:val="0"/>
              <w:spacing w:before="0" w:after="283"/>
              <w:ind w:left="188" w:right="0" w:hanging="0"/>
              <w:jc w:val="left"/>
              <w:rPr>
                <w:rFonts w:ascii="Times New Roman;Times;serif" w:hAnsi="Times New Roman;Times;serif"/>
                <w:color w:val="000000"/>
                <w:sz w:val="19"/>
              </w:rPr>
            </w:pPr>
            <w:r>
              <w:rPr>
                <w:rFonts w:ascii="Times New Roman;Times;serif" w:hAnsi="Times New Roman;Times;serif"/>
                <w:color w:val="000000"/>
                <w:sz w:val="19"/>
              </w:rPr>
              <w:t>126,536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1,857,036 </w:t>
            </w:r>
          </w:p>
        </w:tc>
      </w:tr>
      <w:tr>
        <w:trPr/>
        <w:tc>
          <w:tcPr>
            <w:tcW w:w="2459"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44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630,000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157,500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249,998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220,500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6" w:type="dxa"/>
            <w:tcBorders/>
            <w:tcMar>
              <w:bottom w:w="0" w:type="dxa"/>
            </w:tcMar>
            <w:vAlign w:val="center"/>
          </w:tcPr>
          <w:p>
            <w:pPr>
              <w:pStyle w:val="TableContents"/>
              <w:bidi w:val="0"/>
              <w:spacing w:before="0" w:after="283"/>
              <w:ind w:left="192" w:right="0" w:hanging="0"/>
              <w:jc w:val="left"/>
              <w:rPr>
                <w:rFonts w:ascii="Times New Roman;Times;serif" w:hAnsi="Times New Roman;Times;serif"/>
                <w:color w:val="000000"/>
                <w:sz w:val="19"/>
              </w:rPr>
            </w:pPr>
            <w:r>
              <w:rPr>
                <w:rFonts w:ascii="Times New Roman;Times;serif" w:hAnsi="Times New Roman;Times;serif"/>
                <w:color w:val="000000"/>
                <w:sz w:val="19"/>
              </w:rPr>
              <w:t>472,500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6" w:type="dxa"/>
            <w:tcBorders/>
            <w:tcMar>
              <w:bottom w:w="0" w:type="dxa"/>
            </w:tcMar>
            <w:vAlign w:val="center"/>
          </w:tcPr>
          <w:p>
            <w:pPr>
              <w:pStyle w:val="TableContents"/>
              <w:bidi w:val="0"/>
              <w:spacing w:before="0" w:after="283"/>
              <w:ind w:left="399"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6" w:type="dxa"/>
            <w:tcBorders/>
            <w:tcMar>
              <w:bottom w:w="0" w:type="dxa"/>
            </w:tcMar>
            <w:vAlign w:val="center"/>
          </w:tcPr>
          <w:p>
            <w:pPr>
              <w:pStyle w:val="TableContents"/>
              <w:bidi w:val="0"/>
              <w:spacing w:before="0" w:after="283"/>
              <w:ind w:left="188" w:right="0" w:hanging="0"/>
              <w:jc w:val="left"/>
              <w:rPr>
                <w:rFonts w:ascii="Times New Roman;Times;serif" w:hAnsi="Times New Roman;Times;serif"/>
                <w:color w:val="000000"/>
                <w:sz w:val="19"/>
              </w:rPr>
            </w:pPr>
            <w:r>
              <w:rPr>
                <w:rFonts w:ascii="Times New Roman;Times;serif" w:hAnsi="Times New Roman;Times;serif"/>
                <w:color w:val="000000"/>
                <w:sz w:val="19"/>
              </w:rPr>
              <w:t>167,800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1,898,298 </w:t>
            </w:r>
          </w:p>
        </w:tc>
      </w:tr>
      <w:tr>
        <w:trPr/>
        <w:tc>
          <w:tcPr>
            <w:tcW w:w="2459" w:type="dxa"/>
            <w:vMerge w:val="restart"/>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Steven B. Crockett</w:t>
            </w:r>
          </w:p>
          <w:p>
            <w:pPr>
              <w:pStyle w:val="TableContents"/>
              <w:bidi w:val="0"/>
              <w:spacing w:before="0" w:after="283"/>
              <w:ind w:left="200" w:right="0" w:hanging="0"/>
              <w:jc w:val="left"/>
              <w:rPr>
                <w:rFonts w:ascii="Times New Roman;Times;serif" w:hAnsi="Times New Roman;Times;serif"/>
                <w:b w:val="false"/>
                <w:color w:val="000000"/>
                <w:sz w:val="19"/>
              </w:rPr>
            </w:pPr>
            <w:r>
              <w:rPr>
                <w:rFonts w:ascii="Times New Roman;Times;serif" w:hAnsi="Times New Roman;Times;serif"/>
                <w:b w:val="false"/>
                <w:color w:val="000000"/>
                <w:sz w:val="19"/>
              </w:rPr>
              <w:t>Chief Financial Officer</w:t>
            </w:r>
          </w:p>
        </w:tc>
        <w:tc>
          <w:tcPr>
            <w:tcW w:w="23" w:type="dxa"/>
            <w:vMerge w:val="restart"/>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341,250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140,950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67,984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129,999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76" w:type="dxa"/>
            <w:tcBorders/>
            <w:shd w:fill="CCEEFF" w:val="clear"/>
            <w:tcMar>
              <w:bottom w:w="0" w:type="dxa"/>
            </w:tcMar>
            <w:vAlign w:val="center"/>
          </w:tcPr>
          <w:p>
            <w:pPr>
              <w:pStyle w:val="TableContents"/>
              <w:bidi w:val="0"/>
              <w:spacing w:before="0" w:after="283"/>
              <w:ind w:left="192" w:right="0" w:hanging="0"/>
              <w:jc w:val="left"/>
              <w:rPr>
                <w:rFonts w:ascii="Times New Roman;Times;serif" w:hAnsi="Times New Roman;Times;serif"/>
                <w:color w:val="000000"/>
                <w:sz w:val="19"/>
              </w:rPr>
            </w:pPr>
            <w:r>
              <w:rPr>
                <w:rFonts w:ascii="Times New Roman;Times;serif" w:hAnsi="Times New Roman;Times;serif"/>
                <w:color w:val="000000"/>
                <w:sz w:val="19"/>
              </w:rPr>
              <w:t>163,800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76" w:type="dxa"/>
            <w:tcBorders/>
            <w:shd w:fill="CCEEFF" w:val="clear"/>
            <w:tcMar>
              <w:bottom w:w="0" w:type="dxa"/>
            </w:tcMar>
            <w:vAlign w:val="center"/>
          </w:tcPr>
          <w:p>
            <w:pPr>
              <w:pStyle w:val="TableContents"/>
              <w:bidi w:val="0"/>
              <w:spacing w:before="0" w:after="283"/>
              <w:ind w:left="399"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76" w:type="dxa"/>
            <w:tcBorders/>
            <w:shd w:fill="CCEEFF" w:val="clear"/>
            <w:tcMar>
              <w:bottom w:w="0" w:type="dxa"/>
            </w:tcMar>
            <w:vAlign w:val="center"/>
          </w:tcPr>
          <w:p>
            <w:pPr>
              <w:pStyle w:val="TableContents"/>
              <w:bidi w:val="0"/>
              <w:spacing w:before="0" w:after="283"/>
              <w:ind w:left="188" w:right="0" w:hanging="0"/>
              <w:jc w:val="left"/>
              <w:rPr>
                <w:rFonts w:ascii="Times New Roman;Times;serif" w:hAnsi="Times New Roman;Times;serif"/>
                <w:color w:val="000000"/>
                <w:sz w:val="19"/>
              </w:rPr>
            </w:pPr>
            <w:r>
              <w:rPr>
                <w:rFonts w:ascii="Times New Roman;Times;serif" w:hAnsi="Times New Roman;Times;serif"/>
                <w:color w:val="000000"/>
                <w:sz w:val="19"/>
              </w:rPr>
              <w:t>56,462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8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900,445 </w:t>
            </w:r>
          </w:p>
        </w:tc>
      </w:tr>
      <w:tr>
        <w:trPr/>
        <w:tc>
          <w:tcPr>
            <w:tcW w:w="2459" w:type="dxa"/>
            <w:vMerge w:val="continue"/>
            <w:tcBorders/>
            <w:shd w:fill="CCEEFF" w:val="clear"/>
            <w:tcMar>
              <w:bottom w:w="0" w:type="dxa"/>
            </w:tcMar>
            <w:vAlign w:val="center"/>
          </w:tcPr>
          <w:p>
            <w:pPr>
              <w:pStyle w:val="Normal"/>
              <w:bidi w:val="0"/>
              <w:jc w:val="left"/>
              <w:rPr/>
            </w:pPr>
            <w:r>
              <w:rPr/>
            </w:r>
          </w:p>
        </w:tc>
        <w:tc>
          <w:tcPr>
            <w:tcW w:w="23" w:type="dxa"/>
            <w:vMerge w:val="continue"/>
            <w:tcBorders/>
            <w:shd w:fill="CCEEFF" w:val="clear"/>
            <w:tcMar>
              <w:bottom w:w="0" w:type="dxa"/>
            </w:tcMar>
            <w:vAlign w:val="center"/>
          </w:tcPr>
          <w:p>
            <w:pPr>
              <w:pStyle w:val="Normal"/>
              <w:bidi w:val="0"/>
              <w:jc w:val="left"/>
              <w:rPr/>
            </w:pPr>
            <w:r>
              <w:rPr/>
            </w:r>
          </w:p>
        </w:tc>
        <w:tc>
          <w:tcPr>
            <w:tcW w:w="23" w:type="dxa"/>
            <w:tcBorders/>
            <w:shd w:fill="CCEEFF" w:val="clear"/>
            <w:tcMar>
              <w:bottom w:w="0" w:type="dxa"/>
            </w:tcMar>
            <w:vAlign w:val="center"/>
          </w:tcPr>
          <w:p>
            <w:pPr>
              <w:pStyle w:val="TableContents"/>
              <w:bidi w:val="0"/>
              <w:spacing w:before="0" w:after="283"/>
              <w:jc w:val="left"/>
              <w:rPr/>
            </w:pPr>
            <w:r>
              <w:rPr/>
              <w:t>​</w:t>
            </w:r>
          </w:p>
        </w:tc>
        <w:tc>
          <w:tcPr>
            <w:tcW w:w="4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325,000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39,000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67,984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115,997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76" w:type="dxa"/>
            <w:tcBorders/>
            <w:shd w:fill="CCEEFF" w:val="clear"/>
            <w:tcMar>
              <w:bottom w:w="0" w:type="dxa"/>
            </w:tcMar>
            <w:vAlign w:val="center"/>
          </w:tcPr>
          <w:p>
            <w:pPr>
              <w:pStyle w:val="TableContents"/>
              <w:bidi w:val="0"/>
              <w:spacing w:before="0" w:after="283"/>
              <w:ind w:left="192" w:right="0" w:hanging="0"/>
              <w:jc w:val="left"/>
              <w:rPr>
                <w:rFonts w:ascii="Times New Roman;Times;serif" w:hAnsi="Times New Roman;Times;serif"/>
                <w:color w:val="000000"/>
                <w:sz w:val="19"/>
              </w:rPr>
            </w:pPr>
            <w:r>
              <w:rPr>
                <w:rFonts w:ascii="Times New Roman;Times;serif" w:hAnsi="Times New Roman;Times;serif"/>
                <w:color w:val="000000"/>
                <w:sz w:val="19"/>
              </w:rPr>
              <w:t>156,000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76" w:type="dxa"/>
            <w:tcBorders/>
            <w:shd w:fill="CCEEFF" w:val="clear"/>
            <w:tcMar>
              <w:bottom w:w="0" w:type="dxa"/>
            </w:tcMar>
            <w:vAlign w:val="center"/>
          </w:tcPr>
          <w:p>
            <w:pPr>
              <w:pStyle w:val="TableContents"/>
              <w:bidi w:val="0"/>
              <w:spacing w:before="0" w:after="283"/>
              <w:ind w:left="399"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076" w:type="dxa"/>
            <w:tcBorders/>
            <w:shd w:fill="CCEEFF" w:val="clear"/>
            <w:tcMar>
              <w:bottom w:w="0" w:type="dxa"/>
            </w:tcMar>
            <w:vAlign w:val="center"/>
          </w:tcPr>
          <w:p>
            <w:pPr>
              <w:pStyle w:val="TableContents"/>
              <w:bidi w:val="0"/>
              <w:spacing w:before="0" w:after="283"/>
              <w:ind w:left="188" w:right="0" w:hanging="0"/>
              <w:jc w:val="left"/>
              <w:rPr>
                <w:rFonts w:ascii="Times New Roman;Times;serif" w:hAnsi="Times New Roman;Times;serif"/>
                <w:color w:val="000000"/>
                <w:sz w:val="19"/>
              </w:rPr>
            </w:pPr>
            <w:r>
              <w:rPr>
                <w:rFonts w:ascii="Times New Roman;Times;serif" w:hAnsi="Times New Roman;Times;serif"/>
                <w:color w:val="000000"/>
                <w:sz w:val="19"/>
              </w:rPr>
              <w:t>53,474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8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757,455</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Amounts represent the portion of the annual incentive bonuses that were earned based upon the named executive officer’s individual performance, as determined in the discretion of the Compensation Committee. For a description of annual incentive bonuses for 2023, see “Annual Cash Incentive Compensation” below. For Mr. Crockett, the amounts in this column also include a $100,000 bonus in relation to the work performed on the sale of the Company’s subsidiary Windmark Insurance Agency, Inc. in 2023.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the aggregate grant date fair value, determined in accordance with applicable FASB ASC Topic 718, of equity-based awards made during the 2023 fiscal year. The discussion of the assumptions used in calculating the aggregate grant date fair value of the equity-based awards can be found in Footnote 12 of the Notes to Consolidated Financial Statements included in the Company’s Annual Report on Form 10-K for the year ended December 31, 2023.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Amounts represent annual incentive bonuses that were earned in 2023. For a description of annual incentive bonuses for 2023, see “Annual Cash Incentive Compensation” below.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We provide our named executive officers with other benefits that we believe are reasonable, competitive and consistent with our overall executive compensation structure. The amounts in this column for fiscal year 2023 include: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Mr. Griffith: unused sick and vacation pay of $26,154 per his employment agreement, referral commissions of $69, a holiday gift in respect of service as a director valued at $10,108 and related tax gross-up of $2,851, vehicle expenses and related tax gross-up of $22,405 per his employment agreement, a matching contribution for our 401(k) of $16,500 and excess contributions of $3,500 paid in cash, and Company-paid premiums for group insurance of $6,746.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Mr. Newsom: a full tax gross-up of $7,227 on the positive spread of vested restricted stock units per his employment agreement, unused sick and vacation pay of $41,192 per his employment agreement, referral commissions of $2,517, a holiday gift in respect of service as a director valued at $10,210 and related tax gross-up of $2,851, vehicle expenses and related tax gross-up of $10,065 per his employment agreement, a matching contribution for our 401(k) of $16,500 and excess contributions of $15,000 paid in cash, Company-paid premiums for group insurance of $1,856 and home security and country-club dues of $19,118 per his employment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Mr. Crockett: unused sick and vacation pay of $22,313 per the Company’s personnel policy, vehicle expenses of $16,106, a matching contribution for our 401(k) of $16,500 and excess contributions of $563 paid in cash, and Company-paid premiums for group insurance of $980.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6" w:name="ny20019245x2_def14a_109-executive_pg2"/>
        <w:bookmarkEnd w:id="36"/>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Narrative Discussion of Summary Compensation Table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General. </w:t>
      </w:r>
      <w:r>
        <w:rPr>
          <w:rFonts w:ascii="Times New Roman;Times;serif" w:hAnsi="Times New Roman;Times;serif"/>
          <w:i w:val="false"/>
          <w:caps w:val="false"/>
          <w:smallCaps w:val="false"/>
          <w:color w:val="000000"/>
          <w:sz w:val="20"/>
        </w:rPr>
        <w:t xml:space="preserve">We originally established our executive compensation philosophy and practices to fit our status as a privately held corporation and adapted our philosophy and practices following our initial public offering. We will continue to review, evaluate and modify our compensation framework in an effort to maintain a competitive total compensation package. As such, and as a result of our becoming a publicly traded company, the compensation program moving forward could vary from our historical practices.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the current mix and value of these compensation elements provide our named executive officers with total annual compensation that is both reasonable and competitive within our markets, appropriately reflects our performance and the executive’s particular contributions to that performance, and takes into account applicable regulatory guidelines and requirements. The base salaries for Mr. Griffith and Mr. Newsom remained unchanged for fiscal year 2023.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Base Salary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 salary is designed to attract and retain experienced executive officers who can manage the Company and the Bank and achieve the Company’s long-term business goals. Base salaries are generally targeted at the top of the competitive market. The base salary for each executive officer is based upon officer experience, expected personal performance, salary levels in effect for comparable positions in the industry, internal base salary comparability considerations and the responsibilities assumed by the executive officer. While an executive officer’s initial salary is determined by an assessment of competitive market levels, the major factor in determining base salary increases is individual performance. Base salaries are reviewed and adjusted annually to reflect changes in personal achievement, changes in role, responsibility and the competitive environment. Insurance benefits and retirement benefits are not taken into account when determining base salary.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order to stay competitive vis-à-vis base salaries in effect for comparable positions in the industry, the Company determined to increase the base salary for Mr. Crockett for fiscal year 2023. In fiscal year 2023, Mr. Crockett’s base salary increased from $325,000 to $341,250.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Annual Cash Incentive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annual cash incentive compensation program is designed to supplement base salary and align the executive’s interest with the interests of our shareholders by linking the Company’s performance to the amount of any bonus. The annual cash incentive bonus is expressed as a percentage of the executive’s base salary, and the performance targets for the applicable fiscal year are set by the Compensation Committee near the beginning of that fiscal year. At the end of each fiscal year, the Compensation Committee determines the amount of the bonus that is earned by each executive officer based upon the Company’s actual results compared to the annual budget. The annual cash bonus is usually earned in December but paid prior to March 15 of the next fiscal year. Mr. Newsom’s and Mr. Griffith’s annual cash incentive bonuses are governed by their employment agreements. For fiscal year end December 31, 2023, Mr. Griffith was eligible for a performance-based annual cash bonus targeted at 50% of his salary and a maximum not exceeding 100% of his salary. The performance-based annual cash bonus was determined based on the following performance metrics: (i) the Company’s net income compared to the projected net income for the year (weighted at 20%); (ii) the Bank’s efficiency ratio (weighted at 20%); (iii) the Bank’s asset quality, measured in relation to other peer group financial institutions (weighted at 20%); and (iv) the individual performance, as determined in the discretion of the Compensation Committee (weighted at 40%). For fiscal year end December 31, 2023, Mr. Newsom was eligible for a performance-based annual cash bonus targeted at 50% of his salary and a maximum not exceeding 75% of his salary. The performance-based annual cash bonus was measured against certain criteria, including, among other metrics, (i) the Company’s net income compared to the projected net income for the year (weighted at 50%); (ii) the Bank’s efficiency ratio (weighted at 25%); and (iii) the Bank’s asset quality, measured in relation to other peer group financial institutions (weighted at 25%). Additionally, Mr. Newsom was eligible for an additional performance-based cash bonus determined in the discretion of the Compensation Committee with an award opportunity of twenty-five percent (25%) of his salary. For fiscal year end December 31, 2023, Mr. Crockett was eligible for a performance-based annual cash bonus targeted at 40% of his salary and a maximum not exceeding 60% of his salary. The performance-based annual cash bonus was determined based on the following performance metrics: (i) the Company’s net income compared to the projected net income for the year (weighted at 30%); (ii)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7" w:name="ny20019245x2_def14a_109-executive_pg3"/>
        <w:bookmarkEnd w:id="37"/>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Bank’s efficiency ratio (weighted at 20%); (iii) the Bank’s asset quality, measured in relation to other peer group financial institutions (weighted at 20%); and (iv) individual performance as determined in the discretion of the Chief Executive Officer (weighted at 30%). The following table sets forth information regarding the results of the 2023 annual cash incentive plan. </w:t>
      </w:r>
    </w:p>
    <w:p>
      <w:pPr>
        <w:pStyle w:val="TextBody"/>
        <w:bidi w:val="0"/>
        <w:spacing w:before="30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Steven B. Crockett </w:t>
      </w:r>
    </w:p>
    <w:tbl>
      <w:tblPr>
        <w:tblW w:w="9074" w:type="dxa"/>
        <w:jc w:val="left"/>
        <w:tblInd w:w="0" w:type="dxa"/>
        <w:tblLayout w:type="fixed"/>
        <w:tblCellMar>
          <w:top w:w="0" w:type="dxa"/>
          <w:left w:w="0" w:type="dxa"/>
          <w:bottom w:w="85" w:type="dxa"/>
          <w:right w:w="0" w:type="dxa"/>
        </w:tblCellMar>
      </w:tblPr>
      <w:tblGrid>
        <w:gridCol w:w="2645"/>
        <w:gridCol w:w="23"/>
        <w:gridCol w:w="23"/>
        <w:gridCol w:w="455"/>
        <w:gridCol w:w="23"/>
        <w:gridCol w:w="23"/>
        <w:gridCol w:w="695"/>
        <w:gridCol w:w="23"/>
        <w:gridCol w:w="23"/>
        <w:gridCol w:w="695"/>
        <w:gridCol w:w="23"/>
        <w:gridCol w:w="23"/>
        <w:gridCol w:w="755"/>
        <w:gridCol w:w="23"/>
        <w:gridCol w:w="23"/>
        <w:gridCol w:w="545"/>
        <w:gridCol w:w="23"/>
        <w:gridCol w:w="23"/>
        <w:gridCol w:w="725"/>
        <w:gridCol w:w="23"/>
        <w:gridCol w:w="23"/>
        <w:gridCol w:w="995"/>
        <w:gridCol w:w="23"/>
        <w:gridCol w:w="23"/>
        <w:gridCol w:w="515"/>
        <w:gridCol w:w="23"/>
        <w:gridCol w:w="23"/>
        <w:gridCol w:w="635"/>
      </w:tblGrid>
      <w:tr>
        <w:trPr/>
        <w:tc>
          <w:tcPr>
            <w:tcW w:w="264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 Specific</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Performance Metric</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45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Actual</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5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 Excess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54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Variance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Variance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51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Factor</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3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Capped </w:t>
            </w:r>
          </w:p>
        </w:tc>
      </w:tr>
      <w:tr>
        <w:trPr/>
        <w:tc>
          <w:tcPr>
            <w:tcW w:w="264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Profitability</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5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SPFI</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$45,739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$62,745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137.18%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45" w:type="dxa"/>
            <w:tcBorders/>
            <w:shd w:fill="CCEEFF" w:val="clear"/>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30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37.00%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95" w:type="dxa"/>
            <w:tcBorders/>
            <w:shd w:fill="CCEEFF" w:val="clear"/>
            <w:tcMar>
              <w:bottom w:w="0" w:type="dxa"/>
            </w:tcMar>
            <w:vAlign w:val="center"/>
          </w:tcPr>
          <w:p>
            <w:pPr>
              <w:pStyle w:val="TableContents"/>
              <w:bidi w:val="0"/>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111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15" w:type="dxa"/>
            <w:tcBorders/>
            <w:shd w:fill="CCEEFF" w:val="clear"/>
            <w:tcMar>
              <w:bottom w:w="0" w:type="dxa"/>
            </w:tcM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141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35" w:type="dxa"/>
            <w:tcBorders/>
            <w:shd w:fill="CCEEFF" w:val="clear"/>
            <w:tcMar>
              <w:bottom w:w="0" w:type="dxa"/>
            </w:tcMar>
            <w:vAlign w:val="center"/>
          </w:tcPr>
          <w:p>
            <w:pPr>
              <w:pStyle w:val="TableContents"/>
              <w:bidi w:val="0"/>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141 </w:t>
            </w:r>
          </w:p>
        </w:tc>
      </w:tr>
      <w:tr>
        <w:trPr/>
        <w:tc>
          <w:tcPr>
            <w:tcW w:w="264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Efficiency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Bank</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66.14%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57.20%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8.94%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5" w:type="dxa"/>
            <w:tcBorders/>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25" w:type="dxa"/>
            <w:tcBorders/>
            <w:tcMar>
              <w:bottom w:w="0" w:type="dxa"/>
            </w:tcMar>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8.00%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15" w:type="dxa"/>
            <w:tcBorders/>
            <w:tcMar>
              <w:bottom w:w="0" w:type="dxa"/>
            </w:tcM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44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5" w:type="dxa"/>
            <w:tcBorders/>
            <w:tcMar>
              <w:bottom w:w="0" w:type="dxa"/>
            </w:tcMar>
            <w:vAlign w:val="center"/>
          </w:tcPr>
          <w:p>
            <w:pPr>
              <w:pStyle w:val="TableContents"/>
              <w:bidi w:val="0"/>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 </w:t>
            </w:r>
          </w:p>
        </w:tc>
      </w:tr>
      <w:tr>
        <w:trPr/>
        <w:tc>
          <w:tcPr>
            <w:tcW w:w="264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 Asset Quality</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5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Bank</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0.42%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0.09%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45" w:type="dxa"/>
            <w:tcBorders/>
            <w:shd w:fill="CCEEFF" w:val="clear"/>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95" w:type="dxa"/>
            <w:tcBorders/>
            <w:shd w:fill="CCEEFF" w:val="clear"/>
            <w:tcMar>
              <w:bottom w:w="0" w:type="dxa"/>
            </w:tcMar>
            <w:vAlign w:val="center"/>
          </w:tcPr>
          <w:p>
            <w:pPr>
              <w:pStyle w:val="TableContents"/>
              <w:bidi w:val="0"/>
              <w:spacing w:before="0" w:after="283"/>
              <w:ind w:left="344" w:right="0" w:hanging="0"/>
              <w:jc w:val="left"/>
              <w:rPr>
                <w:color w:val="000000"/>
                <w:bdr w:val="single" w:sz="8" w:space="1" w:color="000000"/>
              </w:rPr>
            </w:pPr>
            <w:r>
              <w:rPr>
                <w:color w:val="000000"/>
                <w:bdr w:val="single" w:sz="8" w:space="1" w:color="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15" w:type="dxa"/>
            <w:tcBorders/>
            <w:shd w:fill="CCEEFF" w:val="clear"/>
            <w:tcMar>
              <w:bottom w:w="0" w:type="dxa"/>
            </w:tcMar>
            <w:vAlign w:val="center"/>
          </w:tcPr>
          <w:p>
            <w:pPr>
              <w:pStyle w:val="TableContents"/>
              <w:bidi w:val="0"/>
              <w:spacing w:before="0" w:after="283"/>
              <w:ind w:left="7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35" w:type="dxa"/>
            <w:tcBorders/>
            <w:shd w:fill="CCEEFF" w:val="clear"/>
            <w:tcMar>
              <w:bottom w:w="0" w:type="dxa"/>
            </w:tcMar>
            <w:vAlign w:val="center"/>
          </w:tcPr>
          <w:p>
            <w:pPr>
              <w:pStyle w:val="TableContents"/>
              <w:bidi w:val="0"/>
              <w:spacing w:before="0" w:after="283"/>
              <w:ind w:left="11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20 </w:t>
            </w:r>
          </w:p>
        </w:tc>
      </w:tr>
      <w:tr>
        <w:trPr/>
        <w:tc>
          <w:tcPr>
            <w:tcW w:w="264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5" w:type="dxa"/>
            <w:tcBorders/>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2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135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15" w:type="dxa"/>
            <w:tcBorders/>
            <w:tcMar>
              <w:bottom w:w="0" w:type="dxa"/>
            </w:tcM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205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5" w:type="dxa"/>
            <w:tcBorders/>
            <w:tcMar>
              <w:bottom w:w="0" w:type="dxa"/>
            </w:tcMar>
            <w:vAlign w:val="center"/>
          </w:tcPr>
          <w:p>
            <w:pPr>
              <w:pStyle w:val="TableContents"/>
              <w:bidi w:val="0"/>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 </w:t>
            </w:r>
          </w:p>
        </w:tc>
      </w:tr>
      <w:tr>
        <w:trPr/>
        <w:tc>
          <w:tcPr>
            <w:tcW w:w="264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 Individual Performance</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5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45" w:type="dxa"/>
            <w:tcBorders/>
            <w:shd w:fill="CCEEFF" w:val="clear"/>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95" w:type="dxa"/>
            <w:tcBorders/>
            <w:shd w:fill="CCEEFF" w:val="clear"/>
            <w:tcMar>
              <w:bottom w:w="0" w:type="dxa"/>
            </w:tcMar>
            <w:vAlign w:val="center"/>
          </w:tcPr>
          <w:p>
            <w:pPr>
              <w:pStyle w:val="TableContents"/>
              <w:bidi w:val="0"/>
              <w:spacing w:before="0" w:after="283"/>
              <w:ind w:left="344"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15" w:type="dxa"/>
            <w:tcBorders/>
            <w:shd w:fill="CCEEFF" w:val="clear"/>
            <w:tcMar>
              <w:bottom w:w="0" w:type="dxa"/>
            </w:tcMar>
            <w:vAlign w:val="center"/>
          </w:tcPr>
          <w:p>
            <w:pPr>
              <w:pStyle w:val="TableContents"/>
              <w:bidi w:val="0"/>
              <w:spacing w:before="0" w:after="283"/>
              <w:ind w:left="7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35" w:type="dxa"/>
            <w:tcBorders/>
            <w:shd w:fill="CCEEFF" w:val="clear"/>
            <w:tcMar>
              <w:bottom w:w="0" w:type="dxa"/>
            </w:tcMar>
            <w:vAlign w:val="center"/>
          </w:tcPr>
          <w:p>
            <w:pPr>
              <w:pStyle w:val="TableContents"/>
              <w:bidi w:val="0"/>
              <w:spacing w:before="0" w:after="283"/>
              <w:ind w:left="11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30 </w:t>
            </w:r>
          </w:p>
        </w:tc>
      </w:tr>
      <w:tr>
        <w:trPr/>
        <w:tc>
          <w:tcPr>
            <w:tcW w:w="264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9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5" w:type="dxa"/>
            <w:tcBorders/>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2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15" w:type="dxa"/>
            <w:tcBorders/>
            <w:tcMar>
              <w:bottom w:w="0" w:type="dxa"/>
            </w:tcM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205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5" w:type="dxa"/>
            <w:tcBorders/>
            <w:tcMar>
              <w:bottom w:w="0" w:type="dxa"/>
            </w:tcMar>
            <w:vAlign w:val="center"/>
          </w:tcPr>
          <w:p>
            <w:pPr>
              <w:pStyle w:val="TableContents"/>
              <w:bidi w:val="0"/>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 </w:t>
            </w:r>
          </w:p>
        </w:tc>
      </w:tr>
      <w:tr>
        <w:trPr/>
        <w:tc>
          <w:tcPr>
            <w:tcW w:w="2645" w:type="dxa"/>
            <w:tcBorders/>
            <w:shd w:fill="CCEEFF" w:val="clear"/>
            <w:tcMar>
              <w:bottom w:w="0" w:type="dxa"/>
            </w:tcM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Compensation: $204,750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5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9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4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Overall Cap</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1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35" w:type="dxa"/>
            <w:tcBorders/>
            <w:shd w:fill="CCEEFF" w:val="clear"/>
            <w:tcMar>
              <w:bottom w:w="0" w:type="dxa"/>
            </w:tcMar>
            <w:vAlign w:val="center"/>
          </w:tcPr>
          <w:p>
            <w:pPr>
              <w:pStyle w:val="TableContents"/>
              <w:bidi w:val="0"/>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150</w:t>
            </w:r>
          </w:p>
        </w:tc>
      </w:tr>
    </w:tbl>
    <w:p>
      <w:pPr>
        <w:pStyle w:val="TextBody"/>
        <w:bidi w:val="0"/>
        <w:spacing w:before="26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Cory T. Newsom </w:t>
      </w:r>
    </w:p>
    <w:tbl>
      <w:tblPr>
        <w:tblW w:w="8984" w:type="dxa"/>
        <w:jc w:val="left"/>
        <w:tblInd w:w="0" w:type="dxa"/>
        <w:tblLayout w:type="fixed"/>
        <w:tblCellMar>
          <w:top w:w="0" w:type="dxa"/>
          <w:left w:w="0" w:type="dxa"/>
          <w:bottom w:w="85" w:type="dxa"/>
          <w:right w:w="0" w:type="dxa"/>
        </w:tblCellMar>
      </w:tblPr>
      <w:tblGrid>
        <w:gridCol w:w="2645"/>
        <w:gridCol w:w="23"/>
        <w:gridCol w:w="23"/>
        <w:gridCol w:w="455"/>
        <w:gridCol w:w="23"/>
        <w:gridCol w:w="23"/>
        <w:gridCol w:w="740"/>
        <w:gridCol w:w="23"/>
        <w:gridCol w:w="23"/>
        <w:gridCol w:w="740"/>
        <w:gridCol w:w="23"/>
        <w:gridCol w:w="23"/>
        <w:gridCol w:w="755"/>
        <w:gridCol w:w="23"/>
        <w:gridCol w:w="23"/>
        <w:gridCol w:w="545"/>
        <w:gridCol w:w="23"/>
        <w:gridCol w:w="23"/>
        <w:gridCol w:w="680"/>
        <w:gridCol w:w="23"/>
        <w:gridCol w:w="23"/>
        <w:gridCol w:w="860"/>
        <w:gridCol w:w="23"/>
        <w:gridCol w:w="23"/>
        <w:gridCol w:w="515"/>
        <w:gridCol w:w="23"/>
        <w:gridCol w:w="23"/>
        <w:gridCol w:w="635"/>
      </w:tblGrid>
      <w:tr>
        <w:trPr/>
        <w:tc>
          <w:tcPr>
            <w:tcW w:w="264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 Specific</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Performance Metric</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45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4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4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Actual</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5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 Excess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54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Variance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Variance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51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Factor</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3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Capped </w:t>
            </w:r>
          </w:p>
        </w:tc>
      </w:tr>
      <w:tr>
        <w:trPr/>
        <w:tc>
          <w:tcPr>
            <w:tcW w:w="264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Profitability</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5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SPFI</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$ 45,739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$ 62,745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137.18%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45" w:type="dxa"/>
            <w:tcBorders/>
            <w:shd w:fill="CCEEFF" w:val="clear"/>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37.00%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111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15" w:type="dxa"/>
            <w:tcBorders/>
            <w:shd w:fill="CCEEFF" w:val="clear"/>
            <w:tcMar>
              <w:bottom w:w="0" w:type="dxa"/>
            </w:tcM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161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35" w:type="dxa"/>
            <w:tcBorders/>
            <w:shd w:fill="CCEEFF" w:val="clear"/>
            <w:tcMar>
              <w:bottom w:w="0" w:type="dxa"/>
            </w:tcMar>
            <w:vAlign w:val="center"/>
          </w:tcPr>
          <w:p>
            <w:pPr>
              <w:pStyle w:val="TableContents"/>
              <w:bidi w:val="0"/>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161 </w:t>
            </w:r>
          </w:p>
        </w:tc>
      </w:tr>
      <w:tr>
        <w:trPr/>
        <w:tc>
          <w:tcPr>
            <w:tcW w:w="264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Efficiency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Bank</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66.14%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57.20%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8.94%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5" w:type="dxa"/>
            <w:tcBorders/>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80" w:type="dxa"/>
            <w:tcBorders/>
            <w:tcMar>
              <w:bottom w:w="0" w:type="dxa"/>
            </w:tcMar>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8.00%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15" w:type="dxa"/>
            <w:tcBorders/>
            <w:tcMar>
              <w:bottom w:w="0" w:type="dxa"/>
            </w:tcM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5" w:type="dxa"/>
            <w:tcBorders/>
            <w:tcMar>
              <w:bottom w:w="0" w:type="dxa"/>
            </w:tcMar>
            <w:vAlign w:val="center"/>
          </w:tcPr>
          <w:p>
            <w:pPr>
              <w:pStyle w:val="TableContents"/>
              <w:bidi w:val="0"/>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 </w:t>
            </w:r>
          </w:p>
        </w:tc>
      </w:tr>
      <w:tr>
        <w:trPr/>
        <w:tc>
          <w:tcPr>
            <w:tcW w:w="264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 Asset Quality</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5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Bank</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0.42%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0.09%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45" w:type="dxa"/>
            <w:tcBorders/>
            <w:shd w:fill="CCEEFF" w:val="clear"/>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283"/>
              <w:ind w:left="254" w:right="0" w:hanging="0"/>
              <w:jc w:val="left"/>
              <w:rPr>
                <w:color w:val="000000"/>
                <w:bdr w:val="single" w:sz="8" w:space="1" w:color="000000"/>
              </w:rPr>
            </w:pPr>
            <w:r>
              <w:rPr>
                <w:color w:val="000000"/>
                <w:bdr w:val="single" w:sz="8" w:space="1" w:color="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15" w:type="dxa"/>
            <w:tcBorders/>
            <w:shd w:fill="CCEEFF" w:val="clear"/>
            <w:tcMar>
              <w:bottom w:w="0" w:type="dxa"/>
            </w:tcMar>
            <w:vAlign w:val="center"/>
          </w:tcPr>
          <w:p>
            <w:pPr>
              <w:pStyle w:val="TableContents"/>
              <w:bidi w:val="0"/>
              <w:spacing w:before="0" w:after="283"/>
              <w:ind w:left="7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35" w:type="dxa"/>
            <w:tcBorders/>
            <w:shd w:fill="CCEEFF" w:val="clear"/>
            <w:tcMar>
              <w:bottom w:w="0" w:type="dxa"/>
            </w:tcMar>
            <w:vAlign w:val="center"/>
          </w:tcPr>
          <w:p>
            <w:pPr>
              <w:pStyle w:val="TableContents"/>
              <w:bidi w:val="0"/>
              <w:spacing w:before="0" w:after="283"/>
              <w:ind w:left="11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25 </w:t>
            </w:r>
          </w:p>
        </w:tc>
      </w:tr>
      <w:tr>
        <w:trPr/>
        <w:tc>
          <w:tcPr>
            <w:tcW w:w="264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5" w:type="dxa"/>
            <w:tcBorders/>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80"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105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15" w:type="dxa"/>
            <w:tcBorders/>
            <w:tcMar>
              <w:bottom w:w="0" w:type="dxa"/>
            </w:tcM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235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5" w:type="dxa"/>
            <w:tcBorders/>
            <w:tcMar>
              <w:bottom w:w="0" w:type="dxa"/>
            </w:tcMar>
            <w:vAlign w:val="center"/>
          </w:tcPr>
          <w:p>
            <w:pPr>
              <w:pStyle w:val="TableContents"/>
              <w:bidi w:val="0"/>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 </w:t>
            </w:r>
          </w:p>
        </w:tc>
      </w:tr>
      <w:tr>
        <w:trPr/>
        <w:tc>
          <w:tcPr>
            <w:tcW w:w="264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5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4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1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35" w:type="dxa"/>
            <w:tcBorders/>
            <w:shd w:fill="CCEEFF" w:val="clear"/>
            <w:tcMar>
              <w:bottom w:w="0" w:type="dxa"/>
            </w:tcMar>
            <w:vAlign w:val="center"/>
          </w:tcPr>
          <w:p>
            <w:pPr>
              <w:pStyle w:val="TableContents"/>
              <w:bidi w:val="0"/>
              <w:spacing w:before="0" w:after="0"/>
              <w:jc w:val="left"/>
              <w:rPr>
                <w:color w:val="000000"/>
              </w:rPr>
            </w:pPr>
            <w:r>
              <w:rPr>
                <w:color w:val="000000"/>
              </w:rPr>
              <w:t> </w:t>
            </w:r>
          </w:p>
        </w:tc>
      </w:tr>
      <w:tr>
        <w:trPr/>
        <w:tc>
          <w:tcPr>
            <w:tcW w:w="264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 Discretionary Bonus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5" w:type="dxa"/>
            <w:tcBorders/>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80"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254"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15" w:type="dxa"/>
            <w:tcBorders/>
            <w:tcMar>
              <w:bottom w:w="0" w:type="dxa"/>
            </w:tcM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5" w:type="dxa"/>
            <w:tcBorders/>
            <w:tcMar>
              <w:bottom w:w="0" w:type="dxa"/>
            </w:tcMar>
            <w:vAlign w:val="center"/>
          </w:tcPr>
          <w:p>
            <w:pPr>
              <w:pStyle w:val="TableContents"/>
              <w:bidi w:val="0"/>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 </w:t>
            </w:r>
          </w:p>
        </w:tc>
      </w:tr>
      <w:tr>
        <w:trPr/>
        <w:tc>
          <w:tcPr>
            <w:tcW w:w="2645" w:type="dxa"/>
            <w:tcBorders/>
            <w:shd w:fill="CCEEFF" w:val="clear"/>
            <w:tcMar>
              <w:bottom w:w="0" w:type="dxa"/>
            </w:tcM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Compensation: $630,000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5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4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1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35" w:type="dxa"/>
            <w:tcBorders/>
            <w:shd w:fill="CCEEFF" w:val="clear"/>
            <w:tcMar>
              <w:bottom w:w="0" w:type="dxa"/>
            </w:tcMar>
            <w:vAlign w:val="center"/>
          </w:tcPr>
          <w:p>
            <w:pPr>
              <w:pStyle w:val="TableContents"/>
              <w:bidi w:val="0"/>
              <w:spacing w:before="0" w:after="0"/>
              <w:jc w:val="left"/>
              <w:rPr>
                <w:color w:val="000000"/>
              </w:rPr>
            </w:pPr>
            <w:r>
              <w:rPr>
                <w:color w:val="000000"/>
              </w:rPr>
              <w:t> </w:t>
            </w:r>
          </w:p>
        </w:tc>
      </w:tr>
    </w:tbl>
    <w:p>
      <w:pPr>
        <w:pStyle w:val="TextBody"/>
        <w:bidi w:val="0"/>
        <w:spacing w:before="27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Curtis C. Griffith </w:t>
      </w:r>
    </w:p>
    <w:tbl>
      <w:tblPr>
        <w:tblW w:w="9164" w:type="dxa"/>
        <w:jc w:val="left"/>
        <w:tblInd w:w="0" w:type="dxa"/>
        <w:tblLayout w:type="fixed"/>
        <w:tblCellMar>
          <w:top w:w="0" w:type="dxa"/>
          <w:left w:w="0" w:type="dxa"/>
          <w:bottom w:w="85" w:type="dxa"/>
          <w:right w:w="0" w:type="dxa"/>
        </w:tblCellMar>
      </w:tblPr>
      <w:tblGrid>
        <w:gridCol w:w="2645"/>
        <w:gridCol w:w="23"/>
        <w:gridCol w:w="23"/>
        <w:gridCol w:w="455"/>
        <w:gridCol w:w="23"/>
        <w:gridCol w:w="23"/>
        <w:gridCol w:w="740"/>
        <w:gridCol w:w="23"/>
        <w:gridCol w:w="23"/>
        <w:gridCol w:w="740"/>
        <w:gridCol w:w="23"/>
        <w:gridCol w:w="23"/>
        <w:gridCol w:w="755"/>
        <w:gridCol w:w="23"/>
        <w:gridCol w:w="23"/>
        <w:gridCol w:w="545"/>
        <w:gridCol w:w="23"/>
        <w:gridCol w:w="23"/>
        <w:gridCol w:w="725"/>
        <w:gridCol w:w="23"/>
        <w:gridCol w:w="23"/>
        <w:gridCol w:w="995"/>
        <w:gridCol w:w="23"/>
        <w:gridCol w:w="23"/>
        <w:gridCol w:w="515"/>
        <w:gridCol w:w="23"/>
        <w:gridCol w:w="23"/>
        <w:gridCol w:w="635"/>
      </w:tblGrid>
      <w:tr>
        <w:trPr/>
        <w:tc>
          <w:tcPr>
            <w:tcW w:w="264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 Specific</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Performance Metric</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45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4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4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Actual</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5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 Excess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54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Variance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Variance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51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Factor</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3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Capped </w:t>
            </w:r>
          </w:p>
        </w:tc>
      </w:tr>
      <w:tr>
        <w:trPr/>
        <w:tc>
          <w:tcPr>
            <w:tcW w:w="264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Profitability</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5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SPFI</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$ 45,739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$ 62,745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137.18%</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45" w:type="dxa"/>
            <w:tcBorders/>
            <w:shd w:fill="CCEEFF" w:val="clear"/>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37.00%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95" w:type="dxa"/>
            <w:tcBorders/>
            <w:shd w:fill="CCEEFF" w:val="clear"/>
            <w:tcMar>
              <w:bottom w:w="0" w:type="dxa"/>
            </w:tcMar>
            <w:vAlign w:val="center"/>
          </w:tcPr>
          <w:p>
            <w:pPr>
              <w:pStyle w:val="TableContents"/>
              <w:bidi w:val="0"/>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37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15" w:type="dxa"/>
            <w:tcBorders/>
            <w:shd w:fill="CCEEFF" w:val="clear"/>
            <w:tcMar>
              <w:bottom w:w="0" w:type="dxa"/>
            </w:tcM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35" w:type="dxa"/>
            <w:tcBorders/>
            <w:shd w:fill="CCEEFF" w:val="clear"/>
            <w:tcMar>
              <w:bottom w:w="0" w:type="dxa"/>
            </w:tcMar>
            <w:vAlign w:val="center"/>
          </w:tcPr>
          <w:p>
            <w:pPr>
              <w:pStyle w:val="TableContents"/>
              <w:bidi w:val="0"/>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 </w:t>
            </w:r>
          </w:p>
        </w:tc>
      </w:tr>
      <w:tr>
        <w:trPr/>
        <w:tc>
          <w:tcPr>
            <w:tcW w:w="264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Efficiency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Bank</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66.14%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57.20%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8.94%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5" w:type="dxa"/>
            <w:tcBorders/>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25" w:type="dxa"/>
            <w:tcBorders/>
            <w:tcMar>
              <w:bottom w:w="0" w:type="dxa"/>
            </w:tcMar>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8.00%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15" w:type="dxa"/>
            <w:tcBorders/>
            <w:tcMar>
              <w:bottom w:w="0" w:type="dxa"/>
            </w:tcM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44</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5" w:type="dxa"/>
            <w:tcBorders/>
            <w:tcMar>
              <w:bottom w:w="0" w:type="dxa"/>
            </w:tcMar>
            <w:vAlign w:val="center"/>
          </w:tcPr>
          <w:p>
            <w:pPr>
              <w:pStyle w:val="TableContents"/>
              <w:bidi w:val="0"/>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 </w:t>
            </w:r>
          </w:p>
        </w:tc>
      </w:tr>
      <w:tr>
        <w:trPr/>
        <w:tc>
          <w:tcPr>
            <w:tcW w:w="264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 Asset Quality</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5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Bank</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0.42%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0.33%</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0.09%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45" w:type="dxa"/>
            <w:tcBorders/>
            <w:shd w:fill="CCEEFF" w:val="clear"/>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95" w:type="dxa"/>
            <w:tcBorders/>
            <w:shd w:fill="CCEEFF" w:val="clear"/>
            <w:tcMar>
              <w:bottom w:w="0" w:type="dxa"/>
            </w:tcMar>
            <w:vAlign w:val="center"/>
          </w:tcPr>
          <w:p>
            <w:pPr>
              <w:pStyle w:val="TableContents"/>
              <w:bidi w:val="0"/>
              <w:spacing w:before="0" w:after="283"/>
              <w:ind w:left="344" w:right="0" w:hanging="0"/>
              <w:jc w:val="left"/>
              <w:rPr>
                <w:color w:val="000000"/>
                <w:bdr w:val="single" w:sz="8" w:space="1" w:color="000000"/>
              </w:rPr>
            </w:pPr>
            <w:r>
              <w:rPr>
                <w:color w:val="000000"/>
                <w:bdr w:val="single" w:sz="8" w:space="1" w:color="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15" w:type="dxa"/>
            <w:tcBorders/>
            <w:shd w:fill="CCEEFF" w:val="clear"/>
            <w:tcMar>
              <w:bottom w:w="0" w:type="dxa"/>
            </w:tcMar>
            <w:vAlign w:val="center"/>
          </w:tcPr>
          <w:p>
            <w:pPr>
              <w:pStyle w:val="TableContents"/>
              <w:bidi w:val="0"/>
              <w:spacing w:before="0" w:after="283"/>
              <w:ind w:left="7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35" w:type="dxa"/>
            <w:tcBorders/>
            <w:shd w:fill="CCEEFF" w:val="clear"/>
            <w:tcMar>
              <w:bottom w:w="0" w:type="dxa"/>
            </w:tcMar>
            <w:vAlign w:val="center"/>
          </w:tcPr>
          <w:p>
            <w:pPr>
              <w:pStyle w:val="TableContents"/>
              <w:bidi w:val="0"/>
              <w:spacing w:before="0" w:after="283"/>
              <w:ind w:left="11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20 </w:t>
            </w:r>
          </w:p>
        </w:tc>
      </w:tr>
      <w:tr>
        <w:trPr/>
        <w:tc>
          <w:tcPr>
            <w:tcW w:w="264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5" w:type="dxa"/>
            <w:tcBorders/>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2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15" w:type="dxa"/>
            <w:tcBorders/>
            <w:tcMar>
              <w:bottom w:w="0" w:type="dxa"/>
            </w:tcM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121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5" w:type="dxa"/>
            <w:tcBorders/>
            <w:tcMar>
              <w:bottom w:w="0" w:type="dxa"/>
            </w:tcMar>
            <w:vAlign w:val="center"/>
          </w:tcPr>
          <w:p>
            <w:pPr>
              <w:pStyle w:val="TableContents"/>
              <w:bidi w:val="0"/>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121 </w:t>
            </w:r>
          </w:p>
        </w:tc>
      </w:tr>
      <w:tr>
        <w:trPr/>
        <w:tc>
          <w:tcPr>
            <w:tcW w:w="264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5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4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9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1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35" w:type="dxa"/>
            <w:tcBorders/>
            <w:shd w:fill="CCEEFF" w:val="clear"/>
            <w:tcMar>
              <w:bottom w:w="0" w:type="dxa"/>
            </w:tcMar>
            <w:vAlign w:val="center"/>
          </w:tcPr>
          <w:p>
            <w:pPr>
              <w:pStyle w:val="TableContents"/>
              <w:bidi w:val="0"/>
              <w:spacing w:before="0" w:after="0"/>
              <w:jc w:val="left"/>
              <w:rPr>
                <w:color w:val="000000"/>
              </w:rPr>
            </w:pPr>
            <w:r>
              <w:rPr>
                <w:color w:val="000000"/>
              </w:rPr>
              <w:t> </w:t>
            </w:r>
          </w:p>
        </w:tc>
      </w:tr>
      <w:tr>
        <w:trPr/>
        <w:tc>
          <w:tcPr>
            <w:tcW w:w="264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 Individual Performance</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5" w:type="dxa"/>
            <w:tcBorders/>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2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ind w:left="34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15" w:type="dxa"/>
            <w:tcBorders/>
            <w:tcMar>
              <w:bottom w:w="0" w:type="dxa"/>
            </w:tcMar>
            <w:vAlign w:val="center"/>
          </w:tcPr>
          <w:p>
            <w:pPr>
              <w:pStyle w:val="TableContents"/>
              <w:bidi w:val="0"/>
              <w:spacing w:before="0" w:after="283"/>
              <w:ind w:left="7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5" w:type="dxa"/>
            <w:tcBorders/>
            <w:tcMar>
              <w:bottom w:w="0" w:type="dxa"/>
            </w:tcMar>
            <w:vAlign w:val="center"/>
          </w:tcPr>
          <w:p>
            <w:pPr>
              <w:pStyle w:val="TableContents"/>
              <w:bidi w:val="0"/>
              <w:spacing w:before="0" w:after="283"/>
              <w:ind w:left="11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 xml:space="preserve">80 </w:t>
            </w:r>
          </w:p>
        </w:tc>
      </w:tr>
      <w:tr>
        <w:trPr/>
        <w:tc>
          <w:tcPr>
            <w:tcW w:w="264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45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45" w:type="dxa"/>
            <w:tcBorders/>
            <w:shd w:fill="CCEEFF" w:val="clear"/>
            <w:tcMar>
              <w:bottom w:w="0" w:type="dxa"/>
            </w:tcM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995" w:type="dxa"/>
            <w:tcBorders/>
            <w:shd w:fill="CCEEFF" w:val="clear"/>
            <w:tcMar>
              <w:bottom w:w="0" w:type="dxa"/>
            </w:tcMar>
            <w:vAlign w:val="center"/>
          </w:tcPr>
          <w:p>
            <w:pPr>
              <w:pStyle w:val="TableContents"/>
              <w:bidi w:val="0"/>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201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15" w:type="dxa"/>
            <w:tcBorders/>
            <w:shd w:fill="CCEEFF" w:val="clear"/>
            <w:tcMar>
              <w:bottom w:w="0" w:type="dxa"/>
            </w:tcM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201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635" w:type="dxa"/>
            <w:tcBorders/>
            <w:shd w:fill="CCEEFF" w:val="clear"/>
            <w:tcMar>
              <w:bottom w:w="0" w:type="dxa"/>
            </w:tcMar>
            <w:vAlign w:val="center"/>
          </w:tcPr>
          <w:p>
            <w:pPr>
              <w:pStyle w:val="TableContents"/>
              <w:bidi w:val="0"/>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 </w:t>
            </w:r>
          </w:p>
        </w:tc>
      </w:tr>
      <w:tr>
        <w:trPr/>
        <w:tc>
          <w:tcPr>
            <w:tcW w:w="2645" w:type="dxa"/>
            <w:tcBorders/>
            <w:tcMar>
              <w:bottom w:w="0" w:type="dxa"/>
            </w:tcM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Compensation: $400,000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5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2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9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Overall Cap</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15"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5" w:type="dxa"/>
            <w:tcBorders/>
            <w:tcMar>
              <w:bottom w:w="0" w:type="dxa"/>
            </w:tcMar>
            <w:vAlign w:val="center"/>
          </w:tcPr>
          <w:p>
            <w:pPr>
              <w:pStyle w:val="TableContents"/>
              <w:bidi w:val="0"/>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200</w:t>
            </w:r>
          </w:p>
        </w:tc>
      </w:tr>
    </w:tbl>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South Plains Financial, Inc. 2019 Equity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adopted the South Plains Financial, Inc. 2019 Equity Incentive Plan for the purpose of attracting and retaining employees by providing them with additional incentives, and to promote the success of our company’s business.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Administration</w:t>
      </w:r>
      <w:r>
        <w:rPr>
          <w:rFonts w:ascii="Times New Roman;Times;serif" w:hAnsi="Times New Roman;Times;serif"/>
          <w:i w:val="false"/>
          <w:caps w:val="false"/>
          <w:smallCaps w:val="false"/>
          <w:color w:val="000000"/>
          <w:sz w:val="20"/>
        </w:rPr>
        <w:t xml:space="preserve">. Our board or one or more committees appointed by our board will administer the 2019 Plan. The Compensation Committee has been appointed by our board to administer the 2019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8" w:name="ny20019245x2_def14a_109-executive_pg4"/>
        <w:bookmarkEnd w:id="38"/>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Eligibility</w:t>
      </w:r>
      <w:r>
        <w:rPr>
          <w:rFonts w:ascii="Times New Roman;Times;serif" w:hAnsi="Times New Roman;Times;serif"/>
          <w:i w:val="false"/>
          <w:caps w:val="false"/>
          <w:smallCaps w:val="false"/>
          <w:color w:val="000000"/>
          <w:sz w:val="20"/>
        </w:rPr>
        <w:t xml:space="preserve">. Persons eligible to receive awards under the 2019 Plan include our officers, employees, consultants and members of our board. Our board or one or more committees appointed by our board will determine from time to time the participants to whom awards will be granted.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Authorized Shares; Limits on Awards</w:t>
      </w:r>
      <w:r>
        <w:rPr>
          <w:rFonts w:ascii="Times New Roman;Times;serif" w:hAnsi="Times New Roman;Times;serif"/>
          <w:i w:val="false"/>
          <w:caps w:val="false"/>
          <w:smallCaps w:val="false"/>
          <w:color w:val="000000"/>
          <w:sz w:val="20"/>
        </w:rPr>
        <w:t xml:space="preserve">. The maximum number of common shares that may be issued or transferred pursuant to awards under the 2019 Plan as of December 31, 2023 equals 2,036,512, all of which may be subject to incentive stock option treatment. The maximum aggregate number of common shares that may be issued pursuant to all awards under the 2019 Plan shall increase annually on the first day of each fiscal year following the adoption of the 2019 Plan by the number of common shares equal to the lesser of (i) 3% of the total issued and outstanding common shares on the first day of such fiscal year, and (ii) such lesser amount determined by our board.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Adjustments or Changes in Capitalization</w:t>
      </w:r>
      <w:r>
        <w:rPr>
          <w:rFonts w:ascii="Times New Roman;Times;serif" w:hAnsi="Times New Roman;Times;serif"/>
          <w:i w:val="false"/>
          <w:caps w:val="false"/>
          <w:smallCaps w:val="false"/>
          <w:color w:val="000000"/>
          <w:sz w:val="20"/>
        </w:rPr>
        <w:t xml:space="preserve">. In the event of any change in the outstanding common shares by reason of a stock split, stock dividend or other non-recurring dividends or distributions, recapitalization, merger, consolidation, spin-off, combination, repurchase or exchange of stock, reorganization, liquidation, dissolution or other similar corporate transaction that affects our common stock, the aggregate number of shares of common stock available under the 2019 Plan or subject to outstanding awards (including the exercise price of any awards) shall be adjusted as our board deems necessary or appropriate.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Incentive Awards</w:t>
      </w:r>
      <w:r>
        <w:rPr>
          <w:rFonts w:ascii="Times New Roman;Times;serif" w:hAnsi="Times New Roman;Times;serif"/>
          <w:i w:val="false"/>
          <w:caps w:val="false"/>
          <w:smallCaps w:val="false"/>
          <w:color w:val="000000"/>
          <w:sz w:val="20"/>
        </w:rPr>
        <w:t xml:space="preserve">. The 2019 Plan authorizes stock options, stock appreciation rights (“SARs”), restricted stock, restricted stock units, performance-based awards, as well as other awards (described in the 2019 Plan) that are responsive to changing developments in management compensation. The 2019 Plan retains the flexibility to offer competitive incentives and to tailor benefits to specific needs and circumstances. Any award may be paid or settled in cash. An option or SAR will expire, or other award will vest, in accordance with the schedule set forth in the applicable award agreement.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Stock Options</w:t>
            </w:r>
            <w:r>
              <w:rPr>
                <w:rFonts w:ascii="Times New Roman;Times;serif" w:hAnsi="Times New Roman;Times;serif"/>
                <w:color w:val="000000"/>
                <w:sz w:val="20"/>
              </w:rPr>
              <w:t xml:space="preserve">. A stock option is the right to purchase common shares at a future date at a specified price per share generally equal to, but no less than, the fair market value of a share on the date of grant. An option may either be an Incentive Stock Option, or ISO, or a nonstatutory stock option, or NSO. ISO benefits are taxed differently from NSOs, as described under “Federal Income Tax Treatment of Awards under the 2019 Plan” below. ISOs also are subject to more restrictive terms and are limited in amount by the Internal Revenue Code of 1986, as amended (the “Code”), and the 2019 Plan. Full payment for shares purchased on the exercise of any option must be made at the time of such exercise in a manner approved by our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SARs</w:t>
            </w:r>
            <w:r>
              <w:rPr>
                <w:rFonts w:ascii="Times New Roman;Times;serif" w:hAnsi="Times New Roman;Times;serif"/>
                <w:color w:val="000000"/>
                <w:sz w:val="20"/>
              </w:rPr>
              <w:t xml:space="preserve">. An SAR is the right to receive payment of an amount equal to the excess of the fair market value of a common share on the date of exercise of the SAR over the base price of the SAR. The base price will be established by our board at the time of grant of the SAR but will not be less than the fair market value of a share on the date of grant. SARs may be granted in connection with other awards or independently.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Restricted Stock</w:t>
            </w:r>
            <w:r>
              <w:rPr>
                <w:rFonts w:ascii="Times New Roman;Times;serif" w:hAnsi="Times New Roman;Times;serif"/>
                <w:color w:val="000000"/>
                <w:sz w:val="20"/>
              </w:rPr>
              <w:t xml:space="preserve">. A restricted stock award is typically for a fixed number of common shares subject to restrictions. Our board specifies the price, if any; the participant must pay for such shares and the restrictions (which may include, for example, continued service and/or performance standards) imposed on such shares. A stock bonus may be granted by our board to any eligible person to reward exceptional or special services, contributions or achievements in the manner and on such terms and conditions (including any restrictions on such shares) as determined from time to time by our board. The number of shares so awarded shall be determined by our board and may be granted independently or in lieu of a cash bonus.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Restricted Stock Units</w:t>
            </w:r>
            <w:r>
              <w:rPr>
                <w:rFonts w:ascii="Times New Roman;Times;serif" w:hAnsi="Times New Roman;Times;serif"/>
                <w:color w:val="000000"/>
                <w:sz w:val="20"/>
              </w:rPr>
              <w:t xml:space="preserve">. A restricted stock unit is similar to an SAR except that it entitles the recipient to receive an amount equal to the fair market value of a common share.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Performance-Based Awards</w:t>
            </w:r>
            <w:r>
              <w:rPr>
                <w:rFonts w:ascii="Times New Roman;Times;serif" w:hAnsi="Times New Roman;Times;serif"/>
                <w:color w:val="000000"/>
                <w:sz w:val="20"/>
              </w:rPr>
              <w:t xml:space="preserve">. Our board may designate any award, the exercisability or settlement of which is subject to the achievement of performance conditions, as a performance-based award. The performance goals set forth in the 2019 Plan are such goals as established by our board or a committee of the board in connection with an award and will be based upon one or more criteria. Our board may select any number of performance goals from this list of performance goals when establishing the performance measures of a performance-based award. The 2019 Plan allows performance goals to be described in terms of objectives that are related to an individual participant or goals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9" w:name="ny20019245x2_def14a_109-executive_pg5"/>
        <w:bookmarkEnd w:id="39"/>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business unit) or measured relative to selected peer companies or a market index. The performance goals set forth in the 2019 Plan are: interest income and expense; net earnings or net income; net interest margin; efficiency ratio; reduction in non-accrual loans and non-interest expense; growth in non-interest income and ratios to earning assets; net revenue growth and ratio to earning assets; capital ratios; asset or liability interest rate sensitivity and gap; effective tax rate; deposit growth and composition; liquidity management; securities portfolio (value, yield, spread, maturity, or duration); asset growth and composition (loans, securities); non-interest income (e.g., fees, premiums and commissions, loans, wealth management, treasury management, insurance, funds management) and expense; overhead ratios, productivity ratios; credit quality measures; return on assets; return on equity; economic value of equity; compliance and CAMELS or other regulatory ratings; internal controls; enterprise risk measures (e.g., interest rate, loan concentrations, portfolio composition, credit quality, operational measures, compliance ratings, balance sheet, liquidity, insurance); volume in production or loans; non-performing asset or non-performing loan levels or ratios or loan delinquency levels; provision for loan losses or net charge-offs; cash flow; cost; revenues; sales; ratio of debt to debt plus equity; net borrowing, credit quality or debt ratings; profit before tax; economic profit; earnings before interest and taxes; earnings before interest, taxes, depreciation and amortization; gross margin; profit margin; earnings per share; operating earnings; capital expenditures; expenses or expense levels; economic value added; ratio of operating earnings to capital spending or any other operating ratios; free cash flow; net profit; net sales; net asset value per share; the accomplishment of mergers, acquisitions, dispositions, public offerings or similar extraordinary business transactions; sales growth; price of the Company’s shares of common stock; return on investment; equity or shareholder equity; market share; inventory levels, inventory turn or shrinkage; customer satisfaction; or total shareholder return.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Acceleration of Awards; Possible Early Termination of Awards</w:t>
      </w:r>
      <w:r>
        <w:rPr>
          <w:rFonts w:ascii="Times New Roman;Times;serif" w:hAnsi="Times New Roman;Times;serif"/>
          <w:i w:val="false"/>
          <w:caps w:val="false"/>
          <w:smallCaps w:val="false"/>
          <w:color w:val="000000"/>
          <w:sz w:val="20"/>
        </w:rPr>
        <w:t xml:space="preserve">. Upon a change in control of our Company, outstanding awards under the 2019 Plan will be assumed or substituted on the same terms. However, if the successor corporation does not assume or substitute the outstanding awards, then vesting of these awards will fully accelerate and, in the case of options or SARs, will become immediately exercisable. For this purpose, a change in control is defined to include certain changes in the majority of our board, the sale of all or substantially all of our Company’s assets, and the consummation of certain mergers or consolidations.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Termination of or Changes to the 2019 Plan</w:t>
      </w:r>
      <w:r>
        <w:rPr>
          <w:rFonts w:ascii="Times New Roman;Times;serif" w:hAnsi="Times New Roman;Times;serif"/>
          <w:i w:val="false"/>
          <w:caps w:val="false"/>
          <w:smallCaps w:val="false"/>
          <w:color w:val="000000"/>
          <w:sz w:val="20"/>
        </w:rPr>
        <w:t xml:space="preserve">. Our board may amend or terminate the 2019 Plan at any time and in any manner. Unless required by applicable law or listing agency rule, stockholder approval for any amendment will not be required. Unless previously terminated by our board, the 2019 Plan will terminate on January 16, 2029. Generally speaking, outstanding awards may be amended, subject, however, to the consent of the holder if the amendment materially and adversely affects the holder.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401(k)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maintains a 401(k) retirement plan intended to be a tax-qualified defined contribution plan under Section 401(k) of the Code. In addition to salary deferral contributions, the Company may make discretionary matching contributions and discretionary profit-sharing contributions to the 401(k) Plan. Currently, the Company makes a safe-harbor matching contribution to the 401(k) Plan equal to a participant’s salary deferrals, up to 5% of the participant’s compensation. A participant is always 100% vested in his or her salary deferral contributions and safe-harbor matching contributions. The named executive officers are eligible to participate in the 401(k) Plan on the same terms as other participating employees.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Deferred Compensation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Non-qualified Deferred Compensation Plan</w:t>
      </w:r>
      <w:r>
        <w:rPr>
          <w:rFonts w:ascii="Times New Roman;Times;serif" w:hAnsi="Times New Roman;Times;serif"/>
          <w:i w:val="false"/>
          <w:caps w:val="false"/>
          <w:smallCaps w:val="false"/>
          <w:color w:val="000000"/>
          <w:sz w:val="20"/>
        </w:rPr>
        <w:t xml:space="preserve">. We sponsor a non-qualified, non-contributory deferred compensation plan, or the Deferred Compensation Plan, for the benefit of certain employees of the Company. The primary purpose of the Deferred Compensation Plan is to provide additional compensation to participants upon termination of employment with the Company, death, or attainment of retirement age. The amount, timing, and form of payment is specified in the adoption agreement executed by the Company and the participant. The Deferred Compensation Plan is unfunded.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Effective April 9, 2008, the Company entered into an agreement under the Deferred Compensation Plan with Mr. Newsom. Mr. Newsom is 100% vested in his benefit and his benefit will be paid in cash only. Mr. Newsom’s agreement provides that he will receive an annual benefit of $150,000 on the earlier to occur of (i) achievement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0" w:name="ny20019245x2_def14a_109-executive_pg6"/>
        <w:bookmarkEnd w:id="40"/>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retirement age (defined as age 58) and (ii) separation from service within two years following a change in control (as defined in the Deferred Compensation Plan). If Mr. Newsom experiences a separation from service or becomes disabled while employed, in each case prior to reaching retirement age, he will be entitled to a lump sum benefit equal to his benefit liability balance as set forth in the Deferred Compensation Plan. In the event Mr. Newsom is terminated for cause (as defined in the Deferred Compensation Plan), dies, or violates any restrictive covenants set forth in the Deferred Compensation Plan, he will forfeit any and all benefits to which he would otherwise be entitled to receive under the Deferred Compensation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Effective January 1, 2008, the Company entered into a restated agreement under the Deferred Compensation Plan with Mr. Crockett, most recently amended on March 15, 2024. Mr. Crockett is currently 100% vested in his benefits. His benefit will be paid in cash only. Mr. Crockett’s agreement provides that he will receive an annual benefit of $100,000 on the earlier to occur of (i) achievement of retirement age (defined as age 65) and (ii) separation from service within two years following a change in control (as defined in the Deferred Compensation Plan). If Mr. Crockett experiences a separation from service or becomes disabled while employed, in each case prior to reaching retirement age, he will be entitled to a lump sum benefit equal to his benefit liability balance as set forth in the Deferred Compensation Plan. In the event Mr. Crockett is terminated for cause (as defined in the Deferred Compensation Plan), dies, or violates any restrictive covenants set forth in the Deferred Compensation Plan, he will forfeit any and all benefits to which he would otherwise be entitled to receive under the Deferred Compensation Plan. In the event Mr. Crockett dies, Mr. Crockett’s beneficiary will receive (i) the lump sum amount of the separation from service benefit or disability benefit, subject to certain conditions, or (ii) the annual payments of the separation from service benefit following a change in control.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Split Dollar Life Insurance Benefits</w:t>
      </w:r>
      <w:r>
        <w:rPr>
          <w:rFonts w:ascii="Times New Roman;Times;serif" w:hAnsi="Times New Roman;Times;serif"/>
          <w:i w:val="false"/>
          <w:caps w:val="false"/>
          <w:smallCaps w:val="false"/>
          <w:color w:val="000000"/>
          <w:sz w:val="20"/>
        </w:rPr>
        <w:t xml:space="preserve">. The Company has purchased life insurance policies on Mr. Newsom, Mr. Crockett and Mr. Griffith and has entered into Joint Beneficial Designation Agreements with Mr. Newsom, Mr. Crockett and Mr. Griffith regarding such policies. The agreements provide certain death benefits to Mr. Newsom, Mr. Crockett and Mr. Griffith’s beneficiaries upon their death. If Mr. Newsom, Mr. Crockett or Mr. Griffith’s death occurs: (i) while employed by the Company; (ii) after retirement with the Company; (iii) after a change in control (as defined in the life insurance policy documents); or (iv) or after a determination of disability, they are entitled to a certain percentage of the value of the policies less the cash value of the policies. Mr. Newsom and Mr. Griffith are 100% vested in their benefits under the agreements. At December 31, 2023, the value of the split dollar life insurance benefits for Mr. Newsom’s beneficiaries would have been approximately $2,539,000, the value of the split dollar life insurance benefits for Mr. Crockett’s beneficiaries would have been approximately $1,456,000 and the value of the split dollar life insurance benefits for Mr. Griffith’s beneficiaries would have been approximately $1,019,000.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Independent Compensation Consultant</w:t>
      </w:r>
      <w:r>
        <w:rPr>
          <w:rFonts w:ascii="Times New Roman;Times;serif" w:hAnsi="Times New Roman;Times;serif"/>
          <w:i w:val="false"/>
          <w:caps w:val="false"/>
          <w:smallCaps w:val="false"/>
          <w:color w:val="000000"/>
          <w:sz w:val="20"/>
        </w:rPr>
        <w:t xml:space="preserve">. Pursuant to the Charter of the Compensation Committee, the Compensation Committee is authorized to retain compensation consultants as it deems necessary or appropriate to carry out its duties. Prior to retaining, or seeking advice from, a compensation consultant, the Compensation Committee must consider the independence of such compensation consultant, taking into consideration the factors set forth in the Charter of the Compensation Committee. Neither the Company nor the Compensation Committee retained a compensation consultant in fiscal year 2023 for purposes of determining or recommending the amount or form of executive or director compensation.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Employment and Change in Control Severance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into employment agreements with Mr. Cory T. Newsom and Mr. Curtis C. Griffith. Mr. Steven B. Crockett is a participant in the South Plains Financial, Inc. Executive Change in Control Severance Plan. The following is a summary of the material terms of each such agreement.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Employment Agreement with Cory T. Newsom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Effective March 6, 2019, the Company and the Bank entered into an employment agreement with Mr. Newsom, which was amended on December 15, 2021. Please refer to Exhibit 10.4 to our Registration Statement on Form S-1/A, filed with the SEC on April 29, 2019, and Exhibit 10.2 to our Current Report on Form 8-K, filed with the SEC on December 21, 2021, for copies of Mr. Newson’s employment agreement and the amendment to Mr. Newsom’s employment agreement. The key terms of Mr. Newsom’s employment agreement, as amended, are set forth below.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Term</w:t>
      </w:r>
      <w:r>
        <w:rPr>
          <w:rFonts w:ascii="Times New Roman;Times;serif" w:hAnsi="Times New Roman;Times;serif"/>
          <w:i w:val="false"/>
          <w:caps w:val="false"/>
          <w:smallCaps w:val="false"/>
          <w:color w:val="000000"/>
          <w:sz w:val="20"/>
        </w:rPr>
        <w:t xml:space="preserve">. The employment agreement has an initial three-year term and will automatically renew for additional three-year terms, unless we or Mr. Newsom provide 90-days’ advance notice of non-renewal.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1" w:name="ny20019245x2_def14a_109-executive_pg7"/>
        <w:bookmarkEnd w:id="41"/>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Service on the Board</w:t>
      </w:r>
      <w:r>
        <w:rPr>
          <w:rFonts w:ascii="Times New Roman;Times;serif" w:hAnsi="Times New Roman;Times;serif"/>
          <w:i w:val="false"/>
          <w:caps w:val="false"/>
          <w:smallCaps w:val="false"/>
          <w:color w:val="000000"/>
          <w:sz w:val="20"/>
        </w:rPr>
        <w:t xml:space="preserve">. Pursuant to the employment agreement, our board will nominate Mr. Newsom for re-election as a member of our board at the expiration of each then-current term and the board of the Bank will nominate Mr. Newsom for re-election as a member of its board at the expiration of each then-current term.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Cash Compensation</w:t>
      </w:r>
      <w:r>
        <w:rPr>
          <w:rFonts w:ascii="Times New Roman;Times;serif" w:hAnsi="Times New Roman;Times;serif"/>
          <w:i w:val="false"/>
          <w:caps w:val="false"/>
          <w:smallCaps w:val="false"/>
          <w:color w:val="000000"/>
          <w:sz w:val="20"/>
        </w:rPr>
        <w:t xml:space="preserve">. Mr. Newsom’s base salary will be not less than $630,000 annually. For fiscal year 2023, Mr. Newsom’s base salary was $630,000. He is eligible for an annual cash incentive bonus with a target amount equal to 50% of his base salary, and a maximum not to exceed 75% of his base salary. Mr. Newsom is also eligible for an additional performance-based cash bonus with an award opportunity of 25% of his base salary. This performance-based annual cash bonus will be measured against certain criteria set forth in Attachment 1 to the amendment to Mr. Newsom’s employment agreement related to Mr. Newsom’s leadership and the growth of the Company and the Bank. The Compensation Committee will have full discretion to view the totality of the performance metrics when determining the extent to which a bonus should be earned by Mr. Newsom, and at the time of such determination the Compensation Committee has full discretion to decide the weighting of a metric vis-à-vis the other metrics.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Benefits</w:t>
      </w:r>
      <w:r>
        <w:rPr>
          <w:rFonts w:ascii="Times New Roman;Times;serif" w:hAnsi="Times New Roman;Times;serif"/>
          <w:i w:val="false"/>
          <w:caps w:val="false"/>
          <w:smallCaps w:val="false"/>
          <w:color w:val="000000"/>
          <w:sz w:val="20"/>
        </w:rPr>
        <w:t xml:space="preserve">. Mr. Newsom is eligible to receive benefits that are substantially similar to those of our other senior executive officers. In addition, to the extent Mr. Newsom is not able to fully participate in contributions of the Company to the 401(k) Plan due to IRS-imposed top-heavy testing limitations, then the Bank will pay Mr. Newsom a cash bonus equal to the value of the lost contribution. With respect to other benefits, the Bank will (i) pay or reimburse Mr. Newsom for all of his country club membership dues and expenses; and (ii) provide Mr. Newsom with an automobile. The Bank will pay all of the reasonable professional fees and expenses incurred by Mr. Newsom in negotiation and preparation of the employment agreement and related agreements. The employment agreement also contains certain standard non-competition, non-solicitation, and confidentiality provisions.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Equity Grants - RSU Award</w:t>
      </w:r>
      <w:r>
        <w:rPr>
          <w:rFonts w:ascii="Times New Roman;Times;serif" w:hAnsi="Times New Roman;Times;serif"/>
          <w:i w:val="false"/>
          <w:caps w:val="false"/>
          <w:smallCaps w:val="false"/>
          <w:color w:val="000000"/>
          <w:sz w:val="20"/>
        </w:rPr>
        <w:t xml:space="preserve">. Under the terms of the amendment to Mr. Newsom’s employment agreement, Mr. Newsom will receive an annual grant of restricted stock units in an amount equal to $250,000 divided by the fair market value of the underlying stock as of the date of grant. The annual grant of restricted stock units will occur in January of each fiscal year and will contain a vesting schedule of one (1) year. No tax gross-up applies to the annual grant.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Equity Grants - Stock Option Award</w:t>
      </w:r>
      <w:r>
        <w:rPr>
          <w:rFonts w:ascii="Times New Roman;Times;serif" w:hAnsi="Times New Roman;Times;serif"/>
          <w:i w:val="false"/>
          <w:caps w:val="false"/>
          <w:smallCaps w:val="false"/>
          <w:color w:val="000000"/>
          <w:sz w:val="20"/>
        </w:rPr>
        <w:t xml:space="preserve">. Pursuant to Mr. Newsom’s employment agreement, Mr. Newsom previously received annual grants of incentive stock options to purchase Company common stock and Mr. Newsom will continue to receive an annual grant of incentive stock options to purchase Company common stock. The grant date aggregate fair value of such stock options will be approximately equal to 35% of his base salary. The options will contain a vesting schedule no less favorable than a vesting period of 4 years, with 25% becoming vested on the first anniversary of the date of the grant, and the remainder vesting pro rata on a monthly basis over the next three years. The initial grants of stock options and the restricted stock units described in the foregoing paragraph will vest in full upon the earlier of: (i) Mr. Newsom’s “disability” (as defined in the employment agreement), (ii) Mr. Newsom’s death, (iii) immediately prior to a “change in control” (as defined in the 2019 Plan), (iv) Mr. Newsom terminating his service with the Bank for “good reason” (as defined in the employment agreement), or (v) the Company terminating Mr. Newsom’s employment with “cause” (as defined in the employment agreement).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Termination of Employment</w:t>
      </w:r>
      <w:r>
        <w:rPr>
          <w:rFonts w:ascii="Times New Roman;Times;serif" w:hAnsi="Times New Roman;Times;serif"/>
          <w:i w:val="false"/>
          <w:caps w:val="false"/>
          <w:smallCaps w:val="false"/>
          <w:color w:val="000000"/>
          <w:sz w:val="20"/>
        </w:rPr>
        <w:t xml:space="preserve">. Mr. Newsom’s employment agreement provides that, in the event his employment is terminated by us without “cause” (as defined in his employment agreement), the Company elects not to renew the employment agreement, or Mr. Newsom terminates employment for “good reason” (as defined in the employment agreement), then subject to the execution and effectiveness of a general release of claims in our favor,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In lieu of the payments and benefits described in the preceding sentence, if Mr. Newsom’s employment is terminated by us without cause, the Company elects not to renew the employment agreement, or Mr. Newsom terminates employment for good reason, in each case within 24 months following a “change in control” (as defined in the employment agreement), at the request of a third party participating in a change in control or otherwise in connection with a change in control, subject to the execution and effectiveness of a general release of claims in our favor, he will be entitled to receive: (i) an amount equal to 3 times the sum of (x) his annual base salary and (y) his target annual cash incentive bonus; (ii) full vesting of equity and phantom awards, with performance goals, if applicable, deemed met at target; and (iii) a lump sum payment equal to 36 months’ of the monthly premiums to continue existing healthcare coverage under COBRA, grossed-up for any applicable taxes. For the first five years after the effective date of the employment agreement, if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2" w:name="ny20019245x2_def14a_109-executive_pg8"/>
        <w:bookmarkEnd w:id="42"/>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change in control payment Mr. Newsom receives is deemed to be subject to excise taxes under Section 280G of the Code, then Mr. Newsom is entitled to an excise tax “gross-up.” However, with respect to a change in control that occurs after the fifth anniversary of the effective date of the employment agreement, if payments to Mr. Newsom would constitute “parachute payments” within the meaning of Section 280G of the Code, the parachute payments will be reduced so as not to trigger the excise tax imposed by Section 4999 of the Code if it would leave Mr. Newsom in a better after-tax position.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a termination of Mr. Newsom’s employment due to “disability” (as defined in the employment agreement),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Any amounts payable pursuant to subsection (i) of the foregoing sentence shall be reduced on a dollar-for-dollar basis by the amount Mr. Newsom is entitled to under any disability insurance plan sponsored by the Company or the Bank. Upon a termination of Mr. Newsom’s employment due to death, he will be entitled to receive: (i) full vesting of equity and phantom equity awards, with performance goals, if applicable, deemed met at target, and (ii) any earned but unpaid bonus.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Employment Agreement with Curtis C. Griffith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18, 2019, the Company and the Bank entered into an employment agreement with Mr. Griffith, which was amended on December 15, 2021. Please refer to Exhibit 10.1 to our Current Report on Form 8-K, filed with the SEC on December 19, 2019, and Exhibit 10.1 to our Current Report on Form 8-K, filed with the SEC on December 21, 2021, for copies of Mr. Griffith’s employment agreement and the amendment to Mr. Griffith’s employment agreement. The key terms of Mr. Griffith’s employment agreement, as amended, are set forth below.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Term</w:t>
      </w:r>
      <w:r>
        <w:rPr>
          <w:rFonts w:ascii="Times New Roman;Times;serif" w:hAnsi="Times New Roman;Times;serif"/>
          <w:i w:val="false"/>
          <w:caps w:val="false"/>
          <w:smallCaps w:val="false"/>
          <w:color w:val="000000"/>
          <w:sz w:val="20"/>
        </w:rPr>
        <w:t xml:space="preserve">. The employment agreement has an initial three-year term and will automatically renew for additional three-year terms, unless we or Mr. Griffith provide 90-days’ advance notice of non-renewal.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Service on the Board</w:t>
      </w:r>
      <w:r>
        <w:rPr>
          <w:rFonts w:ascii="Times New Roman;Times;serif" w:hAnsi="Times New Roman;Times;serif"/>
          <w:i w:val="false"/>
          <w:caps w:val="false"/>
          <w:smallCaps w:val="false"/>
          <w:color w:val="000000"/>
          <w:sz w:val="20"/>
        </w:rPr>
        <w:t xml:space="preserve">. Pursuant to the employment agreement, our board will nominate Mr. Griffith for re-election as a member of our board at the expiration of each then-current term and the board of the Bank will nominate Mr. Griffith for re-election as a member of its board at the expiration of each then-current term.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Cash Compensation</w:t>
      </w:r>
      <w:r>
        <w:rPr>
          <w:rFonts w:ascii="Times New Roman;Times;serif" w:hAnsi="Times New Roman;Times;serif"/>
          <w:i w:val="false"/>
          <w:caps w:val="false"/>
          <w:smallCaps w:val="false"/>
          <w:color w:val="000000"/>
          <w:sz w:val="20"/>
        </w:rPr>
        <w:t xml:space="preserve">. Mr. Griffith’s base salary will be not less than $360,000 annually. For fiscal year 2023, Mr. Griffith’s base salary was $400,000. He is eligible for an annual cash incentive bonus with a target amount equal to 50% of his base salary, and a maximum not to exceed 100% of his base salary.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Benefits</w:t>
      </w:r>
      <w:r>
        <w:rPr>
          <w:rFonts w:ascii="Times New Roman;Times;serif" w:hAnsi="Times New Roman;Times;serif"/>
          <w:i w:val="false"/>
          <w:caps w:val="false"/>
          <w:smallCaps w:val="false"/>
          <w:color w:val="000000"/>
          <w:sz w:val="20"/>
        </w:rPr>
        <w:t>. Mr. Griffith is eligible to receive benefits that are substantially similar to those of our other senior executive officers. In addition, to the extent Mr. Griffith is not able to fully participate in contributions of the</w:t>
      </w:r>
      <w:r>
        <w:rPr>
          <w:rFonts w:ascii="Times New Roman;Times;serif" w:hAnsi="Times New Roman;Times;serif"/>
          <w:i/>
          <w:color w:val="000000"/>
          <w:sz w:val="20"/>
        </w:rPr>
        <w:t xml:space="preserve"> </w:t>
      </w:r>
      <w:r>
        <w:rPr>
          <w:rFonts w:ascii="Times New Roman;Times;serif" w:hAnsi="Times New Roman;Times;serif"/>
          <w:i w:val="false"/>
          <w:caps w:val="false"/>
          <w:smallCaps w:val="false"/>
          <w:color w:val="000000"/>
          <w:sz w:val="20"/>
        </w:rPr>
        <w:t xml:space="preserve">Company to the 401(k) Plan due to IRS-imposed top-heavy testing limitations, then the Bank will pay Mr. Griffith a cash bonus equal to the value of the lost contribution. With respect to other benefits, the Bank will (i) provide Mr. Griffith with two automobiles and (ii) any other benefits Mr. Griffith has the right to receive under our policies. The Bank will pay all of the reasonable professional fees and expenses incurred by Mr. Griffith in negotiation and preparation of the employment agreement and related agreements. The employment agreement also contains certain standard non-competition, non-solicitation, and confidentiality provisions.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Equity Grants - RSU Award</w:t>
      </w:r>
      <w:r>
        <w:rPr>
          <w:rFonts w:ascii="Times New Roman;Times;serif" w:hAnsi="Times New Roman;Times;serif"/>
          <w:i w:val="false"/>
          <w:caps w:val="false"/>
          <w:smallCaps w:val="false"/>
          <w:color w:val="000000"/>
          <w:sz w:val="20"/>
        </w:rPr>
        <w:t xml:space="preserve">. Under the terms of the amendment to Mr. Griffith’s employment agreement, Mr. Griffith will receive an annual grant of restricted stock units in an amount equal to $125,000 divided by the fair market value of the underlying stock as of the date of grant. The annual grant of restricted stock units will occur in January of each fiscal year and will contain a vesting schedule of one (1) year.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Equity Grants - Stock Option Award</w:t>
      </w:r>
      <w:r>
        <w:rPr>
          <w:rFonts w:ascii="Times New Roman;Times;serif" w:hAnsi="Times New Roman;Times;serif"/>
          <w:i w:val="false"/>
          <w:caps w:val="false"/>
          <w:smallCaps w:val="false"/>
          <w:color w:val="000000"/>
          <w:sz w:val="20"/>
        </w:rPr>
        <w:t xml:space="preserve">. Pursuant to Mr. Griffith’s employment agreement, Mr. Griffith previously received annual grants of incentive stock options to purchase Company common stock and will continue to receive an annual grant of incentive stock options to purchase Company common stock. The grant date aggregate fair value of such stock options will be approximately equal to 35% of his base salary. The options will contain a vesting schedule no less favorable than a vesting period of 4 years, with 25% becoming vested on the first anniversary of the date of grant, and the remainder vesting pro rata on a monthly basis over the next three years. The initial grants of stock options will vest in full upon the earlier of: (i) Mr. Griffith’s “disability” (as defined in the employment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3" w:name="ny20019245x2_def14a_109-executive_pg9"/>
        <w:bookmarkEnd w:id="4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(ii) Mr. Griffith’s death, (iii) immediately prior to a “change in control” (as defined in the 2019 Plan), (iv) Mr. Griffith terminating his service with the Bank for “good reason” (as defined in the employment agreement), or (v) the Company terminating Mr. Griffith’s employment with “cause” (as defined in the employment agreement).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Termination of Employment</w:t>
      </w:r>
      <w:r>
        <w:rPr>
          <w:rFonts w:ascii="Times New Roman;Times;serif" w:hAnsi="Times New Roman;Times;serif"/>
          <w:i w:val="false"/>
          <w:caps w:val="false"/>
          <w:smallCaps w:val="false"/>
          <w:color w:val="000000"/>
          <w:sz w:val="20"/>
        </w:rPr>
        <w:t xml:space="preserve">. Mr. Griffith’s employment agreement provides that, in the event his employment is terminated by us without “cause” (as defined in his employment agreement), the Company elects not to renew the employment agreement, or Mr. Griffith terminates employment for “good reason” (as defined in the employment agreement), then subject to the execution and effectiveness of a general release of claims in our favor,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In lieu of the payments and benefits described in the preceding sentence, if Mr. Griffith’s employment is terminated by us without cause, the Company elects not to renew the employment agreement, or Mr. Griffith terminates employment for good reason, in each case within 24 months following a “change in control” (as defined in the employment agreement), at the request of a third party participating in a change in control or otherwise in connection with a change in control, subject to the execution and effectiveness of a general release of claims in our favor, he will be entitled to receive: (i) an amount equal to 3 times the sum of (x) his annual base salary and (y) his target annual cash incentive bonus; (ii) full vesting of equity and phantom awards, with performance goals, if applicable, deemed met at target; and (iii) a lump sum payment equal to 36 months’ of the monthly premiums to continue existing healthcare coverage under COBRA, grossed-up for any applicable taxes. If payments to Mr. Griffith would constitute “parachute payments” within the meaning of Section 280G of the Code, the parachute payments will be reduced so as not to trigger the excise tax imposed by Section 4999 of the Code if it would leave Mr. Griffith in a better after-tax position.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a termination of Mr. Griffith’s employment due to “disability” (as defined in the employment agreement),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Any amounts payable pursuant to subsection (i) of the foregoing sentence shall be reduced on a dollar-for-dollar basis by the amount Mr. Griffith is entitled to under any disability insurance plan sponsored by the Company or the Bank. Upon a termination of Mr. Griffith employment due to death, he will be entitled to receive: (i) full vesting of equity and phantom equity awards, with performance goals, if applicable, deemed met at target, and (ii) any earned but unpaid bonus.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Executive Change in Control Severance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Effective July 15, 2020, the board approved the South Plains Financial, Inc. Executive Change in Control Severance Plan (the “Severance Plan”), which provides benefits to eligible employees in the event of certain terminations of employment in connection with a “change in control” (as defined in the Severance Plan). The Compensation Committee of the board selected Mr. Steven B. Crockett to participate in the Severance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Severance Plan and Participation and Award Agreement entered into by Mr. Crockett provide that if an involuntary termination of Mr. Crockett’s employment (other than for death, disability or “cause” (as defined in the Severance Plan)) or a resignation by Mr. Crockett for “good reason” (as defined in the Severance Plan) occurs during the twenty-four (24)-month period immediately following a change in control, then Mr. Crockett will be entitled to: (a) a single lump sum payment equal the sum of: (i) 1.5x his annual base salary; (ii) a pro-rata target annual bonus for the year in which the termination occurs; and (iii) 1.5x the annual total premium cost to cover Mr. Crockett and his eligible dependents, to the extent they were covered as of the termination date, under the Company’s health plan, plus (b) the acceleration of Mr. Crockett’s “equity awards” (as defined in the Severance Plan), with the performance goals relating to performance-based equity awards deemed achieved at target levels.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payments or benefits to be paid to Mr. Crockett under the Severance Plan together with any other payments the eligible employee has the right to receive would constitute a “parachute payment” under Section 280G of the Code, Mr. Crockett’s payments and benefits under the Severance Plan will be either (a) reduced (but not below zero) so that the present value of such total amounts and benefits will be $1.00 less than three (3) times the Mr. Crockett’s “base amount” (as defined in Section 280G(b)(3) of the Code) and so that no portion of such amounts will be subject to the excise tax imposed by Section 4999 of the Code, or (b) paid in full, whichever produces the better “net after-tax position” to Mr. Crockett.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4" w:name="ny20019245x2_def14a_109-executive_pg10"/>
        <w:bookmarkEnd w:id="44"/>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Fiscal Year End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for each of our named executive officers regarding outstanding equity awards held by the named executive officers at December 31, 2023. </w:t>
      </w:r>
    </w:p>
    <w:tbl>
      <w:tblPr>
        <w:tblW w:w="8051" w:type="dxa"/>
        <w:jc w:val="left"/>
        <w:tblInd w:w="0" w:type="dxa"/>
        <w:tblLayout w:type="fixed"/>
        <w:tblCellMar>
          <w:top w:w="0" w:type="dxa"/>
          <w:left w:w="0" w:type="dxa"/>
          <w:bottom w:w="0" w:type="dxa"/>
          <w:right w:w="0" w:type="dxa"/>
        </w:tblCellMar>
      </w:tblPr>
      <w:tblGrid>
        <w:gridCol w:w="1565"/>
        <w:gridCol w:w="23"/>
        <w:gridCol w:w="23"/>
        <w:gridCol w:w="935"/>
        <w:gridCol w:w="23"/>
        <w:gridCol w:w="23"/>
        <w:gridCol w:w="1070"/>
        <w:gridCol w:w="23"/>
        <w:gridCol w:w="23"/>
        <w:gridCol w:w="665"/>
        <w:gridCol w:w="23"/>
        <w:gridCol w:w="23"/>
        <w:gridCol w:w="980"/>
        <w:gridCol w:w="23"/>
        <w:gridCol w:w="23"/>
        <w:gridCol w:w="1280"/>
        <w:gridCol w:w="23"/>
        <w:gridCol w:w="23"/>
        <w:gridCol w:w="1280"/>
      </w:tblGrid>
      <w:tr>
        <w:trPr/>
        <w:tc>
          <w:tcPr>
            <w:tcW w:w="156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3788" w:type="dxa"/>
            <w:gridSpan w:val="10"/>
            <w:tcBorders>
              <w:bottom w:val="single" w:sz="8" w:space="0" w:color="000000"/>
            </w:tcBorders>
            <w:tcMar>
              <w:bottom w:w="7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2606" w:type="dxa"/>
            <w:gridSpan w:val="4"/>
            <w:tcBorders>
              <w:bottom w:val="single" w:sz="8" w:space="0" w:color="000000"/>
            </w:tcBorders>
            <w:tcMar>
              <w:bottom w:w="7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565" w:type="dxa"/>
            <w:tcBorders>
              <w:bottom w:val="single" w:sz="8" w:space="0" w:color="000000"/>
            </w:tcBorders>
            <w:tcMar>
              <w:bottom w:w="75"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935" w:type="dxa"/>
            <w:tcBorders>
              <w:bottom w:val="single" w:sz="8" w:space="0" w:color="000000"/>
            </w:tcBorders>
            <w:tcMar>
              <w:bottom w:w="7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1070" w:type="dxa"/>
            <w:tcBorders>
              <w:bottom w:val="single" w:sz="8" w:space="0" w:color="000000"/>
            </w:tcBorders>
            <w:tcMar>
              <w:bottom w:w="7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665" w:type="dxa"/>
            <w:tcBorders>
              <w:bottom w:val="single" w:sz="8" w:space="0" w:color="000000"/>
            </w:tcBorders>
            <w:tcMar>
              <w:bottom w:w="7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980" w:type="dxa"/>
            <w:tcBorders>
              <w:bottom w:val="single" w:sz="8" w:space="0" w:color="000000"/>
            </w:tcBorders>
            <w:tcMar>
              <w:bottom w:w="7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1280" w:type="dxa"/>
            <w:tcBorders>
              <w:bottom w:val="single" w:sz="8" w:space="0" w:color="000000"/>
            </w:tcBorders>
            <w:tcMar>
              <w:bottom w:w="7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23" w:type="dxa"/>
            <w:tcBorders>
              <w:bottom w:val="single" w:sz="2" w:space="0" w:color="FFFFFF"/>
            </w:tcBorders>
            <w:tcMar>
              <w:bottom w:w="75" w:type="dxa"/>
            </w:tcMar>
            <w:vAlign w:val="center"/>
          </w:tcPr>
          <w:p>
            <w:pPr>
              <w:pStyle w:val="TableContents"/>
              <w:bidi w:val="0"/>
              <w:spacing w:before="0" w:after="283"/>
              <w:jc w:val="left"/>
              <w:rPr/>
            </w:pPr>
            <w:r>
              <w:rPr/>
              <w:t>​</w:t>
            </w:r>
          </w:p>
        </w:tc>
        <w:tc>
          <w:tcPr>
            <w:tcW w:w="1280" w:type="dxa"/>
            <w:tcBorders>
              <w:bottom w:val="single" w:sz="8" w:space="0" w:color="000000"/>
            </w:tcBorders>
            <w:tcMar>
              <w:bottom w:w="7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rights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r>
      <w:tr>
        <w:trPr/>
        <w:tc>
          <w:tcPr>
            <w:tcW w:w="156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B. Crockett</w:t>
            </w:r>
          </w:p>
        </w:tc>
        <w:tc>
          <w:tcPr>
            <w:tcW w:w="23" w:type="dxa"/>
            <w:vMerge w:val="restart"/>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6,000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5.88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6,000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8.60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7,500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$10.93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7,500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$12.24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7,500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$13.88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7,500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$16.93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7,500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$19.05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26,014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$16.00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8/21/2029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15,279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5,093</w:t>
            </w:r>
            <w:r>
              <w:rPr>
                <w:rFonts w:ascii="Times New Roman;Times;serif" w:hAnsi="Times New Roman;Times;serif"/>
                <w:color w:val="000000"/>
                <w:position w:val="7"/>
                <w:sz w:val="16"/>
                <w:sz w:val="20"/>
              </w:rPr>
              <w:t>(2)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$20.93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2/19/2030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8,105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8,105</w:t>
            </w:r>
            <w:r>
              <w:rPr>
                <w:rFonts w:ascii="Times New Roman;Times;serif" w:hAnsi="Times New Roman;Times;serif"/>
                <w:color w:val="000000"/>
                <w:position w:val="7"/>
                <w:sz w:val="16"/>
                <w:sz w:val="20"/>
              </w:rPr>
              <w:t>(3)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$19.62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2/24/2031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2,712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8,139</w:t>
            </w:r>
            <w:r>
              <w:rPr>
                <w:rFonts w:ascii="Times New Roman;Times;serif" w:hAnsi="Times New Roman;Times;serif"/>
                <w:color w:val="000000"/>
                <w:position w:val="7"/>
                <w:sz w:val="16"/>
                <w:sz w:val="20"/>
              </w:rPr>
              <w:t>(4)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$29.19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2/16/2032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12,898</w:t>
            </w:r>
            <w:r>
              <w:rPr>
                <w:rFonts w:ascii="Times New Roman;Times;serif" w:hAnsi="Times New Roman;Times;serif"/>
                <w:color w:val="000000"/>
                <w:position w:val="7"/>
                <w:sz w:val="16"/>
                <w:sz w:val="20"/>
              </w:rPr>
              <w:t>(5)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$27.27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2/16/2033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rFonts w:ascii="Times New Roman;Times;serif" w:hAnsi="Times New Roman;Times;serif"/>
                <w:color w:val="000000"/>
                <w:sz w:val="20"/>
              </w:rPr>
            </w:pPr>
            <w:r>
              <w:rPr>
                <w:rFonts w:ascii="Times New Roman;Times;serif" w:hAnsi="Times New Roman;Times;serif"/>
                <w:color w:val="000000"/>
                <w:sz w:val="20"/>
              </w:rPr>
              <w:t>2,493</w:t>
            </w:r>
            <w:r>
              <w:rPr>
                <w:rFonts w:ascii="Times New Roman;Times;serif" w:hAnsi="Times New Roman;Times;serif"/>
                <w:color w:val="000000"/>
                <w:position w:val="7"/>
                <w:sz w:val="16"/>
                <w:sz w:val="20"/>
              </w:rPr>
              <w:t>(6)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72,197 </w:t>
            </w:r>
          </w:p>
        </w:tc>
      </w:tr>
      <w:tr>
        <w:trPr/>
        <w:tc>
          <w:tcPr>
            <w:tcW w:w="156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Curtis C. Griffith</w:t>
            </w:r>
          </w:p>
        </w:tc>
        <w:tc>
          <w:tcPr>
            <w:tcW w:w="23" w:type="dxa"/>
            <w:vMerge w:val="restart"/>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203"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5.88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362"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203"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8.60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362"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203"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$10.93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362"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203"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$12.24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362"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203"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$13.88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362"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203"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$16.93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362"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203"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$19.05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362"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21,955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203"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$19.98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12/18/2029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362"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21,944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467</w:t>
            </w:r>
            <w:r>
              <w:rPr>
                <w:rFonts w:ascii="Times New Roman;Times;serif" w:hAnsi="Times New Roman;Times;serif"/>
                <w:color w:val="000000"/>
                <w:position w:val="7"/>
                <w:sz w:val="16"/>
                <w:sz w:val="20"/>
              </w:rPr>
              <w:t>(7)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$20.93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2/19/2030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362"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13,534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5,028</w:t>
            </w:r>
            <w:r>
              <w:rPr>
                <w:rFonts w:ascii="Times New Roman;Times;serif" w:hAnsi="Times New Roman;Times;serif"/>
                <w:color w:val="000000"/>
                <w:position w:val="7"/>
                <w:sz w:val="16"/>
                <w:sz w:val="20"/>
              </w:rPr>
              <w:t>(8)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$18.95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1/4/2031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362"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6,392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6,948</w:t>
            </w:r>
            <w:r>
              <w:rPr>
                <w:rFonts w:ascii="Times New Roman;Times;serif" w:hAnsi="Times New Roman;Times;serif"/>
                <w:color w:val="000000"/>
                <w:position w:val="7"/>
                <w:sz w:val="16"/>
                <w:sz w:val="20"/>
              </w:rPr>
              <w:t>(9)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$29.46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1/19/2032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362"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41"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13,560</w:t>
            </w:r>
            <w:r>
              <w:rPr>
                <w:rFonts w:ascii="Times New Roman;Times;serif" w:hAnsi="Times New Roman;Times;serif"/>
                <w:color w:val="000000"/>
                <w:position w:val="7"/>
                <w:sz w:val="16"/>
                <w:sz w:val="20"/>
              </w:rPr>
              <w:t>(10)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$27.53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1/3/2033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362"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41"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ind w:left="203"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ind w:left="12"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362" w:right="0" w:hanging="0"/>
              <w:jc w:val="left"/>
              <w:rPr>
                <w:rFonts w:ascii="Times New Roman;Times;serif" w:hAnsi="Times New Roman;Times;serif"/>
                <w:color w:val="000000"/>
                <w:sz w:val="20"/>
              </w:rPr>
            </w:pPr>
            <w:r>
              <w:rPr>
                <w:rFonts w:ascii="Times New Roman;Times;serif" w:hAnsi="Times New Roman;Times;serif"/>
                <w:color w:val="000000"/>
                <w:sz w:val="20"/>
              </w:rPr>
              <w:t>4,540</w:t>
            </w:r>
            <w:r>
              <w:rPr>
                <w:rFonts w:ascii="Times New Roman;Times;serif" w:hAnsi="Times New Roman;Times;serif"/>
                <w:color w:val="000000"/>
                <w:position w:val="7"/>
                <w:sz w:val="16"/>
                <w:sz w:val="20"/>
              </w:rPr>
              <w:t>(11)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131,478 </w:t>
            </w:r>
          </w:p>
        </w:tc>
      </w:tr>
      <w:tr>
        <w:trPr/>
        <w:tc>
          <w:tcPr>
            <w:tcW w:w="156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Cory T. Newsom</w:t>
            </w:r>
          </w:p>
        </w:tc>
        <w:tc>
          <w:tcPr>
            <w:tcW w:w="23" w:type="dxa"/>
            <w:vMerge w:val="restart"/>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9,000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5.88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9,000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8.60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12,000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$10.93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12,000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$12.24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12,000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$13.88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12,000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$16.93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15,000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$19.05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35,847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$21.32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8/21/2029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38,402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818</w:t>
            </w:r>
            <w:r>
              <w:rPr>
                <w:rFonts w:ascii="Times New Roman;Times;serif" w:hAnsi="Times New Roman;Times;serif"/>
                <w:color w:val="000000"/>
                <w:position w:val="7"/>
                <w:sz w:val="16"/>
                <w:sz w:val="20"/>
              </w:rPr>
              <w:t>(7)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$20.93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2/19/2030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23,686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8,798</w:t>
            </w:r>
            <w:r>
              <w:rPr>
                <w:rFonts w:ascii="Times New Roman;Times;serif" w:hAnsi="Times New Roman;Times;serif"/>
                <w:color w:val="000000"/>
                <w:position w:val="7"/>
                <w:sz w:val="16"/>
                <w:sz w:val="20"/>
              </w:rPr>
              <w:t>(8)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$18.95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1/4/2031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10,068</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10,944</w:t>
            </w:r>
            <w:r>
              <w:rPr>
                <w:rFonts w:ascii="Times New Roman;Times;serif" w:hAnsi="Times New Roman;Times;serif"/>
                <w:color w:val="000000"/>
                <w:position w:val="7"/>
                <w:sz w:val="16"/>
                <w:sz w:val="20"/>
              </w:rPr>
              <w:t>(9)</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$29.46</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1/19/2032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21,358</w:t>
            </w:r>
            <w:r>
              <w:rPr>
                <w:rFonts w:ascii="Times New Roman;Times;serif" w:hAnsi="Times New Roman;Times;serif"/>
                <w:color w:val="000000"/>
                <w:position w:val="7"/>
                <w:sz w:val="16"/>
                <w:sz w:val="20"/>
              </w:rPr>
              <w:t>(10)</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$27.53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1/3/2033</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sz w:val="4"/>
                <w:szCs w:val="4"/>
              </w:rPr>
            </w:pPr>
            <w:r>
              <w:rPr>
                <w:sz w:val="4"/>
                <w:szCs w:val="4"/>
              </w:rPr>
            </w:r>
          </w:p>
        </w:tc>
      </w:tr>
      <w:tr>
        <w:trPr/>
        <w:tc>
          <w:tcPr>
            <w:tcW w:w="1565" w:type="dxa"/>
            <w:vMerge w:val="continue"/>
            <w:tcBorders/>
            <w:shd w:fill="CCEEFF" w:val="clear"/>
            <w:vAlign w:val="center"/>
          </w:tcPr>
          <w:p>
            <w:pPr>
              <w:pStyle w:val="Normal"/>
              <w:bidi w:val="0"/>
              <w:jc w:val="left"/>
              <w:rPr/>
            </w:pPr>
            <w:r>
              <w:rPr/>
            </w:r>
          </w:p>
        </w:tc>
        <w:tc>
          <w:tcPr>
            <w:tcW w:w="23" w:type="dxa"/>
            <w:vMerge w:val="continue"/>
            <w:tcBorders/>
            <w:shd w:fill="CCEEFF" w:val="clear"/>
            <w:vAlign w:val="center"/>
          </w:tcPr>
          <w:p>
            <w:pPr>
              <w:pStyle w:val="Normal"/>
              <w:bidi w:val="0"/>
              <w:jc w:val="left"/>
              <w:rPr/>
            </w:pPr>
            <w:r>
              <w:rPr/>
            </w:r>
          </w:p>
        </w:tc>
        <w:tc>
          <w:tcPr>
            <w:tcW w:w="23"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ind w:left="141"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ind w:left="203"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ind w:left="12"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362" w:right="0" w:hanging="0"/>
              <w:jc w:val="left"/>
              <w:rPr>
                <w:rFonts w:ascii="Times New Roman;Times;serif" w:hAnsi="Times New Roman;Times;serif"/>
                <w:color w:val="000000"/>
                <w:sz w:val="20"/>
              </w:rPr>
            </w:pPr>
            <w:r>
              <w:rPr>
                <w:rFonts w:ascii="Times New Roman;Times;serif" w:hAnsi="Times New Roman;Times;serif"/>
                <w:color w:val="000000"/>
                <w:sz w:val="20"/>
              </w:rPr>
              <w:t>9,081</w:t>
            </w:r>
            <w:r>
              <w:rPr>
                <w:rFonts w:ascii="Times New Roman;Times;serif" w:hAnsi="Times New Roman;Times;serif"/>
                <w:color w:val="000000"/>
                <w:position w:val="7"/>
                <w:sz w:val="16"/>
                <w:sz w:val="20"/>
              </w:rPr>
              <w:t>(11)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262,986</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Market value computed by multiplying the number of restricted stock units that have not vested by $28.96, which was the closing price of a share of the Company’s common stock on December 31, 2023. </w:t>
            </w:r>
          </w:p>
        </w:tc>
      </w:tr>
    </w:tbl>
    <w:tbl>
      <w:tblPr>
        <w:tblW w:w="2995" w:type="dxa"/>
        <w:jc w:val="left"/>
        <w:tblInd w:w="0" w:type="dxa"/>
        <w:tblLayout w:type="fixed"/>
        <w:tblCellMar>
          <w:top w:w="0" w:type="dxa"/>
          <w:left w:w="0" w:type="dxa"/>
          <w:bottom w:w="0" w:type="dxa"/>
          <w:right w:w="0" w:type="dxa"/>
        </w:tblCellMar>
      </w:tblPr>
      <w:tblGrid>
        <w:gridCol w:w="230"/>
        <w:gridCol w:w="276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27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Stock options vest on January 1, 2024. </w:t>
            </w:r>
          </w:p>
        </w:tc>
      </w:tr>
    </w:tbl>
    <w:tbl>
      <w:tblPr>
        <w:tblW w:w="5650" w:type="dxa"/>
        <w:jc w:val="left"/>
        <w:tblInd w:w="0" w:type="dxa"/>
        <w:tblLayout w:type="fixed"/>
        <w:tblCellMar>
          <w:top w:w="0" w:type="dxa"/>
          <w:left w:w="0" w:type="dxa"/>
          <w:bottom w:w="0" w:type="dxa"/>
          <w:right w:w="0" w:type="dxa"/>
        </w:tblCellMar>
      </w:tblPr>
      <w:tblGrid>
        <w:gridCol w:w="230"/>
        <w:gridCol w:w="542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54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Stock options vest one-half on each of January 1, 2024 and January 1,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5" w:name="ny20019245x2_def14a_109-executive_pg11"/>
        <w:bookmarkEnd w:id="45"/>
        <w:r>
          <w:rPr>
            <w:rStyle w:val="InternetLink"/>
            <w:rFonts w:ascii="Times New Roman;Times;Serif" w:hAnsi="Times New Roman;Times;Serif"/>
            <w:b/>
            <w:caps w:val="false"/>
            <w:smallCaps w:val="false"/>
            <w:sz w:val="16"/>
          </w:rPr>
          <w:t>TABLE OF CONTENTS</w:t>
        </w:r>
      </w:hyperlink>
    </w:p>
    <w:tbl>
      <w:tblPr>
        <w:tblW w:w="5695" w:type="dxa"/>
        <w:jc w:val="left"/>
        <w:tblInd w:w="0" w:type="dxa"/>
        <w:tblLayout w:type="fixed"/>
        <w:tblCellMar>
          <w:top w:w="0" w:type="dxa"/>
          <w:left w:w="0" w:type="dxa"/>
          <w:bottom w:w="0" w:type="dxa"/>
          <w:right w:w="0" w:type="dxa"/>
        </w:tblCellMar>
      </w:tblPr>
      <w:tblGrid>
        <w:gridCol w:w="230"/>
        <w:gridCol w:w="546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54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Stock options vest one-third on each February 16th in 2024, 2025, and 2026. </w:t>
            </w:r>
          </w:p>
        </w:tc>
      </w:tr>
    </w:tbl>
    <w:tbl>
      <w:tblPr>
        <w:tblW w:w="6250" w:type="dxa"/>
        <w:jc w:val="left"/>
        <w:tblInd w:w="0" w:type="dxa"/>
        <w:tblLayout w:type="fixed"/>
        <w:tblCellMar>
          <w:top w:w="0" w:type="dxa"/>
          <w:left w:w="0" w:type="dxa"/>
          <w:bottom w:w="0" w:type="dxa"/>
          <w:right w:w="0" w:type="dxa"/>
        </w:tblCellMar>
      </w:tblPr>
      <w:tblGrid>
        <w:gridCol w:w="230"/>
        <w:gridCol w:w="602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60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Stock options vest one-fourth on each February 16th in 2024, 2025, 2026, and 2027. </w:t>
            </w:r>
          </w:p>
        </w:tc>
      </w:tr>
    </w:tbl>
    <w:tbl>
      <w:tblPr>
        <w:tblW w:w="3685" w:type="dxa"/>
        <w:jc w:val="left"/>
        <w:tblInd w:w="0" w:type="dxa"/>
        <w:tblLayout w:type="fixed"/>
        <w:tblCellMar>
          <w:top w:w="0" w:type="dxa"/>
          <w:left w:w="0" w:type="dxa"/>
          <w:bottom w:w="0" w:type="dxa"/>
          <w:right w:w="0" w:type="dxa"/>
        </w:tblCellMar>
      </w:tblPr>
      <w:tblGrid>
        <w:gridCol w:w="230"/>
        <w:gridCol w:w="345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34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Restricted stock units vest on February 16, 2024. </w:t>
            </w:r>
          </w:p>
        </w:tc>
      </w:tr>
    </w:tbl>
    <w:tbl>
      <w:tblPr>
        <w:tblW w:w="2995" w:type="dxa"/>
        <w:jc w:val="left"/>
        <w:tblInd w:w="0" w:type="dxa"/>
        <w:tblLayout w:type="fixed"/>
        <w:tblCellMar>
          <w:top w:w="0" w:type="dxa"/>
          <w:left w:w="0" w:type="dxa"/>
          <w:bottom w:w="0" w:type="dxa"/>
          <w:right w:w="0" w:type="dxa"/>
        </w:tblCellMar>
      </w:tblPr>
      <w:tblGrid>
        <w:gridCol w:w="230"/>
        <w:gridCol w:w="276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27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Stock options vest on January 1, 2024. </w:t>
            </w:r>
          </w:p>
        </w:tc>
      </w:tr>
    </w:tbl>
    <w:tbl>
      <w:tblPr>
        <w:tblW w:w="7075" w:type="dxa"/>
        <w:jc w:val="left"/>
        <w:tblInd w:w="0" w:type="dxa"/>
        <w:tblLayout w:type="fixed"/>
        <w:tblCellMar>
          <w:top w:w="0" w:type="dxa"/>
          <w:left w:w="0" w:type="dxa"/>
          <w:bottom w:w="0" w:type="dxa"/>
          <w:right w:w="0" w:type="dxa"/>
        </w:tblCellMar>
      </w:tblPr>
      <w:tblGrid>
        <w:gridCol w:w="230"/>
        <w:gridCol w:w="68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68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Stock options vest pro rata on a monthly basis over the 13 months beginning on January 1, 2024. </w:t>
            </w:r>
          </w:p>
        </w:tc>
      </w:tr>
    </w:tbl>
    <w:tbl>
      <w:tblPr>
        <w:tblW w:w="7075" w:type="dxa"/>
        <w:jc w:val="left"/>
        <w:tblInd w:w="0" w:type="dxa"/>
        <w:tblLayout w:type="fixed"/>
        <w:tblCellMar>
          <w:top w:w="0" w:type="dxa"/>
          <w:left w:w="0" w:type="dxa"/>
          <w:bottom w:w="0" w:type="dxa"/>
          <w:right w:w="0" w:type="dxa"/>
        </w:tblCellMar>
      </w:tblPr>
      <w:tblGrid>
        <w:gridCol w:w="230"/>
        <w:gridCol w:w="68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68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Stock options vest pro rata on a monthly basis over the 25 months beginning on January 1, 2024. </w:t>
            </w:r>
          </w:p>
        </w:tc>
      </w:tr>
    </w:tbl>
    <w:tbl>
      <w:tblPr>
        <w:tblW w:w="7855" w:type="dxa"/>
        <w:jc w:val="left"/>
        <w:tblInd w:w="0" w:type="dxa"/>
        <w:tblLayout w:type="fixed"/>
        <w:tblCellMar>
          <w:top w:w="0" w:type="dxa"/>
          <w:left w:w="0" w:type="dxa"/>
          <w:bottom w:w="0" w:type="dxa"/>
          <w:right w:w="0" w:type="dxa"/>
        </w:tblCellMar>
      </w:tblPr>
      <w:tblGrid>
        <w:gridCol w:w="320"/>
        <w:gridCol w:w="753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75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Stock options vest one-fourth on January 1, 2024 and pro rata on a monthly basis over the next 36 months. </w:t>
            </w:r>
          </w:p>
        </w:tc>
      </w:tr>
    </w:tbl>
    <w:tbl>
      <w:tblPr>
        <w:tblW w:w="3595" w:type="dxa"/>
        <w:jc w:val="left"/>
        <w:tblInd w:w="0" w:type="dxa"/>
        <w:tblLayout w:type="fixed"/>
        <w:tblCellMar>
          <w:top w:w="0" w:type="dxa"/>
          <w:left w:w="0" w:type="dxa"/>
          <w:bottom w:w="0" w:type="dxa"/>
          <w:right w:w="0" w:type="dxa"/>
        </w:tblCellMar>
      </w:tblPr>
      <w:tblGrid>
        <w:gridCol w:w="320"/>
        <w:gridCol w:w="327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3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Restricted stock units vest on January 1, 2024. </w:t>
            </w:r>
          </w:p>
        </w:tc>
      </w:tr>
    </w:tbl>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Payment upon Termination or Change in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Payments to Mr. Newsom and Mr. Griffith in the event of a termination of employment with the Bank or upon a “change in control” (as defined in the employment agreements) are described above in “Employment Agreement with Cory T. Newsom,” and “Employment Agreement with Curtis C. Griffith.” Payments to Mr. Crockett in the event of a termination of employment with the Bank in connection with a “change in control” (as defined in the Severance Plan) are described above in “Executive Change in Control Severance Plan.” In addition, certain payments in connection with a termination of employment with the Bank or death for Mr. Newsom, Mr. Griffith and Mr. Crockett are described above in “Deferred Compensation.” Equity awards granted to our executive officers under the 2019 Plan generally vest upon (i) the executive officer’s disability (as defined in the 2019 Plan), (ii) the executive officer’s death, and (iii) immediately prior to a “change in control” (as defined in the 2019 Plan).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reviewed non-employee independent director compensation paid by our peers to establish the appropriate mix and amount of compensation payable to our non-employee directors. The following table sets forth information regarding 2023 compensation for each of our non-employee directors, including for director services at the Bank. </w:t>
      </w:r>
    </w:p>
    <w:tbl>
      <w:tblPr>
        <w:tblW w:w="8477" w:type="dxa"/>
        <w:jc w:val="left"/>
        <w:tblInd w:w="0" w:type="dxa"/>
        <w:tblLayout w:type="fixed"/>
        <w:tblCellMar>
          <w:top w:w="0" w:type="dxa"/>
          <w:left w:w="0" w:type="dxa"/>
          <w:bottom w:w="85" w:type="dxa"/>
          <w:right w:w="0" w:type="dxa"/>
        </w:tblCellMar>
      </w:tblPr>
      <w:tblGrid>
        <w:gridCol w:w="1760"/>
        <w:gridCol w:w="23"/>
        <w:gridCol w:w="23"/>
        <w:gridCol w:w="800"/>
        <w:gridCol w:w="23"/>
        <w:gridCol w:w="23"/>
        <w:gridCol w:w="740"/>
        <w:gridCol w:w="23"/>
        <w:gridCol w:w="23"/>
        <w:gridCol w:w="575"/>
        <w:gridCol w:w="23"/>
        <w:gridCol w:w="23"/>
        <w:gridCol w:w="1100"/>
        <w:gridCol w:w="23"/>
        <w:gridCol w:w="23"/>
        <w:gridCol w:w="1100"/>
        <w:gridCol w:w="23"/>
        <w:gridCol w:w="23"/>
        <w:gridCol w:w="1220"/>
        <w:gridCol w:w="23"/>
        <w:gridCol w:w="23"/>
        <w:gridCol w:w="860"/>
      </w:tblGrid>
      <w:tr>
        <w:trPr/>
        <w:tc>
          <w:tcPr>
            <w:tcW w:w="1760"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0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Earned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4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(1)</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57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Nonqualified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Earnings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22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r>
              <w:rPr>
                <w:rFonts w:ascii="Times New Roman;Times;serif" w:hAnsi="Times New Roman;Times;serif"/>
                <w:b/>
                <w:color w:val="000000"/>
                <w:position w:val="5"/>
                <w:sz w:val="13"/>
                <w:sz w:val="16"/>
              </w:rPr>
              <w:t>(2)</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7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D. Campbell</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$95,000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$24,979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75" w:type="dxa"/>
            <w:tcBorders/>
            <w:shd w:fill="CCEEFF" w:val="clear"/>
            <w:tcMar>
              <w:bottom w:w="0" w:type="dxa"/>
            </w:tcMar>
            <w:vAlign w:val="center"/>
          </w:tcPr>
          <w:p>
            <w:pPr>
              <w:pStyle w:val="TableContents"/>
              <w:bidi w:val="0"/>
              <w:spacing w:before="0" w:after="283"/>
              <w:ind w:left="11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34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$12,926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$132,905 </w:t>
            </w:r>
          </w:p>
        </w:tc>
      </w:tr>
      <w:tr>
        <w:trPr/>
        <w:tc>
          <w:tcPr>
            <w:tcW w:w="176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Cynthia B. Keith*</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0" w:type="dxa"/>
            <w:tcBorders/>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$24,979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1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0" w:type="dxa"/>
            <w:tcBorders/>
            <w:tcMar>
              <w:bottom w:w="0" w:type="dxa"/>
            </w:tcMar>
            <w:vAlign w:val="center"/>
          </w:tcPr>
          <w:p>
            <w:pPr>
              <w:pStyle w:val="TableContents"/>
              <w:bidi w:val="0"/>
              <w:spacing w:before="0" w:after="283"/>
              <w:ind w:left="34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0" w:type="dxa"/>
            <w:tcBorders/>
            <w:tcMar>
              <w:bottom w:w="0" w:type="dxa"/>
            </w:tcM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49,979 </w:t>
            </w:r>
          </w:p>
        </w:tc>
      </w:tr>
      <w:tr>
        <w:trPr/>
        <w:tc>
          <w:tcPr>
            <w:tcW w:w="17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Noe G. Valles</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$70,000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$24,979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75" w:type="dxa"/>
            <w:tcBorders/>
            <w:shd w:fill="CCEEFF" w:val="clear"/>
            <w:tcMar>
              <w:bottom w:w="0" w:type="dxa"/>
            </w:tcMar>
            <w:vAlign w:val="center"/>
          </w:tcPr>
          <w:p>
            <w:pPr>
              <w:pStyle w:val="TableContents"/>
              <w:bidi w:val="0"/>
              <w:spacing w:before="0" w:after="283"/>
              <w:ind w:left="11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34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$12,961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$107,940 </w:t>
            </w:r>
          </w:p>
        </w:tc>
      </w:tr>
      <w:tr>
        <w:trPr/>
        <w:tc>
          <w:tcPr>
            <w:tcW w:w="176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Kyle R. Wargo</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0" w:type="dxa"/>
            <w:tcBorders/>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$80,000</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740" w:type="dxa"/>
            <w:tcBorders/>
            <w:tcMar>
              <w:bottom w:w="0" w:type="dxa"/>
            </w:tcM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$24,979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1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0" w:type="dxa"/>
            <w:tcBorders/>
            <w:tcMar>
              <w:bottom w:w="0" w:type="dxa"/>
            </w:tcMar>
            <w:vAlign w:val="center"/>
          </w:tcPr>
          <w:p>
            <w:pPr>
              <w:pStyle w:val="TableContents"/>
              <w:bidi w:val="0"/>
              <w:spacing w:before="0" w:after="283"/>
              <w:ind w:left="34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0" w:type="dxa"/>
            <w:tcBorders/>
            <w:tcMar>
              <w:bottom w:w="0" w:type="dxa"/>
            </w:tcM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20" w:type="dxa"/>
            <w:tcBorders/>
            <w:tcMar>
              <w:bottom w:w="0" w:type="dxa"/>
            </w:tcM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$12,959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6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117,938 </w:t>
            </w:r>
          </w:p>
        </w:tc>
      </w:tr>
      <w:tr>
        <w:trPr/>
        <w:tc>
          <w:tcPr>
            <w:tcW w:w="17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LaDana R. Washburn</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$56,667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740" w:type="dxa"/>
            <w:tcBorders/>
            <w:shd w:fill="CCEEFF" w:val="clear"/>
            <w:tcMar>
              <w:bottom w:w="0" w:type="dxa"/>
            </w:tcM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575" w:type="dxa"/>
            <w:tcBorders/>
            <w:shd w:fill="CCEEFF" w:val="clear"/>
            <w:tcMar>
              <w:bottom w:w="0" w:type="dxa"/>
            </w:tcMar>
            <w:vAlign w:val="center"/>
          </w:tcPr>
          <w:p>
            <w:pPr>
              <w:pStyle w:val="TableContents"/>
              <w:bidi w:val="0"/>
              <w:spacing w:before="0" w:after="283"/>
              <w:ind w:left="11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34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$12,946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8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69,613</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Individual was a director of the Company until the 2023 annual meeting of shareholders of the Company held on May 16, 2023. Amounts noted here were paid during the time she was on the board.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Grant date fair value, as computed in accordance with ASC Topic 718 and the 2019 Equity Incentive Plan, of stock awards granted during 2023 to each non-employee director based on the per share closing price of the Company’s common stock on the date of grant.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a tax gross-up related to a holiday gift to the directors in the amount of: $2,844 for Mr. Campbell, $2,851 for Mr. Valles, $2,851 for Mr. Wargo, and $2,848 for Ms. Washburn.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Policies and Practices and Risk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do not believe any risks arise from our compensation policies and practices for our executive officers and other employees that are reasonably likely to have a material adverse effect on our operations, results of operations or financial condition.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Clawback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adopted and implemented an Incentive Award Recoupment Policy, effective as of October 2, 2023, in accordance with Rule 10D-1 promulgated by the SEC under the Exchange Act and Nasdaq Listing Rule 5608. The Incentive Award Recoupment Policy allows for the recovery or “clawback” of excess incentive-based compensation earned by a current or former executive officer during the three fiscal years preceding the date the listed company is required to prepare an accounting restatement, including to correct an error that would result in a material misstatement if the error were corrected in the current period or left uncorrected in the current period.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6" w:name="ny20019245x2_def14a_109-executive_pg12"/>
        <w:bookmarkEnd w:id="46"/>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Compensation Plan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number of securities to be issued upon exercise of outstanding options, warrants and rights; weighted average exercise price of outstanding options, warrants and rights; and the number of securities remaining available for future issuance under the 2019 Plan as of December 31, 2023: </w:t>
      </w:r>
    </w:p>
    <w:tbl>
      <w:tblPr>
        <w:tblW w:w="9758" w:type="dxa"/>
        <w:jc w:val="left"/>
        <w:tblInd w:w="0" w:type="dxa"/>
        <w:tblLayout w:type="fixed"/>
        <w:tblCellMar>
          <w:top w:w="0" w:type="dxa"/>
          <w:left w:w="0" w:type="dxa"/>
          <w:bottom w:w="85" w:type="dxa"/>
          <w:right w:w="0" w:type="dxa"/>
        </w:tblCellMar>
      </w:tblPr>
      <w:tblGrid>
        <w:gridCol w:w="4970"/>
        <w:gridCol w:w="23"/>
        <w:gridCol w:w="23"/>
        <w:gridCol w:w="1550"/>
        <w:gridCol w:w="23"/>
        <w:gridCol w:w="23"/>
        <w:gridCol w:w="1535"/>
        <w:gridCol w:w="23"/>
        <w:gridCol w:w="23"/>
        <w:gridCol w:w="1565"/>
      </w:tblGrid>
      <w:tr>
        <w:trPr/>
        <w:tc>
          <w:tcPr>
            <w:tcW w:w="4970"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be issued 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 and rights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 and rights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available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future issuance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plans </w:t>
            </w:r>
          </w:p>
        </w:tc>
      </w:tr>
      <w:tr>
        <w:trPr/>
        <w:tc>
          <w:tcPr>
            <w:tcW w:w="4970" w:type="dxa"/>
            <w:tcBorders/>
            <w:shd w:fill="CCEEFF" w:val="clear"/>
            <w:tcMar>
              <w:bottom w:w="0" w:type="dxa"/>
            </w:tcM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r>
              <w:rPr>
                <w:rFonts w:ascii="Times New Roman;Times;serif" w:hAnsi="Times New Roman;Times;serif"/>
                <w:color w:val="000000"/>
                <w:position w:val="7"/>
                <w:sz w:val="16"/>
                <w:sz w:val="20"/>
              </w:rPr>
              <w:t>(1)</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550" w:type="dxa"/>
            <w:tcBorders/>
            <w:shd w:fill="CCEEFF" w:val="clear"/>
            <w:tcMar>
              <w:bottom w:w="0" w:type="dxa"/>
            </w:tcMar>
            <w:vAlign w:val="center"/>
          </w:tcPr>
          <w:p>
            <w:pPr>
              <w:pStyle w:val="TableContents"/>
              <w:bidi w:val="0"/>
              <w:spacing w:before="0" w:after="283"/>
              <w:ind w:left="323" w:right="0" w:hanging="0"/>
              <w:jc w:val="left"/>
              <w:rPr>
                <w:rFonts w:ascii="Times New Roman;Times;serif" w:hAnsi="Times New Roman;Times;serif"/>
                <w:color w:val="000000"/>
                <w:sz w:val="20"/>
              </w:rPr>
            </w:pPr>
            <w:r>
              <w:rPr>
                <w:rFonts w:ascii="Times New Roman;Times;serif" w:hAnsi="Times New Roman;Times;serif"/>
                <w:color w:val="000000"/>
                <w:sz w:val="20"/>
              </w:rPr>
              <w:t>1,406,775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535" w:type="dxa"/>
            <w:tcBorders/>
            <w:shd w:fill="CCEEFF" w:val="clear"/>
            <w:tcMar>
              <w:bottom w:w="0" w:type="dxa"/>
            </w:tcMar>
            <w:vAlign w:val="center"/>
          </w:tcPr>
          <w:p>
            <w:pPr>
              <w:pStyle w:val="TableContents"/>
              <w:bidi w:val="0"/>
              <w:spacing w:before="0" w:after="283"/>
              <w:ind w:left="425" w:right="0" w:hanging="0"/>
              <w:jc w:val="left"/>
              <w:rPr>
                <w:rFonts w:ascii="Times New Roman;Times;serif" w:hAnsi="Times New Roman;Times;serif"/>
                <w:color w:val="000000"/>
                <w:sz w:val="20"/>
              </w:rPr>
            </w:pPr>
            <w:r>
              <w:rPr>
                <w:rFonts w:ascii="Times New Roman;Times;serif" w:hAnsi="Times New Roman;Times;serif"/>
                <w:color w:val="000000"/>
                <w:sz w:val="20"/>
              </w:rPr>
              <w:t>$15.40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565" w:type="dxa"/>
            <w:tcBorders/>
            <w:shd w:fill="CCEEFF" w:val="clear"/>
            <w:tcMar>
              <w:bottom w:w="0" w:type="dxa"/>
            </w:tcMar>
            <w:vAlign w:val="center"/>
          </w:tcPr>
          <w:p>
            <w:pPr>
              <w:pStyle w:val="TableContents"/>
              <w:bidi w:val="0"/>
              <w:spacing w:before="0" w:after="283"/>
              <w:ind w:left="32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2,036,512 </w:t>
            </w:r>
          </w:p>
        </w:tc>
      </w:tr>
      <w:tr>
        <w:trPr/>
        <w:tc>
          <w:tcPr>
            <w:tcW w:w="4970" w:type="dxa"/>
            <w:tcBorders/>
            <w:tcMar>
              <w:bottom w:w="0" w:type="dxa"/>
            </w:tcM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50" w:type="dxa"/>
            <w:tcBorders/>
            <w:tcMar>
              <w:bottom w:w="0" w:type="dxa"/>
            </w:tcMar>
            <w:vAlign w:val="center"/>
          </w:tcPr>
          <w:p>
            <w:pPr>
              <w:pStyle w:val="TableContents"/>
              <w:bidi w:val="0"/>
              <w:spacing w:before="0" w:after="283"/>
              <w:ind w:left="323" w:right="0" w:hanging="0"/>
              <w:jc w:val="left"/>
              <w:rPr>
                <w:color w:val="000000"/>
                <w:bdr w:val="single" w:sz="8" w:space="1" w:color="000000"/>
              </w:rPr>
            </w:pPr>
            <w:r>
              <w:rPr>
                <w:color w:val="000000"/>
                <w:bdr w:val="single" w:sz="8" w:space="1" w:color="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35" w:type="dxa"/>
            <w:tcBorders/>
            <w:tcMar>
              <w:bottom w:w="0" w:type="dxa"/>
            </w:tcMar>
            <w:vAlign w:val="center"/>
          </w:tcPr>
          <w:p>
            <w:pPr>
              <w:pStyle w:val="TableContents"/>
              <w:bidi w:val="0"/>
              <w:spacing w:before="0" w:after="283"/>
              <w:ind w:left="425" w:right="0" w:hanging="0"/>
              <w:jc w:val="left"/>
              <w:rPr>
                <w:color w:val="000000"/>
                <w:bdr w:val="single" w:sz="8" w:space="1" w:color="000000"/>
              </w:rPr>
            </w:pPr>
            <w:r>
              <w:rPr>
                <w:color w:val="000000"/>
                <w:bdr w:val="single" w:sz="8" w:space="1" w:color="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565" w:type="dxa"/>
            <w:tcBorders/>
            <w:tcMar>
              <w:bottom w:w="0" w:type="dxa"/>
            </w:tcMar>
            <w:vAlign w:val="center"/>
          </w:tcPr>
          <w:p>
            <w:pPr>
              <w:pStyle w:val="TableContents"/>
              <w:bidi w:val="0"/>
              <w:spacing w:before="0" w:after="283"/>
              <w:ind w:left="322" w:right="0" w:hanging="0"/>
              <w:jc w:val="left"/>
              <w:rPr>
                <w:color w:val="000000"/>
                <w:bdr w:val="single" w:sz="8" w:space="1" w:color="000000"/>
              </w:rPr>
            </w:pPr>
            <w:r>
              <w:rPr>
                <w:color w:val="000000"/>
                <w:bdr w:val="single" w:sz="8" w:space="1" w:color="000000"/>
              </w:rPr>
              <w:t xml:space="preserve">— </w:t>
            </w:r>
          </w:p>
        </w:tc>
      </w:tr>
      <w:tr>
        <w:trPr/>
        <w:tc>
          <w:tcPr>
            <w:tcW w:w="497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550" w:type="dxa"/>
            <w:tcBorders/>
            <w:shd w:fill="CCEEFF" w:val="clear"/>
            <w:tcMar>
              <w:bottom w:w="0" w:type="dxa"/>
            </w:tcMar>
            <w:vAlign w:val="center"/>
          </w:tcPr>
          <w:p>
            <w:pPr>
              <w:pStyle w:val="TableContents"/>
              <w:bidi w:val="0"/>
              <w:spacing w:before="0" w:after="283"/>
              <w:ind w:left="323" w:right="0" w:hanging="0"/>
              <w:jc w:val="left"/>
              <w:rPr>
                <w:rFonts w:ascii="Times New Roman;Times;serif" w:hAnsi="Times New Roman;Times;serif"/>
                <w:color w:val="000000"/>
                <w:sz w:val="20"/>
              </w:rPr>
            </w:pPr>
            <w:r>
              <w:rPr>
                <w:rFonts w:ascii="Times New Roman;Times;serif" w:hAnsi="Times New Roman;Times;serif"/>
                <w:color w:val="000000"/>
                <w:sz w:val="20"/>
              </w:rPr>
              <w:t>1,406,775</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535" w:type="dxa"/>
            <w:tcBorders/>
            <w:shd w:fill="CCEEFF" w:val="clear"/>
            <w:tcMar>
              <w:bottom w:w="0" w:type="dxa"/>
            </w:tcMar>
            <w:vAlign w:val="center"/>
          </w:tcPr>
          <w:p>
            <w:pPr>
              <w:pStyle w:val="TableContents"/>
              <w:bidi w:val="0"/>
              <w:spacing w:before="0" w:after="283"/>
              <w:ind w:left="425" w:right="0" w:hanging="0"/>
              <w:jc w:val="left"/>
              <w:rPr>
                <w:rFonts w:ascii="Times New Roman;Times;serif" w:hAnsi="Times New Roman;Times;serif"/>
                <w:color w:val="000000"/>
                <w:sz w:val="20"/>
              </w:rPr>
            </w:pPr>
            <w:r>
              <w:rPr>
                <w:rFonts w:ascii="Times New Roman;Times;serif" w:hAnsi="Times New Roman;Times;serif"/>
                <w:color w:val="000000"/>
                <w:sz w:val="20"/>
              </w:rPr>
              <w:t>$15.40</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565" w:type="dxa"/>
            <w:tcBorders/>
            <w:shd w:fill="CCEEFF" w:val="clear"/>
            <w:tcMar>
              <w:bottom w:w="0" w:type="dxa"/>
            </w:tcMar>
            <w:vAlign w:val="center"/>
          </w:tcPr>
          <w:p>
            <w:pPr>
              <w:pStyle w:val="TableContents"/>
              <w:bidi w:val="0"/>
              <w:spacing w:before="0" w:after="283"/>
              <w:ind w:left="322" w:right="0" w:hanging="0"/>
              <w:jc w:val="left"/>
              <w:rPr>
                <w:rFonts w:ascii="Times New Roman;Times;serif" w:hAnsi="Times New Roman;Times;serif"/>
                <w:color w:val="000000"/>
                <w:sz w:val="20"/>
              </w:rPr>
            </w:pPr>
            <w:r>
              <w:rPr>
                <w:rFonts w:ascii="Times New Roman;Times;serif" w:hAnsi="Times New Roman;Times;serif"/>
                <w:color w:val="000000"/>
                <w:sz w:val="20"/>
              </w:rPr>
              <w:t>2,036,512</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number of shares available for future issuance includes 2,036,512 shares available under the Company’s 2019 Equity Incentive Plan (which allows for the issuance of options, as well as various other stock-based awards).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7" w:name="ny20019245x2_def14a_110-certain_pg1"/>
        <w:bookmarkEnd w:id="47"/>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8" w:name="tCRA"/>
      <w:bookmarkEnd w:id="48"/>
      <w:r>
        <w:rPr>
          <w:rFonts w:ascii="Times New Roman;Times;serif" w:hAnsi="Times New Roman;Times;serif"/>
          <w:b/>
          <w:color w:val="000000"/>
          <w:sz w:val="20"/>
        </w:rPr>
        <w:t xml:space="preserve">CERTAIN RELATIONSHIPS AND RELATED PERSON TRANSACTIONS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Relationships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are no family relationships between any of our directors or executive officers, as defined in Item 401 of Regulation S-K.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Policies and Procedures Regarding Related Person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Transactions by us or the Bank with related persons are subject to regulatory requirements and restrictions. These requirements and restrictions include Section 23A and Section 23B of the Federal Reserve Act and the Board of Governors of the Federal Reserve System’s (the “Federal Reserve”) Regulation W (which governs certain transactions by the Bank with its affiliates) and the Federal Reserve’s Regulation O (which governs certain loans by the Bank to its executive officers, directors, and principal shareholders). We have adopted policies to comply with these regulatory requirements and restrictions.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our board has adopted a written policy governing the approval of related person transactions that complies with all applicable requirements of the SEC and the NASDAQ Global Select Market concerning related person transactions. Related person transactions are transactions in which we are a participant, the amount involved exceeds $120,000 and a related person has or will have a direct or indirect material interest. Related persons of the Company include directors (including nominees for election as directors), executive officers, beneficial holders of more than 5% of our capital stock and the immediate family members of these persons. Our Audit Committee, in consultation with outside counsel, as appropriate, will review potential related person transactions to determine if they are subject to the policy. In determining whether to approve a related person transaction, the Audit Committee will consider, among other factors, the fairness of the proposed transaction, the direct or indirect nature of the related person’s interest in the transaction, the appearance of an improper conflict of interests for any director or executive officer taking into account the size of the transaction and the financial position of the related person, whether the transaction would impair an outside director’s independence, the acceptability of the transaction to our regulators and the potential violations of other corporate policies. Our Related Person Transactions Policy is available on our website at www.spfi.bank.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compensation arrangements with directors and executive officers described in “Executive Compensation” above, the following is a description of each transaction since January 1, 2022, and each proposed transaction in which: </w:t>
      </w:r>
    </w:p>
    <w:tbl>
      <w:tblPr>
        <w:tblW w:w="3340" w:type="dxa"/>
        <w:jc w:val="left"/>
        <w:tblInd w:w="0" w:type="dxa"/>
        <w:tblLayout w:type="fixed"/>
        <w:tblCellMar>
          <w:top w:w="0" w:type="dxa"/>
          <w:left w:w="0" w:type="dxa"/>
          <w:bottom w:w="0" w:type="dxa"/>
          <w:right w:w="0" w:type="dxa"/>
        </w:tblCellMar>
      </w:tblPr>
      <w:tblGrid>
        <w:gridCol w:w="110"/>
        <w:gridCol w:w="3230"/>
      </w:tblGrid>
      <w:tr>
        <w:trPr/>
        <w:tc>
          <w:tcPr>
            <w:tcW w:w="11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have been or are to be a participant;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amount involved exceeds or will exceed the lesser of (1) $120,000 or (2) 1% of the average of the Company’s total assets at year end for the last two completed fiscal years;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of our directors, executive officers or beneficial holders of more than five percent of our capital stock, or any immediate family member of or person sharing the household with any of these individuals (other than tenants or employees), had or will have a direct or indirect material interest.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Representation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June 2011, we entered into a Stock Purchase Agreement with James C. Henry, a principal shareholder of the Company, and his spouse in connection with their purchase of approximately $15.0 million of our common stock in a private placement. Pursuant to that Stock Purchase Agreement, the Company agreed to nominate a representative of the Henrys to serve on the board of each of the Company and the Bank. Richard D. Campbell has served as that board representative since 2011. On March 7, 2019, the Company and the Henrys terminated the Stock Purchase Agreement and entered into a Board Representation Agreement that maintained the Henrys’ right to appoint a representative to our board and to the board of the Bank. Pursuant to the Board Representation Agreement, for so long as the Henrys, or a lineal descendant of the Henrys, or an entity formed for their benefit, holds in aggregate 5.0% or more of our outstanding shares of common stock, the Company must nominate their representative to serve on the board of each of the Company and the Bank, subject to any required regulatory and shareholder approvals.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Private Sales of Subordinated Debt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December 2018, we conducted an exchange offering pursuant to which we exchanged existing subordinated debt, due 2024, for newly issued ten- and twelve-year subordinated debt, due 2028 and 2030, respectively, and sold additional newly issued subordinated debt. In this offering, Richard D. Campbell, a director, and his spouse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9" w:name="ny20019245x2_def14a_110-certain_pg2"/>
        <w:bookmarkEnd w:id="49"/>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exchanged $250,000 in principal amount of existing subordinated debt, due 2024, for $250,000 in principal amount of newly issued debt, due 2030 on the same terms and conditions as offered to other qualified investors. Certain of our directors also participated in the exchange offering in principal amounts less than $120,000 and on the same terms and conditions as offered to other qualified investors.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 Repurchases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2022 and 2023, the Company had an active stock repurchase program approved by the board of directors of the Company, which provided for the repurchase of common stock through open market purchases or privately negotiated transactions. In 2022, the Company repurchased 75,000 shares of common stock for approximately $2,000,000 in a private transaction from Mr. Curtis C. Griffith, the Chairman and Chief Executive Officer of the Company. During 2023, the Company repurchased an aggregate of 210,188 shares of common stock in three private transactions from Mr. Griffith for an aggregate price of $5,580,080.12. The repurchases were approved by the board of directors of the Company, with Mr. Griffith recused. The Company believes that the terms of the transactions were comparable to and no more favorable than the terms that could have been obtained in an arm’s length transaction with an unrelated party.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has purchased office furniture, fixtures and equipment for various bank locations from 1</w:t>
      </w:r>
      <w:r>
        <w:rPr>
          <w:rFonts w:ascii="Times New Roman;Times;serif" w:hAnsi="Times New Roman;Times;serif"/>
          <w:color w:val="000000"/>
          <w:position w:val="7"/>
          <w:sz w:val="16"/>
          <w:sz w:val="20"/>
        </w:rPr>
        <w:t>st</w:t>
      </w:r>
      <w:r>
        <w:rPr>
          <w:rFonts w:ascii="Times New Roman;Times;serif" w:hAnsi="Times New Roman;Times;serif"/>
          <w:color w:val="000000"/>
          <w:sz w:val="20"/>
        </w:rPr>
        <w:t xml:space="preserve"> Class Solutions, an entity in which Kim Newsom, the wife of Cory T. Newsom, a director and the President of the Company, has a majority ownership interest. Mr. Newsom also owns a minority interest in 1</w:t>
      </w:r>
      <w:r>
        <w:rPr>
          <w:rFonts w:ascii="Times New Roman;Times;serif" w:hAnsi="Times New Roman;Times;serif"/>
          <w:color w:val="000000"/>
          <w:position w:val="7"/>
          <w:sz w:val="16"/>
          <w:sz w:val="20"/>
        </w:rPr>
        <w:t>st</w:t>
      </w:r>
      <w:r>
        <w:rPr>
          <w:rFonts w:ascii="Times New Roman;Times;serif" w:hAnsi="Times New Roman;Times;serif"/>
          <w:color w:val="000000"/>
          <w:sz w:val="20"/>
        </w:rPr>
        <w:t xml:space="preserve"> Class Solutions. The purchases by the Company totaled approximately $406,000 and $359,000 in the years ended December 31, 2023 and 2022, respectively. All purchases from 1</w:t>
      </w:r>
      <w:r>
        <w:rPr>
          <w:rFonts w:ascii="Times New Roman;Times;serif" w:hAnsi="Times New Roman;Times;serif"/>
          <w:color w:val="000000"/>
          <w:position w:val="7"/>
          <w:sz w:val="16"/>
          <w:sz w:val="20"/>
        </w:rPr>
        <w:t>st</w:t>
      </w:r>
      <w:r>
        <w:rPr>
          <w:rFonts w:ascii="Times New Roman;Times;serif" w:hAnsi="Times New Roman;Times;serif"/>
          <w:color w:val="000000"/>
          <w:sz w:val="20"/>
        </w:rPr>
        <w:t xml:space="preserve"> Class Solutions received prior approval of the board of the Bank, with Mr. Newsom abstaining from the vote. We believe the terms of each of the transactions described above are no less favorable to us than we could have obtained from an unaffiliated third party. We expect to continue to engage in similar transactions in the ordinary course of business with our directors, executive officers, principal shareholders and their associates. All related party transactions will be reviewed and approved in accordance with our Related Person Transaction Policy.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Ordinary Banking Relationships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our officers, directors and principal shareholders, as well as their immediate family members and affiliates, are customers of, or have or have had transactions with us or the Bank in the ordinary course of business. These transactions include deposits, loans, wealth management products and other financial services related transactions. Related party transactions are made in the ordinary course of business, on substantially the same terms, including interest rates and collateral (where applicable), as those prevailing at the time for comparable transactions with persons not related to us, and do not involve more than normal risk of collectability or present other features unfavorable to us. Any loans we originate with officers, directors and principal shareholders, as well as their immediate family members and affiliates, are approved by our board in accordance with the Bank’s regulatory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Cory T. Newsom, our President, has no familial relationship with Mikella D. Newsom, our Chief Risk Officer and Secretary.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prospectus, no related party loans were categorized as nonaccrual, past due, restructured or potential problem loans. We expect to continue to enter into transactions in the ordinary course of business on similar terms with our officers, directors and principal shareholders, as well as their immediate family members and affiliates.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0" w:name="ny20019245x2_def14a_111-principal_pg1"/>
        <w:bookmarkEnd w:id="50"/>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1" w:name="tBOO"/>
      <w:bookmarkEnd w:id="51"/>
      <w:r>
        <w:rPr>
          <w:rFonts w:ascii="Times New Roman;Times;serif" w:hAnsi="Times New Roman;Times;serif"/>
          <w:b/>
          <w:color w:val="000000"/>
          <w:sz w:val="20"/>
        </w:rPr>
        <w:t xml:space="preserve">BENEFICIAL OWNERSHIP OF THE COMPANY’S COMMON STOCK BY MANAGEMENT AND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PRINCIPAL SHAREHOLDERS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regarding the beneficial ownership of our common stock as of March 18, 2024 for: </w:t>
      </w:r>
    </w:p>
    <w:tbl>
      <w:tblPr>
        <w:tblW w:w="1885" w:type="dxa"/>
        <w:jc w:val="left"/>
        <w:tblInd w:w="0" w:type="dxa"/>
        <w:tblLayout w:type="fixed"/>
        <w:tblCellMar>
          <w:top w:w="0" w:type="dxa"/>
          <w:left w:w="0" w:type="dxa"/>
          <w:bottom w:w="0" w:type="dxa"/>
          <w:right w:w="0" w:type="dxa"/>
        </w:tblCellMar>
      </w:tblPr>
      <w:tblGrid>
        <w:gridCol w:w="110"/>
        <w:gridCol w:w="1775"/>
      </w:tblGrid>
      <w:tr>
        <w:trPr/>
        <w:tc>
          <w:tcPr>
            <w:tcW w:w="110" w:type="dxa"/>
            <w:tcBorders/>
            <w:vAlign w:val="center"/>
          </w:tcPr>
          <w:p>
            <w:pPr>
              <w:pStyle w:val="TableContents"/>
              <w:bidi w:val="0"/>
              <w:spacing w:before="0" w:after="0"/>
              <w:jc w:val="left"/>
              <w:rPr>
                <w:color w:val="000000"/>
              </w:rPr>
            </w:pPr>
            <w:r>
              <w:rPr>
                <w:color w:val="000000"/>
              </w:rPr>
              <w:t>•</w:t>
            </w:r>
          </w:p>
        </w:tc>
        <w:tc>
          <w:tcPr>
            <w:tcW w:w="1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w:t>
            </w:r>
          </w:p>
        </w:tc>
      </w:tr>
    </w:tbl>
    <w:tbl>
      <w:tblPr>
        <w:tblW w:w="2620" w:type="dxa"/>
        <w:jc w:val="left"/>
        <w:tblInd w:w="0" w:type="dxa"/>
        <w:tblLayout w:type="fixed"/>
        <w:tblCellMar>
          <w:top w:w="0" w:type="dxa"/>
          <w:left w:w="0" w:type="dxa"/>
          <w:bottom w:w="0" w:type="dxa"/>
          <w:right w:w="0" w:type="dxa"/>
        </w:tblCellMar>
      </w:tblPr>
      <w:tblGrid>
        <w:gridCol w:w="110"/>
        <w:gridCol w:w="2510"/>
      </w:tblGrid>
      <w:tr>
        <w:trPr/>
        <w:tc>
          <w:tcPr>
            <w:tcW w:w="110" w:type="dxa"/>
            <w:tcBorders/>
            <w:vAlign w:val="center"/>
          </w:tcPr>
          <w:p>
            <w:pPr>
              <w:pStyle w:val="TableContents"/>
              <w:bidi w:val="0"/>
              <w:spacing w:before="0" w:after="0"/>
              <w:jc w:val="left"/>
              <w:rPr>
                <w:color w:val="000000"/>
              </w:rPr>
            </w:pPr>
            <w:r>
              <w:rPr>
                <w:color w:val="000000"/>
              </w:rPr>
              <w:t>•</w:t>
            </w:r>
          </w:p>
        </w:tc>
        <w:tc>
          <w:tcPr>
            <w:tcW w:w="2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executive officers; </w:t>
            </w:r>
          </w:p>
        </w:tc>
      </w:tr>
    </w:tbl>
    <w:tbl>
      <w:tblPr>
        <w:tblW w:w="4765" w:type="dxa"/>
        <w:jc w:val="left"/>
        <w:tblInd w:w="0" w:type="dxa"/>
        <w:tblLayout w:type="fixed"/>
        <w:tblCellMar>
          <w:top w:w="0" w:type="dxa"/>
          <w:left w:w="0" w:type="dxa"/>
          <w:bottom w:w="0" w:type="dxa"/>
          <w:right w:w="0" w:type="dxa"/>
        </w:tblCellMar>
      </w:tblPr>
      <w:tblGrid>
        <w:gridCol w:w="110"/>
        <w:gridCol w:w="4655"/>
      </w:tblGrid>
      <w:tr>
        <w:trPr/>
        <w:tc>
          <w:tcPr>
            <w:tcW w:w="11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directors and executive officers as a group; and </w:t>
            </w:r>
          </w:p>
        </w:tc>
      </w:tr>
    </w:tbl>
    <w:tbl>
      <w:tblPr>
        <w:tblW w:w="6385" w:type="dxa"/>
        <w:jc w:val="left"/>
        <w:tblInd w:w="0" w:type="dxa"/>
        <w:tblLayout w:type="fixed"/>
        <w:tblCellMar>
          <w:top w:w="0" w:type="dxa"/>
          <w:left w:w="0" w:type="dxa"/>
          <w:bottom w:w="0" w:type="dxa"/>
          <w:right w:w="0" w:type="dxa"/>
        </w:tblCellMar>
      </w:tblPr>
      <w:tblGrid>
        <w:gridCol w:w="110"/>
        <w:gridCol w:w="6275"/>
      </w:tblGrid>
      <w:tr>
        <w:trPr/>
        <w:tc>
          <w:tcPr>
            <w:tcW w:w="110" w:type="dxa"/>
            <w:tcBorders/>
            <w:vAlign w:val="center"/>
          </w:tcPr>
          <w:p>
            <w:pPr>
              <w:pStyle w:val="TableContents"/>
              <w:bidi w:val="0"/>
              <w:spacing w:before="0" w:after="0"/>
              <w:jc w:val="left"/>
              <w:rPr>
                <w:color w:val="000000"/>
              </w:rPr>
            </w:pPr>
            <w:r>
              <w:rPr>
                <w:color w:val="000000"/>
              </w:rPr>
              <w:t>•</w:t>
            </w:r>
          </w:p>
        </w:tc>
        <w:tc>
          <w:tcPr>
            <w:tcW w:w="6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shareholder who beneficially owns more than 5% of our common stock.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determined beneficial ownership in accordance with the rules of the SEC. These rules generally provide that a person is the beneficial owner of securities if such person has or shares the power to vote or direct the voting of securities, or to dispose or direct the disposition of securities, or has the right to acquire such powers within sixty (60) days. Except as disclosed in the footnotes to this table and subject to applicable community property laws, we believe that each person identified in the table has sole voting and investment power over all of the shares shown opposite such person’s name.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percentage of beneficial ownership is based on 16,432,851 shares of our common stock outstanding as of March 18,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indicated below, the address for each shareholder listed in the table below is: South Plains Financial, Inc., 5219 City Bank Parkway, Lubbock, Texas 79407. </w:t>
      </w:r>
    </w:p>
    <w:tbl>
      <w:tblPr>
        <w:tblW w:w="7547" w:type="dxa"/>
        <w:jc w:val="left"/>
        <w:tblInd w:w="0" w:type="dxa"/>
        <w:tblLayout w:type="fixed"/>
        <w:tblCellMar>
          <w:top w:w="0" w:type="dxa"/>
          <w:left w:w="0" w:type="dxa"/>
          <w:bottom w:w="85" w:type="dxa"/>
          <w:right w:w="0" w:type="dxa"/>
        </w:tblCellMar>
      </w:tblPr>
      <w:tblGrid>
        <w:gridCol w:w="4565"/>
        <w:gridCol w:w="23"/>
        <w:gridCol w:w="23"/>
        <w:gridCol w:w="1415"/>
        <w:gridCol w:w="23"/>
        <w:gridCol w:w="23"/>
        <w:gridCol w:w="1475"/>
      </w:tblGrid>
      <w:tr>
        <w:trPr/>
        <w:tc>
          <w:tcPr>
            <w:tcW w:w="456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 Owned</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w:t>
            </w:r>
          </w:p>
        </w:tc>
      </w:tr>
      <w:tr>
        <w:trPr/>
        <w:tc>
          <w:tcPr>
            <w:tcW w:w="45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executive officers:</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41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475" w:type="dxa"/>
            <w:tcBorders/>
            <w:shd w:fill="CCEEFF" w:val="clear"/>
            <w:tcMar>
              <w:bottom w:w="0" w:type="dxa"/>
            </w:tcMar>
            <w:vAlign w:val="center"/>
          </w:tcPr>
          <w:p>
            <w:pPr>
              <w:pStyle w:val="TableContents"/>
              <w:bidi w:val="0"/>
              <w:spacing w:before="0" w:after="0"/>
              <w:jc w:val="left"/>
              <w:rPr>
                <w:color w:val="000000"/>
              </w:rPr>
            </w:pPr>
            <w:r>
              <w:rPr>
                <w:color w:val="000000"/>
              </w:rPr>
              <w:t> </w:t>
            </w:r>
          </w:p>
        </w:tc>
      </w:tr>
      <w:tr>
        <w:trPr/>
        <w:tc>
          <w:tcPr>
            <w:tcW w:w="45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D. Campbell</w:t>
            </w:r>
            <w:r>
              <w:rPr>
                <w:rFonts w:ascii="Times New Roman;Times;serif" w:hAnsi="Times New Roman;Times;serif"/>
                <w:color w:val="000000"/>
                <w:position w:val="7"/>
                <w:sz w:val="16"/>
                <w:sz w:val="20"/>
              </w:rPr>
              <w:t>(1)</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15" w:type="dxa"/>
            <w:tcBorders/>
            <w:tcMar>
              <w:bottom w:w="0" w:type="dxa"/>
            </w:tcM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1,637,525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75" w:type="dxa"/>
            <w:tcBorders/>
            <w:tcMar>
              <w:bottom w:w="0" w:type="dxa"/>
            </w:tcMar>
            <w:vAlign w:val="center"/>
          </w:tcPr>
          <w:p>
            <w:pPr>
              <w:pStyle w:val="TableContents"/>
              <w:bidi w:val="0"/>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9.96% </w:t>
            </w:r>
          </w:p>
        </w:tc>
      </w:tr>
      <w:tr>
        <w:trPr/>
        <w:tc>
          <w:tcPr>
            <w:tcW w:w="45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B. Crockett</w:t>
            </w:r>
            <w:r>
              <w:rPr>
                <w:rFonts w:ascii="Times New Roman;Times;serif" w:hAnsi="Times New Roman;Times;serif"/>
                <w:color w:val="000000"/>
                <w:position w:val="7"/>
                <w:sz w:val="16"/>
                <w:sz w:val="20"/>
              </w:rPr>
              <w:t>(2)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415" w:type="dxa"/>
            <w:tcBorders/>
            <w:shd w:fill="CCEEFF" w:val="clear"/>
            <w:tcMar>
              <w:bottom w:w="0" w:type="dxa"/>
            </w:tcM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189,547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475" w:type="dxa"/>
            <w:tcBorders/>
            <w:shd w:fill="CCEEFF" w:val="clear"/>
            <w:tcMar>
              <w:bottom w:w="0" w:type="dxa"/>
            </w:tcMar>
            <w:vAlign w:val="center"/>
          </w:tcPr>
          <w:p>
            <w:pPr>
              <w:pStyle w:val="TableContents"/>
              <w:bidi w:val="0"/>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1.15% </w:t>
            </w:r>
          </w:p>
        </w:tc>
      </w:tr>
      <w:tr>
        <w:trPr/>
        <w:tc>
          <w:tcPr>
            <w:tcW w:w="45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Curtis C. Griffith</w:t>
            </w:r>
            <w:r>
              <w:rPr>
                <w:rFonts w:ascii="Times New Roman;Times;serif" w:hAnsi="Times New Roman;Times;serif"/>
                <w:color w:val="000000"/>
                <w:position w:val="7"/>
                <w:sz w:val="16"/>
                <w:sz w:val="20"/>
              </w:rPr>
              <w:t>(3)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15" w:type="dxa"/>
            <w:tcBorders/>
            <w:tcMar>
              <w:bottom w:w="0" w:type="dxa"/>
            </w:tcM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1,608,932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75" w:type="dxa"/>
            <w:tcBorders/>
            <w:tcMar>
              <w:bottom w:w="0" w:type="dxa"/>
            </w:tcMar>
            <w:vAlign w:val="center"/>
          </w:tcPr>
          <w:p>
            <w:pPr>
              <w:pStyle w:val="TableContents"/>
              <w:bidi w:val="0"/>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9.74% </w:t>
            </w:r>
          </w:p>
        </w:tc>
      </w:tr>
      <w:tr>
        <w:trPr/>
        <w:tc>
          <w:tcPr>
            <w:tcW w:w="45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Cory T. Newsom</w:t>
            </w:r>
            <w:r>
              <w:rPr>
                <w:rFonts w:ascii="Times New Roman;Times;serif" w:hAnsi="Times New Roman;Times;serif"/>
                <w:color w:val="000000"/>
                <w:position w:val="7"/>
                <w:sz w:val="16"/>
                <w:sz w:val="20"/>
              </w:rPr>
              <w:t>(4)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415" w:type="dxa"/>
            <w:tcBorders/>
            <w:shd w:fill="CCEEFF" w:val="clear"/>
            <w:tcMar>
              <w:bottom w:w="0" w:type="dxa"/>
            </w:tcM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478,494</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475" w:type="dxa"/>
            <w:tcBorders/>
            <w:shd w:fill="CCEEFF" w:val="clear"/>
            <w:tcMar>
              <w:bottom w:w="0" w:type="dxa"/>
            </w:tcMar>
            <w:vAlign w:val="center"/>
          </w:tcPr>
          <w:p>
            <w:pPr>
              <w:pStyle w:val="TableContents"/>
              <w:bidi w:val="0"/>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2.88% </w:t>
            </w:r>
          </w:p>
        </w:tc>
      </w:tr>
      <w:tr>
        <w:trPr/>
        <w:tc>
          <w:tcPr>
            <w:tcW w:w="45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Mikella D. Newsom</w:t>
            </w:r>
            <w:r>
              <w:rPr>
                <w:rFonts w:ascii="Times New Roman;Times;serif" w:hAnsi="Times New Roman;Times;serif"/>
                <w:color w:val="000000"/>
                <w:position w:val="7"/>
                <w:sz w:val="16"/>
                <w:sz w:val="20"/>
              </w:rPr>
              <w:t>(5)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15" w:type="dxa"/>
            <w:tcBorders/>
            <w:tcMar>
              <w:bottom w:w="0" w:type="dxa"/>
            </w:tcM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114,885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75" w:type="dxa"/>
            <w:tcBorders/>
            <w:tcMar>
              <w:bottom w:w="0" w:type="dxa"/>
            </w:tcMar>
            <w:vAlign w:val="center"/>
          </w:tcPr>
          <w:p>
            <w:pPr>
              <w:pStyle w:val="TableContents"/>
              <w:bidi w:val="0"/>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5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Noe G. Valles</w:t>
            </w:r>
            <w:r>
              <w:rPr>
                <w:rFonts w:ascii="Times New Roman;Times;serif" w:hAnsi="Times New Roman;Times;serif"/>
                <w:color w:val="000000"/>
                <w:position w:val="7"/>
                <w:sz w:val="16"/>
                <w:sz w:val="20"/>
              </w:rPr>
              <w:t>(6)</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415" w:type="dxa"/>
            <w:tcBorders/>
            <w:shd w:fill="CCEEFF" w:val="clear"/>
            <w:tcMar>
              <w:bottom w:w="0" w:type="dxa"/>
            </w:tcM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245,512</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475" w:type="dxa"/>
            <w:tcBorders/>
            <w:shd w:fill="CCEEFF" w:val="clear"/>
            <w:tcMar>
              <w:bottom w:w="0" w:type="dxa"/>
            </w:tcMar>
            <w:vAlign w:val="center"/>
          </w:tcPr>
          <w:p>
            <w:pPr>
              <w:pStyle w:val="TableContents"/>
              <w:bidi w:val="0"/>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1.49% </w:t>
            </w:r>
          </w:p>
        </w:tc>
      </w:tr>
      <w:tr>
        <w:trPr/>
        <w:tc>
          <w:tcPr>
            <w:tcW w:w="45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Kyle R. Wargo</w:t>
            </w:r>
            <w:r>
              <w:rPr>
                <w:rFonts w:ascii="Times New Roman;Times;serif" w:hAnsi="Times New Roman;Times;serif"/>
                <w:color w:val="000000"/>
                <w:position w:val="7"/>
                <w:sz w:val="16"/>
                <w:sz w:val="20"/>
              </w:rPr>
              <w:t>(7)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15" w:type="dxa"/>
            <w:tcBorders/>
            <w:tcMar>
              <w:bottom w:w="0" w:type="dxa"/>
            </w:tcM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11,912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75" w:type="dxa"/>
            <w:tcBorders/>
            <w:tcMar>
              <w:bottom w:w="0" w:type="dxa"/>
            </w:tcMar>
            <w:vAlign w:val="center"/>
          </w:tcPr>
          <w:p>
            <w:pPr>
              <w:pStyle w:val="TableContents"/>
              <w:bidi w:val="0"/>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5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LaDana R. Washburn</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415" w:type="dxa"/>
            <w:tcBorders/>
            <w:shd w:fill="CCEEFF" w:val="clear"/>
            <w:tcMar>
              <w:bottom w:w="0" w:type="dxa"/>
            </w:tcMar>
            <w:vAlign w:val="center"/>
          </w:tcPr>
          <w:p>
            <w:pPr>
              <w:pStyle w:val="TableContents"/>
              <w:bidi w:val="0"/>
              <w:spacing w:before="0" w:after="283"/>
              <w:ind w:left="271" w:right="0" w:hanging="0"/>
              <w:jc w:val="left"/>
              <w:rPr>
                <w:color w:val="000000"/>
              </w:rPr>
            </w:pPr>
            <w:r>
              <w:rPr>
                <w:color w:val="000000"/>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475" w:type="dxa"/>
            <w:tcBorders/>
            <w:shd w:fill="CCEEFF" w:val="clear"/>
            <w:tcMar>
              <w:bottom w:w="0" w:type="dxa"/>
            </w:tcMar>
            <w:vAlign w:val="center"/>
          </w:tcPr>
          <w:p>
            <w:pPr>
              <w:pStyle w:val="TableContents"/>
              <w:bidi w:val="0"/>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0.00% </w:t>
            </w:r>
          </w:p>
        </w:tc>
      </w:tr>
      <w:tr>
        <w:trPr/>
        <w:tc>
          <w:tcPr>
            <w:tcW w:w="45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Directors &amp; executive officers as a group (8 individuals)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15" w:type="dxa"/>
            <w:tcBorders/>
            <w:tcMar>
              <w:bottom w:w="0" w:type="dxa"/>
            </w:tcM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4,286,807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75" w:type="dxa"/>
            <w:tcBorders/>
            <w:tcMar>
              <w:bottom w:w="0" w:type="dxa"/>
            </w:tcMar>
            <w:vAlign w:val="center"/>
          </w:tcPr>
          <w:p>
            <w:pPr>
              <w:pStyle w:val="TableContents"/>
              <w:bidi w:val="0"/>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25.39% </w:t>
            </w:r>
          </w:p>
        </w:tc>
      </w:tr>
      <w:tr>
        <w:trPr/>
        <w:tc>
          <w:tcPr>
            <w:tcW w:w="45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Principal shareholders:</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415"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475" w:type="dxa"/>
            <w:tcBorders/>
            <w:shd w:fill="CCEEFF" w:val="clear"/>
            <w:tcMar>
              <w:bottom w:w="0" w:type="dxa"/>
            </w:tcMar>
            <w:vAlign w:val="center"/>
          </w:tcPr>
          <w:p>
            <w:pPr>
              <w:pStyle w:val="TableContents"/>
              <w:bidi w:val="0"/>
              <w:spacing w:before="0" w:after="0"/>
              <w:jc w:val="left"/>
              <w:rPr>
                <w:color w:val="000000"/>
              </w:rPr>
            </w:pPr>
            <w:r>
              <w:rPr>
                <w:color w:val="000000"/>
              </w:rPr>
              <w:t> </w:t>
            </w:r>
          </w:p>
        </w:tc>
      </w:tr>
      <w:tr>
        <w:trPr/>
        <w:tc>
          <w:tcPr>
            <w:tcW w:w="456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Henry TAW LP</w:t>
            </w:r>
            <w:r>
              <w:rPr>
                <w:rFonts w:ascii="Times New Roman;Times;serif" w:hAnsi="Times New Roman;Times;serif"/>
                <w:color w:val="000000"/>
                <w:position w:val="7"/>
                <w:sz w:val="16"/>
                <w:sz w:val="20"/>
              </w:rPr>
              <w:t>(8)</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15" w:type="dxa"/>
            <w:tcBorders/>
            <w:tcMar>
              <w:bottom w:w="0" w:type="dxa"/>
            </w:tcM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1,589,386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475" w:type="dxa"/>
            <w:tcBorders/>
            <w:tcMar>
              <w:bottom w:w="0" w:type="dxa"/>
            </w:tcMar>
            <w:vAlign w:val="center"/>
          </w:tcPr>
          <w:p>
            <w:pPr>
              <w:pStyle w:val="TableContents"/>
              <w:bidi w:val="0"/>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9.67% </w:t>
            </w:r>
          </w:p>
        </w:tc>
      </w:tr>
      <w:tr>
        <w:trPr/>
        <w:tc>
          <w:tcPr>
            <w:tcW w:w="45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w:t>
            </w:r>
            <w:r>
              <w:rPr>
                <w:rFonts w:ascii="Times New Roman;Times;serif" w:hAnsi="Times New Roman;Times;serif"/>
                <w:color w:val="000000"/>
                <w:position w:val="7"/>
                <w:sz w:val="16"/>
                <w:sz w:val="20"/>
              </w:rPr>
              <w:t>(9)</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415" w:type="dxa"/>
            <w:tcBorders/>
            <w:shd w:fill="CCEEFF" w:val="clear"/>
            <w:tcMar>
              <w:bottom w:w="0" w:type="dxa"/>
            </w:tcM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1,209,777</w:t>
            </w:r>
          </w:p>
        </w:tc>
        <w:tc>
          <w:tcPr>
            <w:tcW w:w="23" w:type="dxa"/>
            <w:tcBorders/>
            <w:shd w:fill="CCEEFF" w:val="clear"/>
            <w:tcMar>
              <w:bottom w:w="0" w:type="dxa"/>
            </w:tcMar>
            <w:vAlign w:val="center"/>
          </w:tcPr>
          <w:p>
            <w:pPr>
              <w:pStyle w:val="TableContents"/>
              <w:bidi w:val="0"/>
              <w:spacing w:before="0" w:after="283"/>
              <w:jc w:val="left"/>
              <w:rPr/>
            </w:pPr>
            <w:r>
              <w:rPr/>
              <w:t>​</w:t>
            </w:r>
          </w:p>
        </w:tc>
        <w:tc>
          <w:tcPr>
            <w:tcW w:w="23" w:type="dxa"/>
            <w:tcBorders/>
            <w:shd w:fill="CCEEFF" w:val="clear"/>
            <w:tcMar>
              <w:bottom w:w="0" w:type="dxa"/>
            </w:tcMar>
            <w:vAlign w:val="center"/>
          </w:tcPr>
          <w:p>
            <w:pPr>
              <w:pStyle w:val="TableContents"/>
              <w:bidi w:val="0"/>
              <w:spacing w:before="0" w:after="283"/>
              <w:jc w:val="left"/>
              <w:rPr/>
            </w:pPr>
            <w:r>
              <w:rPr/>
              <w:t>​</w:t>
            </w:r>
          </w:p>
        </w:tc>
        <w:tc>
          <w:tcPr>
            <w:tcW w:w="1475" w:type="dxa"/>
            <w:tcBorders/>
            <w:shd w:fill="CCEEFF" w:val="clear"/>
            <w:tcMar>
              <w:bottom w:w="0" w:type="dxa"/>
            </w:tcMar>
            <w:vAlign w:val="center"/>
          </w:tcPr>
          <w:p>
            <w:pPr>
              <w:pStyle w:val="TableContents"/>
              <w:bidi w:val="0"/>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7.36%</w:t>
            </w:r>
          </w:p>
        </w:tc>
      </w:tr>
    </w:tbl>
    <w:tbl>
      <w:tblPr>
        <w:tblW w:w="2725" w:type="dxa"/>
        <w:jc w:val="left"/>
        <w:tblInd w:w="0" w:type="dxa"/>
        <w:tblLayout w:type="fixed"/>
        <w:tblCellMar>
          <w:top w:w="0" w:type="dxa"/>
          <w:left w:w="0" w:type="dxa"/>
          <w:bottom w:w="0" w:type="dxa"/>
          <w:right w:w="0" w:type="dxa"/>
        </w:tblCellMar>
      </w:tblPr>
      <w:tblGrid>
        <w:gridCol w:w="110"/>
        <w:gridCol w:w="261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26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ownership of less than 1%</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(i) 8,139 shares held individually by Mr. Campbell, (ii) 40,000 shares held by Racham Investment Group LLC, over which Mr. Campbell is a member, and (iii) 1,589,386 shares owned by Henry TAW LP. All of the shares owned by Henry TAW LP are subject to a voting agreement and irrevocable proxy pursuant to which Mr. Campbell exercises voting authority, and includes 1,589,386 shares pledged to J.P. Morgan Chase.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(i) 65,051 shares held individually by Mr. Crockett, (ii) 116,692, shares underlying vested options, and (iii) 7,804 nonvested shares of restricted stock.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(i) 1,099,534 shares held individually by Mr. Griffith, (ii) 64,000 shares held in the Richard Thomas White 2021 Trust, over which Mr. Griffith serves as trustee, (iii) 87,000 shares held in the Birdie Lucille White 2021 Trust, over which Mr. Griffith serves as trustee, (iv) 87,000 shares held in the William Hogan White 2021 Trust, over which Mr. Griffith serves as trustee, (v) 87,000 shares held in the Sydney Suzanne Griffith 2021 Trust, over which Mr. Griffith serves as trustee, (vi) 87,000 shares held in the Johnathan Brockway Griffith 2021 Trust, over which Mr. Griffith serves as trustee, (vii) 93,135 shares underlying options that are vested or will be vested within 60 days, and (viii) 4,263 nonvested shares of restricted stock. Includes 990,000 shares pledged as security for personal loans. Does not include (i) 435,000 shares that are held in the Curtis C. Griffith 2021 Irrevocable Trust, over which Mr. Griffith’s spouse serves as trustee, which Mr. Griffith has disclaimed beneficial ownership, and (ii) 46,350 shares owned directly by Mr. Griffith’s spouse, which Mr. Griffith has disclaimed beneficial ownership.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(i) 266,062 shares held individually by Mr. Newsom, (ii) 750 shares held for the benefit of Mr. Newsom’s child who still resides in his household, (iii) 202,513 shares underlying options that are vested or will be vested within 60 days, (iv) 8,526 nonvested shares of restricted stock, and (v) 643 shares held by Mr. Newsom’s spouse. Includes 140,500 pledged shares as security for personal loans.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2" w:name="ny20019245x2_def14a_111-principal_pg2"/>
        <w:bookmarkEnd w:id="52"/>
        <w:r>
          <w:rPr>
            <w:rStyle w:val="InternetLink"/>
            <w:rFonts w:ascii="Times New Roman;Times;Serif" w:hAnsi="Times New Roman;Times;Serif"/>
            <w:b/>
            <w:caps w:val="false"/>
            <w:smallCaps w:val="false"/>
            <w:sz w:val="16"/>
          </w:rPr>
          <w:t>TABLE OF CONTENTS</w:t>
        </w:r>
      </w:hyperlink>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(i) 23,336 shares held individually by Ms. Newsom, (ii) 45,280 shares underlying vested options, (iii) 6,659 nonvested shares of restricted stock, (iv) 15,712 shares held by Ms. Newsom’s spouse, (v) 21,769 shares underlying vested options, and (vi) 2,129 nonvested or unreleased shares of restricted stock. </w:t>
            </w:r>
          </w:p>
        </w:tc>
      </w:tr>
    </w:tbl>
    <w:tbl>
      <w:tblPr>
        <w:tblW w:w="4450" w:type="dxa"/>
        <w:jc w:val="left"/>
        <w:tblInd w:w="0" w:type="dxa"/>
        <w:tblLayout w:type="fixed"/>
        <w:tblCellMar>
          <w:top w:w="0" w:type="dxa"/>
          <w:left w:w="0" w:type="dxa"/>
          <w:bottom w:w="0" w:type="dxa"/>
          <w:right w:w="0" w:type="dxa"/>
        </w:tblCellMar>
      </w:tblPr>
      <w:tblGrid>
        <w:gridCol w:w="230"/>
        <w:gridCol w:w="422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4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245,512 shares held individually by Mr. Valles. </w:t>
            </w:r>
          </w:p>
        </w:tc>
      </w:tr>
    </w:tbl>
    <w:tbl>
      <w:tblPr>
        <w:tblW w:w="4405" w:type="dxa"/>
        <w:jc w:val="left"/>
        <w:tblInd w:w="0" w:type="dxa"/>
        <w:tblLayout w:type="fixed"/>
        <w:tblCellMar>
          <w:top w:w="0" w:type="dxa"/>
          <w:left w:w="0" w:type="dxa"/>
          <w:bottom w:w="0" w:type="dxa"/>
          <w:right w:w="0" w:type="dxa"/>
        </w:tblCellMar>
      </w:tblPr>
      <w:tblGrid>
        <w:gridCol w:w="230"/>
        <w:gridCol w:w="41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4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11,912 shares held individually by Mr. Wargo.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All of the 1,589,386 shares held by Henry TAW LP are subject to a voting agreement and irrevocable proxy pursuant to which Richard D. Campbell exercises voting authority.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2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information as of January 31, 2024, obtained from a Schedule 13G/A filed with the SEC on or about February 8, 2024, by BlackRock, Inc., located at 55 East 52nd Street, New York, New York 10055 (“BlackRock”). BlackRock reported in its Schedule 13G/A that it has sole voting power over 1,156,488 shares, sole dispositive power over 1,209,777 shares and no shared voting power or shared dispositive power over any shares. The foregoing information has been included solely in reliance upon, and without independent investigation of, the disclosures contained in BlackRock’s Schedule 13G/A.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3" w:name="ny20019245x2_def14a_111-principal_pg3"/>
        <w:bookmarkEnd w:id="5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4" w:name="tD16"/>
      <w:bookmarkEnd w:id="54"/>
      <w:r>
        <w:rPr>
          <w:rFonts w:ascii="Times New Roman;Times;serif" w:hAnsi="Times New Roman;Times;serif"/>
          <w:b/>
          <w:color w:val="000000"/>
          <w:sz w:val="20"/>
        </w:rPr>
        <w:t xml:space="preserve">DELINQUENT SECTION 16(A) REPORTS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our directors and executive officers and persons who own more than 10% of our outstanding common stock to file reports of ownership and changes in ownership of our equity securities, including our common stock with the SEC. Such persons are required by the SEC’s regulations to furnish us with copies of all reports they file pursuant to Section 16.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solely on a review of the reports furnished to us, or written representations from reporting persons that all reportable transactions were reported, we believe that during the fiscal year ended December 31, 2023, our officers, directors and greater than 10% owners timely filed all reports they were required to file under Section 16(a), except for a Form 3 filed on behalf of LaDana R. Washburn upon her election as a director of the Company on May 16, 2023, for which a Form 3 was filed February 28, 2024, and Form 4s filed by Mikella D. Newsom on February 21, 2023 and March 22, 2023 to report her spouse’s holdings at the effectiveness of the Company’s initial registration statement and for shares subsequently received by her spouse. The failures to timely file were inadvertent and have been corrected.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5" w:name="ny20019245x2_def14a_111-principal_pg4"/>
        <w:bookmarkEnd w:id="55"/>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6" w:name="tACR"/>
      <w:bookmarkEnd w:id="56"/>
      <w:r>
        <w:rPr>
          <w:rFonts w:ascii="Times New Roman;Times;serif" w:hAnsi="Times New Roman;Times;serif"/>
          <w:b/>
          <w:color w:val="000000"/>
          <w:sz w:val="20"/>
        </w:rPr>
        <w:t xml:space="preserve">AUDIT COMMITTEE REPORT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Notwithstanding anything to the contrary set forth in any of the Company’s previous or future filings under the Securities Act or the Exchange Act that might incorporate this proxy statement or future filings with the SEC, in whole or in part, the following report of the Audit Committee shall not be deemed to be incorporated by reference into any such filing.</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operates pursuant to a written charter adopted March 6, 2019, a current version of the Audit Committee Charter can be accessed on our website https://www.spfi.bank/corporate-governance/documents-charters. Each member of the Audit Committee (1) is an independent director under NASDAQ Stock Market rules, (2) satisfies the additional independence standards under applicable SEC rules for Audit Committee service, and (3) has the ability to read and understand fundamental financial statements. Consistent with the Audit Committee’s charter, the primary purposes of the Audit Committee are to oversee the financial reporting processes of the Company and the audits of the Company’s financial statements and, in that regard, assist the board in its oversight of: (i) the performance of the Company’s independent registered public accounting firm that audits and reports on the Company’s consolidated financial statements; (ii) the internal audit function; (iii) the integrity of the Company’s financial statements; and (iv) the system of internal controls of the Company. The Audit Committee relies on (i) the integrity of those persons and organizations within and outside the Company from which it receives information absent actual knowledge to the contrary, (ii) the accuracy of the financial and other information provided to the Audit Committee absent actual knowledge to the contrary and (iii) statements made by management or third parties as to any information technology and other non-audit services provided by FORVIS, LLP to the Company. In fulfilling its oversight responsibilities, the Audit Committee: </w:t>
      </w:r>
    </w:p>
    <w:tbl>
      <w:tblPr>
        <w:tblW w:w="9505" w:type="dxa"/>
        <w:jc w:val="left"/>
        <w:tblInd w:w="0" w:type="dxa"/>
        <w:tblLayout w:type="fixed"/>
        <w:tblCellMar>
          <w:top w:w="0" w:type="dxa"/>
          <w:left w:w="0" w:type="dxa"/>
          <w:bottom w:w="0" w:type="dxa"/>
          <w:right w:w="0" w:type="dxa"/>
        </w:tblCellMar>
      </w:tblPr>
      <w:tblGrid>
        <w:gridCol w:w="245"/>
        <w:gridCol w:w="92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2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and discussed with management the audited financial statements for the year ended December 31, 2023;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0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oversaw the annual independent audit of the Company’s financial statements, including the Company’s internal control over financial reporting as required by the Federal Deposit Insurance Corporation Improvement Act of 1991, the engagement, compensation, and retention of the independent registered public accounting firm, and the evaluation of the independent registered public accounting firm’s qualifications, independence, and performance;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9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discussed with the Company’s independent registered public accounting firm, FORVIS, LLP, the matters required to be discussed by the applicable requirements of the Public Company Accounting Oversight Board (“PCAOB”) and the SEC;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received the written disclosures and the letter from FORVIS, LLP required by applicable requirements of the PCAOB regarding FORVIS, LLP’s communications with the Audit Committee concerning independence, and discussed with FORVIS, LLP its independence; and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and discussed the adequacy of the internal controls of the Company with management and the internal audit department.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adopted a written Whistleblower Policy that is intended to encourage our employees to bring to the attention of management and the Audit Committee any complaints regarding the integrity of our internal financial controls or the accuracy or completeness of financial or other information related to our financial statements. A current version of the Whistleblower Policy can be accessed on our website https://www.spfi.bank/corporate-governance/documents-charters.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 review and discussions referred to above, the Audit Committee recommended to the board that the audited financial statements for the year ended December 31, 2023 be included in the Company’s Annual Report on Form 10-K for filing with the SEC. </w:t>
      </w:r>
    </w:p>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Submitted by the Audit Committee of the board:</w:t>
      </w:r>
    </w:p>
    <w:p>
      <w:pPr>
        <w:pStyle w:val="TextBody"/>
        <w:bidi w:val="0"/>
        <w:spacing w:before="0" w:after="283"/>
        <w:ind w:left="400" w:right="0" w:hanging="0"/>
        <w:jc w:val="left"/>
        <w:rPr>
          <w:color w:val="000000"/>
        </w:rPr>
      </w:pPr>
      <w:r>
        <w:rPr>
          <w:color w:val="000000"/>
        </w:rPr>
        <w:t xml:space="preserve">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Kyle R. Wargo (Audit Committee Chairman)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Richard D. Campbell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LaDana R. Washburn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7" w:name="ny20019245x2_def14a_111-principal_pg5"/>
        <w:bookmarkEnd w:id="57"/>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INDEPENDENT AUDITORS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recommended, and the board appointed, FORVIS, LLP as our independent auditors to audit the consolidated financial statements of the Company for the 2024 fiscal year. FORVIS, LLP served as our independent auditors for the 2023 fiscal year and reported on the Company’s consolidated financial statements for that year.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 Committee Pre-Approval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Charter of the Audit Committee provides the Audit Committee with the authority to pre-approve, or to adopt appropriate procedures to pre-approve, all auditing services (which, if applicable, may include providing comfort letters in connection with securities underwritings), and non-audit services that are otherwise permitted by law (including tax services, if any) that are provided to the Company by its independent auditors. In addition, the Audit Committee has the authority to pre-approve the Company’s independent auditors’ annual engagement letter, including the proposed fees and terms contained therein.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Fees Billed by Independent Registered Public Accounting Firm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reviewed the following audit and non-audit fees billed to the Company by FORVIS, LLP for 2023 and 2022 for purposes of considering whether such fees are compatible with maintaining the auditor’s independence, and concluded that such fees did not impair FORVIS, LLP’s independence. The policy of the Audit Committee is to pre-approve all audit and non-audit services performed by FORVIS, LLP for the benefit of the Company before the services are performed, including all of the services described under “Audit Fees” and “Audit-Related Fees,” “Tax Fees” and “All Other Fees” below. The Audit Committee has pre-approved all of the services provided by FORVIS, LLP to the Company in accordance with the policies and procedures described in the section titled “—Audit Committee Pre-Approval.” </w:t>
      </w:r>
    </w:p>
    <w:tbl>
      <w:tblPr>
        <w:tblW w:w="3347" w:type="dxa"/>
        <w:jc w:val="left"/>
        <w:tblInd w:w="0" w:type="dxa"/>
        <w:tblLayout w:type="fixed"/>
        <w:tblCellMar>
          <w:top w:w="0" w:type="dxa"/>
          <w:left w:w="0" w:type="dxa"/>
          <w:bottom w:w="0" w:type="dxa"/>
          <w:right w:w="0" w:type="dxa"/>
        </w:tblCellMar>
      </w:tblPr>
      <w:tblGrid>
        <w:gridCol w:w="1595"/>
        <w:gridCol w:w="23"/>
        <w:gridCol w:w="23"/>
        <w:gridCol w:w="800"/>
        <w:gridCol w:w="23"/>
        <w:gridCol w:w="23"/>
        <w:gridCol w:w="860"/>
      </w:tblGrid>
      <w:tr>
        <w:trPr/>
        <w:tc>
          <w:tcPr>
            <w:tcW w:w="159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706"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Years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159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0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6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2022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$508,665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$211,823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 xml:space="preserve">—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$508,665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$211,823</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the audit and non-audit fees billed to the Company by Weaver and Tidwell, L.L.P (“Weaver”) for 2023 and 2022. As reported in the Company’s Current Report on Form 8-K filed with the SEC on October 26, 2021, and as amended on March 11, 2022, the Audit Committee approved the dismissal of Weaver as the Company’s independent registered public accounting firm, upon completion of its procedures on the financial statements of the Company as of and for the year ended December 31, 2021 and immediately following the Company’s filing of its Annual Report on Form 10-K for the year ended December 31, 2021. The Audit Committee appointed FORVIS, LLP (f/k/a BKD, LLP) as the Company’s independent registered public accounting firm for the fiscal year ended December 31, 2022. </w:t>
      </w:r>
    </w:p>
    <w:tbl>
      <w:tblPr>
        <w:tblW w:w="3220" w:type="dxa"/>
        <w:jc w:val="left"/>
        <w:tblInd w:w="0" w:type="dxa"/>
        <w:tblLayout w:type="fixed"/>
        <w:tblCellMar>
          <w:top w:w="0" w:type="dxa"/>
          <w:left w:w="0" w:type="dxa"/>
          <w:bottom w:w="0" w:type="dxa"/>
          <w:right w:w="0" w:type="dxa"/>
        </w:tblCellMar>
      </w:tblPr>
      <w:tblGrid>
        <w:gridCol w:w="1595"/>
        <w:gridCol w:w="23"/>
        <w:gridCol w:w="23"/>
        <w:gridCol w:w="623"/>
        <w:gridCol w:w="24"/>
        <w:gridCol w:w="24"/>
        <w:gridCol w:w="908"/>
      </w:tblGrid>
      <w:tr>
        <w:trPr/>
        <w:tc>
          <w:tcPr>
            <w:tcW w:w="159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579"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Years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159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623"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24" w:type="dxa"/>
            <w:tcBorders>
              <w:bottom w:val="single" w:sz="2" w:space="0" w:color="FFFFFF"/>
            </w:tcBorders>
            <w:tcMar>
              <w:bottom w:w="85" w:type="dxa"/>
            </w:tcMar>
            <w:vAlign w:val="center"/>
          </w:tcPr>
          <w:p>
            <w:pPr>
              <w:pStyle w:val="TableContents"/>
              <w:bidi w:val="0"/>
              <w:spacing w:before="0" w:after="283"/>
              <w:jc w:val="left"/>
              <w:rPr/>
            </w:pPr>
            <w:r>
              <w:rPr/>
              <w:t>​</w:t>
            </w:r>
          </w:p>
        </w:tc>
        <w:tc>
          <w:tcPr>
            <w:tcW w:w="24" w:type="dxa"/>
            <w:tcBorders>
              <w:bottom w:val="single" w:sz="2" w:space="0" w:color="FFFFFF"/>
            </w:tcBorders>
            <w:tcMar>
              <w:bottom w:w="85" w:type="dxa"/>
            </w:tcMar>
            <w:vAlign w:val="center"/>
          </w:tcPr>
          <w:p>
            <w:pPr>
              <w:pStyle w:val="TableContents"/>
              <w:bidi w:val="0"/>
              <w:spacing w:before="0" w:after="283"/>
              <w:jc w:val="left"/>
              <w:rPr/>
            </w:pPr>
            <w:r>
              <w:rPr/>
              <w:t>​</w:t>
            </w:r>
          </w:p>
        </w:tc>
        <w:tc>
          <w:tcPr>
            <w:tcW w:w="908"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2022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23"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$6,753</w:t>
            </w:r>
          </w:p>
        </w:tc>
        <w:tc>
          <w:tcPr>
            <w:tcW w:w="24" w:type="dxa"/>
            <w:tcBorders/>
            <w:shd w:fill="CCEEFF" w:val="clear"/>
            <w:vAlign w:val="center"/>
          </w:tcPr>
          <w:p>
            <w:pPr>
              <w:pStyle w:val="TableContents"/>
              <w:bidi w:val="0"/>
              <w:spacing w:before="0" w:after="283"/>
              <w:jc w:val="left"/>
              <w:rPr/>
            </w:pPr>
            <w:r>
              <w:rPr/>
              <w:t>​</w:t>
            </w:r>
          </w:p>
        </w:tc>
        <w:tc>
          <w:tcPr>
            <w:tcW w:w="24" w:type="dxa"/>
            <w:tcBorders/>
            <w:shd w:fill="CCEEFF" w:val="clear"/>
            <w:vAlign w:val="center"/>
          </w:tcPr>
          <w:p>
            <w:pPr>
              <w:pStyle w:val="TableContents"/>
              <w:bidi w:val="0"/>
              <w:spacing w:before="0" w:after="283"/>
              <w:jc w:val="left"/>
              <w:rPr/>
            </w:pPr>
            <w:r>
              <w:rPr/>
              <w:t>​</w:t>
            </w:r>
          </w:p>
        </w:tc>
        <w:tc>
          <w:tcPr>
            <w:tcW w:w="908"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$224,971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23" w:type="dxa"/>
            <w:tcBorders/>
            <w:vAlign w:val="center"/>
          </w:tcPr>
          <w:p>
            <w:pPr>
              <w:pStyle w:val="TableContents"/>
              <w:bidi w:val="0"/>
              <w:spacing w:before="0" w:after="283"/>
              <w:ind w:left="5" w:right="0" w:hanging="0"/>
              <w:jc w:val="left"/>
              <w:rPr>
                <w:color w:val="000000"/>
              </w:rPr>
            </w:pPr>
            <w:r>
              <w:rPr>
                <w:color w:val="000000"/>
              </w:rPr>
              <w:t>—</w:t>
            </w:r>
          </w:p>
        </w:tc>
        <w:tc>
          <w:tcPr>
            <w:tcW w:w="24" w:type="dxa"/>
            <w:tcBorders/>
            <w:vAlign w:val="center"/>
          </w:tcPr>
          <w:p>
            <w:pPr>
              <w:pStyle w:val="TableContents"/>
              <w:bidi w:val="0"/>
              <w:spacing w:before="0" w:after="283"/>
              <w:jc w:val="left"/>
              <w:rPr/>
            </w:pPr>
            <w:r>
              <w:rPr/>
              <w:t>​</w:t>
            </w:r>
          </w:p>
        </w:tc>
        <w:tc>
          <w:tcPr>
            <w:tcW w:w="24" w:type="dxa"/>
            <w:tcBorders/>
            <w:vAlign w:val="center"/>
          </w:tcPr>
          <w:p>
            <w:pPr>
              <w:pStyle w:val="TableContents"/>
              <w:bidi w:val="0"/>
              <w:spacing w:before="0" w:after="283"/>
              <w:jc w:val="left"/>
              <w:rPr/>
            </w:pPr>
            <w:r>
              <w:rPr/>
              <w:t>​</w:t>
            </w:r>
          </w:p>
        </w:tc>
        <w:tc>
          <w:tcPr>
            <w:tcW w:w="908" w:type="dxa"/>
            <w:tcBorders/>
            <w:vAlign w:val="center"/>
          </w:tcPr>
          <w:p>
            <w:pPr>
              <w:pStyle w:val="TableContents"/>
              <w:bidi w:val="0"/>
              <w:spacing w:before="0" w:after="283"/>
              <w:ind w:left="5" w:right="0" w:hanging="0"/>
              <w:jc w:val="left"/>
              <w:rPr>
                <w:color w:val="000000"/>
              </w:rPr>
            </w:pPr>
            <w:r>
              <w:rPr>
                <w:color w:val="000000"/>
              </w:rPr>
              <w:t xml:space="preserve">—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23" w:type="dxa"/>
            <w:tcBorders/>
            <w:shd w:fill="CCEEFF" w:val="clear"/>
            <w:vAlign w:val="center"/>
          </w:tcPr>
          <w:p>
            <w:pPr>
              <w:pStyle w:val="TableContents"/>
              <w:bidi w:val="0"/>
              <w:spacing w:before="0" w:after="283"/>
              <w:ind w:left="5" w:right="0" w:hanging="0"/>
              <w:jc w:val="left"/>
              <w:rPr>
                <w:color w:val="000000"/>
              </w:rPr>
            </w:pPr>
            <w:r>
              <w:rPr>
                <w:color w:val="000000"/>
              </w:rPr>
              <w:t>—</w:t>
            </w:r>
          </w:p>
        </w:tc>
        <w:tc>
          <w:tcPr>
            <w:tcW w:w="24" w:type="dxa"/>
            <w:tcBorders/>
            <w:shd w:fill="CCEEFF" w:val="clear"/>
            <w:vAlign w:val="center"/>
          </w:tcPr>
          <w:p>
            <w:pPr>
              <w:pStyle w:val="TableContents"/>
              <w:bidi w:val="0"/>
              <w:spacing w:before="0" w:after="283"/>
              <w:jc w:val="left"/>
              <w:rPr/>
            </w:pPr>
            <w:r>
              <w:rPr/>
              <w:t>​</w:t>
            </w:r>
          </w:p>
        </w:tc>
        <w:tc>
          <w:tcPr>
            <w:tcW w:w="24" w:type="dxa"/>
            <w:tcBorders/>
            <w:shd w:fill="CCEEFF" w:val="clear"/>
            <w:vAlign w:val="center"/>
          </w:tcPr>
          <w:p>
            <w:pPr>
              <w:pStyle w:val="TableContents"/>
              <w:bidi w:val="0"/>
              <w:spacing w:before="0" w:after="283"/>
              <w:jc w:val="left"/>
              <w:rPr/>
            </w:pPr>
            <w:r>
              <w:rPr/>
              <w:t>​</w:t>
            </w:r>
          </w:p>
        </w:tc>
        <w:tc>
          <w:tcPr>
            <w:tcW w:w="908" w:type="dxa"/>
            <w:tcBorders/>
            <w:shd w:fill="CCEEFF" w:val="clear"/>
            <w:vAlign w:val="center"/>
          </w:tcPr>
          <w:p>
            <w:pPr>
              <w:pStyle w:val="TableContents"/>
              <w:bidi w:val="0"/>
              <w:spacing w:before="0" w:after="283"/>
              <w:ind w:left="5" w:right="0" w:hanging="0"/>
              <w:jc w:val="left"/>
              <w:rPr>
                <w:color w:val="000000"/>
              </w:rPr>
            </w:pPr>
            <w:r>
              <w:rPr>
                <w:color w:val="000000"/>
              </w:rPr>
              <w:t xml:space="preserve">— </w:t>
            </w:r>
          </w:p>
        </w:tc>
      </w:tr>
      <w:tr>
        <w:trPr/>
        <w:tc>
          <w:tcPr>
            <w:tcW w:w="15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23" w:type="dxa"/>
            <w:tcBorders/>
            <w:vAlign w:val="center"/>
          </w:tcPr>
          <w:p>
            <w:pPr>
              <w:pStyle w:val="TableContents"/>
              <w:bidi w:val="0"/>
              <w:spacing w:before="0" w:after="283"/>
              <w:ind w:left="5" w:right="0" w:hanging="0"/>
              <w:jc w:val="left"/>
              <w:rPr>
                <w:color w:val="000000"/>
                <w:bdr w:val="single" w:sz="8" w:space="1" w:color="000000"/>
              </w:rPr>
            </w:pPr>
            <w:r>
              <w:rPr>
                <w:color w:val="000000"/>
                <w:bdr w:val="single" w:sz="8" w:space="1" w:color="000000"/>
              </w:rPr>
              <w:t>—</w:t>
            </w:r>
          </w:p>
        </w:tc>
        <w:tc>
          <w:tcPr>
            <w:tcW w:w="24" w:type="dxa"/>
            <w:tcBorders/>
            <w:vAlign w:val="center"/>
          </w:tcPr>
          <w:p>
            <w:pPr>
              <w:pStyle w:val="TableContents"/>
              <w:bidi w:val="0"/>
              <w:spacing w:before="0" w:after="283"/>
              <w:jc w:val="left"/>
              <w:rPr/>
            </w:pPr>
            <w:r>
              <w:rPr/>
              <w:t>​</w:t>
            </w:r>
          </w:p>
        </w:tc>
        <w:tc>
          <w:tcPr>
            <w:tcW w:w="24" w:type="dxa"/>
            <w:tcBorders/>
            <w:vAlign w:val="center"/>
          </w:tcPr>
          <w:p>
            <w:pPr>
              <w:pStyle w:val="TableContents"/>
              <w:bidi w:val="0"/>
              <w:spacing w:before="0" w:after="283"/>
              <w:jc w:val="left"/>
              <w:rPr/>
            </w:pPr>
            <w:r>
              <w:rPr/>
              <w:t>​</w:t>
            </w:r>
          </w:p>
        </w:tc>
        <w:tc>
          <w:tcPr>
            <w:tcW w:w="908" w:type="dxa"/>
            <w:tcBorders/>
            <w:vAlign w:val="center"/>
          </w:tcPr>
          <w:p>
            <w:pPr>
              <w:pStyle w:val="TableContents"/>
              <w:bidi w:val="0"/>
              <w:spacing w:before="0" w:after="283"/>
              <w:ind w:left="5" w:right="0" w:hanging="0"/>
              <w:jc w:val="left"/>
              <w:rPr>
                <w:color w:val="000000"/>
                <w:bdr w:val="single" w:sz="8" w:space="1" w:color="000000"/>
              </w:rPr>
            </w:pPr>
            <w:r>
              <w:rPr>
                <w:color w:val="000000"/>
                <w:bdr w:val="single" w:sz="8" w:space="1" w:color="000000"/>
              </w:rPr>
              <w:t xml:space="preserve">— </w:t>
            </w:r>
          </w:p>
        </w:tc>
      </w:tr>
      <w:tr>
        <w:trPr/>
        <w:tc>
          <w:tcPr>
            <w:tcW w:w="15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23"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$6,753</w:t>
            </w:r>
          </w:p>
        </w:tc>
        <w:tc>
          <w:tcPr>
            <w:tcW w:w="24" w:type="dxa"/>
            <w:tcBorders/>
            <w:shd w:fill="CCEEFF" w:val="clear"/>
            <w:vAlign w:val="center"/>
          </w:tcPr>
          <w:p>
            <w:pPr>
              <w:pStyle w:val="TableContents"/>
              <w:bidi w:val="0"/>
              <w:spacing w:before="0" w:after="283"/>
              <w:jc w:val="left"/>
              <w:rPr/>
            </w:pPr>
            <w:r>
              <w:rPr/>
              <w:t>​</w:t>
            </w:r>
          </w:p>
        </w:tc>
        <w:tc>
          <w:tcPr>
            <w:tcW w:w="24" w:type="dxa"/>
            <w:tcBorders/>
            <w:shd w:fill="CCEEFF" w:val="clear"/>
            <w:vAlign w:val="center"/>
          </w:tcPr>
          <w:p>
            <w:pPr>
              <w:pStyle w:val="TableContents"/>
              <w:bidi w:val="0"/>
              <w:spacing w:before="0" w:after="283"/>
              <w:jc w:val="left"/>
              <w:rPr/>
            </w:pPr>
            <w:r>
              <w:rPr/>
              <w:t>​</w:t>
            </w:r>
          </w:p>
        </w:tc>
        <w:tc>
          <w:tcPr>
            <w:tcW w:w="908"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$224,971</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8" w:name="ny20019245x2_def14a_111-principal_pg6"/>
        <w:bookmarkEnd w:id="58"/>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9" w:name="tDFS"/>
      <w:bookmarkEnd w:id="59"/>
      <w:r>
        <w:rPr>
          <w:rFonts w:ascii="Times New Roman;Times;serif" w:hAnsi="Times New Roman;Times;serif"/>
          <w:b/>
          <w:color w:val="000000"/>
          <w:sz w:val="20"/>
        </w:rPr>
        <w:t xml:space="preserve">DATE FOR SUBMISSION OF SHAREHOLDER PROPOSALS FOR 2025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shareholder desires to submit a shareholder proposal pursuant to Rule 14a-8 under the Exchange Act for inclusion in the proxy statement for the 2025 annual meeting of shareholders, such proposal and supporting statements, if any, must be received by us at the Company’s principal executive office no later than December 6, 2024 unless the date of the Company’s 2025 annual meeting of shareholders is changed by more than 30 days from May 13, 2025 (the one-year anniversary date of the 2024 annual meeting), in which case the proposal must be received a reasonable time before the Company begins to print and mail its proxy materials. Any such proposal must comply with the requirements of Rule 14a-8 under the Exchange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our bylaws provide that only such business which is properly brought before a shareholder meeting will be conducted. For business to be properly brought before a meeting, including nominations of persons for election to the board, notice must be received by the Secretary of the Company at the address below not less than ninety (90) days nor more than one hundred twenty (120) days prior to the meeting; provided, however, that in the event less than thirty (30) days’ notice or prior disclosure of the date of the meeting is given or made to shareholders, notice by the shareholder(s) to be timely must be so received not later than the close of business on the tenth (10th) day following the day on which such notice of the date of the meeting was mailed or such disclosure was made.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notices to us must also provide certain information set forth in the Company’s bylaws. A copy of the Company’s bylaws may be obtained upon written request to the Secretary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shareholder proposals and nominations should be submitted to the Secretary of the Company at South Plains Financial, Inc., 5219 City Bank Parkway, Lubbock, Texas 79407, Attention: Corporate Secretary.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0" w:name="ny20019245x2_def14a_111-principal_pg7"/>
        <w:bookmarkEnd w:id="60"/>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1" w:name="tOM"/>
      <w:bookmarkEnd w:id="61"/>
      <w:r>
        <w:rPr>
          <w:rFonts w:ascii="Times New Roman;Times;serif" w:hAnsi="Times New Roman;Times;serif"/>
          <w:b/>
          <w:color w:val="000000"/>
          <w:sz w:val="20"/>
        </w:rPr>
        <w:t xml:space="preserve">OTHER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does not intend to bring any other matter before the annual meeting and does not know of any other matters that are to be presented for action at the annual meeting. However, if any other matter does properly come before the annual meeting or any adjournment(s) or postponement(s) thereof, the proxies will be voted in accordance with the discretion of the person or persons voting the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the annual meeting. Regardless of whether you plan to attend the annual meeting, you are urged to complete, date, sign and return the enclosed proxy in the accompanying envelope at your earliest convenience. </w:t>
      </w:r>
    </w:p>
    <w:tbl>
      <w:tblPr>
        <w:tblW w:w="3291" w:type="dxa"/>
        <w:jc w:val="left"/>
        <w:tblInd w:w="0" w:type="dxa"/>
        <w:tblLayout w:type="fixed"/>
        <w:tblCellMar>
          <w:top w:w="0" w:type="dxa"/>
          <w:left w:w="0" w:type="dxa"/>
          <w:bottom w:w="0" w:type="dxa"/>
          <w:right w:w="0" w:type="dxa"/>
        </w:tblCellMar>
      </w:tblPr>
      <w:tblGrid>
        <w:gridCol w:w="75"/>
        <w:gridCol w:w="23"/>
        <w:gridCol w:w="23"/>
        <w:gridCol w:w="3170"/>
      </w:tblGrid>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Curtis C. Griffith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Curtis C. Griffith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Chairman and Chief Executive Officer</w:t>
            </w:r>
          </w:p>
        </w:tc>
      </w:tr>
    </w:tbl>
    <w:p>
      <w:pPr>
        <w:pStyle w:val="TextBody"/>
        <w:bidi w:val="0"/>
        <w:spacing w:before="13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Lubbock, Texas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8,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2" w:name="ny20019245x2_def14a_400-proxycards_pg1"/>
        <w:bookmarkEnd w:id="62"/>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3" w:name="ny20019245x2_def14a_400-proxycards_pg2"/>
        <w:bookmarkEnd w:id="63"/>
        <w:r>
          <w:rPr>
            <w:rStyle w:val="InternetLink"/>
            <w:rFonts w:ascii="Times New Roman;Times;Serif" w:hAnsi="Times New Roman;Times;Serif"/>
            <w:b/>
            <w:caps w:val="false"/>
            <w:smallCaps w:val="false"/>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24418</Words>
  <Characters>129565</Characters>
  <CharactersWithSpaces>154814</CharactersWithSpaces>
  <Paragraphs>2967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