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 One)</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b/>
                <w:color w:val="000000"/>
              </w:rPr>
            </w:pPr>
            <w:r>
              <w:rPr>
                <w:b/>
                <w:color w:val="000000"/>
              </w:rPr>
              <w:t>ANNUAL REPORT PURSUANT TO SECTION 13 OR 15(d) OF THE SECURITIES EXCHANGE ACT OF 1934</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December 31,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both"/>
              <w:rPr>
                <w:b/>
                <w:color w:val="000000"/>
              </w:rPr>
            </w:pPr>
            <w:r>
              <w:rPr>
                <w:b/>
                <w:color w:val="000000"/>
              </w:rPr>
              <w:t>TRANSITION REPORT PURSUANT TO SECTION 13 OR 15(d) OF THE SECURITIES EXCHANGE ACT OF 1934</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______________ to_______________</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001-38895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tbl>
      <w:tblPr>
        <w:tblW w:w="9820" w:type="dxa"/>
        <w:jc w:val="left"/>
        <w:tblInd w:w="0" w:type="dxa"/>
        <w:tblLayout w:type="fixed"/>
        <w:tblCellMar>
          <w:top w:w="0" w:type="dxa"/>
          <w:left w:w="0" w:type="dxa"/>
          <w:bottom w:w="0" w:type="dxa"/>
          <w:right w:w="0" w:type="dxa"/>
        </w:tblCellMar>
      </w:tblPr>
      <w:tblGrid>
        <w:gridCol w:w="6110"/>
        <w:gridCol w:w="60"/>
        <w:gridCol w:w="3650"/>
      </w:tblGrid>
      <w:tr>
        <w:trPr/>
        <w:tc>
          <w:tcPr>
            <w:tcW w:w="6110" w:type="dxa"/>
            <w:tcBorders/>
            <w:vAlign w:val="center"/>
          </w:tcPr>
          <w:p>
            <w:pPr>
              <w:pStyle w:val="TableContents"/>
              <w:bidi w:val="0"/>
              <w:spacing w:before="0" w:after="0"/>
              <w:jc w:val="center"/>
              <w:rPr>
                <w:b/>
                <w:color w:val="000000"/>
              </w:rPr>
            </w:pPr>
            <w:r>
              <w:rPr>
                <w:b/>
                <w:color w:val="000000"/>
              </w:rPr>
              <w:t>Texas</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b/>
                <w:color w:val="000000"/>
              </w:rPr>
            </w:pPr>
            <w:r>
              <w:rPr>
                <w:b/>
                <w:color w:val="000000"/>
              </w:rPr>
              <w:t>75-2453320</w:t>
            </w:r>
          </w:p>
        </w:tc>
      </w:tr>
      <w:tr>
        <w:trPr/>
        <w:tc>
          <w:tcPr>
            <w:tcW w:w="6110" w:type="dxa"/>
            <w:tcBorders/>
            <w:vAlign w:val="center"/>
          </w:tcPr>
          <w:p>
            <w:pPr>
              <w:pStyle w:val="TableContents"/>
              <w:bidi w:val="0"/>
              <w:spacing w:before="0" w:after="0"/>
              <w:jc w:val="center"/>
              <w:rPr>
                <w:b/>
                <w:color w:val="000000"/>
              </w:rPr>
            </w:pPr>
            <w:r>
              <w:rPr>
                <w:b/>
                <w:color w:val="00000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b/>
                <w:color w:val="000000"/>
              </w:rPr>
            </w:pPr>
            <w:r>
              <w:rPr>
                <w:b/>
                <w:color w:val="000000"/>
              </w:rPr>
              <w:t>(I.R.S. Employer Identification No.)</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0"/>
              <w:jc w:val="center"/>
              <w:rPr>
                <w:b/>
                <w:color w:val="000000"/>
              </w:rPr>
            </w:pPr>
            <w:r>
              <w:rPr>
                <w:b/>
                <w:color w:val="000000"/>
              </w:rPr>
              <w:t>5219 City Bank Parkway</w:t>
            </w:r>
          </w:p>
          <w:p>
            <w:pPr>
              <w:pStyle w:val="TableContents"/>
              <w:bidi w:val="0"/>
              <w:spacing w:before="0" w:after="0"/>
              <w:jc w:val="center"/>
              <w:rPr>
                <w:b/>
                <w:color w:val="000000"/>
              </w:rPr>
            </w:pPr>
            <w:r>
              <w:rPr>
                <w:b/>
                <w:color w:val="000000"/>
              </w:rPr>
              <w:t>Lubbock, Texas</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b/>
                <w:color w:val="000000"/>
              </w:rPr>
            </w:pPr>
            <w:r>
              <w:rPr>
                <w:b/>
                <w:color w:val="000000"/>
              </w:rPr>
              <w:t>79407</w:t>
            </w:r>
          </w:p>
        </w:tc>
      </w:tr>
      <w:tr>
        <w:trPr/>
        <w:tc>
          <w:tcPr>
            <w:tcW w:w="6110" w:type="dxa"/>
            <w:tcBorders/>
            <w:vAlign w:val="center"/>
          </w:tcPr>
          <w:p>
            <w:pPr>
              <w:pStyle w:val="TableContents"/>
              <w:bidi w:val="0"/>
              <w:spacing w:before="0" w:after="0"/>
              <w:jc w:val="center"/>
              <w:rPr>
                <w:b/>
                <w:color w:val="000000"/>
              </w:rPr>
            </w:pPr>
            <w:r>
              <w:rPr>
                <w:b/>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center"/>
              <w:rPr>
                <w:b/>
                <w:color w:val="000000"/>
              </w:rPr>
            </w:pPr>
            <w:r>
              <w:rPr>
                <w:b/>
                <w:color w:val="00000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(806) 792-7101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10155" w:type="dxa"/>
        <w:jc w:val="left"/>
        <w:tblInd w:w="0" w:type="dxa"/>
        <w:tblLayout w:type="fixed"/>
        <w:tblCellMar>
          <w:top w:w="0" w:type="dxa"/>
          <w:left w:w="0" w:type="dxa"/>
          <w:bottom w:w="28" w:type="dxa"/>
          <w:right w:w="0" w:type="dxa"/>
        </w:tblCellMar>
      </w:tblPr>
      <w:tblGrid>
        <w:gridCol w:w="4010"/>
        <w:gridCol w:w="60"/>
        <w:gridCol w:w="1805"/>
        <w:gridCol w:w="60"/>
        <w:gridCol w:w="4220"/>
      </w:tblGrid>
      <w:tr>
        <w:trPr/>
        <w:tc>
          <w:tcPr>
            <w:tcW w:w="4010" w:type="dxa"/>
            <w:tcBorders>
              <w:bottom w:val="single" w:sz="12" w:space="0" w:color="000000"/>
            </w:tcBorders>
            <w:vAlign w:val="center"/>
          </w:tcPr>
          <w:p>
            <w:pPr>
              <w:pStyle w:val="TableContents"/>
              <w:bidi w:val="0"/>
              <w:spacing w:before="0" w:after="0"/>
              <w:jc w:val="center"/>
              <w:rPr>
                <w:color w:val="000000"/>
              </w:rPr>
            </w:pPr>
            <w:r>
              <w:rPr>
                <w:color w:val="00000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12" w:space="0" w:color="000000"/>
            </w:tcBorders>
            <w:vAlign w:val="center"/>
          </w:tcPr>
          <w:p>
            <w:pPr>
              <w:pStyle w:val="TableContents"/>
              <w:bidi w:val="0"/>
              <w:spacing w:before="0" w:after="0"/>
              <w:jc w:val="center"/>
              <w:rPr>
                <w:color w:val="000000"/>
              </w:rPr>
            </w:pPr>
            <w:r>
              <w:rPr>
                <w:color w:val="000000"/>
              </w:rPr>
              <w:t>Trading Symbol(s)</w:t>
            </w:r>
          </w:p>
        </w:tc>
        <w:tc>
          <w:tcPr>
            <w:tcW w:w="60" w:type="dxa"/>
            <w:tcBorders/>
            <w:tcMar>
              <w:bottom w:w="0" w:type="dxa"/>
            </w:tcMar>
            <w:vAlign w:val="center"/>
          </w:tcPr>
          <w:p>
            <w:pPr>
              <w:pStyle w:val="TableContents"/>
              <w:bidi w:val="0"/>
              <w:spacing w:before="0" w:after="283"/>
              <w:jc w:val="left"/>
              <w:rPr/>
            </w:pPr>
            <w:r>
              <w:rPr/>
              <w:t> </w:t>
            </w:r>
          </w:p>
        </w:tc>
        <w:tc>
          <w:tcPr>
            <w:tcW w:w="4220" w:type="dxa"/>
            <w:tcBorders>
              <w:bottom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010" w:type="dxa"/>
            <w:tcBorders>
              <w:top w:val="single" w:sz="12" w:space="0" w:color="000000"/>
            </w:tcBorders>
            <w:tcMar>
              <w:top w:w="28" w:type="dxa"/>
              <w:bottom w:w="0" w:type="dxa"/>
            </w:tcMar>
            <w:vAlign w:val="center"/>
          </w:tcPr>
          <w:p>
            <w:pPr>
              <w:pStyle w:val="TableContents"/>
              <w:bidi w:val="0"/>
              <w:spacing w:before="0" w:after="0"/>
              <w:jc w:val="center"/>
              <w:rPr>
                <w:color w:val="000000"/>
              </w:rPr>
            </w:pPr>
            <w:r>
              <w:rPr>
                <w:color w:val="000000"/>
              </w:rPr>
              <w:t>Common Stock, par value $1.00 per share</w:t>
            </w:r>
          </w:p>
        </w:tc>
        <w:tc>
          <w:tcPr>
            <w:tcW w:w="60" w:type="dxa"/>
            <w:tcBorders/>
            <w:tcMar>
              <w:bottom w:w="0" w:type="dxa"/>
            </w:tcMar>
            <w:vAlign w:val="center"/>
          </w:tcPr>
          <w:p>
            <w:pPr>
              <w:pStyle w:val="TableContents"/>
              <w:bidi w:val="0"/>
              <w:spacing w:before="0" w:after="283"/>
              <w:jc w:val="left"/>
              <w:rPr/>
            </w:pPr>
            <w:r>
              <w:rPr/>
              <w:t> </w:t>
            </w:r>
          </w:p>
        </w:tc>
        <w:tc>
          <w:tcPr>
            <w:tcW w:w="1805" w:type="dxa"/>
            <w:tcBorders>
              <w:top w:val="single" w:sz="12" w:space="0" w:color="000000"/>
            </w:tcBorders>
            <w:tcMar>
              <w:top w:w="28" w:type="dxa"/>
              <w:bottom w:w="0" w:type="dxa"/>
            </w:tcMar>
            <w:vAlign w:val="center"/>
          </w:tcPr>
          <w:p>
            <w:pPr>
              <w:pStyle w:val="TableContents"/>
              <w:bidi w:val="0"/>
              <w:spacing w:before="0" w:after="0"/>
              <w:jc w:val="center"/>
              <w:rPr>
                <w:color w:val="000000"/>
              </w:rPr>
            </w:pPr>
            <w:r>
              <w:rPr>
                <w:color w:val="000000"/>
              </w:rPr>
              <w:t>SPFI</w:t>
            </w:r>
          </w:p>
        </w:tc>
        <w:tc>
          <w:tcPr>
            <w:tcW w:w="60" w:type="dxa"/>
            <w:tcBorders/>
            <w:tcMar>
              <w:bottom w:w="0" w:type="dxa"/>
            </w:tcMar>
            <w:vAlign w:val="center"/>
          </w:tcPr>
          <w:p>
            <w:pPr>
              <w:pStyle w:val="TableContents"/>
              <w:bidi w:val="0"/>
              <w:spacing w:before="0" w:after="283"/>
              <w:jc w:val="left"/>
              <w:rPr/>
            </w:pPr>
            <w:r>
              <w:rPr/>
              <w:t> </w:t>
            </w:r>
          </w:p>
        </w:tc>
        <w:tc>
          <w:tcPr>
            <w:tcW w:w="4220" w:type="dxa"/>
            <w:tcBorders>
              <w:top w:val="single" w:sz="12" w:space="0" w:color="000000"/>
            </w:tcBorders>
            <w:tcMar>
              <w:top w:w="28" w:type="dxa"/>
              <w:bottom w:w="0" w:type="dxa"/>
            </w:tcMar>
            <w:vAlign w:val="center"/>
          </w:tcPr>
          <w:p>
            <w:pPr>
              <w:pStyle w:val="TableContents"/>
              <w:bidi w:val="0"/>
              <w:spacing w:before="0" w:after="0"/>
              <w:jc w:val="center"/>
              <w:rPr>
                <w:color w:val="000000"/>
              </w:rPr>
            </w:pPr>
            <w:r>
              <w:rPr>
                <w:color w:val="000000"/>
              </w:rPr>
              <w:t>The Nasdaq Stock Market, LLC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 None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15(d) of the Act.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rFonts w:ascii="Times New Roman" w:hAnsi="Times New Roman"/>
          <w:sz w:val="20"/>
        </w:rPr>
      </w:pPr>
      <w:r>
        <w:rPr>
          <w:rFonts w:ascii="Times New Roman" w:hAnsi="Times New Roman"/>
          <w:sz w:val="20"/>
        </w:rPr>
      </w:r>
    </w:p>
    <w:tbl>
      <w:tblPr>
        <w:tblW w:w="5515" w:type="dxa"/>
        <w:jc w:val="left"/>
        <w:tblInd w:w="0" w:type="dxa"/>
        <w:tblLayout w:type="fixed"/>
        <w:tblCellMar>
          <w:top w:w="0" w:type="dxa"/>
          <w:left w:w="0" w:type="dxa"/>
          <w:bottom w:w="0" w:type="dxa"/>
          <w:right w:w="0" w:type="dxa"/>
        </w:tblCellMar>
      </w:tblPr>
      <w:tblGrid>
        <w:gridCol w:w="2510"/>
        <w:gridCol w:w="3005"/>
      </w:tblGrid>
      <w:tr>
        <w:trPr/>
        <w:tc>
          <w:tcPr>
            <w:tcW w:w="2510" w:type="dxa"/>
            <w:tcBorders/>
            <w:vAlign w:val="center"/>
          </w:tcPr>
          <w:p>
            <w:pPr>
              <w:pStyle w:val="TableContents"/>
              <w:bidi w:val="0"/>
              <w:spacing w:before="0" w:after="0"/>
              <w:jc w:val="left"/>
              <w:rPr>
                <w:color w:val="000000"/>
              </w:rPr>
            </w:pPr>
            <w:r>
              <w:rPr>
                <w:color w:val="000000"/>
              </w:rPr>
              <w:t>Large accelerated filer   ☐</w:t>
            </w:r>
          </w:p>
        </w:tc>
        <w:tc>
          <w:tcPr>
            <w:tcW w:w="3005" w:type="dxa"/>
            <w:tcBorders/>
            <w:vAlign w:val="center"/>
          </w:tcPr>
          <w:p>
            <w:pPr>
              <w:pStyle w:val="TableContents"/>
              <w:bidi w:val="0"/>
              <w:spacing w:before="0" w:after="0"/>
              <w:jc w:val="left"/>
              <w:rPr>
                <w:color w:val="000000"/>
              </w:rPr>
            </w:pPr>
            <w:r>
              <w:rPr>
                <w:color w:val="000000"/>
              </w:rPr>
              <w:t>Accelerated filer   ☒</w:t>
            </w:r>
          </w:p>
        </w:tc>
      </w:tr>
      <w:tr>
        <w:trPr/>
        <w:tc>
          <w:tcPr>
            <w:tcW w:w="2510" w:type="dxa"/>
            <w:tcBorders/>
            <w:vAlign w:val="center"/>
          </w:tcPr>
          <w:p>
            <w:pPr>
              <w:pStyle w:val="TableContents"/>
              <w:bidi w:val="0"/>
              <w:spacing w:before="0" w:after="0"/>
              <w:jc w:val="left"/>
              <w:rPr>
                <w:color w:val="000000"/>
              </w:rPr>
            </w:pPr>
            <w:r>
              <w:rPr>
                <w:color w:val="000000"/>
              </w:rPr>
              <w:t>Non-accelerated filer   ☐</w:t>
            </w:r>
          </w:p>
        </w:tc>
        <w:tc>
          <w:tcPr>
            <w:tcW w:w="3005" w:type="dxa"/>
            <w:tcBorders/>
            <w:vAlign w:val="center"/>
          </w:tcPr>
          <w:p>
            <w:pPr>
              <w:pStyle w:val="TableContents"/>
              <w:bidi w:val="0"/>
              <w:spacing w:before="0" w:after="0"/>
              <w:jc w:val="left"/>
              <w:rPr>
                <w:color w:val="000000"/>
              </w:rPr>
            </w:pPr>
            <w:r>
              <w:rPr>
                <w:color w:val="000000"/>
              </w:rPr>
              <w:t>Smaller reporting company   ☐</w:t>
            </w:r>
          </w:p>
        </w:tc>
      </w:tr>
      <w:tr>
        <w:trPr/>
        <w:tc>
          <w:tcPr>
            <w:tcW w:w="251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color w:val="000000"/>
              </w:rPr>
            </w:pPr>
            <w:r>
              <w:rPr>
                <w:color w:val="000000"/>
              </w:rPr>
              <w:t>Emerging growth company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ﬁled a report on and attestation to its management’s assessment of the eﬀectiveness of its internal control over ﬁnancial reporting under Section 404(b) of the Sarbanes-Oxley Act (15 U.S.C. 7262(b)) by the registered public accounting ﬁrm that prepared or issued its audit report.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If the securities are registered pursuant to Section 12(b) of the Act, indicate by check mark whether the financial statements of the registrant included in the filing reflect the correction of an error to previously issued financial statements.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Indicate by check mark whether any of those error corrections are restatements that required a recovery analysis of incentive-based compensation received by any of the registrant’s executive officers during the relevant recover period pursuant to §240.10D-1(b).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aggregate market value of the voting and non-voting common equity held by non-affiliates of the registrant, based on the closing price of the shares of common stock on The NASDAQ Stock Market, LLC on June 30, 2023, was $276.3 million.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number of shares of registrant’s common stock outstanding as of March 13, 2024 was 16,432,851.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DOCUMENTS INCORPORATED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Portions of the registrant’s Definitive Proxy Statement relating to the Annual Meeting of Shareholders, scheduled to be held on May 13, 2024, are incorporated by reference into Part III of this Annual Report on Form 10-K.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0" w:name="TABLEOFCONTENTS"/>
      <w:bookmarkEnd w:id="0"/>
      <w:r>
        <w:rPr>
          <w:rFonts w:ascii="Times New Roman" w:hAnsi="Times New Roman"/>
          <w:b/>
          <w:color w:val="000000"/>
          <w:sz w:val="20"/>
          <w:shd w:fill="FFFFFF" w:val="clear"/>
        </w:rPr>
        <w:t>TABLE OF CONTENTS</w:t>
      </w:r>
    </w:p>
    <w:p>
      <w:pPr>
        <w:pStyle w:val="TextBody"/>
        <w:bidi w:val="0"/>
        <w:spacing w:before="0" w:after="0"/>
        <w:jc w:val="center"/>
        <w:rPr>
          <w:b/>
          <w:color w:val="000000"/>
        </w:rPr>
      </w:pPr>
      <w:r>
        <w:rPr>
          <w:b/>
          <w:color w:val="000000"/>
        </w:rPr>
      </w:r>
    </w:p>
    <w:tbl>
      <w:tblPr>
        <w:tblW w:w="10205" w:type="dxa"/>
        <w:jc w:val="center"/>
        <w:tblInd w:w="0" w:type="dxa"/>
        <w:tblLayout w:type="fixed"/>
        <w:tblCellMar>
          <w:top w:w="0" w:type="dxa"/>
          <w:left w:w="0" w:type="dxa"/>
          <w:bottom w:w="0" w:type="dxa"/>
          <w:right w:w="0" w:type="dxa"/>
        </w:tblCellMar>
      </w:tblPr>
      <w:tblGrid>
        <w:gridCol w:w="691"/>
        <w:gridCol w:w="8602"/>
        <w:gridCol w:w="912"/>
      </w:tblGrid>
      <w:tr>
        <w:trPr/>
        <w:tc>
          <w:tcPr>
            <w:tcW w:w="9293" w:type="dxa"/>
            <w:gridSpan w:val="2"/>
            <w:tcBorders/>
            <w:vAlign w:val="center"/>
          </w:tcPr>
          <w:p>
            <w:pPr>
              <w:pStyle w:val="TableContents"/>
              <w:bidi w:val="0"/>
              <w:spacing w:before="0" w:after="283"/>
              <w:jc w:val="left"/>
              <w:rPr/>
            </w:pPr>
            <w:r>
              <w:rPr/>
            </w:r>
          </w:p>
        </w:tc>
        <w:tc>
          <w:tcPr>
            <w:tcW w:w="912"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Page No.</w:t>
            </w:r>
          </w:p>
        </w:tc>
      </w:tr>
      <w:tr>
        <w:trPr/>
        <w:tc>
          <w:tcPr>
            <w:tcW w:w="9293" w:type="dxa"/>
            <w:gridSpan w:val="2"/>
            <w:tcBorders/>
            <w:vAlign w:val="center"/>
          </w:tcPr>
          <w:p>
            <w:pPr>
              <w:pStyle w:val="TableContents"/>
              <w:bidi w:val="0"/>
              <w:spacing w:before="0" w:after="0"/>
              <w:jc w:val="left"/>
              <w:rPr>
                <w:b/>
                <w:color w:val="000000"/>
              </w:rPr>
            </w:pPr>
            <w:r>
              <w:rPr>
                <w:b/>
                <w:color w:val="000000"/>
              </w:rPr>
              <w:t>PART I</w:t>
            </w:r>
          </w:p>
        </w:tc>
        <w:tc>
          <w:tcPr>
            <w:tcW w:w="912" w:type="dxa"/>
            <w:tcBorders/>
            <w:vAlign w:val="center"/>
          </w:tcPr>
          <w:p>
            <w:pPr>
              <w:pStyle w:val="TableContents"/>
              <w:bidi w:val="0"/>
              <w:spacing w:before="0" w:after="283"/>
              <w:jc w:val="left"/>
              <w:rPr/>
            </w:pPr>
            <w:r>
              <w:rPr/>
              <w:t> </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w:t>
            </w:r>
          </w:p>
        </w:tc>
        <w:tc>
          <w:tcPr>
            <w:tcW w:w="8602" w:type="dxa"/>
            <w:tcBorders/>
            <w:shd w:fill="CCEEFF" w:val="clear"/>
            <w:vAlign w:val="center"/>
          </w:tcPr>
          <w:p>
            <w:pPr>
              <w:pStyle w:val="TableContents"/>
              <w:bidi w:val="0"/>
              <w:spacing w:before="0" w:after="0"/>
              <w:jc w:val="left"/>
              <w:rPr/>
            </w:pPr>
            <w:hyperlink w:anchor="Item1.Business">
              <w:r>
                <w:rPr>
                  <w:rStyle w:val="InternetLink"/>
                  <w:i w:val="false"/>
                  <w:caps w:val="false"/>
                  <w:smallCaps w:val="false"/>
                  <w:color w:val="000000"/>
                  <w:sz w:val="20"/>
                </w:rPr>
                <w:t>Business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5</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1A.</w:t>
            </w:r>
          </w:p>
        </w:tc>
        <w:tc>
          <w:tcPr>
            <w:tcW w:w="8602" w:type="dxa"/>
            <w:tcBorders/>
            <w:vAlign w:val="center"/>
          </w:tcPr>
          <w:p>
            <w:pPr>
              <w:pStyle w:val="TableContents"/>
              <w:bidi w:val="0"/>
              <w:spacing w:before="0" w:after="0"/>
              <w:jc w:val="left"/>
              <w:rPr/>
            </w:pPr>
            <w:hyperlink w:anchor="Item1A.RiskFactors">
              <w:r>
                <w:rPr>
                  <w:rStyle w:val="InternetLink"/>
                  <w:i w:val="false"/>
                  <w:caps w:val="false"/>
                  <w:smallCaps w:val="false"/>
                  <w:color w:val="000000"/>
                  <w:sz w:val="20"/>
                </w:rPr>
                <w:t>Risk Factors</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23</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1B.</w:t>
            </w:r>
          </w:p>
        </w:tc>
        <w:tc>
          <w:tcPr>
            <w:tcW w:w="8602" w:type="dxa"/>
            <w:tcBorders/>
            <w:shd w:fill="CCEEFF" w:val="clear"/>
            <w:vAlign w:val="center"/>
          </w:tcPr>
          <w:p>
            <w:pPr>
              <w:pStyle w:val="TableContents"/>
              <w:bidi w:val="0"/>
              <w:spacing w:before="0" w:after="0"/>
              <w:jc w:val="left"/>
              <w:rPr/>
            </w:pPr>
            <w:hyperlink w:anchor="Item1B.UnresolvedStaffCom">
              <w:r>
                <w:rPr>
                  <w:rStyle w:val="InternetLink"/>
                  <w:i w:val="false"/>
                  <w:caps w:val="false"/>
                  <w:smallCaps w:val="false"/>
                  <w:color w:val="000000"/>
                  <w:sz w:val="20"/>
                </w:rPr>
                <w:t>Unresolved Staff Comments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37</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1C.</w:t>
            </w:r>
          </w:p>
        </w:tc>
        <w:tc>
          <w:tcPr>
            <w:tcW w:w="8602" w:type="dxa"/>
            <w:tcBorders/>
            <w:vAlign w:val="center"/>
          </w:tcPr>
          <w:p>
            <w:pPr>
              <w:pStyle w:val="TableContents"/>
              <w:bidi w:val="0"/>
              <w:spacing w:before="0" w:after="0"/>
              <w:jc w:val="left"/>
              <w:rPr/>
            </w:pPr>
            <w:hyperlink w:anchor="Item1C.Cybersecurity">
              <w:r>
                <w:rPr>
                  <w:rStyle w:val="InternetLink"/>
                  <w:i w:val="false"/>
                  <w:caps w:val="false"/>
                  <w:smallCaps w:val="false"/>
                  <w:color w:val="000000"/>
                  <w:sz w:val="20"/>
                </w:rPr>
                <w:t>Cybersecurity</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37</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2.</w:t>
            </w:r>
          </w:p>
        </w:tc>
        <w:tc>
          <w:tcPr>
            <w:tcW w:w="8602" w:type="dxa"/>
            <w:tcBorders/>
            <w:shd w:fill="CCEEFF" w:val="clear"/>
            <w:vAlign w:val="center"/>
          </w:tcPr>
          <w:p>
            <w:pPr>
              <w:pStyle w:val="TableContents"/>
              <w:bidi w:val="0"/>
              <w:spacing w:before="0" w:after="0"/>
              <w:jc w:val="left"/>
              <w:rPr/>
            </w:pPr>
            <w:hyperlink w:anchor="Item2.Properties">
              <w:r>
                <w:rPr>
                  <w:rStyle w:val="InternetLink"/>
                  <w:i w:val="false"/>
                  <w:caps w:val="false"/>
                  <w:smallCaps w:val="false"/>
                  <w:color w:val="000000"/>
                  <w:sz w:val="20"/>
                </w:rPr>
                <w:t>Properties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38</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3.</w:t>
            </w:r>
          </w:p>
        </w:tc>
        <w:tc>
          <w:tcPr>
            <w:tcW w:w="8602" w:type="dxa"/>
            <w:tcBorders/>
            <w:vAlign w:val="center"/>
          </w:tcPr>
          <w:p>
            <w:pPr>
              <w:pStyle w:val="TableContents"/>
              <w:bidi w:val="0"/>
              <w:spacing w:before="0" w:after="0"/>
              <w:jc w:val="left"/>
              <w:rPr/>
            </w:pPr>
            <w:hyperlink w:anchor="Item3.LegalProceedings">
              <w:r>
                <w:rPr>
                  <w:rStyle w:val="InternetLink"/>
                  <w:i w:val="false"/>
                  <w:caps w:val="false"/>
                  <w:smallCaps w:val="false"/>
                  <w:color w:val="000000"/>
                  <w:sz w:val="20"/>
                </w:rPr>
                <w:t>Legal Proceedings</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39</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4.</w:t>
            </w:r>
          </w:p>
        </w:tc>
        <w:tc>
          <w:tcPr>
            <w:tcW w:w="8602" w:type="dxa"/>
            <w:tcBorders/>
            <w:shd w:fill="CCEEFF" w:val="clear"/>
            <w:vAlign w:val="center"/>
          </w:tcPr>
          <w:p>
            <w:pPr>
              <w:pStyle w:val="TableContents"/>
              <w:bidi w:val="0"/>
              <w:spacing w:before="0" w:after="0"/>
              <w:jc w:val="left"/>
              <w:rPr/>
            </w:pPr>
            <w:hyperlink w:anchor="Item4.MineSafetyDisclosur">
              <w:r>
                <w:rPr>
                  <w:rStyle w:val="InternetLink"/>
                  <w:i w:val="false"/>
                  <w:caps w:val="false"/>
                  <w:smallCaps w:val="false"/>
                  <w:color w:val="000000"/>
                  <w:sz w:val="20"/>
                </w:rPr>
                <w:t>Mine Safety Disclosures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39</w:t>
            </w:r>
          </w:p>
        </w:tc>
      </w:tr>
      <w:tr>
        <w:trPr/>
        <w:tc>
          <w:tcPr>
            <w:tcW w:w="9293" w:type="dxa"/>
            <w:gridSpan w:val="2"/>
            <w:tcBorders/>
            <w:vAlign w:val="center"/>
          </w:tcPr>
          <w:p>
            <w:pPr>
              <w:pStyle w:val="TableContents"/>
              <w:bidi w:val="0"/>
              <w:spacing w:before="0" w:after="0"/>
              <w:jc w:val="left"/>
              <w:rPr>
                <w:b/>
                <w:i w:val="false"/>
                <w:caps w:val="false"/>
                <w:smallCaps w:val="false"/>
                <w:color w:val="000000"/>
                <w:sz w:val="20"/>
              </w:rPr>
            </w:pPr>
            <w:r>
              <w:rPr>
                <w:b/>
                <w:i w:val="false"/>
                <w:caps w:val="false"/>
                <w:smallCaps w:val="false"/>
                <w:color w:val="000000"/>
                <w:sz w:val="20"/>
              </w:rPr>
              <w:t>PART II</w:t>
            </w:r>
          </w:p>
        </w:tc>
        <w:tc>
          <w:tcPr>
            <w:tcW w:w="9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5.</w:t>
            </w:r>
          </w:p>
        </w:tc>
        <w:tc>
          <w:tcPr>
            <w:tcW w:w="8602" w:type="dxa"/>
            <w:tcBorders/>
            <w:shd w:fill="CCEEFF" w:val="clear"/>
            <w:vAlign w:val="center"/>
          </w:tcPr>
          <w:p>
            <w:pPr>
              <w:pStyle w:val="TableContents"/>
              <w:bidi w:val="0"/>
              <w:spacing w:before="0" w:after="0"/>
              <w:jc w:val="left"/>
              <w:rPr/>
            </w:pPr>
            <w:hyperlink w:anchor="Item5.MarketforRegistrant">
              <w:r>
                <w:rPr>
                  <w:rStyle w:val="InternetLink"/>
                  <w:i w:val="false"/>
                  <w:caps w:val="false"/>
                  <w:smallCaps w:val="false"/>
                  <w:color w:val="000000"/>
                  <w:sz w:val="20"/>
                </w:rPr>
                <w:t>Market for Registrant’s Common Equity, Related Stockholder Matters and Issuer Purchases of Equity Securities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39</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6.</w:t>
            </w:r>
          </w:p>
        </w:tc>
        <w:tc>
          <w:tcPr>
            <w:tcW w:w="8602" w:type="dxa"/>
            <w:tcBorders/>
            <w:vAlign w:val="center"/>
          </w:tcPr>
          <w:p>
            <w:pPr>
              <w:pStyle w:val="TableContents"/>
              <w:bidi w:val="0"/>
              <w:spacing w:before="0" w:after="0"/>
              <w:jc w:val="left"/>
              <w:rPr/>
            </w:pPr>
            <w:hyperlink w:anchor="Item6.Reserved">
              <w:r>
                <w:rPr>
                  <w:rStyle w:val="InternetLink"/>
                  <w:i w:val="false"/>
                  <w:caps w:val="false"/>
                  <w:smallCaps w:val="false"/>
                  <w:color w:val="000000"/>
                  <w:sz w:val="20"/>
                </w:rPr>
                <w:t>[Reserved]</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41</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7.</w:t>
            </w:r>
          </w:p>
        </w:tc>
        <w:tc>
          <w:tcPr>
            <w:tcW w:w="8602" w:type="dxa"/>
            <w:tcBorders/>
            <w:shd w:fill="CCEEFF" w:val="clear"/>
            <w:vAlign w:val="center"/>
          </w:tcPr>
          <w:p>
            <w:pPr>
              <w:pStyle w:val="TableContents"/>
              <w:bidi w:val="0"/>
              <w:spacing w:before="0" w:after="0"/>
              <w:jc w:val="left"/>
              <w:rPr/>
            </w:pPr>
            <w:hyperlink w:anchor="Item7.ManagementsDiscussi">
              <w:r>
                <w:rPr>
                  <w:rStyle w:val="InternetLink"/>
                  <w:i w:val="false"/>
                  <w:caps w:val="false"/>
                  <w:smallCaps w:val="false"/>
                  <w:color w:val="000000"/>
                  <w:sz w:val="20"/>
                </w:rPr>
                <w:t>Management’s Discussion and Analysis of Financial Condition and Results of Operations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41</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7A.</w:t>
            </w:r>
          </w:p>
        </w:tc>
        <w:tc>
          <w:tcPr>
            <w:tcW w:w="8602" w:type="dxa"/>
            <w:tcBorders/>
            <w:vAlign w:val="center"/>
          </w:tcPr>
          <w:p>
            <w:pPr>
              <w:pStyle w:val="TableContents"/>
              <w:bidi w:val="0"/>
              <w:spacing w:before="0" w:after="0"/>
              <w:jc w:val="left"/>
              <w:rPr/>
            </w:pPr>
            <w:hyperlink w:anchor="Item7A.QuantitativeandQua">
              <w:r>
                <w:rPr>
                  <w:rStyle w:val="InternetLink"/>
                  <w:i w:val="false"/>
                  <w:caps w:val="false"/>
                  <w:smallCaps w:val="false"/>
                  <w:color w:val="000000"/>
                  <w:sz w:val="20"/>
                </w:rPr>
                <w:t>Quantitative and Qualitative Disclosures About Market Risk</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63</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8.</w:t>
            </w:r>
          </w:p>
        </w:tc>
        <w:tc>
          <w:tcPr>
            <w:tcW w:w="8602" w:type="dxa"/>
            <w:tcBorders/>
            <w:shd w:fill="CCEEFF" w:val="clear"/>
            <w:vAlign w:val="center"/>
          </w:tcPr>
          <w:p>
            <w:pPr>
              <w:pStyle w:val="TableContents"/>
              <w:bidi w:val="0"/>
              <w:spacing w:before="0" w:after="0"/>
              <w:jc w:val="left"/>
              <w:rPr/>
            </w:pPr>
            <w:hyperlink w:anchor="Item8.FinancialStatements">
              <w:r>
                <w:rPr>
                  <w:rStyle w:val="InternetLink"/>
                  <w:i w:val="false"/>
                  <w:caps w:val="false"/>
                  <w:smallCaps w:val="false"/>
                  <w:color w:val="000000"/>
                  <w:sz w:val="20"/>
                </w:rPr>
                <w:t>Financial Statements and Supplementary Data</w:t>
              </w:r>
            </w:hyperlink>
          </w:p>
        </w:tc>
        <w:tc>
          <w:tcPr>
            <w:tcW w:w="912" w:type="dxa"/>
            <w:tcBorders/>
            <w:shd w:fill="CCEEFF" w:val="clear"/>
            <w:vAlign w:val="center"/>
          </w:tcPr>
          <w:p>
            <w:pPr>
              <w:pStyle w:val="TableContents"/>
              <w:bidi w:val="0"/>
              <w:spacing w:before="0" w:after="283"/>
              <w:jc w:val="center"/>
              <w:rPr>
                <w:i w:val="false"/>
                <w:caps w:val="false"/>
                <w:smallCaps w:val="false"/>
                <w:sz w:val="20"/>
              </w:rPr>
            </w:pPr>
            <w:r>
              <w:rPr>
                <w:i w:val="false"/>
                <w:caps w:val="false"/>
                <w:smallCaps w:val="false"/>
                <w:sz w:val="20"/>
              </w:rPr>
              <w:t>64</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9.</w:t>
            </w:r>
          </w:p>
        </w:tc>
        <w:tc>
          <w:tcPr>
            <w:tcW w:w="8602" w:type="dxa"/>
            <w:tcBorders/>
            <w:vAlign w:val="center"/>
          </w:tcPr>
          <w:p>
            <w:pPr>
              <w:pStyle w:val="TableContents"/>
              <w:bidi w:val="0"/>
              <w:spacing w:before="0" w:after="0"/>
              <w:jc w:val="left"/>
              <w:rPr/>
            </w:pPr>
            <w:hyperlink w:anchor="Item9.ChangesinandDisagre">
              <w:r>
                <w:rPr>
                  <w:rStyle w:val="InternetLink"/>
                  <w:i w:val="false"/>
                  <w:caps w:val="false"/>
                  <w:smallCaps w:val="false"/>
                  <w:color w:val="000000"/>
                  <w:sz w:val="20"/>
                </w:rPr>
                <w:t>Changes in and Disagreements With Accountants on Accounting and Financial Disclosure</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105</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9A.</w:t>
            </w:r>
          </w:p>
        </w:tc>
        <w:tc>
          <w:tcPr>
            <w:tcW w:w="8602" w:type="dxa"/>
            <w:tcBorders/>
            <w:shd w:fill="CCEEFF" w:val="clear"/>
            <w:vAlign w:val="center"/>
          </w:tcPr>
          <w:p>
            <w:pPr>
              <w:pStyle w:val="TableContents"/>
              <w:bidi w:val="0"/>
              <w:spacing w:before="0" w:after="0"/>
              <w:jc w:val="left"/>
              <w:rPr/>
            </w:pPr>
            <w:hyperlink w:anchor="Item9A.ControlsandProcedu">
              <w:r>
                <w:rPr>
                  <w:rStyle w:val="InternetLink"/>
                  <w:i w:val="false"/>
                  <w:caps w:val="false"/>
                  <w:smallCaps w:val="false"/>
                  <w:color w:val="000000"/>
                  <w:sz w:val="20"/>
                </w:rPr>
                <w:t>Controls and Procedures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105</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9B.</w:t>
            </w:r>
          </w:p>
        </w:tc>
        <w:tc>
          <w:tcPr>
            <w:tcW w:w="8602" w:type="dxa"/>
            <w:tcBorders/>
            <w:vAlign w:val="center"/>
          </w:tcPr>
          <w:p>
            <w:pPr>
              <w:pStyle w:val="TableContents"/>
              <w:bidi w:val="0"/>
              <w:spacing w:before="0" w:after="0"/>
              <w:jc w:val="left"/>
              <w:rPr/>
            </w:pPr>
            <w:hyperlink w:anchor="Item9B.OtherInformation.">
              <w:r>
                <w:rPr>
                  <w:rStyle w:val="InternetLink"/>
                  <w:i w:val="false"/>
                  <w:caps w:val="false"/>
                  <w:smallCaps w:val="false"/>
                  <w:color w:val="000000"/>
                  <w:sz w:val="20"/>
                </w:rPr>
                <w:t>Other Information</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105</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9C.</w:t>
            </w:r>
          </w:p>
        </w:tc>
        <w:tc>
          <w:tcPr>
            <w:tcW w:w="8602" w:type="dxa"/>
            <w:tcBorders/>
            <w:shd w:fill="CCEEFF" w:val="clear"/>
            <w:vAlign w:val="center"/>
          </w:tcPr>
          <w:p>
            <w:pPr>
              <w:pStyle w:val="TableContents"/>
              <w:bidi w:val="0"/>
              <w:spacing w:before="0" w:after="0"/>
              <w:jc w:val="left"/>
              <w:rPr/>
            </w:pPr>
            <w:hyperlink w:anchor="Item9C.DisclosureRegardin">
              <w:r>
                <w:rPr>
                  <w:rStyle w:val="InternetLink"/>
                  <w:i w:val="false"/>
                  <w:caps w:val="false"/>
                  <w:smallCaps w:val="false"/>
                  <w:color w:val="000000"/>
                  <w:sz w:val="20"/>
                </w:rPr>
                <w:t>Disclosure Regarding Foreign Jurisdictions that Prevent Inspections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106</w:t>
            </w:r>
          </w:p>
        </w:tc>
      </w:tr>
      <w:tr>
        <w:trPr/>
        <w:tc>
          <w:tcPr>
            <w:tcW w:w="9293" w:type="dxa"/>
            <w:gridSpan w:val="2"/>
            <w:tcBorders/>
            <w:vAlign w:val="center"/>
          </w:tcPr>
          <w:p>
            <w:pPr>
              <w:pStyle w:val="TableContents"/>
              <w:bidi w:val="0"/>
              <w:spacing w:before="0" w:after="0"/>
              <w:jc w:val="left"/>
              <w:rPr>
                <w:b/>
                <w:i w:val="false"/>
                <w:caps w:val="false"/>
                <w:smallCaps w:val="false"/>
                <w:color w:val="000000"/>
                <w:sz w:val="20"/>
              </w:rPr>
            </w:pPr>
            <w:r>
              <w:rPr>
                <w:b/>
                <w:i w:val="false"/>
                <w:caps w:val="false"/>
                <w:smallCaps w:val="false"/>
                <w:color w:val="000000"/>
                <w:sz w:val="20"/>
              </w:rPr>
              <w:t>PART III</w:t>
            </w:r>
          </w:p>
        </w:tc>
        <w:tc>
          <w:tcPr>
            <w:tcW w:w="9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10.</w:t>
            </w:r>
          </w:p>
        </w:tc>
        <w:tc>
          <w:tcPr>
            <w:tcW w:w="8602" w:type="dxa"/>
            <w:tcBorders/>
            <w:shd w:fill="CCEEFF" w:val="clear"/>
            <w:vAlign w:val="center"/>
          </w:tcPr>
          <w:p>
            <w:pPr>
              <w:pStyle w:val="TableContents"/>
              <w:bidi w:val="0"/>
              <w:spacing w:before="0" w:after="0"/>
              <w:jc w:val="left"/>
              <w:rPr/>
            </w:pPr>
            <w:hyperlink w:anchor="Item10.DirectorsExecutive">
              <w:r>
                <w:rPr>
                  <w:rStyle w:val="InternetLink"/>
                  <w:i w:val="false"/>
                  <w:caps w:val="false"/>
                  <w:smallCaps w:val="false"/>
                  <w:color w:val="000000"/>
                  <w:sz w:val="20"/>
                </w:rPr>
                <w:t>Directors, Executive Officers and Corporate Governance</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107</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11.</w:t>
            </w:r>
          </w:p>
        </w:tc>
        <w:tc>
          <w:tcPr>
            <w:tcW w:w="8602" w:type="dxa"/>
            <w:tcBorders/>
            <w:vAlign w:val="center"/>
          </w:tcPr>
          <w:p>
            <w:pPr>
              <w:pStyle w:val="TableContents"/>
              <w:bidi w:val="0"/>
              <w:spacing w:before="0" w:after="0"/>
              <w:jc w:val="left"/>
              <w:rPr/>
            </w:pPr>
            <w:hyperlink w:anchor="Item11.ExecutiveCompensat">
              <w:r>
                <w:rPr>
                  <w:rStyle w:val="InternetLink"/>
                  <w:i w:val="false"/>
                  <w:caps w:val="false"/>
                  <w:smallCaps w:val="false"/>
                  <w:color w:val="000000"/>
                  <w:sz w:val="20"/>
                </w:rPr>
                <w:t>Executive Compensation</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107</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12.</w:t>
            </w:r>
          </w:p>
        </w:tc>
        <w:tc>
          <w:tcPr>
            <w:tcW w:w="8602" w:type="dxa"/>
            <w:tcBorders/>
            <w:shd w:fill="CCEEFF" w:val="clear"/>
            <w:vAlign w:val="center"/>
          </w:tcPr>
          <w:p>
            <w:pPr>
              <w:pStyle w:val="TableContents"/>
              <w:bidi w:val="0"/>
              <w:spacing w:before="0" w:after="0"/>
              <w:jc w:val="left"/>
              <w:rPr/>
            </w:pPr>
            <w:hyperlink w:anchor="Item12.SecurityOwnershipo">
              <w:r>
                <w:rPr>
                  <w:rStyle w:val="InternetLink"/>
                  <w:i w:val="false"/>
                  <w:caps w:val="false"/>
                  <w:smallCaps w:val="false"/>
                  <w:color w:val="000000"/>
                  <w:sz w:val="20"/>
                </w:rPr>
                <w:t>Security Ownership of Certain Beneficial Owners and Management and Related Stockholder Matters</w:t>
              </w:r>
            </w:hyperlink>
          </w:p>
        </w:tc>
        <w:tc>
          <w:tcPr>
            <w:tcW w:w="912" w:type="dxa"/>
            <w:tcBorders/>
            <w:shd w:fill="CCEEFF" w:val="clear"/>
            <w:vAlign w:val="center"/>
          </w:tcPr>
          <w:p>
            <w:pPr>
              <w:pStyle w:val="TableContents"/>
              <w:bidi w:val="0"/>
              <w:spacing w:before="0" w:after="283"/>
              <w:jc w:val="center"/>
              <w:rPr>
                <w:i w:val="false"/>
                <w:caps w:val="false"/>
                <w:smallCaps w:val="false"/>
                <w:sz w:val="20"/>
              </w:rPr>
            </w:pPr>
            <w:r>
              <w:rPr>
                <w:i w:val="false"/>
                <w:caps w:val="false"/>
                <w:smallCaps w:val="false"/>
                <w:sz w:val="20"/>
              </w:rPr>
              <w:t>107</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13.</w:t>
            </w:r>
          </w:p>
        </w:tc>
        <w:tc>
          <w:tcPr>
            <w:tcW w:w="8602" w:type="dxa"/>
            <w:tcBorders/>
            <w:vAlign w:val="center"/>
          </w:tcPr>
          <w:p>
            <w:pPr>
              <w:pStyle w:val="TableContents"/>
              <w:bidi w:val="0"/>
              <w:spacing w:before="0" w:after="0"/>
              <w:jc w:val="left"/>
              <w:rPr/>
            </w:pPr>
            <w:hyperlink w:anchor="Item13.CertainRelationshi">
              <w:r>
                <w:rPr>
                  <w:rStyle w:val="InternetLink"/>
                  <w:i w:val="false"/>
                  <w:caps w:val="false"/>
                  <w:smallCaps w:val="false"/>
                  <w:color w:val="000000"/>
                  <w:sz w:val="20"/>
                </w:rPr>
                <w:t>Certain Relationships and Related Transactions, and Director Independence</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107</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14.</w:t>
            </w:r>
          </w:p>
        </w:tc>
        <w:tc>
          <w:tcPr>
            <w:tcW w:w="8602" w:type="dxa"/>
            <w:tcBorders/>
            <w:shd w:fill="CCEEFF" w:val="clear"/>
            <w:vAlign w:val="center"/>
          </w:tcPr>
          <w:p>
            <w:pPr>
              <w:pStyle w:val="TableContents"/>
              <w:bidi w:val="0"/>
              <w:spacing w:before="0" w:after="0"/>
              <w:jc w:val="left"/>
              <w:rPr/>
            </w:pPr>
            <w:hyperlink w:anchor="Item14.PrincipalAccountin">
              <w:r>
                <w:rPr>
                  <w:rStyle w:val="InternetLink"/>
                  <w:i w:val="false"/>
                  <w:caps w:val="false"/>
                  <w:smallCaps w:val="false"/>
                  <w:color w:val="000000"/>
                  <w:sz w:val="20"/>
                </w:rPr>
                <w:t>Principal Accounting Fees and Services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107</w:t>
            </w:r>
          </w:p>
        </w:tc>
      </w:tr>
      <w:tr>
        <w:trPr/>
        <w:tc>
          <w:tcPr>
            <w:tcW w:w="9293" w:type="dxa"/>
            <w:gridSpan w:val="2"/>
            <w:tcBorders/>
            <w:vAlign w:val="center"/>
          </w:tcPr>
          <w:p>
            <w:pPr>
              <w:pStyle w:val="TableContents"/>
              <w:bidi w:val="0"/>
              <w:spacing w:before="0" w:after="0"/>
              <w:jc w:val="left"/>
              <w:rPr>
                <w:b/>
                <w:i w:val="false"/>
                <w:caps w:val="false"/>
                <w:smallCaps w:val="false"/>
                <w:color w:val="000000"/>
                <w:sz w:val="20"/>
              </w:rPr>
            </w:pPr>
            <w:r>
              <w:rPr>
                <w:b/>
                <w:i w:val="false"/>
                <w:caps w:val="false"/>
                <w:smallCaps w:val="false"/>
                <w:color w:val="000000"/>
                <w:sz w:val="20"/>
              </w:rPr>
              <w:t>PART IV</w:t>
            </w:r>
          </w:p>
        </w:tc>
        <w:tc>
          <w:tcPr>
            <w:tcW w:w="91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1" w:type="dxa"/>
            <w:tcBorders/>
            <w:shd w:fill="CCEEFF" w:val="clear"/>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15.</w:t>
            </w:r>
          </w:p>
        </w:tc>
        <w:tc>
          <w:tcPr>
            <w:tcW w:w="8602" w:type="dxa"/>
            <w:tcBorders/>
            <w:shd w:fill="CCEEFF" w:val="clear"/>
            <w:vAlign w:val="center"/>
          </w:tcPr>
          <w:p>
            <w:pPr>
              <w:pStyle w:val="TableContents"/>
              <w:bidi w:val="0"/>
              <w:spacing w:before="0" w:after="0"/>
              <w:jc w:val="left"/>
              <w:rPr/>
            </w:pPr>
            <w:hyperlink w:anchor="Item15.ExhibitsFinancialS">
              <w:r>
                <w:rPr>
                  <w:rStyle w:val="InternetLink"/>
                  <w:i w:val="false"/>
                  <w:caps w:val="false"/>
                  <w:smallCaps w:val="false"/>
                  <w:color w:val="000000"/>
                  <w:sz w:val="20"/>
                </w:rPr>
                <w:t>Exhibits, Financial Statement Schedules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108</w:t>
            </w:r>
          </w:p>
        </w:tc>
      </w:tr>
      <w:tr>
        <w:trPr/>
        <w:tc>
          <w:tcPr>
            <w:tcW w:w="691" w:type="dxa"/>
            <w:tcBorders/>
            <w:vAlign w:val="center"/>
          </w:tcPr>
          <w:p>
            <w:pPr>
              <w:pStyle w:val="TableContents"/>
              <w:bidi w:val="0"/>
              <w:spacing w:before="0" w:after="0"/>
              <w:ind w:left="180" w:right="0" w:hanging="0"/>
              <w:jc w:val="left"/>
              <w:rPr>
                <w:b w:val="false"/>
                <w:i w:val="false"/>
                <w:caps w:val="false"/>
                <w:smallCaps w:val="false"/>
                <w:color w:val="000000"/>
                <w:sz w:val="20"/>
              </w:rPr>
            </w:pPr>
            <w:r>
              <w:rPr>
                <w:b w:val="false"/>
                <w:i w:val="false"/>
                <w:caps w:val="false"/>
                <w:smallCaps w:val="false"/>
                <w:color w:val="000000"/>
                <w:sz w:val="20"/>
              </w:rPr>
              <w:t>Item 16.</w:t>
            </w:r>
          </w:p>
        </w:tc>
        <w:tc>
          <w:tcPr>
            <w:tcW w:w="8602" w:type="dxa"/>
            <w:tcBorders/>
            <w:vAlign w:val="center"/>
          </w:tcPr>
          <w:p>
            <w:pPr>
              <w:pStyle w:val="TableContents"/>
              <w:bidi w:val="0"/>
              <w:spacing w:before="0" w:after="0"/>
              <w:jc w:val="left"/>
              <w:rPr/>
            </w:pPr>
            <w:hyperlink w:anchor="Item16.Form10-KSummary">
              <w:r>
                <w:rPr>
                  <w:rStyle w:val="InternetLink"/>
                  <w:i w:val="false"/>
                  <w:caps w:val="false"/>
                  <w:smallCaps w:val="false"/>
                  <w:color w:val="000000"/>
                  <w:sz w:val="20"/>
                </w:rPr>
                <w:t>Form 10-K Summary</w:t>
              </w:r>
            </w:hyperlink>
          </w:p>
        </w:tc>
        <w:tc>
          <w:tcPr>
            <w:tcW w:w="912" w:type="dxa"/>
            <w:tcBorders/>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110</w:t>
            </w:r>
          </w:p>
        </w:tc>
      </w:tr>
      <w:tr>
        <w:trPr/>
        <w:tc>
          <w:tcPr>
            <w:tcW w:w="9293" w:type="dxa"/>
            <w:gridSpan w:val="2"/>
            <w:tcBorders/>
            <w:shd w:fill="CCEEFF" w:val="clear"/>
            <w:vAlign w:val="center"/>
          </w:tcPr>
          <w:p>
            <w:pPr>
              <w:pStyle w:val="TableContents"/>
              <w:bidi w:val="0"/>
              <w:spacing w:before="0" w:after="0"/>
              <w:jc w:val="left"/>
              <w:rPr/>
            </w:pPr>
            <w:hyperlink w:anchor="SIGNATURES">
              <w:r>
                <w:rPr>
                  <w:rStyle w:val="InternetLink"/>
                  <w:b w:val="false"/>
                  <w:i w:val="false"/>
                  <w:caps w:val="false"/>
                  <w:smallCaps w:val="false"/>
                  <w:color w:val="000000"/>
                  <w:sz w:val="20"/>
                </w:rPr>
                <w:t>SIGNATURES</w:t>
              </w:r>
            </w:hyperlink>
          </w:p>
        </w:tc>
        <w:tc>
          <w:tcPr>
            <w:tcW w:w="912" w:type="dxa"/>
            <w:tcBorders/>
            <w:shd w:fill="CCEEFF" w:val="clear"/>
            <w:vAlign w:val="center"/>
          </w:tcPr>
          <w:p>
            <w:pPr>
              <w:pStyle w:val="TableContents"/>
              <w:bidi w:val="0"/>
              <w:spacing w:before="0" w:after="0"/>
              <w:jc w:val="center"/>
              <w:rPr>
                <w:i w:val="false"/>
                <w:caps w:val="false"/>
                <w:smallCaps w:val="false"/>
                <w:color w:val="000000"/>
                <w:sz w:val="20"/>
              </w:rPr>
            </w:pPr>
            <w:r>
              <w:rPr>
                <w:i w:val="false"/>
                <w:caps w:val="false"/>
                <w:smallCaps w:val="false"/>
                <w:color w:val="000000"/>
                <w:sz w:val="20"/>
              </w:rPr>
              <w:t>111</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CAUTIONARY STATEMENT REGARDING</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Annual Report on Form 10-K for the year ended December 31, 2023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are or will be important factors that could cause our actual results to differ materially from those indicated in these forward-looking statements, including, but not limited to, the following:</w:t>
      </w:r>
    </w:p>
    <w:p>
      <w:pPr>
        <w:pStyle w:val="TextBody"/>
        <w:bidi w:val="0"/>
        <w:spacing w:before="0" w:after="0"/>
        <w:jc w:val="left"/>
        <w:rPr/>
      </w:pPr>
      <w:r>
        <w:rPr/>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765" w:type="dxa"/>
            <w:tcBorders/>
            <w:vAlign w:val="center"/>
          </w:tcPr>
          <w:p>
            <w:pPr>
              <w:pStyle w:val="TableContents"/>
              <w:bidi w:val="0"/>
              <w:spacing w:before="0" w:after="0"/>
              <w:jc w:val="both"/>
              <w:rPr>
                <w:color w:val="000000"/>
              </w:rPr>
            </w:pPr>
            <w:r>
              <w:rPr>
                <w:color w:val="000000"/>
              </w:rPr>
              <w:t>potential recession in the United States and our market areas;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w:t>
            </w:r>
          </w:p>
        </w:tc>
      </w:tr>
    </w:tbl>
    <w:p>
      <w:pPr>
        <w:pStyle w:val="TextBody"/>
        <w:bidi w:val="0"/>
        <w:spacing w:before="0" w:after="0"/>
        <w:jc w:val="left"/>
        <w:rPr/>
      </w:pPr>
      <w:r>
        <w:rPr/>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000" w:type="dxa"/>
            <w:tcBorders/>
            <w:vAlign w:val="center"/>
          </w:tcPr>
          <w:p>
            <w:pPr>
              <w:pStyle w:val="TableContents"/>
              <w:bidi w:val="0"/>
              <w:spacing w:before="0" w:after="0"/>
              <w:jc w:val="both"/>
              <w:rPr>
                <w:color w:val="000000"/>
              </w:rPr>
            </w:pPr>
            <w:r>
              <w:rPr>
                <w:color w:val="000000"/>
              </w:rPr>
              <w:t>increased competition for deposits and related changes in deposit customer behavior;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persistence of the current inflationary environment in the United States and our market areas, and its impact on market interest rates, the economy and credit quality;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effectively execute our expansion strategy and manage our growth, including identifying and consummating suitable acquisitions;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business and economic conditions, particularly those affecting our market areas, as well as the concentration of our business in such market areas;</w:t>
            </w:r>
          </w:p>
        </w:tc>
      </w:tr>
    </w:tbl>
    <w:p>
      <w:pPr>
        <w:pStyle w:val="TextBody"/>
        <w:bidi w:val="0"/>
        <w:spacing w:before="0" w:after="0"/>
        <w:jc w:val="left"/>
        <w:rPr/>
      </w:pPr>
      <w:r>
        <w:rPr/>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590" w:type="dxa"/>
            <w:tcBorders/>
            <w:vAlign w:val="center"/>
          </w:tcPr>
          <w:p>
            <w:pPr>
              <w:pStyle w:val="TableContents"/>
              <w:bidi w:val="0"/>
              <w:spacing w:before="0" w:after="0"/>
              <w:jc w:val="both"/>
              <w:rPr>
                <w:color w:val="000000"/>
              </w:rPr>
            </w:pPr>
            <w:r>
              <w:rPr>
                <w:color w:val="000000"/>
              </w:rPr>
              <w:t>the impact of pandemics, epidemics, or any other health-related crisis;</w:t>
            </w:r>
          </w:p>
        </w:tc>
      </w:tr>
    </w:tbl>
    <w:p>
      <w:pPr>
        <w:pStyle w:val="TextBody"/>
        <w:bidi w:val="0"/>
        <w:spacing w:before="0" w:after="0"/>
        <w:jc w:val="left"/>
        <w:rPr/>
      </w:pPr>
      <w:r>
        <w:rPr/>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415" w:type="dxa"/>
            <w:tcBorders/>
            <w:vAlign w:val="center"/>
          </w:tcPr>
          <w:p>
            <w:pPr>
              <w:pStyle w:val="TableContents"/>
              <w:bidi w:val="0"/>
              <w:spacing w:before="0" w:after="0"/>
              <w:jc w:val="both"/>
              <w:rPr>
                <w:color w:val="000000"/>
              </w:rPr>
            </w:pPr>
            <w:r>
              <w:rPr>
                <w:color w:val="000000"/>
              </w:rPr>
              <w:t>high concentrations of loans secured by real estate located in our market areas;</w:t>
            </w:r>
          </w:p>
        </w:tc>
      </w:tr>
    </w:tbl>
    <w:p>
      <w:pPr>
        <w:pStyle w:val="TextBody"/>
        <w:bidi w:val="0"/>
        <w:spacing w:before="0" w:after="0"/>
        <w:jc w:val="left"/>
        <w:rPr/>
      </w:pPr>
      <w:r>
        <w:rPr/>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085" w:type="dxa"/>
            <w:tcBorders/>
            <w:vAlign w:val="center"/>
          </w:tcPr>
          <w:p>
            <w:pPr>
              <w:pStyle w:val="TableContents"/>
              <w:bidi w:val="0"/>
              <w:spacing w:before="0" w:after="0"/>
              <w:jc w:val="both"/>
              <w:rPr>
                <w:color w:val="000000"/>
              </w:rPr>
            </w:pPr>
            <w:r>
              <w:rPr>
                <w:color w:val="000000"/>
              </w:rPr>
              <w:t>increases in unemployment rates in the United States and our market areas;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our commercial loan portfolio, including the risk for deterioration in value of the general business assets that secure such loans;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potential changes in the prices, values and sales volumes of commercial and residential real estate securing our real estate loans;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our agricultural loan portfolio, including the heightened sensitivity to weather conditions, commodity prices, and other factors generally outside the borrowers and our control;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the sale of crop insurance products, including termination of or substantial changes to the federal crop insurance program;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related to the significant amount of credit that we have extended to a limited number of borrowers and in a limited geographic area;</w:t>
            </w:r>
          </w:p>
        </w:tc>
      </w:tr>
    </w:tbl>
    <w:p>
      <w:pPr>
        <w:pStyle w:val="TextBody"/>
        <w:bidi w:val="0"/>
        <w:spacing w:before="0" w:after="0"/>
        <w:jc w:val="left"/>
        <w:rPr/>
      </w:pPr>
      <w:r>
        <w:rPr/>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310" w:type="dxa"/>
            <w:tcBorders/>
            <w:vAlign w:val="center"/>
          </w:tcPr>
          <w:p>
            <w:pPr>
              <w:pStyle w:val="TableContents"/>
              <w:bidi w:val="0"/>
              <w:spacing w:before="0" w:after="0"/>
              <w:jc w:val="both"/>
              <w:rPr>
                <w:color w:val="000000"/>
              </w:rPr>
            </w:pPr>
            <w:r>
              <w:rPr>
                <w:color w:val="000000"/>
              </w:rPr>
              <w:t>public funds deposits comprising a relatively high percentage of our deposits;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potential impairment on the goodwill we have recorded or may record in connection with business acquisitions;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545" w:type="dxa"/>
            <w:tcBorders/>
            <w:vAlign w:val="center"/>
          </w:tcPr>
          <w:p>
            <w:pPr>
              <w:pStyle w:val="TableContents"/>
              <w:bidi w:val="0"/>
              <w:spacing w:before="0" w:after="0"/>
              <w:jc w:val="both"/>
              <w:rPr>
                <w:color w:val="000000"/>
              </w:rPr>
            </w:pPr>
            <w:r>
              <w:rPr>
                <w:color w:val="000000"/>
              </w:rPr>
              <w:t>our ability to maintain our reputation;</w:t>
            </w:r>
          </w:p>
        </w:tc>
      </w:tr>
    </w:tbl>
    <w:p>
      <w:pPr>
        <w:pStyle w:val="TextBody"/>
        <w:bidi w:val="0"/>
        <w:spacing w:before="0" w:after="0"/>
        <w:jc w:val="left"/>
        <w:rPr/>
      </w:pPr>
      <w:r>
        <w:rPr/>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680" w:type="dxa"/>
            <w:tcBorders/>
            <w:vAlign w:val="center"/>
          </w:tcPr>
          <w:p>
            <w:pPr>
              <w:pStyle w:val="TableContents"/>
              <w:bidi w:val="0"/>
              <w:spacing w:before="0" w:after="0"/>
              <w:jc w:val="both"/>
              <w:rPr>
                <w:color w:val="000000"/>
              </w:rPr>
            </w:pPr>
            <w:r>
              <w:rPr>
                <w:color w:val="000000"/>
              </w:rPr>
              <w:t>our ability to successfully manage our credit risk and the sufficiency of our allowance for credit losses;</w:t>
            </w:r>
          </w:p>
        </w:tc>
      </w:tr>
    </w:tbl>
    <w:p>
      <w:pPr>
        <w:pStyle w:val="TextBody"/>
        <w:bidi w:val="0"/>
        <w:spacing w:before="0" w:after="0"/>
        <w:jc w:val="left"/>
        <w:rPr/>
      </w:pPr>
      <w:r>
        <w:rPr/>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515" w:type="dxa"/>
            <w:tcBorders/>
            <w:vAlign w:val="center"/>
          </w:tcPr>
          <w:p>
            <w:pPr>
              <w:pStyle w:val="TableContents"/>
              <w:bidi w:val="0"/>
              <w:spacing w:before="0" w:after="0"/>
              <w:jc w:val="both"/>
              <w:rPr>
                <w:color w:val="000000"/>
              </w:rPr>
            </w:pPr>
            <w:r>
              <w:rPr>
                <w:color w:val="000000"/>
              </w:rPr>
              <w:t>our ability to attract, hire and retain qualified management personnel;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dependence on our management team, including our ability to retain executive officers and key employees and their customer and community relationships;</w:t>
            </w:r>
          </w:p>
        </w:tc>
      </w:tr>
    </w:tbl>
    <w:p>
      <w:pPr>
        <w:pStyle w:val="TextBody"/>
        <w:bidi w:val="0"/>
        <w:spacing w:before="0" w:after="0"/>
        <w:jc w:val="left"/>
        <w:rPr/>
      </w:pPr>
      <w:r>
        <w:rPr/>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610" w:type="dxa"/>
            <w:tcBorders/>
            <w:vAlign w:val="center"/>
          </w:tcPr>
          <w:p>
            <w:pPr>
              <w:pStyle w:val="TableContents"/>
              <w:bidi w:val="0"/>
              <w:spacing w:before="0" w:after="0"/>
              <w:jc w:val="both"/>
              <w:rPr>
                <w:color w:val="000000"/>
              </w:rPr>
            </w:pPr>
            <w:r>
              <w:rPr>
                <w:color w:val="000000"/>
              </w:rPr>
              <w:t>interest rate fluctuations, which could have an adverse effect on our profitability;</w:t>
            </w:r>
          </w:p>
        </w:tc>
      </w:tr>
    </w:tbl>
    <w:p>
      <w:pPr>
        <w:pStyle w:val="TextBody"/>
        <w:bidi w:val="0"/>
        <w:spacing w:before="0" w:after="0"/>
        <w:jc w:val="left"/>
        <w:rPr/>
      </w:pPr>
      <w:r>
        <w:rPr/>
      </w:r>
    </w:p>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235" w:type="dxa"/>
            <w:tcBorders/>
            <w:vAlign w:val="center"/>
          </w:tcPr>
          <w:p>
            <w:pPr>
              <w:pStyle w:val="TableContents"/>
              <w:bidi w:val="0"/>
              <w:spacing w:before="0" w:after="0"/>
              <w:jc w:val="both"/>
              <w:rPr>
                <w:color w:val="000000"/>
              </w:rPr>
            </w:pPr>
            <w:r>
              <w:rPr>
                <w:color w:val="000000"/>
              </w:rPr>
              <w:t>competition from banks, credit unions and other financial services providers;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keep pace with technological change or difficulties we may experience when implementing new technologies;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cybersecurity risk, including cyber incidents or other failures, disruptions or breaches of our operational or security systems or infrastructure, or those of our third-party vendors or other service providers, including as a result of a cyber attack, could impact the Company’s reputation, increase regulatory oversight, and impact the financial results of the Company;</w:t>
            </w:r>
          </w:p>
        </w:tc>
      </w:tr>
    </w:tbl>
    <w:p>
      <w:pPr>
        <w:pStyle w:val="TextBody"/>
        <w:bidi w:val="0"/>
        <w:spacing w:before="0" w:after="0"/>
        <w:jc w:val="left"/>
        <w:rPr/>
      </w:pPr>
      <w:r>
        <w:rPr/>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785" w:type="dxa"/>
            <w:tcBorders/>
            <w:vAlign w:val="center"/>
          </w:tcPr>
          <w:p>
            <w:pPr>
              <w:pStyle w:val="TableContents"/>
              <w:bidi w:val="0"/>
              <w:spacing w:before="0" w:after="0"/>
              <w:jc w:val="both"/>
              <w:rPr>
                <w:color w:val="000000"/>
              </w:rPr>
            </w:pPr>
            <w:r>
              <w:rPr>
                <w:color w:val="000000"/>
              </w:rPr>
              <w:t>our ability to maintain effective internal control over financial reporting;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employee error, fraudulent activity by employees or customers and inaccurate or incomplete information about our customers and counterparties;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increased capital requirements imposed by banking regulators, which may require us to raise capital at a time when capital is not available on favorable terms or at all;</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maintain adequate liquidity and to raise necessary capital to fund our acquisition strategy and operations or to meet increased minimum regulatory capital levels;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costs and effects of litigation, investigations or similar matters to which we may be subject, including any effect on our reputation;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natural disasters, severe weather, acts of god, acts of war or terrorism, geopolitical instability, public health outbreaks (such as coronavirus), other international or domestic calamities, and other matters beyond our control;</w:t>
            </w:r>
          </w:p>
        </w:tc>
      </w:tr>
    </w:tbl>
    <w:p>
      <w:pPr>
        <w:pStyle w:val="TextBody"/>
        <w:bidi w:val="0"/>
        <w:spacing w:before="0" w:after="0"/>
        <w:jc w:val="left"/>
        <w:rPr/>
      </w:pPr>
      <w:r>
        <w:rPr/>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290" w:type="dxa"/>
            <w:tcBorders/>
            <w:vAlign w:val="center"/>
          </w:tcPr>
          <w:p>
            <w:pPr>
              <w:pStyle w:val="TableContents"/>
              <w:bidi w:val="0"/>
              <w:spacing w:before="0" w:after="0"/>
              <w:jc w:val="both"/>
              <w:rPr>
                <w:color w:val="000000"/>
              </w:rPr>
            </w:pPr>
            <w:r>
              <w:rPr>
                <w:color w:val="000000"/>
              </w:rPr>
              <w:t>uncertainty regarding United States fiscal debt and budget matters;</w:t>
            </w:r>
          </w:p>
        </w:tc>
      </w:tr>
    </w:tbl>
    <w:p>
      <w:pPr>
        <w:pStyle w:val="TextBody"/>
        <w:bidi w:val="0"/>
        <w:spacing w:before="0" w:after="0"/>
        <w:jc w:val="left"/>
        <w:rPr/>
      </w:pPr>
      <w:r>
        <w:rPr/>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395" w:type="dxa"/>
            <w:tcBorders/>
            <w:vAlign w:val="center"/>
          </w:tcPr>
          <w:p>
            <w:pPr>
              <w:pStyle w:val="TableContents"/>
              <w:bidi w:val="0"/>
              <w:spacing w:before="0" w:after="0"/>
              <w:jc w:val="both"/>
              <w:rPr>
                <w:color w:val="000000"/>
              </w:rPr>
            </w:pPr>
            <w:r>
              <w:rPr>
                <w:color w:val="000000"/>
              </w:rPr>
              <w:t>changes in tariffs and trade barriers;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navigate the uncertain impacts of current and future governmental monetary and fiscal policies, including the current and future policies of the Board of Governors of the Federal Reserve System (“Federal Reserve”) and as a result of initiatives of the Biden administration.</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foregoing factors should not be construed as exhaustive and should be read together with the other cautionary statements included in this Report and the “Risk Factors” set forth under Part I, Item IA of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pStyle w:val="TextBody"/>
        <w:bidi w:val="0"/>
        <w:spacing w:before="0" w:after="0"/>
        <w:ind w:left="0" w:right="0" w:firstLine="3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 w:name="Item1.Business"/>
      <w:bookmarkStart w:id="2" w:name="Item1.Business"/>
      <w:bookmarkEnd w:id="2"/>
    </w:p>
    <w:tbl>
      <w:tblPr>
        <w:tblW w:w="1645" w:type="dxa"/>
        <w:jc w:val="left"/>
        <w:tblInd w:w="0" w:type="dxa"/>
        <w:tblLayout w:type="fixed"/>
        <w:tblCellMar>
          <w:top w:w="0" w:type="dxa"/>
          <w:left w:w="0" w:type="dxa"/>
          <w:bottom w:w="0" w:type="dxa"/>
          <w:right w:w="0" w:type="dxa"/>
        </w:tblCellMar>
      </w:tblPr>
      <w:tblGrid>
        <w:gridCol w:w="740"/>
        <w:gridCol w:w="905"/>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905" w:type="dxa"/>
            <w:tcBorders/>
            <w:vAlign w:val="center"/>
          </w:tcPr>
          <w:p>
            <w:pPr>
              <w:pStyle w:val="TableContents"/>
              <w:bidi w:val="0"/>
              <w:spacing w:before="0" w:after="0"/>
              <w:jc w:val="left"/>
              <w:rPr>
                <w:b/>
                <w:color w:val="000000"/>
              </w:rPr>
            </w:pPr>
            <w:r>
              <w:rPr>
                <w:b/>
                <w:color w:val="000000"/>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On April 1, 2023, SPFI entered into a Securities Purchase Agreement (“Agreement”) with Alliant Insurance Services, Inc. (“Alliant”), providing for the sale of Windmark Insurance Agency, Inc. (“Windmark”)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This transaction did not meet the criteria for discontinued operations reporting.</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had total assets of $4.20 billion, gross loans held for investment of $3.01 billion, total deposits of $3.63 billion, and total shareholders’ equity of $407.1 million as of December 31, 2023.</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history dates back over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Odessa, Texas, with approximately $430 million in assets, in 2019 through the merger of West Texas State Bank with and into the Bank.</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currently operate 25 full-service banking locations across seven geographic markets resulting from six acquisitions, de novo branch establishments, and the formation of a de novo bank in Ruidoso, New Mexico, which we later merged into the Bank. We also operate 8 loan production offices both in our banking markets and in certain key areas in Texas that focus on mortgage loan origination.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the markets that we serve.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Market Area</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operate in the following markets (deposit information is as of December 31,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Lubbock/South Plains</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10 branches holding $2.3 billion of deposits in the Lubbock metropolitan statistical area (“MSA”) and the surrounding South Plains region of Texas.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Dallas</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three branches with $424.9 million of deposits and five loan production offices, which we refer to as mortgage offices, in the Dallas-Fort Worth-Arlington MSA, which we refer to as the Dallas-Fort Worth metroplex.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El Paso</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two bank branches with $211.9 million of deposits and one mortgage office in the El Paso MSA.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Houston</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one branch with $53.1 million of deposits in the Houston-The Woodlands-Sugarland MSA, which we refer to as Greater Houston. This branch is located in the city of Houston.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Bryan/College Station</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one branch and one mortgage office in the city of College Station, Texas, which has $57.0 million in deposits. We refer to the Bryan-College Station MSA as Bryan/College Station.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The Permian Basin</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six branches with $367.5 million of deposits in the Permian Basin region of Texas.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Ruidoso, New Mexico</w:t>
      </w:r>
      <w:r>
        <w:rPr>
          <w:rFonts w:ascii="Times New Roman" w:hAnsi="Times New Roman"/>
          <w:color w:val="000000"/>
          <w:sz w:val="20"/>
          <w:shd w:fill="FFFFFF" w:val="clear"/>
        </w:rPr>
        <w:t xml:space="preserve"> </w:t>
      </w:r>
      <w:r>
        <w:rPr>
          <w:rFonts w:ascii="Times New Roman" w:hAnsi="Times New Roman"/>
          <w:b/>
          <w:i/>
          <w:color w:val="000000"/>
          <w:sz w:val="20"/>
          <w:shd w:fill="FFFFFF" w:val="clear"/>
        </w:rPr>
        <w:t xml:space="preserve">- </w:t>
      </w:r>
      <w:r>
        <w:rPr>
          <w:rFonts w:ascii="Times New Roman" w:hAnsi="Times New Roman"/>
          <w:color w:val="000000"/>
          <w:sz w:val="20"/>
          <w:shd w:fill="FFFFFF" w:val="clear"/>
        </w:rPr>
        <w:t>We operate two branches with $176.3 million of deposits in the village of Ruidoso, New Mexico.</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believe our exposure to these dynamic and complementary markets provides us with economic diversification and the opportunity for expansion across Texas and New Mexico.</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Human Capital Resources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we had approximately 618 total employees, which included 547 full-time employees and 71 part-time employees. None of our employees are covered under a collective bargaining agreement and management considers its employee relations to be satisfactory.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employees are the cornerstone of our success and the embodiment of our values and continue to be our greatest asset.  With diverse backgrounds, skill and experiences, they form a dynamic and collaborative workforce dedicated to achieving our company’s mission and vision.  Our employees are carefully cultivated through a variety of resources.  These resources include mid-year and annual performance conversations, ongoing training, internally developed growth and leadership programs, a robust mentorship program, and opportunities for career advancement by promotion and transferring from within the organization whenever possible. In addition, employees are encouraged to attend conferences and outside training events in connection with their job duties.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believe our ability to attract and retain employees is a key to our success. We strive to offer a well-rounded salary package through competitive salaries with the opportunity for an employee annual bonus program, a robust benefit package (including a company matched 401(k) Plan contribution, healthcare and insurance benefits, health savings and flexible spending accounts, long-term care and long-term disability benefits, life insurance benefits, a robust wellness program, and paid-time off), and a commitment to supporting career goals, employee development and recognition, and employee community involvement. At December 31, 2023, 28% of our current staff had been with us for ten years or more.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employees embody our commitment to excellence, innovation, and customer satisfaction, driving sustainable growth and delivering exceptional results in every aspect of our operations.  As stewards of our company culture, they uphold our core principles of faith, family and fun, ensuring that we remain at the forefront of our industry and continue to exceed the expectations of our stakeholders.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Lending Activities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General</w:t>
      </w:r>
      <w:r>
        <w:rPr>
          <w:rFonts w:ascii="Times New Roman" w:hAnsi="Times New Roman"/>
          <w:color w:val="000000"/>
          <w:sz w:val="20"/>
          <w:shd w:fill="FFFFFF" w:val="clear"/>
        </w:rPr>
        <w:t>. We adhere to what we believe are disciplined underwriting standards, but also remain cognizant of serving the credit 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Credit Concentrations</w:t>
      </w:r>
      <w:r>
        <w:rPr>
          <w:rFonts w:ascii="Times New Roman" w:hAnsi="Times New Roman"/>
          <w:color w:val="000000"/>
          <w:sz w:val="20"/>
          <w:shd w:fill="FFFFFF" w:val="clear"/>
        </w:rPr>
        <w:t>. In connection with the management of our credit portfolio, we actively manage the composition of our loan portfolio, including credit 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Loan Approval Process</w:t>
      </w:r>
      <w:r>
        <w:rPr>
          <w:rFonts w:ascii="Times New Roman" w:hAnsi="Times New Roman"/>
          <w:color w:val="000000"/>
          <w:sz w:val="20"/>
          <w:shd w:fill="FFFFFF" w:val="clear"/>
        </w:rPr>
        <w:t>. We seek to achieve an appropriate balance between prudent, disciplined underwriting and flexibility in our decision-making and responsiveness to our customers. Our Board requires new loans over $5 million to relationships in excess of $20 million to be reported to the Board Credit Risk Committee. As of December 31, 2023, the Bank had a legal lending limit of approximately $112.7 million. As of that date, our 20 largest borrowing relationships ranged from approximately $25.0 million to $54.4 million (including unfunded commitments) and totaled approximately $676.0 million in total commitments (representing, in the aggregate, 18.7% of our total outstanding commitments).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credit approval policies provide for various levels of officer and senior management lending authority for new credits and renewals, which are based on position, capability and experience. Loans in excess of an individual officer’s lending limit up to $3 million may be approved with joint authorities of a market president and a senior credit officer. Loan relationships over $3 million are approved by our Executive Loan Committee. These limits are reviewed periodically by the Bank’s Board. We believe that our credit approval process provides for thorough underwriting and efficient decision-making.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Credit Risk Management</w:t>
      </w:r>
      <w:r>
        <w:rPr>
          <w:rFonts w:ascii="Times New Roman" w:hAnsi="Times New Roman"/>
          <w:color w:val="000000"/>
          <w:sz w:val="20"/>
          <w:shd w:fill="FFFFFF" w:val="clear"/>
        </w:rPr>
        <w:t>. Credit risk management involves a partnership between our loan officers and our credit approval, credit administration and collections personnel. Loan delinquencies and exceptions are constantly monitored by credit personnel and consultations with loan officers occur as often as daily. Our performance evaluation program for our loan officers includes significant credit quality metric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policies require rapid notification of delinquency and prompt initiation of collection actions. Loan officers, credit administration personnel, and senior management proactively support collection activities.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accordance with our credit risk management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review of at least 60% of the total dollar amount of the loan portfolio.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Investments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manage our securities portfolio primarily for liquidity purposes, including depositor and borrower funding requirements and availability as collateral for public fund deposits, with a secondary focus on interest income. Our securities portfolio is classified as either available-for-sale or held-to-maturity and can be used for pledging on public deposits, selling under repurchase agreements and meeting unforeseen liquidity needs. The investments in our securities portfolio are a variety of high-grade securities, including government agency securities, government guaranteed mortgage backed securities and municipal securities.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pStyle w:val="TextBody"/>
        <w:bidi w:val="0"/>
        <w:spacing w:before="0" w:after="0"/>
        <w:ind w:left="0" w:right="0" w:firstLine="359"/>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Sources of Funds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Deposits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Borrowings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addition to deposits, we may utilize advances from the Federal Home Loan Bank of Dallas (the “FHLB”), and other borrowings, such as a line of credit with the Federal Reserve Bank of Dallas (the “FRB”), uncollateralized lines of credit with multiple banks, subordinated debt, and junior subordinated deferrable interest debentures as supplementary funding sources to finance our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Other Banking Services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Mortgage Banking</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mortgage originations totaled $322.1 million for the year ended December 31, 2023 and we sold the servicing on approximately 58% of those mortgages. We originate mortgages primarily from our branches or loan production offices in Lubbock, El Paso, College Station, Abilene, Arlington, Austin, Dallas, Dripping Springs, Forney, Fort Worth, Grand Prairie, Houston, Midland, Southlake, and Waco, Texas. We refer to our loan production offices as mortgage offices. While our mortgage operation represents a sizable component of our total noninterest income, comprising 17%, or $13.8 million, for the year ended December 31, 2023, we view the mortgage business as an ancillary part of our operations. Within our mortgage origination portfolio, refinances of existing mortgages represented 19% of total mortgage originations in the year ended December 31, 2023. We retain mortgage servicing rights from time to time when we sell mortgages to third parties. As of December 31, 2023, we serviced $2.0 billion of mortgages that we originated and sold to third parties.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leverage a variety of digital reporting tools to increase the efficiency of the underwriting process, enhance loan production and boost overall margins while keeping expenses to a minimum. New market expansion will depend primarily on opportunities to hire and retain high quality loan origination staff. Additionally, existing markets are monitored for profitability and efficiencies to determine if we would need to exit any locations.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Trust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individual retirement accounts (“IRAs”), simplified employee pensions plans, employee stock ownership plans, defined benefit plans, profit-sharing plans, Keoghs and managed IRAs. Our trust department had $437 million of assets under management at December 31, 2023, and contributed $2.4 million of fee income for the year ended December 31,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Investment Center at City Bank provides a variety of investments offered through Raymond James Financial Services, Inc. (Member FINRA/SIPC) including self-directed IRAs, money market funds, 401(k) plans, mutual funds, annuities and tax-deferred annuities, stocks and bonds, investments for non-U.S. residents, treasury bills, treasury notes and bonds and tax-exempt municipal bonds. Gross revenue derived from our investment services for the year ended December 31, 2023 was $1.7 million with $598.6 million in assets under management at December 31,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SUPERVISION AND REGULATION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Regulatory Capital Requirements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The risk-based guidelines apply on a consolidated basis to bank holding companies with consolidated assets of $3 billion or more, such as the Company, or with a material amount of equity securities outstanding that are registered with the SEC. The federal banking agencies may change existing capital guidelines or adopt new capital guidelines in the future and often expect high growth or acquisitive bank holding companies to maintain capital positions substantially above the minimum supervisory levels. In addition, the federal banking agencies have required many banks and bank holding companies subject to enforcement actions to maintain capital ratios in excess of the minimum ratios otherwise required to be deemed “well-capitalized” and have subjected such institutions to restrictions on various activities, including a bank’s ability to accept or renew brokered deposits.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pStyle w:val="TextBody"/>
        <w:bidi w:val="0"/>
        <w:spacing w:before="0" w:after="0"/>
        <w:ind w:left="0" w:right="0" w:firstLine="359"/>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Capital Rules also establish a “capital conservation buffer” of 2.5% above the regulatory minimum risk-based capital requirements. An institution is subject to limitations on certain activities, including payment of dividends, share repurchases and discretionary bonuses to executive officers, if its capital level is below the buffered ratio.</w:t>
      </w:r>
    </w:p>
    <w:p>
      <w:pPr>
        <w:pStyle w:val="TextBody"/>
        <w:bidi w:val="0"/>
        <w:spacing w:before="0" w:after="0"/>
        <w:ind w:left="0" w:right="0" w:firstLine="359"/>
        <w:jc w:val="both"/>
        <w:rPr>
          <w:color w:val="000000"/>
        </w:rPr>
      </w:pPr>
      <w:r>
        <w:rPr>
          <w:color w:val="000000"/>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minimum capital ratios are summarized in the table below.</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498"/>
        <w:gridCol w:w="60"/>
        <w:gridCol w:w="132"/>
        <w:gridCol w:w="979"/>
        <w:gridCol w:w="215"/>
        <w:gridCol w:w="60"/>
        <w:gridCol w:w="166"/>
        <w:gridCol w:w="1219"/>
        <w:gridCol w:w="215"/>
        <w:gridCol w:w="60"/>
        <w:gridCol w:w="134"/>
        <w:gridCol w:w="1251"/>
        <w:gridCol w:w="216"/>
      </w:tblGrid>
      <w:tr>
        <w:trPr/>
        <w:tc>
          <w:tcPr>
            <w:tcW w:w="54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Basel III</w:t>
            </w:r>
          </w:p>
          <w:p>
            <w:pPr>
              <w:pStyle w:val="TableContents"/>
              <w:bidi w:val="0"/>
              <w:spacing w:before="0" w:after="0"/>
              <w:jc w:val="center"/>
              <w:rPr>
                <w:b/>
                <w:color w:val="000000"/>
              </w:rPr>
            </w:pPr>
            <w:r>
              <w:rPr>
                <w:b/>
                <w:color w:val="000000"/>
              </w:rPr>
              <w:t>Minimum</w:t>
            </w:r>
          </w:p>
          <w:p>
            <w:pPr>
              <w:pStyle w:val="TableContents"/>
              <w:bidi w:val="0"/>
              <w:spacing w:before="0" w:after="0"/>
              <w:jc w:val="center"/>
              <w:rPr>
                <w:b/>
                <w:color w:val="000000"/>
              </w:rPr>
            </w:pPr>
            <w:r>
              <w:rPr>
                <w:b/>
                <w:color w:val="000000"/>
              </w:rPr>
              <w:t>for Capital</w:t>
            </w:r>
          </w:p>
          <w:p>
            <w:pPr>
              <w:pStyle w:val="TableContents"/>
              <w:bidi w:val="0"/>
              <w:spacing w:before="0" w:after="0"/>
              <w:jc w:val="center"/>
              <w:rPr>
                <w:b/>
                <w:color w:val="000000"/>
              </w:rPr>
            </w:pPr>
            <w:r>
              <w:rPr>
                <w:b/>
                <w:color w:val="000000"/>
              </w:rPr>
              <w:t>Adequacy</w:t>
            </w:r>
          </w:p>
          <w:p>
            <w:pPr>
              <w:pStyle w:val="TableContents"/>
              <w:bidi w:val="0"/>
              <w:spacing w:before="0" w:after="0"/>
              <w:jc w:val="center"/>
              <w:rPr>
                <w:b/>
                <w:color w:val="000000"/>
              </w:rPr>
            </w:pPr>
            <w:r>
              <w:rPr>
                <w:b/>
                <w:color w:val="000000"/>
              </w:rPr>
              <w:t>Purposes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Basel III</w:t>
            </w:r>
          </w:p>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Capital</w:t>
            </w:r>
          </w:p>
          <w:p>
            <w:pPr>
              <w:pStyle w:val="TableContents"/>
              <w:bidi w:val="0"/>
              <w:spacing w:before="0" w:after="0"/>
              <w:jc w:val="center"/>
              <w:rPr>
                <w:b/>
                <w:color w:val="000000"/>
              </w:rPr>
            </w:pPr>
            <w:r>
              <w:rPr>
                <w:b/>
                <w:color w:val="000000"/>
              </w:rPr>
              <w:t>Conservation</w:t>
            </w:r>
          </w:p>
          <w:p>
            <w:pPr>
              <w:pStyle w:val="TableContents"/>
              <w:bidi w:val="0"/>
              <w:spacing w:before="0" w:after="0"/>
              <w:jc w:val="center"/>
              <w:rPr>
                <w:b/>
                <w:color w:val="000000"/>
              </w:rPr>
            </w:pPr>
            <w:r>
              <w:rPr>
                <w:b/>
                <w:color w:val="000000"/>
              </w:rPr>
              <w:t>Buffer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Basel III</w:t>
            </w:r>
          </w:p>
          <w:p>
            <w:pPr>
              <w:pStyle w:val="TableContents"/>
              <w:bidi w:val="0"/>
              <w:spacing w:before="0" w:after="0"/>
              <w:jc w:val="center"/>
              <w:rPr>
                <w:b/>
                <w:color w:val="000000"/>
              </w:rPr>
            </w:pPr>
            <w:r>
              <w:rPr>
                <w:b/>
                <w:color w:val="000000"/>
              </w:rPr>
              <w:t>Ratio with</w:t>
            </w:r>
          </w:p>
          <w:p>
            <w:pPr>
              <w:pStyle w:val="TableContents"/>
              <w:bidi w:val="0"/>
              <w:spacing w:before="0" w:after="0"/>
              <w:jc w:val="center"/>
              <w:rPr>
                <w:b/>
                <w:color w:val="000000"/>
              </w:rPr>
            </w:pPr>
            <w:r>
              <w:rPr>
                <w:b/>
                <w:color w:val="000000"/>
              </w:rPr>
              <w:t>Capital</w:t>
            </w:r>
          </w:p>
          <w:p>
            <w:pPr>
              <w:pStyle w:val="TableContents"/>
              <w:bidi w:val="0"/>
              <w:spacing w:before="0" w:after="0"/>
              <w:jc w:val="center"/>
              <w:rPr>
                <w:b/>
                <w:color w:val="000000"/>
              </w:rPr>
            </w:pPr>
            <w:r>
              <w:rPr>
                <w:b/>
                <w:color w:val="000000"/>
              </w:rPr>
              <w:t>Conservation</w:t>
            </w:r>
          </w:p>
          <w:p>
            <w:pPr>
              <w:pStyle w:val="TableContents"/>
              <w:bidi w:val="0"/>
              <w:spacing w:before="0" w:after="0"/>
              <w:jc w:val="center"/>
              <w:rPr>
                <w:b/>
                <w:color w:val="000000"/>
              </w:rPr>
            </w:pPr>
            <w:r>
              <w:rPr>
                <w:b/>
                <w:color w:val="000000"/>
              </w:rPr>
              <w:t>Buffer</w:t>
            </w:r>
          </w:p>
        </w:tc>
        <w:tc>
          <w:tcPr>
            <w:tcW w:w="216" w:type="dxa"/>
            <w:tcBorders/>
            <w:vAlign w:val="bottom"/>
          </w:tcPr>
          <w:p>
            <w:pPr>
              <w:pStyle w:val="TableContents"/>
              <w:bidi w:val="0"/>
              <w:spacing w:before="0" w:after="283"/>
              <w:jc w:val="left"/>
              <w:rPr/>
            </w:pPr>
            <w:r>
              <w:rPr/>
              <w:t> </w:t>
            </w:r>
          </w:p>
        </w:tc>
      </w:tr>
      <w:tr>
        <w:trPr/>
        <w:tc>
          <w:tcPr>
            <w:tcW w:w="5498" w:type="dxa"/>
            <w:tcBorders/>
            <w:shd w:fill="CCEEFF" w:val="clear"/>
            <w:vAlign w:val="bottom"/>
          </w:tcPr>
          <w:p>
            <w:pPr>
              <w:pStyle w:val="TableContents"/>
              <w:bidi w:val="0"/>
              <w:spacing w:before="0" w:after="0"/>
              <w:ind w:left="144" w:right="0" w:hanging="144"/>
              <w:jc w:val="left"/>
              <w:rPr>
                <w:color w:val="000000"/>
              </w:rPr>
            </w:pPr>
            <w:r>
              <w:rPr>
                <w:color w:val="000000"/>
              </w:rPr>
              <w:t>Total risk based capital (total capital to risk-weighted assets)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color w:val="000000"/>
              </w:rPr>
            </w:pPr>
            <w:r>
              <w:rPr>
                <w:color w:val="000000"/>
              </w:rPr>
              <w:t>8.00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0"/>
              <w:jc w:val="right"/>
              <w:rPr>
                <w:color w:val="000000"/>
              </w:rPr>
            </w:pPr>
            <w:r>
              <w:rPr>
                <w:color w:val="000000"/>
              </w:rPr>
              <w:t>2.50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0"/>
              <w:jc w:val="right"/>
              <w:rPr>
                <w:color w:val="000000"/>
              </w:rPr>
            </w:pPr>
            <w:r>
              <w:rPr>
                <w:color w:val="000000"/>
              </w:rPr>
              <w:t>10.50</w:t>
            </w:r>
          </w:p>
        </w:tc>
        <w:tc>
          <w:tcPr>
            <w:tcW w:w="216" w:type="dxa"/>
            <w:tcBorders/>
            <w:shd w:fill="CCEEFF" w:val="clear"/>
            <w:vAlign w:val="bottom"/>
          </w:tcPr>
          <w:p>
            <w:pPr>
              <w:pStyle w:val="TableContents"/>
              <w:bidi w:val="0"/>
              <w:spacing w:before="0" w:after="0"/>
              <w:jc w:val="left"/>
              <w:rPr>
                <w:color w:val="000000"/>
              </w:rPr>
            </w:pPr>
            <w:r>
              <w:rPr>
                <w:color w:val="000000"/>
              </w:rPr>
              <w:t>%</w:t>
            </w:r>
          </w:p>
        </w:tc>
      </w:tr>
      <w:tr>
        <w:trPr/>
        <w:tc>
          <w:tcPr>
            <w:tcW w:w="5498" w:type="dxa"/>
            <w:tcBorders/>
            <w:vAlign w:val="bottom"/>
          </w:tcPr>
          <w:p>
            <w:pPr>
              <w:pStyle w:val="TableContents"/>
              <w:bidi w:val="0"/>
              <w:spacing w:before="0" w:after="0"/>
              <w:ind w:left="144" w:right="0" w:hanging="144"/>
              <w:jc w:val="left"/>
              <w:rPr>
                <w:color w:val="000000"/>
              </w:rPr>
            </w:pPr>
            <w:r>
              <w:rPr>
                <w:color w:val="000000"/>
              </w:rPr>
              <w:t>Tier 1 risk based capital (Tier 1 to risk-weighted assets)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color w:val="000000"/>
              </w:rPr>
            </w:pPr>
            <w:r>
              <w:rPr>
                <w:color w:val="000000"/>
              </w:rPr>
              <w:t>6.00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0"/>
              <w:jc w:val="right"/>
              <w:rPr>
                <w:color w:val="000000"/>
              </w:rPr>
            </w:pPr>
            <w:r>
              <w:rPr>
                <w:color w:val="000000"/>
              </w:rPr>
              <w:t>2.50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0"/>
              <w:jc w:val="right"/>
              <w:rPr>
                <w:color w:val="000000"/>
              </w:rPr>
            </w:pPr>
            <w:r>
              <w:rPr>
                <w:color w:val="000000"/>
              </w:rPr>
              <w:t>8.50</w:t>
            </w:r>
          </w:p>
        </w:tc>
        <w:tc>
          <w:tcPr>
            <w:tcW w:w="216" w:type="dxa"/>
            <w:tcBorders/>
            <w:vAlign w:val="bottom"/>
          </w:tcPr>
          <w:p>
            <w:pPr>
              <w:pStyle w:val="TableContents"/>
              <w:bidi w:val="0"/>
              <w:spacing w:before="0" w:after="0"/>
              <w:jc w:val="left"/>
              <w:rPr>
                <w:color w:val="000000"/>
              </w:rPr>
            </w:pPr>
            <w:r>
              <w:rPr>
                <w:color w:val="000000"/>
              </w:rPr>
              <w:t>%</w:t>
            </w:r>
          </w:p>
        </w:tc>
      </w:tr>
      <w:tr>
        <w:trPr/>
        <w:tc>
          <w:tcPr>
            <w:tcW w:w="5498" w:type="dxa"/>
            <w:tcBorders/>
            <w:shd w:fill="CCEEFF" w:val="clear"/>
            <w:vAlign w:val="bottom"/>
          </w:tcPr>
          <w:p>
            <w:pPr>
              <w:pStyle w:val="TableContents"/>
              <w:bidi w:val="0"/>
              <w:spacing w:before="0" w:after="0"/>
              <w:ind w:left="144" w:right="0" w:hanging="144"/>
              <w:jc w:val="left"/>
              <w:rPr>
                <w:color w:val="000000"/>
              </w:rPr>
            </w:pPr>
            <w:r>
              <w:rPr>
                <w:color w:val="000000"/>
              </w:rPr>
              <w:t>Common equity Tier 1 risk based capital (CET1 to risk-weighted assets)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0"/>
              <w:jc w:val="right"/>
              <w:rPr>
                <w:color w:val="000000"/>
              </w:rPr>
            </w:pPr>
            <w:r>
              <w:rPr>
                <w:color w:val="000000"/>
              </w:rPr>
              <w:t>4.50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0"/>
              <w:jc w:val="right"/>
              <w:rPr>
                <w:color w:val="000000"/>
              </w:rPr>
            </w:pPr>
            <w:r>
              <w:rPr>
                <w:color w:val="000000"/>
              </w:rPr>
              <w:t>2.50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0"/>
              <w:jc w:val="right"/>
              <w:rPr>
                <w:color w:val="000000"/>
              </w:rPr>
            </w:pPr>
            <w:r>
              <w:rPr>
                <w:color w:val="000000"/>
              </w:rPr>
              <w:t>7.00</w:t>
            </w:r>
          </w:p>
        </w:tc>
        <w:tc>
          <w:tcPr>
            <w:tcW w:w="216" w:type="dxa"/>
            <w:tcBorders/>
            <w:shd w:fill="CCEEFF" w:val="clear"/>
            <w:vAlign w:val="bottom"/>
          </w:tcPr>
          <w:p>
            <w:pPr>
              <w:pStyle w:val="TableContents"/>
              <w:bidi w:val="0"/>
              <w:spacing w:before="0" w:after="0"/>
              <w:jc w:val="left"/>
              <w:rPr>
                <w:color w:val="000000"/>
              </w:rPr>
            </w:pPr>
            <w:r>
              <w:rPr>
                <w:color w:val="000000"/>
              </w:rPr>
              <w:t>%</w:t>
            </w:r>
          </w:p>
        </w:tc>
      </w:tr>
      <w:tr>
        <w:trPr/>
        <w:tc>
          <w:tcPr>
            <w:tcW w:w="5498" w:type="dxa"/>
            <w:tcBorders/>
            <w:vAlign w:val="bottom"/>
          </w:tcPr>
          <w:p>
            <w:pPr>
              <w:pStyle w:val="TableContents"/>
              <w:bidi w:val="0"/>
              <w:spacing w:before="0" w:after="0"/>
              <w:ind w:left="144" w:right="0" w:hanging="144"/>
              <w:jc w:val="left"/>
              <w:rPr>
                <w:color w:val="000000"/>
              </w:rPr>
            </w:pPr>
            <w:r>
              <w:rPr>
                <w:color w:val="000000"/>
              </w:rPr>
              <w:t>Tier 1 leverage ratio (Tier 1 to average assets)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0"/>
              <w:jc w:val="right"/>
              <w:rPr>
                <w:color w:val="000000"/>
              </w:rPr>
            </w:pPr>
            <w:r>
              <w:rPr>
                <w:color w:val="000000"/>
              </w:rPr>
              <w:t>4.00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0"/>
              <w:jc w:val="right"/>
              <w:rPr>
                <w:color w:val="000000"/>
              </w:rPr>
            </w:pPr>
            <w:r>
              <w:rPr>
                <w:color w:val="000000"/>
              </w:rPr>
              <w:t>4.00</w:t>
            </w:r>
          </w:p>
        </w:tc>
        <w:tc>
          <w:tcPr>
            <w:tcW w:w="216"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assigning exposures secured by single-family residential properties to either a 50% risk weight for first-lien mortgages that meet prudent underwriting standards or a 100% risk weight category for all other mortgages;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providing for a 20% credit conversion factor for the unused portion of a commitment with an original maturity of one year or less that is not unconditionally cancellable (increased from 0% under the previous risk-based capital rules);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applying a 150% risk weight instead of a 100% risk weight for certain high-volatility commercial real estate, or HVCRE, loans, or acquisition, development, and construction, or ADC, loans;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the Company’s and the Bank’s capital ratios exceeded the minimum capital adequacy guideline percentage requirements under the Basel III Capital Rules on a fully phased-in basis.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Community Bank Leverage Ratio</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The final rule became effective on January 1, 2020, and the CBLR framework became available for banks to use beginning with their March 31, 2020 Call Reports.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 In order to qualify for the CBLR framework, a QCBO must have a tier 1 leverage ratio of greater than 9%, less than $10 billion in total consolidated assets, and limited amounts of off-balance-sheet exposures and trading assets and liabilities.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Although the Company and the Bank are QCBOs, the Company and the Bank have currently not elected to opt in to the CBLR framework at this time and will continue to follow the capital requirements under the Basel III Capital Rules as described above.</w:t>
      </w:r>
    </w:p>
    <w:p>
      <w:pPr>
        <w:pStyle w:val="TextBody"/>
        <w:bidi w:val="0"/>
        <w:spacing w:before="0" w:after="0"/>
        <w:ind w:left="0" w:right="0" w:firstLine="359"/>
        <w:jc w:val="both"/>
        <w:rPr>
          <w:color w:val="000000"/>
        </w:rPr>
      </w:pPr>
      <w:r>
        <w:rPr>
          <w:color w:val="00000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Prompt Corrective Action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 Accordingly, a financial institution may be considered “well-capitalized” under the prompt corrective action framework, but not satisfy the full Basel III capital ratios. Generally, a financial institution must be “well capitalized” before the Federal Reserve will approve an application by a bank holding company to acquire a bank or merge with a bank holding company. The FDIC applies the same requirement in approving bank merger applications.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the Bank met the requirements for being deemed “well-capitalized” for purposes of the prompt corrective action regulations.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Enforcement Powers of Federal and State Banking Agencies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Company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General</w:t>
      </w:r>
      <w:r>
        <w:rPr>
          <w:rFonts w:ascii="Times New Roman" w:hAnsi="Times New Roman"/>
          <w:color w:val="000000"/>
          <w:sz w:val="20"/>
          <w:shd w:fill="FFFFFF" w:val="clear"/>
        </w:rPr>
        <w:t>. As a bank holding company, the Company is subject to regulation and supervision by the Federal Reserve under the 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pStyle w:val="TextBody"/>
        <w:bidi w:val="0"/>
        <w:spacing w:before="0" w:after="0"/>
        <w:ind w:left="0" w:right="0" w:firstLine="3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Acquisitions, Activities and Change in Control</w:t>
      </w:r>
      <w:r>
        <w:rPr>
          <w:rFonts w:ascii="Times New Roman" w:hAnsi="Times New Roman"/>
          <w:color w:val="000000"/>
          <w:sz w:val="20"/>
          <w:shd w:fill="FFFFFF" w:val="clear"/>
        </w:rPr>
        <w:t>. The BHCA generally requires the prior approval by the Federal Reserve for 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BHCA also prohibits any company from acquiring “control” of a bank or bank holding company without prior notice to the appropriate federal bank regulator. “Control” is conclusively presumed to exist upon the acquisition of 25% or more of the outstanding voting securities of a bank or bank holding company, but may arise based on the facts and circumstances even with ownership below 5.00% up to 24.99% ownership. The Federal Reserve’s regulations related to determinations of whether a company has “control” over another company, including a bank holding company or a bank, for purposes of the BHCA, include a tiered system of non-control presumptions based upon the percentage of any class of voting securities held by an acquirer and the presence of other indicia of control. The four categories of tiered presumptions of non-control, based upon the percentage of ownership of any class of voting securities held by an acquirer, are (i) less than 5%, (ii) 5% to 9.99%, (iii) 10% to 14.99%, and (iv) 15% to 24.99%. These regulations provide greater transparency with respect to the total level of equity, representative directors, management interlocks, limiting contractual provisions and business relationships that would be permissible to the Federal Reserve in order to avoid a determination of control. These regulations apply to control determinations under the BHCA, but do not apply to the Change in Bank Control Act, as amended (the “CIBC Act”).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CIBC Act and the related regulations of the Federal Reserve generally provide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or more of the outstanding shares of any class of voting securities of another company. Accordingly, the CIBC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CIBC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Permissible Activities</w:t>
      </w:r>
      <w:r>
        <w:rPr>
          <w:rFonts w:ascii="Times New Roman" w:hAnsi="Times New Roman"/>
          <w:color w:val="000000"/>
          <w:sz w:val="20"/>
          <w:shd w:fill="FFFFFF" w:val="clear"/>
        </w:rPr>
        <w:t>. The BHCA and the implementing regulations of the Federal Reserve generally prohibit the Company from controlling or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pStyle w:val="TextBody"/>
        <w:bidi w:val="0"/>
        <w:spacing w:before="0" w:after="0"/>
        <w:ind w:left="0" w:right="0" w:firstLine="3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Additionally, bank holding companies that qualify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Source of Strength</w:t>
      </w:r>
      <w:r>
        <w:rPr>
          <w:rFonts w:ascii="Times New Roman" w:hAnsi="Times New Roman"/>
          <w:color w:val="000000"/>
          <w:sz w:val="20"/>
          <w:shd w:fill="FFFFFF" w:val="clear"/>
        </w:rPr>
        <w:t>. Federal Reserve policy historically required bank holding companies to act as a source of financial and 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Imposition of Liability for Undercapitalized Subsidiaries</w:t>
      </w:r>
      <w:r>
        <w:rPr>
          <w:rFonts w:ascii="Times New Roman" w:hAnsi="Times New Roman"/>
          <w:color w:val="000000"/>
          <w:sz w:val="20"/>
          <w:shd w:fill="FFFFFF" w:val="clear"/>
        </w:rPr>
        <w:t>. Bank regulators are required to take “prompt corrective action” to resolve problems associated with insured depository institutions whose capital declines below certain levels. In the event an institution becomes “undercapitalized,” it must submit a capital restoration plan to its 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Safe and Sound Banking Practices</w:t>
      </w:r>
      <w:r>
        <w:rPr>
          <w:rFonts w:ascii="Times New Roman" w:hAnsi="Times New Roman"/>
          <w:color w:val="000000"/>
          <w:sz w:val="20"/>
          <w:shd w:fill="FFFFFF" w:val="clear"/>
        </w:rPr>
        <w:t>. Bank holding companies and their non-banking subsidiaries are prohibited from 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Tie in Arrangements</w:t>
      </w:r>
      <w:r>
        <w:rPr>
          <w:rFonts w:ascii="Times New Roman" w:hAnsi="Times New Roman"/>
          <w:color w:val="000000"/>
          <w:sz w:val="20"/>
          <w:shd w:fill="FFFFFF" w:val="clear"/>
        </w:rPr>
        <w:t>. Federal law prohibits bank holding companies and any subsidiary banks from engaging in certain tie in 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Dividend Payments, Stock Redemptions and Repurchases</w:t>
      </w:r>
      <w:r>
        <w:rPr>
          <w:rFonts w:ascii="Times New Roman" w:hAnsi="Times New Roman"/>
          <w:color w:val="000000"/>
          <w:sz w:val="20"/>
          <w:shd w:fill="FFFFFF" w:val="clear"/>
        </w:rPr>
        <w:t>. The Company’s ability to pay dividends to its shareholders is 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Bank holding companies must consult with the Federal Reserve before redeeming any equity or other capital instrument included in Tier 1 or Tier 2 capital prior to stated maturity, if (x) such redemption could have a material effect on the level or composition of the organization’s capital base, or (y) as a result of such repurchase, there is a net reduction of the outstanding amount of common stock or preferred stock outstanding at the beginning of the quarter in which the redemption or repurchase occurs.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Bank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General</w:t>
      </w:r>
      <w:r>
        <w:rPr>
          <w:rFonts w:ascii="Times New Roman" w:hAnsi="Times New Roman"/>
          <w:color w:val="000000"/>
          <w:sz w:val="20"/>
          <w:shd w:fill="FFFFFF" w:val="clear"/>
        </w:rPr>
        <w:t>. City Bank is a Texas banking association and is subject to supervision, regulation and examination by the TDB and the FDIC. City Bank is also subject 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Depositor Preference</w:t>
      </w:r>
      <w:r>
        <w:rPr>
          <w:rFonts w:ascii="Times New Roman" w:hAnsi="Times New Roman"/>
          <w:color w:val="000000"/>
          <w:sz w:val="20"/>
          <w:shd w:fill="FFFFFF" w:val="clear"/>
        </w:rPr>
        <w: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Brokered Deposit Restrictions</w:t>
      </w:r>
      <w:r>
        <w:rPr>
          <w:rFonts w:ascii="Times New Roman" w:hAnsi="Times New Roman"/>
          <w:color w:val="000000"/>
          <w:sz w:val="20"/>
          <w:shd w:fill="FFFFFF" w:val="clear"/>
        </w:rPr>
        <w:t>. Well-capitalized institutions are not subject to limitations on brokered deposits, while 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2023, the Bank was eligible to accept brokered deposits without a waiver from the FDIC as the Bank was a well-capitalized institution.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Deposit Insurance</w:t>
      </w:r>
      <w:r>
        <w:rPr>
          <w:rFonts w:ascii="Times New Roman" w:hAnsi="Times New Roman"/>
          <w:color w:val="000000"/>
          <w:sz w:val="20"/>
          <w:shd w:fill="FFFFFF" w:val="clear"/>
        </w:rPr>
        <w:t>. As an FDIC-insured institution, the Bank is required to pay deposit insurance premiums to the FDIC. The 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On October 18, 2022, the FDIC adopted a final rule applicable to all insured depository institutions increasing initial base deposit insurance assessment rate schedules by 2 basis points, beginning in the first quarterly assessment period of 2023. The FDIC also issued a notice maintaining a DIF reserve ratio of 2.0% for 2023. The increase in assessment rate schedules is intended to increase the likelihood that the DIF reserve ratio reaches the statutory minimum of 1.35% by September 30, 2028, the statutory deadline set by the Dodd-Frank Act. The new assessment rate schedules will remain in effect unless and until the DIF reserve ratio meets or exceeds 2.0% in order to support growth in the DIF in progressing toward the FDIC’s long-term goal of a 2.0% designated reserve ratio for the DIF. FDIC staff may in the future recommend additional assessment rate adjustments if deemed necessary.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2023, the Bank paid $1,835,000 in FDIC deposit insurance premiums.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Audit Reports</w:t>
      </w:r>
      <w:r>
        <w:rPr>
          <w:rFonts w:ascii="Times New Roman" w:hAnsi="Times New Roman"/>
          <w:color w:val="000000"/>
          <w:sz w:val="20"/>
          <w:shd w:fill="FFFFFF" w:val="clear"/>
        </w:rPr>
        <w:t>. For insured institutions with total assets of $1.0 billion or more, financial statements prepared in accordance with generally accepted accounting 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Examination Assessments</w:t>
      </w:r>
      <w:r>
        <w:rPr>
          <w:rFonts w:ascii="Times New Roman" w:hAnsi="Times New Roman"/>
          <w:color w:val="000000"/>
          <w:sz w:val="20"/>
          <w:shd w:fill="FFFFFF" w:val="clear"/>
        </w:rPr>
        <w:t>. Texas-chartered banks are required to pay an annual assessment fee to the TDB to fund its operations. The fee is based on the amount of the bank’s assets at rates established by the Finance Commission of Texas. During the year ended December 31, 2023, the Bank paid examination assessments to the TDB totaling $255,000.</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Capital Requirements</w:t>
      </w:r>
      <w:r>
        <w:rPr>
          <w:rFonts w:ascii="Times New Roman" w:hAnsi="Times New Roman"/>
          <w:color w:val="000000"/>
          <w:sz w:val="20"/>
          <w:shd w:fill="FFFFFF" w:val="clear"/>
        </w:rPr>
        <w:t>. Banks are generally required to maintain minimum capital ratios. For a discussion of the capital requirements applicable to the Bank, see “Regulatory Capital Requirements” above.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Bank Reserves</w:t>
      </w:r>
      <w:r>
        <w:rPr>
          <w:rFonts w:ascii="Times New Roman" w:hAnsi="Times New Roman"/>
          <w:color w:val="000000"/>
          <w:sz w:val="20"/>
          <w:shd w:fill="FFFFFF" w:val="clear"/>
        </w:rPr>
        <w:t>. The Federal Reserve requires all depository institutions to maintain reserves against some transaction accounts (primarily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Liquidity Requirements</w:t>
      </w:r>
      <w:r>
        <w:rPr>
          <w:rFonts w:ascii="Times New Roman" w:hAnsi="Times New Roman"/>
          <w:color w:val="000000"/>
          <w:sz w:val="20"/>
          <w:shd w:fill="FFFFFF" w:val="clear"/>
        </w:rPr>
        <w:t>. Historically, regulation and monitoring of bank and bank holding company liquidity has been 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Dividend Payments</w:t>
      </w:r>
      <w:r>
        <w:rPr>
          <w:rFonts w:ascii="Times New Roman" w:hAnsi="Times New Roman"/>
          <w:color w:val="000000"/>
          <w:sz w:val="20"/>
          <w:shd w:fill="FFFFFF" w:val="clear"/>
        </w:rPr>
        <w:t>. The primary source of funds for the Company is dividends from the Bank. Unless the approval of the 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If the Bank’s capital becomes impaired or the FDIC or the TDB otherwise determines that the Bank needs more than normal supervision, the Bank may be prohibited or otherwise limited from paying any dividends or making any other capital distributions to the Company. Consequently, any restrictions on the ability of the Bank to pay dividends to the Company may, in turn, restrict the ability of the Company to pay dividends to shareholders. As described above, the Bank exceeded its minimum capital requirements under applicable regulatory guidelines as of December 31, 2023.</w:t>
      </w:r>
    </w:p>
    <w:p>
      <w:pPr>
        <w:pStyle w:val="TextBody"/>
        <w:bidi w:val="0"/>
        <w:spacing w:before="0" w:after="0"/>
        <w:ind w:left="0" w:right="0" w:firstLine="359"/>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Transactions with Affiliates</w:t>
      </w:r>
      <w:r>
        <w:rPr>
          <w:rFonts w:ascii="Times New Roman" w:hAnsi="Times New Roman"/>
          <w:color w:val="000000"/>
          <w:sz w:val="20"/>
          <w:shd w:fill="FFFFFF" w:val="clear"/>
        </w:rPr>
        <w:t>. The Bank is subject to sections 23A and 23B of the Federal Reserve Act, or the Affiliates Act, 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Financial Subsidiaries</w:t>
      </w:r>
      <w:r>
        <w:rPr>
          <w:rFonts w:ascii="Times New Roman" w:hAnsi="Times New Roman"/>
          <w:color w:val="000000"/>
          <w:sz w:val="20"/>
          <w:shd w:fill="FFFFFF" w:val="clear"/>
        </w:rPr>
        <w:t>. Under the Gramm-Leach-Bliley Act (“GLBA”), subject to certain conditions imposed by their respective banking regulators, 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2023, the Bank did not have any financial subsidiaries.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Loans to Directors, Executive Officers and Principal Shareholders</w:t>
      </w:r>
      <w:r>
        <w:rPr>
          <w:rFonts w:ascii="Times New Roman" w:hAnsi="Times New Roman"/>
          <w:color w:val="000000"/>
          <w:sz w:val="20"/>
          <w:shd w:fill="FFFFFF" w:val="clear"/>
        </w:rPr>
        <w:t>. The authority of the Bank to extend credit to its directors, 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In addition, these extensions of credit may not exceed, together with all other outstanding loans to such persons and affiliated entities, the Bank’s total capital and surplus. Any extension of credit to insiders above specified amounts must receive the prior approval of the Bank’s board of directors and the Bank must periodically report all loans made to directors and other insiders to the bank regulators. Any violation of these restrictions may result in the assessment of substantial civil monetary penalties on the Bank or any officer, director, employee, agent or other person participating in the conduct of the affairs of the Bank, the imposition of a cease and desist order, and other regulatory sanctions. As of December 31, 2023, the Bank’s total amount of lines of credit for loans to insiders and loans outstanding to insiders was $10.7 million.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Limits on Loans to One Borrower</w:t>
      </w:r>
      <w:r>
        <w:rPr>
          <w:rFonts w:ascii="Times New Roman" w:hAnsi="Times New Roman"/>
          <w:color w:val="000000"/>
          <w:sz w:val="20"/>
          <w:shd w:fill="FFFFFF" w:val="clear"/>
        </w:rPr>
        <w:t>. As a Texas banking association, the Bank is subject to limits on the amount of loans it can 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$112.7 million as of December 31, 2023.</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Safety and Soundness Standards / Risk Management</w:t>
      </w:r>
      <w:r>
        <w:rPr>
          <w:rFonts w:ascii="Times New Roman" w:hAnsi="Times New Roman"/>
          <w:color w:val="000000"/>
          <w:sz w:val="20"/>
          <w:shd w:fill="FFFFFF" w:val="clear"/>
        </w:rPr>
        <w:t>. The federal banking agencies have adopted guidelines establishing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Branching Authority</w:t>
      </w:r>
      <w:r>
        <w:rPr>
          <w:rFonts w:ascii="Times New Roman" w:hAnsi="Times New Roman"/>
          <w:color w:val="000000"/>
          <w:sz w:val="20"/>
          <w:shd w:fill="FFFFFF" w:val="clear"/>
        </w:rPr>
        <w:t>. Deposit-taking banking offices must be approved by the FDIC and, if such office is established within 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Bank may also establish banking offices in other states by merging with banks or by purchasing banking offices of other banks in other states, subject to certain restrictions.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Interstate Deposit Restrictions</w:t>
      </w:r>
      <w:r>
        <w:rPr>
          <w:rFonts w:ascii="Times New Roman" w:hAnsi="Times New Roman"/>
          <w:color w:val="000000"/>
          <w:sz w:val="20"/>
          <w:shd w:fill="FFFFFF" w:val="clear"/>
        </w:rPr>
        <w:t>. The Riegle-Neal Interstate Banking and Branching Efficiency Act of 1994 (“Interstate Act”), together with the Dodd-Frank Act, relaxed prior branching restrictions under federal law by permitting, subject to regulatory approval, banks to establish branches in states where the laws permit banks chartered in such states to establish branches.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For purposes of Section 109, the Bank’s home state is Texas and the Bank operates branches in one host state: New Mexico. The most recently published host state loan-to-deposit ratio using data as of June 30, 2022 reflects a statewide loan-to-deposit ratio in New Mexico of 53%. As of December 31, 2023, the Bank’s statewide loan-to-deposit ratio in New Mexico was 36%. Accordingly, management believes that the Bank is in compliance with Section 109 in New Mexico after application of the first step of the two-step test.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Community Reinvestment Act</w:t>
      </w:r>
      <w:r>
        <w:rPr>
          <w:rFonts w:ascii="Times New Roman" w:hAnsi="Times New Roman"/>
          <w:color w:val="000000"/>
          <w:sz w:val="20"/>
          <w:shd w:fill="FFFFFF" w:val="clear"/>
        </w:rPr>
        <w:t>. The CRA and the regulations issued thereunder are intended to encourage insured depository institutions, while operating safely 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Bank Secrecy Act, Anti-Money Laundering and the Office of Foreign Assets Control Regulation</w:t>
      </w:r>
      <w:r>
        <w:rPr>
          <w:rFonts w:ascii="Times New Roman" w:hAnsi="Times New Roman"/>
          <w:color w:val="000000"/>
          <w:sz w:val="20"/>
          <w:shd w:fill="FFFFFF" w:val="clear"/>
        </w:rPr>
        <w:t>. The Uniting and Strengthening America by Providing Appropriate Tools Required to Intercept and Obstruct Terrorism Act of 2001 (the “USA PATRIOT Act”) is designed to deny terrorists and criminals the ability to obtain access to the U.S. financial system and has significant implications for depository institutions, brokers, dealers and other businesses involved in the transfer of money. The USA PATRIOT Act substantially broadened the scope of U.S. anti-money laundering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Among other requirements, federal laws, including the Bank Secrecy Act (“BSA”), as amended by the USA PATRIOT Act and as further amended by the National Defense Authorization Act for Fiscal Year 2021 (the “National Defense Authorization Act”), and implementing regulations, require banks to establish and maintain AML programs that include, at a minimum:</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internal policies, procedures and controls designed to implement and maintain the bank’s compliance with all of the requirements of the BSA, the USA PATRIOT Act, the National Defense Authorization Act and related laws and regulations;</w:t>
            </w:r>
          </w:p>
        </w:tc>
      </w:tr>
    </w:tbl>
    <w:p>
      <w:pPr>
        <w:pStyle w:val="TextBody"/>
        <w:bidi w:val="0"/>
        <w:spacing w:before="0" w:after="0"/>
        <w:jc w:val="left"/>
        <w:rPr/>
      </w:pPr>
      <w:r>
        <w:rPr/>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570" w:type="dxa"/>
            <w:tcBorders/>
            <w:vAlign w:val="center"/>
          </w:tcPr>
          <w:p>
            <w:pPr>
              <w:pStyle w:val="TableContents"/>
              <w:bidi w:val="0"/>
              <w:spacing w:before="0" w:after="0"/>
              <w:jc w:val="both"/>
              <w:rPr>
                <w:color w:val="000000"/>
              </w:rPr>
            </w:pPr>
            <w:r>
              <w:rPr>
                <w:color w:val="000000"/>
              </w:rPr>
              <w:t>systems and procedures for monitoring and reporting suspicious transactions and activities;</w:t>
            </w:r>
          </w:p>
        </w:tc>
      </w:tr>
    </w:tbl>
    <w:p>
      <w:pPr>
        <w:pStyle w:val="TextBody"/>
        <w:bidi w:val="0"/>
        <w:spacing w:before="0" w:after="0"/>
        <w:jc w:val="left"/>
        <w:rPr/>
      </w:pPr>
      <w:r>
        <w:rPr/>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080" w:type="dxa"/>
            <w:tcBorders/>
            <w:vAlign w:val="center"/>
          </w:tcPr>
          <w:p>
            <w:pPr>
              <w:pStyle w:val="TableContents"/>
              <w:bidi w:val="0"/>
              <w:spacing w:before="0" w:after="0"/>
              <w:jc w:val="both"/>
              <w:rPr>
                <w:color w:val="000000"/>
              </w:rPr>
            </w:pPr>
            <w:r>
              <w:rPr>
                <w:color w:val="000000"/>
              </w:rPr>
              <w:t>a designated compliance officer;</w:t>
            </w:r>
          </w:p>
        </w:tc>
      </w:tr>
    </w:tbl>
    <w:p>
      <w:pPr>
        <w:pStyle w:val="TextBody"/>
        <w:bidi w:val="0"/>
        <w:spacing w:before="0" w:after="0"/>
        <w:jc w:val="left"/>
        <w:rPr/>
      </w:pPr>
      <w:r>
        <w:rPr/>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1790" w:type="dxa"/>
            <w:tcBorders/>
            <w:vAlign w:val="center"/>
          </w:tcPr>
          <w:p>
            <w:pPr>
              <w:pStyle w:val="TableContents"/>
              <w:bidi w:val="0"/>
              <w:spacing w:before="0" w:after="0"/>
              <w:jc w:val="both"/>
              <w:rPr>
                <w:color w:val="000000"/>
              </w:rPr>
            </w:pPr>
            <w:r>
              <w:rPr>
                <w:color w:val="000000"/>
              </w:rPr>
              <w:t>employee training;</w:t>
            </w:r>
          </w:p>
        </w:tc>
      </w:tr>
    </w:tbl>
    <w:p>
      <w:pPr>
        <w:pStyle w:val="TextBody"/>
        <w:bidi w:val="0"/>
        <w:spacing w:before="0" w:after="0"/>
        <w:jc w:val="left"/>
        <w:rPr/>
      </w:pPr>
      <w:r>
        <w:rPr/>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315" w:type="dxa"/>
            <w:tcBorders/>
            <w:vAlign w:val="center"/>
          </w:tcPr>
          <w:p>
            <w:pPr>
              <w:pStyle w:val="TableContents"/>
              <w:bidi w:val="0"/>
              <w:spacing w:before="0" w:after="0"/>
              <w:jc w:val="both"/>
              <w:rPr>
                <w:color w:val="000000"/>
              </w:rPr>
            </w:pPr>
            <w:r>
              <w:rPr>
                <w:color w:val="000000"/>
              </w:rPr>
              <w:t>an independent audit function to test the AML program;</w:t>
            </w:r>
          </w:p>
        </w:tc>
      </w:tr>
    </w:tbl>
    <w:p>
      <w:pPr>
        <w:pStyle w:val="TextBody"/>
        <w:bidi w:val="0"/>
        <w:spacing w:before="0" w:after="0"/>
        <w:jc w:val="left"/>
        <w:rPr/>
      </w:pPr>
      <w:r>
        <w:rPr/>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015" w:type="dxa"/>
            <w:tcBorders/>
            <w:vAlign w:val="center"/>
          </w:tcPr>
          <w:p>
            <w:pPr>
              <w:pStyle w:val="TableContents"/>
              <w:bidi w:val="0"/>
              <w:spacing w:before="0" w:after="0"/>
              <w:jc w:val="both"/>
              <w:rPr>
                <w:color w:val="000000"/>
              </w:rPr>
            </w:pPr>
            <w:r>
              <w:rPr>
                <w:color w:val="000000"/>
              </w:rPr>
              <w:t>procedures to verify the identity of each customer upon the opening of accounts;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heightened due diligence policies, procedures and controls applicable to certain foreign accounts and relationships.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Additionally, the USA PATRIOT Act requires each financial institution to develop a customer identification program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freezing or blocking accounts of, and transactions with, such targets and countries, prohibiting unlicensed trade and financial transactions with them and reporting blocked transactions after their occurrence.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Financial Crimes Enforcement Network (“FinCEN”)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Further, on January 1, 2021, Congress passed the National Defense Authorization Act, which enacted the most significant overhaul of the BSA and related AML laws since the USA PATRIOT Act. Notable amendments include (1)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(3) 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Failure of a financial institution to maintain and implement adequate AML and OFAC programs, or to comply with all of the relevant laws or regulations, could have serious legal and reputational consequences for the institution.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Concentrations in Commercial Real Estate</w:t>
      </w:r>
      <w:r>
        <w:rPr>
          <w:rFonts w:ascii="Times New Roman" w:hAnsi="Times New Roman"/>
          <w:color w:val="000000"/>
          <w:sz w:val="20"/>
          <w:shd w:fill="FFFFFF" w:val="clear"/>
        </w:rPr>
        <w:t>. The federal banking agencies have promulgated guidance governing financial 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2023, the Company did not exceed the levels to be considered to have a concentration in commercial real estate lending and believes its credit administration to be consistent with the published policy statement.</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Basel III Capital Rules also require loans categorized as “high-volatility commercial real estate,” or HVCRE, to be assigned a 150% risk weighting and require additional capital support. However, the EGRRCPA prohibits federal banking regulators from imposing higher capital standards on HVCRE exposures unless they are for ADC and clarifying ADC status. As of December 31, 2023, we had $442.5 million in ADC loans and $666 million in HVCRE loans.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Consumer Financial Services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pStyle w:val="TextBody"/>
        <w:bidi w:val="0"/>
        <w:spacing w:before="0" w:after="0"/>
        <w:ind w:left="0" w:right="0" w:firstLine="359"/>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 Significant recent CFPB developments include:</w:t>
      </w:r>
    </w:p>
    <w:p>
      <w:pPr>
        <w:pStyle w:val="TextBody"/>
        <w:bidi w:val="0"/>
        <w:spacing w:before="0" w:after="0"/>
        <w:ind w:left="0" w:right="0" w:firstLine="359"/>
        <w:jc w:val="both"/>
        <w:rPr>
          <w:color w:val="000000"/>
        </w:rPr>
      </w:pPr>
      <w:r>
        <w:rPr>
          <w:color w:val="00000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continued focus on fair lending, including promoting racial and economic equity for underserved, vulnerable and marginalized communities;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focused efforts on enforcing certain compliance obligations the CFPB deems a priority, such as automobile loan servicing, debt collection, deposit, overdraft, non-sufficient funds, representment fees and other services fees, mortgage origination and servicing, and remittances, among others;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rulemaking plans concerning, among others, consumers’ access to their financial information and requirements for financial institutions to collect, report and make public certain information concerning credit applications made by women-owned, minority-owned and small businesses.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CFPB has examination and enforcement authority over providers with more than $10 billion in assets. Banks and savings institutions with $10 billion or less in assets, like the Bank, will continue to be examined by their applicable bank regulators.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Mortgage and Mortgage-Related Products, Generally</w:t>
      </w:r>
      <w:r>
        <w:rPr>
          <w:rFonts w:ascii="Times New Roman" w:hAnsi="Times New Roman"/>
          <w:color w:val="000000"/>
          <w:sz w:val="20"/>
          <w:shd w:fill="FFFFFF" w:val="clear"/>
        </w:rPr>
        <w:t>. Because abuses in connection with home mortgages were a significant 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Ability-to-Repay Requirement and Qualified Mortgage Rule</w:t>
      </w:r>
      <w:r>
        <w:rPr>
          <w:rFonts w:ascii="Times New Roman" w:hAnsi="Times New Roman"/>
          <w:color w:val="000000"/>
          <w:sz w:val="20"/>
          <w:shd w:fill="FFFFFF" w:val="clear"/>
        </w:rPr>
        <w:t>. In January 2013, the CFPB issued a final rule implementing the 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Home Mortgage Disclosure Act (“HMDA”)</w:t>
      </w:r>
      <w:r>
        <w:rPr>
          <w:rFonts w:ascii="Times New Roman" w:hAnsi="Times New Roman"/>
          <w:color w:val="000000"/>
          <w:sz w:val="20"/>
          <w:shd w:fill="FFFFFF" w:val="clear"/>
        </w:rPr>
        <w:t>. On October 15, 2015, pursuant to Section 1094 of the Dodd-Frank Act, the CFPB issued amended rules in regard to the collection, reporting and disclosure of certain residential mortgage transactions under the Home Mortgage Disclosure Act (the “HMDA Rules”). The Dodd-Frank Act mandated additional loan data collection points in addition to authorizing the Bureau to require other data collection points under implementing Regulation C. The HMDA Rules adopted a uniform loan volume threshold for all financial institutions, modifies the types of transactions that are subject to collection and reporting, expands the loan data information being collected and reported, and modifies procedures for annual submission and annual public disclosures. EGRRCPA amended provisions of the HMDA Rules to exempt certain insured institutions from most of the expanded data collection requirements required of the Dodd-Frank Act. The CFPB further amended the HMDA Rules in April 2020 so that, effective January 1, 2022, institutions originating fewer than 100 dwelling secured closed-end mortgage loans or fewer than 200 dwelling secured open-end lines are exempt from the expanded data collection requirements that went into effect January 1, 2018. On February 1, 2023, the Office of the Comptroller of the Currency issued OCC Bulletin 2023-5 which clarified that, following a recent court decision vacating the 2020 HMDA Final Rules as to the loan volume reporting threshold for closed-end mortgage loans, the loan origination threshold for reporting HMDA data on closed-end mortgage loans reverted to the 25 loan threshold established by the 2015 HMDA Final Rule. The Bank does not receive this reporting relief based on the number of dwelling secured mortgage loans reported annually.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i/>
          <w:color w:val="000000"/>
          <w:sz w:val="20"/>
          <w:shd w:fill="FFFFFF" w:val="clear"/>
        </w:rPr>
        <w:t>UDAP and UDAAP</w:t>
      </w:r>
      <w:r>
        <w:rPr>
          <w:rFonts w:ascii="Times New Roman" w:hAnsi="Times New Roman"/>
          <w:color w:val="000000"/>
          <w:sz w:val="20"/>
          <w:shd w:fill="FFFFFF" w:val="clear"/>
        </w:rPr>
        <w:t>. Banking regulatory agencies have increasingly used a general consumer protection statute to address “unfair,” “deceptive” or “abusive” acts and business practices that may not necessarily fall directly under the purview of a specific banking or consumer finance law. Section 5 of the Federal Trade Commission Act, referred to as the FTC Act, is the primary federal law that prohibits unfair or deceptive acts or practices, referred to as UDAP, and unfair methods of competition in or affecting commerce. “Unjustified consumer injury” is the principal focus of the FTC Act. UDAP laws and regulations were expanded under the Dodd-Frank Act to apply to “unfair, deceptive or abusive acts or practices,” referred to as UDAAP, and were delegated to the CFPB for rule-making. The federal banking agencies have the authority to enforce such rules and regulations. Under the Dodd-Frank Act, the CFPB looks to various factors to assess whether an act or practice is unfair, including whether it causes or is likely to cause substantial injury to consumers, the injury is not reasonably avoidable by consumers, and the injury is not outweighed by countervailing benefits to consumers or to competition. A key focus of the CFPB is whether an act or practice hinders a consumer’s decision-making.</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Incentive Compensation Guidance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Dodd-Frank Act directs the federal banking regulators to promulgate rules prohibiting excessive compensation paid to executives of depository institutions and their holding companies with assets in excess of $1 billion, regardless of whether the company is publicly traded or not. In May 2016, the federal banking regulators, joined by the SEC, proposed such a rule that is tailored based on the asset size of the institution. All covered financial institutions would be subject to a prohibition on paying compensation, fees, and benefits that are “unreasonable” or “disproportionate” to the value of the services performed by a person covered by the proposed rule (generally, senior executive officers and employees who are significant risk-takers). As of the date of this Report, the federal banking regulators have not yet implemented a final rule with respect to excessive compensation paid to executives of depository institutions and their holding companies. The scope and content of the U.S. banking regulators’ policies on executive compensation are continuing to develop and are likely to continue evolving in the near future.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August 2022, the SEC adopted the final “pay versus performance” rule mandated by the Dodd-Frank Act. Among other disclosure requirements, the rule requires public companies (other than emerging growth companies, registered investment companies and foreign private issuers) to disclose the relationships among named executive officer compensation “actually paid,” total shareholder return and certain financial performance measures that the company uses to link compensation to company performance for its five most recent fiscal years. The rule will not apply to the Company while it is an emerging growth company and, accordingly, management anticipates that the rule will first apply to disclosures in the Company’s proxy statement for the 2025 annual meeting of shareholders.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October 2022, the SEC adopted a final rule directing national securities exchanges and associations, including the NASDAQ, to implement listing standards that require listed companies to adopt policies mandating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 In accordance with Rule 10D-1 promulgated by the SEC under the Exchange Act and Nasdaq Listing Rule 5608, the Board of Directors adopted and implemented an Incentive Award Recoupment Policy, effective as of October 2, 2023.</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Financial Privacy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Under Section 501 of the Gramm-Leach-Bliley Act, and its implementing regulations, 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Impact of Monetary Policy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Environmental Laws Potentially Impacting the Bank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state and federal environmental laws and regulations. The Comprehensive Environmental Response, Compensation and Liability Act, (“CERCLA”), is a federal statute that generally imposes strict liability on all 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which costs often substantially exceed the value of the property.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New Banking Reform Legislation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Other key provisions of the EGRRCPA as it relates to community banks and bank holding companies include, but are not limited to: (i) assisting smaller banks with obtaining stable funding by providing an exception for reciprocal deposits from FDIC restrictions on acceptance of brokered deposits; (ii) raising the eligibility for use of short-form Call Reports from $1 billion to $5 billion in assets; and (iii) changing the eligibility for use of the small bank holding company policy statement from institutions with under $1 billion in assets to institutions with under $3 billion in assets.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Other Pending and Proposed Legislation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Although the majority of the Dodd-Frank Act’s rulemaking requirements have been met with finalized rules, approximately one-fifth of the rulemaking requirements are either still in the proposal stage or have not yet been proposed. On February 2, 2017, President Donald Trump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pStyle w:val="TextBody"/>
        <w:bidi w:val="0"/>
        <w:spacing w:before="0" w:after="0"/>
        <w:ind w:left="0" w:right="0" w:firstLine="359"/>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on, or that may be accessed through, the Company’s web site is not incorporated by reference into, and is not a part of, this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 w:name="Item1A.RiskFactors"/>
      <w:bookmarkStart w:id="4" w:name="Item1A.RiskFactors"/>
      <w:bookmarkEnd w:id="4"/>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color w:val="000000"/>
              </w:rPr>
            </w:pPr>
            <w:r>
              <w:rPr>
                <w:b/>
                <w:color w:val="000000"/>
              </w:rPr>
              <w:t>Item 1A.</w:t>
            </w:r>
          </w:p>
        </w:tc>
        <w:tc>
          <w:tcPr>
            <w:tcW w:w="1325" w:type="dxa"/>
            <w:tcBorders/>
            <w:vAlign w:val="center"/>
          </w:tcPr>
          <w:p>
            <w:pPr>
              <w:pStyle w:val="TableContents"/>
              <w:bidi w:val="0"/>
              <w:spacing w:before="0" w:after="0"/>
              <w:jc w:val="both"/>
              <w:rPr>
                <w:b/>
                <w:color w:val="000000"/>
              </w:rPr>
            </w:pPr>
            <w:r>
              <w:rPr>
                <w:b/>
                <w:color w:val="000000"/>
              </w:rPr>
              <w:t>Risk Factors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Company is subject to interest rate risk and changes in market interest rates or capital markets could affect our revenues and expenses, the value of assets and obligations, and the availability and cost of capital or liquidity.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Given our business mix, and the fact that most of our assets and liabilities are financial in nature, we tend to be sensitive to market interest rate movements and the performance of the financial markets. Our primary source of income is net interest income, meaning the difference or spread between interest income earned and interest expense paid.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Interest rates are highly sensitive to many factors that are beyond the Company’s control, including competition, the monetary policy of the Federal Reserve, inflation and deflation, and volatility of domestic and global financial and credit markets, due to any number of factors including, among other things, the persistence of the ongoing inflationary environment in the United States and in our market areas and current geopolitical tensions.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the current environment of elevated interest rates, demand for loan originations may decline, and our borrowers may experience greater difficulties meeting their obligations, depending on the performance of the overall economy, which may adversely affect income from these lending activities. This could result in decreased interest income, decreased mortgage revenues and corresponding decreases in noninterest income from projected levels.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periods of decreasing interest rates, our borrowers may experience difficulties meeting their obligations or seek to refinance their loans for lower rates, which may adversely affect income from these lending activities and negatively impact our net interest margin.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prolonged period of volatile and unstable financial market conditions could increase our funding costs and negatively affect our asset-liability management strategies. Higher volatility in interest rates and spreads to benchmark indices could cause decreases in the fair market values of our investment portfolio, and of assets the Company manages for others and may impair our ability to attract and retain funds from current and prospective customers, which could lower fee income. Fluctuations in interest rates could impact both the level of income and expense recorded on most of our assets and liabilities, and the market value of all interest-earning assets and interest-bearing liabilities, any of which in turn could have a material adverse effect on our liquidity and ability to fund future growth, our operating results,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our asset-liability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has been and may continue to be adversely affected by current conditions in the financial markets and economic conditions generally.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Our business is also significantly affected by monetary and related policies of the U.S. government and its agencies. In 2022 and 2023, the Federal Open Market Committee (“FOMC”) of the Federal Reserve repeatedly raised their target benchmark interest rate in response to the ongoing inflationary environment in the United States, resulting in subsequent prime rate increases of 525 basis points between March of 2022 and July of 2023. Further increases in market interest rates may have an adverse effect on our business, financial condition and results of operations as it could reduce the demand for loans and affect the ability of our borrowers to repay their indebtedness subjecting us to potential credit losses. Changes in any of these policies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addition, the inflationary outlook in the United States remains uncertain. Inflation has been reported at high levels and could result in higher interest rates for a prolonged period of time, which may expose the Company to interest rate risk. In addition, higher interest rates could slow economic growth and lead to a recessionary environment, which could negatively impact the Company’s growth, credit quality, net interest margin and its financial results. The risks to our business from inflation depends on the durability of the current inflationary pressures in our markets. Transitory increases in inflation are unlikely to have a material impact on our business or earnings. However, more persistent inflation could lead to tighter-than-expected monetary policy which could, in turn, increase the borrowings costs of our customers, making it more difficult for them to repay their loans or other obligations. High interest rates may be needed to tame persistent inflationary price pressures, which could also push down asset prices and weaken economic activity. A deterioration in economic conditions in the United States and our markets could result in an increase in loan delinquencies and non-performing assets, decreases in loan collateral values and a decrease in demand for our products and services, all of which, in turn, would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Company’s Investment Portfolio Could Incur Additional Losses or Fair Value Could Deteriorate.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are inherent risks associated with the Company’s investment activities. These risks include the impact from changes in interest rates, credit risk related to weakness in real estate values, municipalities, government sponsored enterprises, or other industries, the impact of changes in income tax rates on the value of tax-exempt securities, adverse changes in regional or national economic conditions, and general turbulence in domestic and foreign financial markets, among other things. If an investment’s value is in an unrealized loss position, the Company is required to assess the security to determine if a valuation allowance for the credit exposure of the debt security is necessary, which is recorded as a charge to earnings. These conditions could adversely impact the ultimate collectability of the Company’s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discussed above, the FOMC repeatedly raised their target benchmark interest rate in 2022 and 2023, resulting in subsequent prime rate increases of 525 basis points between March of 2022 and July of 2023, and further resulting in a significant increase in market interest rates during the year ended December 31, 2023. If market interest rates continue to rise, the market value of the fixed income bond portfolio will decrease, resulting in further unrealized losses, and depending on the extent of the rise in interest rates, the increase in unrealized losses could be significant over the short-term. The non-credit portion of unrealized losses are booked to Accumulated Other Comprehensive Income (“AOCI”), a component of shareholders’ equity. A significant increase in market rates may have a negative impact on book value per common share and return on average shareholders’ equity ratios. The Company’s bond portfolio is expected to mature at par and therefore the unrealized losses in the portfolio that result from higher market interest rates will decrease as the bonds become closer to maturity.  However, if the Company were required to sell investment securities with an unrealized loss for any reason, including liquidity needs, the unrealized loss would become realized and reduce both net income for the reported period and regulatory capital, which as currently reported, excludes unrealized losses on investment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grow through acquisitions, a strategy which may not be successful or, if successful, may produce risks in successfully integrating and managing the acquisitions and may dilute our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part of our growth strategy, we may pursue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Acquisitions involve numerous risks, any of which could harm our business.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 As a result, if we fail to properly evaluate mergers, acquisitions or investments, we may not achieve the anticipated benefits of any such merger, acquisition, or investment,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adequately measure and limit our credit risk, which could lead to unexpected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credit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Accordingly, we maintain an allowance for credit losses that represents management’s judgment of probable losses and risks inherent in our loan portfolio. There is no precise method of predicting credit losses, and therefore, we always face the risk that charge offs in future periods will exceed our allowance for credit losses and that additional increases in the allowance for credit losses will be required. The level of the allowance for credit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credit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credit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addition, we may further experience increased delinquencies, credit losses, and corresponding charges to capital, which could require us to increase our provision for credit losses associated with impacts related to the coronavirus outbreak due to inflationary pressures, market downturns, increased unemployment rates, and changes in consumer behavior related to pandemic fears. Further, if real estate markets or the economy in general deteriorate, the Bank may experience increased delinquencies and credit losses. The allowance for credit losses may not be sufficient to cover actual loan-related losses. Additionally, banking regulators may require the Bank to increase its allowance for credit losses in the future, which could have a negative effect on the Bank’s financial condition and results of operations. Additions to the allowance for credit losses will result in a decrease in net earnings and capital and could hinder our ability to grow our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Many of our loans are to commercial borrowers, which have a higher degree of risk than other types of loans.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loans to commercial borrowers represent approximately 69.7%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 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subject to additional credit risk with respect to loans that we make to other lenders.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a portion of our loan portfolio is comprised of real estate loans, negative changes in the economy affecting real estate values and liquidity could impair the value of collateral securing our real estate loans and result in loan and other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approximately 72.7% of our loan portfolio was comprised of loans with real estate as a primary component of collateral. Adverse developments affecting real estate values, particularly in our markets, could increase the credit risk associated with our real estate loan portfolio.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credit losses, which could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commercial real estate loan portfolio exposes us to risks that may be greater than the risks related to other mortgage loans.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loan portfolio includes non-owner-occupied commercial real estate loans for individuals and businesses for various purposes, which are secured by commercial properties, as well as real estate construction and development loans. As of December 31, 2023, our non-owner-occupied commercial real estate loans totaled approximately 40.1%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credit losses, which would reduce our profitability, and could materially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portfolio of indirect dealer lending exposes us to increased credit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At December 31, 2023, approximately 9.5%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Agricultural lending and volatility in commodity prices may adversely affect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At December 31, 2023, agricultural loans were approximately 3.0%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Sustained volatility in oil prices and the energy industry, including in Texas, could lead to increased credit losses in our energy portfolio, weaker demand for energy lending, and adversely affect our business,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In addition to our direct exposure to energy loans, we also have indirect exposure to energy prices, as some of our non-energy customers’ businesses are directly affected by volatility with the oil and gas industry and energy prices. While oil prices have increased in 2022, the oil and gas industry has remained volatile and prolonged volatility may cause further worsening conditions of energy industry and overall economic activities in the Company’s primary markets and could lead to increased credit stress in its loan portfolio, increased losses and weaker demand for lending. More significantly for the Company, prolonged pricing pressure on oil and gas or general uncertainty resulting from energy price volatility could lead to increased credit stress in our energy portfolio, increased losses associated with our energy portfolio, increased utilization of our contractual obligations to extend credit and weaker demand for energy lending. Such a decline or general uncertainty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concentration, specifically in Texas, we may be less able than other larger regional or national financial institutions to diversify our credit risk across multiple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U.S. trade policies and other factors beyond the Company’s control, including the imposition of tariffs and retaliatory tariffs, may adversely impact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have been discussions regarding potential changes to U.S. trade policies, legislation, treaties and tariffs. Tariffs and retaliatory tariffs have been imposed, and additional tariffs and retaliation tariffs have been proposed. Such tariffs, retaliatory tariffs or other trade restrictions on products and materials that our customers import or export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adversely impacted. However, a de minimis amount of collateral securing our loans is located outside of the U.S. A trade war or other governmental action related to tariffs or international trade agreements or policies have the potential to negatively impact our and/or our customers’ costs, demand for our customers’ products, and/or the U.S. economy or certain sectors thereof and, thus,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Climate change and related legislative and regulatory initiatives may materially affect the Company’s business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effects of climate change continue to create an alarming level of concern for the state of the global environment. As a result, the global business community has increased its political and social awareness surrounding the issue. Further, the U.S. Congress, state legislatures and federal and state regulatory agencies continue to propose numerous initiatives to supplement the global effort to combat climate change. Similar and even more expansive initiatives are expected under the current administration, including potentially increasing supervisory expectations with respect to banks’ risk management practices, accounting for the effects of climate change in 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impossible to predict how specifically climate change may impact our financial condition and results of operations; however, the physical effects of climate change may also directly impact us. Specifically, unpredictable and more frequent weather disasters may adversely impact the value of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which could impact our financial condition and results of operations. Further, the effects of climate change may negatively impact regional and local economic activity, which could lead to an adverse effect on our customers and impact the communities in which we operate. Overall, climate change, its effects and the resulting, unknown impact could have a material adverse effect on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amount of nonperforming assets may increase and can take significant time and resources to resolve.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properties that we own and certain foreclosed real estate assets could subject us to environmental risks and associated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is a risk that hazardous substances or wastes, contaminants, pollutants or other environmentally restricted substances could be discovered on our properties or our foreclosed assets (particularly with real estate loans). In this event, we might be required to remove the substances from the affected properties or to engage in abatement procedures at our cost.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In addition, an economic downturn could result in losses, as determined under our accounting methodologies that may materially and adversely affect our business, financial condition, results of operations and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largest loan relationships make up a material percentage of our total loan portfolio.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extended significant amounts of credit to a limited number of borrowers. As of December 31, 2023, our 20 largest borrowing relationships ranged from approximately $25.0 million to $54.4 million (including unfunded commitments), totaling approximately 18.7% of our outstanding commitments. If any of these relationships become delinquent or suffer default, we could be exposed to material losses which may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largest deposit relationships currently make up a material percentage of our deposits and the withdrawal of deposits by our largest depositors could force us to fund our business through more expensive and less stable 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At December 31, 2023, our 20 largest deposit relationships accounted for approximately 25.1%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Liquidity risk could impair our ability to fund operations and meet our obligations as they become due and could jeopardize our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Liquidity is essential to the business of the Bank. We rely on our ability to generate deposits and effectively manage the repayment and maturity schedules of our loans and investment securities, respectively, to ensure that we have adequate liquidity to fund our operations. Liquidity risk is the potential that the Bank will be unable to meet its obligations as they come due because of an inability to liquidate assets or obtain adequate funding.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Any substantial, unexpected and/or prolonged change in the level or cost of liquidity could have a material adverse effect on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as a result of general economic conditions or other events, sources of external funding become restricted or are eliminated, the Company may not be able to raise adequate funds or may incur substantially higher funding costs in order to raise the necessary funds to support the Company’s operations and growth or may be required to sell or restrict operations, or restrict the payment of dividends. Furthermore, if the Company is unable to raise adequate funds through external sources, the Company may need to sell assets with unrealized losses in order to generate additional liquidity, which could decrease the capital of the Company and have an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Recent bank failures and the related negative impact on customer confidence in the safety and soundness of the banking industry may adversely affect our business, earnings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Company is exposed to a number of risks when other financial institutions experience financial difficulties, which could result in an adverse impact on the regional banking industry, generally, and the business environment in which the Company operates. Recent bank failures during 2023 have resulted in significant market volatility among publicly traded bank holding companies and has caused uncertainty in the investor community and bank customers, generally. While the Company does not believe that the circumstances of the bank failures in 2023 are indicators of broader issues within the banking industry, bank failures may negatively impact customer confidence in the safety and soundness of regional banks and, as a result, customers may choose to maintain deposits with larger financial institutions or invest in higher yielding short-term fixed income securities, all of which could materially adversely impact our liquidity, cost of funding, loan funding capacity, net interest margin, capital and results of operations. Management continues to monitor the ongoing events concerning the 2023 bank failures as well as any volatility within the financial services industry generally, together with any responsive measures taken by the banking regulators to mitigate or manage potential turmoil in the financial services industry.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Deposit outflows may increase reliance on borrowings and brokered deposits as sources of funds.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 Additionally, negative news about the Company or the Bank, or the banking industry in general, could negatively impact market and/or customer perceptions of the Company and the Bank, which could lead to a loss of depositor confidence and an increase in deposit withdrawals. A failure to maintain adequate liquidity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Customers could pursue alternatives to bank deposits, causing us to lose a relatively inexpensive source of funding.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Technology has made it more convenient for bank customers to transfer funds into alternative investments or other deposit accounts, including products offered by other financial institutions or non-bank service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In the current environment of low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 Efforts and initiatives we undertake to retain and increase deposits, including deposit pricing, can increase our costs. As our assets grow, we may face increasing pressure to seek new deposits through expanded channels from new customers at favorable pricing, further increasing our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continually encounter technological changes which could result in us having fewer resources than many of our competitors to continue to invest in technological improvements.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keep pace with technological change affecting the financial services industry could have a material adverse impact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adversely impacted by an economic downturn or a natural disaster affecting one or more of our market areas.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Because most of our business activities are conducted in Texas and New Mexico and most of our credit exposure is there, we are at risk to adverse economic, political or business developments, including a downturn in real estate values, agricultural activities, the oil and gas industry and natural hazards such as floods, ice storms, tornadoes, droughts, and fires that affect Texas and New Mexico. Although our customers’ business and financial interests may extend beyond these market areas, adverse conditions that affect these market areas could reduce our growth rate, affect the ability of our customers to repay loans, affect the value of collateral underlying loans, impact our ability to attract deposits, and generally affect our financial condition and results of operations. Because of our geographic concentration, we may be less able than other financial institutions to diversify our credit risks across multiple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Mortgage originations have decreased due to higher interest rates and declines in refinance activity, and this trend may continue.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Mortgage revenues, which are primarily recognized from the sale of mortgage loans in the secondary market, are a source of noninterest income for the Bank and a contributor to the Bank’s net income. Mortgage revenues for the year ended December 31, 2023 were $13.8 million. As market interest rates have increased from the prior low rate environment, there may be fewer opportunities for financial institutions to originate loans to refinance existing mortgages. If mortgage originations continue to decrease, projected mortgage revenues and noninterest income will decrease.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Market conditions could have a material impact on our ability to sell originated mortgages in the secondary market.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value of our mortgage servicing rights can be volatile.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$26.6 million of mortgage servicing rights as of December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risk management framework may not be effective in mitigating risks or losses to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risk management framework consists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dependent on the use of data and modeling in our management’s decision-making and faulty data or modeling approaches could negatively impact our decision-making ability or possibly subject us to regulatory scrutiny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There are investment performance, fiduciary and asset servicing risks associated with our trust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exposed to cybersecurity risks associated with our internet-based systems and online commerce security, and our information systems could experience an interruption, failure, breach in security, or cyber-attack.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 relies heavily on public utilities infrastructures, internal information and operating systems, and cloud-based solutions and storage to conduct its business, and these systems could fail in a variety of ways. In addition, the use of network, cloud-based, or third-party hosted systems expose the Company to the increased sophistication and activity of cyber-criminals, both domestic and international. A cyber incident is considered to be any adverse event that threatens the confidentiality, integrity, or availability of the information resources of the Company. These incidents may be an intentional attack or an unintentional event and could involve blocking the Company from accessing its own systems or remote servers in exchange for a ransom payment, gaining unauthorized access directly to our information systems, or indirectly through our vendors and customers systems or servers, for purposes of misappropriating assets, stealing confidential corporate information or customers’ Personally Identifiable Information, corrupting data, denying access or causing operational disruption. The Company’s independent third-party service providers or their subcontractors may also have access to customers’ personal information and therefore also expose the Company to cybersecurity risk. Additionally, vendors’ and customers’ home, business or mobile information systems and the servers they rely on, are at risk of fraudulent corporate account takeovers which the Company may not be able to detect. There is no guarantee the Company’s counteractions will be successful or that the Company will have the resources or technical expertise to anticipate, detect or prevent rapidly evolving types of cyber-attacks.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 Although we have not experienced a cyber-incident which has compromised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occurrence of any failures or disruptions of infrastructure, or breakdown, breach, failures or interruptions of the Company’s information systems, access points, or those hosted by third-party service providers and customers, or in the cloud, or the Company’s inability to detect, respond, disclose and correct such occurrence or compromise in a timely manner, could result in an interruption in our ability to conduct transactions for an indeterminable length of time, could expose customers’ personal and confidential information to unauthorized parties, increase the risk of fraud or theft, subject the Company to increased operational costs to detect and rectify the situation, damage the Company’s reputation and deter customers from using the Company’s services, and increase the Company insurance cost or the ability to obtain adequate cyber insurance coverage.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operations could be interrupted if our third-party service providers experience difficulty, terminate their services or fail to comply with banking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depend on a number of relationships with third-party service providers. Specifically, we receive certain third-party services including, but not limited to, core systems processing, essential web hosting and other Internet systems, online banking services, deposit processing and other processing services. If these third-party service providers experience difficulties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perhaps materially. Even if we are able to replace third-party service providers, it may be at a higher cost to us, which could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certain operating risks related to employee error and customer, employee and third party misconduct, which could harm our reputation and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Employee error or employee and customer misconduct could subject us to financial losses or regulatory sanctions and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always be effective. Because the nature of the financial services business involves a high volume of transactions, certain errors may be repeated or compounded before they are discovered and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rely heavily on our management team and the unexpected loss of key officers may adversely affect our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 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ability to develop, retain and recruit additional successful bankers is critical to the success of our business strategy, and any failure to do so could adversely affect our business, financial condition, results of operations and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ability to retain and grow our loans, deposits and fee income depends upon the business generation capabilities, reputation and relationship management skills of our bankers, many of whom we develop internally. If we lose the services of any of our bankers, including successful bankers employed by financial institutions that we may acquire, to a new or existing competitor or otherwise, or fail to successfully recruit bankers or develop bankers internally, we may not be able to implement our growth strategy, retain valuable relationships and some of our customers could choose to use the services of a competitor instead of our services. Additionally, we may incur significant expenses and expend significant time and resources on training, integration and business development before being able to determine whether a new banker will be profitable or effective. If we are unable to develop, attract or retain successful bankers, or if our bankers fail to meet our expectations in terms of customer relationships and profitability, we may be unable to execute our business strategy and our business, financial condition, results of operations and future prospects may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Competition from other financial intermediaries may adversely affect our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Furthermore, our legal lending limit is significantly less than the limits for many of our competitors, and this may hinder our ability to establish relationships with larger businesses in our primary service area. This competition may limit our future growth and earnings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maintain effective internal control over financial reporting, we may not be able to accurately report its financial results or prevent fraud.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management may conclude that our internal control over financial reporting is not effective due to our failure to cure any identified material weakness or otherwise. Moreover, even if our management concludes that its internal control over financial reporting is effective, our independent registered public accounting firm may not conclude that our internal control over financial reporting is effective. In addition, during the course of the evaluation, documentation and testing of our internal control over financial reporting, we may identify deficiencies that we may not be able to remediate in time to meet the deadline imposed by the Federal Deposit Insurance Corporation Improvement Act of 1991 (the “FDICIA”) for compliance with the requirement of FDICIA. Any such deficiencies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the Sarbanes-Oxley Act or the FDICIA, and we may suffer adverse regulatory consequences or violations of listing standards. There could also be a negative reaction in the financial markets due to a loss of investor confidence in the reliability of our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obligations associated with being a public company require significant resources and management attention.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expect to incur significant incremental costs related to operating as a public company, particularly when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(the “PCAOB”) and NASDAQ, each of which imposes additional reporting and other obligations. We expect these rules and regulations and changes in laws, regulations and standards relating to corporate governance and public disclosure to increase legal and financial compliance costs and make some activities more time consuming and costly.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equity compensation plan will cause dilution and increase our costs, which will reduce our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equity compensation plan allows us to award shares of our common stock (at no cost to the participant), award options to purchase shares of our common stock, and award other equity-based compensation.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 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Negative public opinion could damage our reputation and adversely impact our earnings.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 In addition, companies are facing increased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For example, certain investors are beginning to incorporate the business risks of climate change and the adequacy of companies’ responses to climate change and other ESG matters as part of their investment theses. These shifts in investing priorities may result in adverse effects on the trading price of the Company’s common stock if investors determine that the Company has not made sufficient progress on ESG matters. In addition, new government regulations could also result in new or more stringent forms of ESG oversight and expanding mandatory and voluntary reporting, diligence, and disclosure. Increased ESG-related compliance costs could result in increases to our overall operational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adversely affected by the soundness of other financial institutions.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may participate in syndicated transactions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Until May 31, 2018, our Company was an S Corporation, and claims of taxing authorities related to our prior status as an S Corporation could harm us.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Until May 31, 2018, our Company was an S Corporation. Effective May 31, 2018, the Company revoked its S Corporation election and the Company became taxed as a C Corporation under the provisions of Sections 301 to 385 of the Internal Revenue Code of 1986, as amended (the “Code”) (which treat the corporation as an entity that is subject to an entity level U.S. federal income tax). If the unaudited, open tax years in which we were an S Corporation are audited by the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Our Regulatory Environment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operate in a highly regulated environment and the laws and regulations that govern our operations, corporate governance, executive compensation and accounting principles, or changes in them, or failure to comply with them, could adversely affect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DIF and the overall financial stability of the banking system in the United States. Compliance with laws and regulations can be difficult and costly, and changes to laws and regulations often impose additional compliance costs. For example, the Dodd-Frank Act and related regulations, including the Home Mortgage Disclosure Act, subject us to additional restrictions, oversight and reporting obligations, which have significantly increased costs. And over the last several years, state and federal regulators have focused on enhanced risk management practices, mortgage law and regulation, compliance with the BSA and AML laws, data integrity and security, use of service providers, and fair lending and other consumer protection issues, which has increased our need to build additional processes and infrastructure. Government agencies charged with adopting and interpreting laws and regulations may do so in an unforeseen manner, including in ways that potentially expand the reach of the laws or regulations more than initially contemplated or currently anticipated. We cannot predict the substance or impact of pending or future legislation or regulation, or the application thereof.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or otherwise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commercial real estate lending guidance issued by the federal banking regulators that impacts our operations and capital requirements.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w:t>
      </w:r>
    </w:p>
    <w:p>
      <w:pPr>
        <w:pStyle w:val="TextBody"/>
        <w:bidi w:val="0"/>
        <w:spacing w:before="0" w:after="0"/>
        <w:ind w:left="0" w:right="0" w:firstLine="3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Legislative and regulatory actions taken now or in the future may increase our costs and impact our business, governance structure, financial condition or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Many of our new activities and expansion plans require regulatory approvals, and failure to obtain them may restrict our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Generally, we must receive federal regulatory approval before we can acquire an FDIC-insured depository institution or related business.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 In addition,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Federal Reserve may require the Company to commit capital resources to support the Bank.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Dodd-Frank Act and the Federal Reserve require a bank holding company to act as a source of financial and managerial strength to a subsidiary bank and to commit resources to support such subsidiary bank. Accordingly, a capital injection may be required to provide financial assistance to the Bank if it experiences financial distress. Such capital injection may be required at times when the Company may not have the resources to provide and therefore may be required to borrow the funds or raise capital to make the required capital injection. Any borrowing by the Company in order to make the required capital injection may be more difficult and expensive and may adversely impact the Company’s financial condition, results of operations and/or future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As a regulated entity, we and the Bank must maintain certain required levels of regulatory capital that may limit our and the Bank’s operations and potential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and the Bank are subject to various regulatory capital requirements administered by the FDIC and the Federal Reserve, respectively. See “Supervision and Regulation—Regulatory Capital Requirements.” Many factors affect the calculation of our risk-based assets and our ability to maintain the level of capital required to achieve acceptable capital ratios. For example, any increases in our risk-weighted assets will require a corresponding increase in our capital to maintain the applicable ratios. In addition, recognized credit losses in excess of amounts reserved for such losses, loan impairments, impairment losses on securities and other factors will decrease our capital, thereby reducing the level of the applicable ratios. 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regulators periodically examine our business, including our compliance with laws and regulations.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Failure to maintain and implement adequate programs to combat money laundering and terrorist financing could have serious reputational consequences for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BSA, the USA PATRIOT Act, the National Defense Authorization Act and other laws and regulations require financial institutions, among other duties, to institute and maintain effective anti-money laundering programs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Regulations relating to privacy, information security and data protection could increase our costs, affect or limit how we collect and use personal information and adversely affect our business opportunities.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increased risk under the terms of the CRA, as we accept additional deposits in new geographic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Maintaining an acceptable CRA rating may become more difficult as our deposits increase across new geographic markets.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federal and state fair lending laws, and failure to comply with these laws could lead to material penalties.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financial condition, earnings and asset quality could be adversely affected if our consumer facing operations do not operate in compliance with applicable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While all aspects of our operations are subject to detailed and complex compliance regimes, those portions of our lending operations which most directly deal with consumers pose particular challenges given the emphasis on consumer compliance by bank regulators at all levels. Residential mortgage lending raises significant compliance risks resulting from the detailed and complex nature of mortgage lending regulations imposed by federal regulatory agencies, and the relatively independent operating environment in which mortgage lending officers operate. In addition, some regulatory frameworks provide for the imposition of fines or penalties for noncompliance, even if noncompliance was inadvertent or unintentional. As a result, despite the education, compliance training, supervision and oversight we exercise in these areas, failure to comply with applicable laws and regulations, even if noncompliance is inadvertent or unintentional, could result in the Bank being strictly liable for restitution or damages to individual borrowers and could expose the Bank to other regulatory enforcement activity.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Risks Related to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 active public trading market may not be sustained.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completed the initial public offering, and the Company’s common stock began trading on the NASDAQ Global Select Market, in May 2019. An active trading market for shares of our common stock may not be sustained. If an active trading market is not sustained, you may have difficulty selling your shares of our common stock at an attractive price, or at all. Consequently, you may not be able to sell your shares of our common stock at or above an attractive price at the time that you would like to sell.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market price of our common stock could be volatile and may fluctuate significantly, which could cause the value of an investment in our common stock to decline, result in losses to our shareholders and litigation against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market price of our common stock may be volatile and could be subject to wide fluctuations in price in response to various factors, some of which are beyond our control. 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Future equity issuances, including through our current or any future equity compensation plans, could result in dilution, which could cause the price of our shares of common stock to decline.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additional shares of our common stock in the future pursuant to current or future equity compensation plans, upon conversions of preferred stock or debt, upon exercise of warrants or in connection with future acquisitions or financings. We may seek to raise additional funds, finance acquisitions or develop strategic relationships by issuing additional shares of our common stock.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issue shares of preferred stock in the future, which could make it difficult for another company to acquire us or could otherwise adversely affect holders of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directors and executive officers have significant control over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Due to the significant ownership interests of our directors and executive officers, our directors and executive officers are able to significantly affect our management, affairs and policies. For example, our directors and executive officers may be able to influence the outcome of the election of directors and the potential outcome of other matters submitted to a vote of our shareholders, such as mergers, the sale of substantially all of our assets and other extraordinary corporate matters. 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bylaws have an exclusive forum provision, which could limit a shareholder’s ability to obtain a favorable judicial forum for disputes with us or our directors, officers or other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bylaws have an exclusive forum provision providing that, unless we consent in writing to an alternative forum, the U.S. District Court for the Northern District of Texas, Lubbock Division, or in the event that such court lacks jurisdiction to hear the action, the District Courts of the County of Lubbock, Texas, are the sole and exclusive forum for certain causes of action, which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dividend policy may change without notice, and our future ability to pay dividends is subject to restrictions.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The Federal Reserve has also issued guidance requiring that we inform and consult with the Federal Reserve prior to declaring and paying a dividend that exceeds earnings for the period for which the dividend is being paid or that could result in an adverse change to our capital structure, including interest on any debt obligations. Finally, if required payments on our debt obligations are not made, or dividends on any preferred stock we may issue are not paid, we will be prohibited from paying dividends on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a bank holding company and our only source of cash, other than issuances of securities, is distributions from the Bank.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an “emerging growth company,” and the reduced reporting requirements applicable to emerging growth companies may make our common stock less attractive to investors.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an “emerging growth company,” as defined in The Jumpstart Our Business Startups Act (“JOBS Act”), and we have taken advantage of certain reduced regulatory and reporting requirements that are otherwise generally applicable to public companies that are not emerging growth companies. We may take advantage of these provisions for up to five years after the date of our initial public offering,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Investors and securities analysts may find it more difficult to evaluate our common stock because we may rely on one or more of these exemptions, and, as a result, investor confidence and the market price of our common stock may be materially and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 investment in our common stock is not an insured deposit and is subject to risk of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 investment in our common stock is not a bank deposit and is not insured against loss or guaranteed by the FDIC, any deposit insurance fund or by any other public or private entity. As a result, you could lose some or all of your investment.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Item1B.UnresolvedStaffCom"/>
      <w:bookmarkStart w:id="6" w:name="Item1B.UnresolvedStaffCom"/>
      <w:bookmarkEnd w:id="6"/>
    </w:p>
    <w:tbl>
      <w:tblPr>
        <w:tblW w:w="3790" w:type="dxa"/>
        <w:jc w:val="left"/>
        <w:tblInd w:w="0" w:type="dxa"/>
        <w:tblLayout w:type="fixed"/>
        <w:tblCellMar>
          <w:top w:w="0" w:type="dxa"/>
          <w:left w:w="0" w:type="dxa"/>
          <w:bottom w:w="0" w:type="dxa"/>
          <w:right w:w="0" w:type="dxa"/>
        </w:tblCellMar>
      </w:tblPr>
      <w:tblGrid>
        <w:gridCol w:w="905"/>
        <w:gridCol w:w="2885"/>
      </w:tblGrid>
      <w:tr>
        <w:trPr/>
        <w:tc>
          <w:tcPr>
            <w:tcW w:w="905" w:type="dxa"/>
            <w:tcBorders/>
            <w:vAlign w:val="center"/>
          </w:tcPr>
          <w:p>
            <w:pPr>
              <w:pStyle w:val="TableContents"/>
              <w:bidi w:val="0"/>
              <w:spacing w:before="0" w:after="283"/>
              <w:jc w:val="left"/>
              <w:rPr>
                <w:b/>
                <w:color w:val="000000"/>
              </w:rPr>
            </w:pPr>
            <w:r>
              <w:rPr>
                <w:b/>
                <w:color w:val="000000"/>
              </w:rPr>
              <w:t>Item 1B.</w:t>
            </w:r>
          </w:p>
        </w:tc>
        <w:tc>
          <w:tcPr>
            <w:tcW w:w="2885" w:type="dxa"/>
            <w:tcBorders/>
            <w:vAlign w:val="center"/>
          </w:tcPr>
          <w:p>
            <w:pPr>
              <w:pStyle w:val="TableContents"/>
              <w:bidi w:val="0"/>
              <w:spacing w:before="0" w:after="0"/>
              <w:jc w:val="both"/>
              <w:rPr>
                <w:b/>
                <w:color w:val="000000"/>
              </w:rPr>
            </w:pPr>
            <w:r>
              <w:rPr>
                <w:b/>
                <w:color w:val="000000"/>
              </w:rPr>
              <w:t>Unresolved Staff Comments</w:t>
            </w:r>
          </w:p>
        </w:tc>
      </w:tr>
    </w:tbl>
    <w:p>
      <w:pPr>
        <w:pStyle w:val="TextBody"/>
        <w:bidi w:val="0"/>
        <w:spacing w:before="0" w:after="0"/>
        <w:jc w:val="left"/>
        <w:rPr/>
      </w:pPr>
      <w:r>
        <w:rPr/>
      </w:r>
    </w:p>
    <w:p>
      <w:pPr>
        <w:pStyle w:val="TextBody"/>
        <w:bidi w:val="0"/>
        <w:spacing w:before="0" w:after="0"/>
        <w:ind w:left="0" w:right="0" w:firstLine="359"/>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ind w:left="0" w:right="0" w:firstLine="359"/>
        <w:jc w:val="left"/>
        <w:rPr>
          <w:color w:val="000000"/>
        </w:rPr>
      </w:pPr>
      <w:r>
        <w:rPr>
          <w:color w:val="000000"/>
        </w:rPr>
      </w:r>
    </w:p>
    <w:p>
      <w:pPr>
        <w:pStyle w:val="Normal"/>
        <w:bidi w:val="0"/>
        <w:spacing w:before="0" w:after="0"/>
        <w:jc w:val="left"/>
        <w:rPr>
          <w:sz w:val="4"/>
          <w:szCs w:val="4"/>
        </w:rPr>
      </w:pPr>
      <w:r>
        <w:rPr>
          <w:sz w:val="4"/>
          <w:szCs w:val="4"/>
        </w:rPr>
      </w:r>
      <w:bookmarkStart w:id="7" w:name="Item1C.Cybersecurity"/>
      <w:bookmarkStart w:id="8" w:name="Item1C.Cybersecurity"/>
      <w:bookmarkEnd w:id="8"/>
    </w:p>
    <w:tbl>
      <w:tblPr>
        <w:tblW w:w="2395" w:type="dxa"/>
        <w:jc w:val="left"/>
        <w:tblInd w:w="0" w:type="dxa"/>
        <w:tblLayout w:type="fixed"/>
        <w:tblCellMar>
          <w:top w:w="0" w:type="dxa"/>
          <w:left w:w="0" w:type="dxa"/>
          <w:bottom w:w="0" w:type="dxa"/>
          <w:right w:w="0" w:type="dxa"/>
        </w:tblCellMar>
      </w:tblPr>
      <w:tblGrid>
        <w:gridCol w:w="920"/>
        <w:gridCol w:w="1475"/>
      </w:tblGrid>
      <w:tr>
        <w:trPr/>
        <w:tc>
          <w:tcPr>
            <w:tcW w:w="920" w:type="dxa"/>
            <w:tcBorders/>
            <w:vAlign w:val="center"/>
          </w:tcPr>
          <w:p>
            <w:pPr>
              <w:pStyle w:val="TableContents"/>
              <w:bidi w:val="0"/>
              <w:spacing w:before="0" w:after="283"/>
              <w:jc w:val="left"/>
              <w:rPr>
                <w:b/>
                <w:color w:val="000000"/>
              </w:rPr>
            </w:pPr>
            <w:r>
              <w:rPr>
                <w:b/>
                <w:color w:val="000000"/>
              </w:rPr>
              <w:t>Item 1C.</w:t>
            </w:r>
          </w:p>
        </w:tc>
        <w:tc>
          <w:tcPr>
            <w:tcW w:w="1475" w:type="dxa"/>
            <w:tcBorders/>
            <w:vAlign w:val="center"/>
          </w:tcPr>
          <w:p>
            <w:pPr>
              <w:pStyle w:val="TableContents"/>
              <w:bidi w:val="0"/>
              <w:spacing w:before="0" w:after="0"/>
              <w:jc w:val="both"/>
              <w:rPr>
                <w:b/>
                <w:color w:val="000000"/>
              </w:rPr>
            </w:pPr>
            <w:r>
              <w:rPr>
                <w:b/>
                <w:color w:val="000000"/>
              </w:rPr>
              <w:t>Cybersecurity</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Cybersecurity Risk Management and Strategy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Cybersecurity threats have the potential to negatively impact companies of all sizes and complexities. Our normal business operations could be severely disrupted by cyberattacks, both against our own information systems as well as those hosted and managed by our third party partners. The loss or disclosure of sensitive data as a result of cyberattacks could have a material impact on our business. For more information on how cybersecurity risk may materially affect the Company’s business strategy, results of operations or financial condition, please refer to Item 1A, Risk Factors, of this Form 10-K.</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We have implemented a comprehensive Information Security and Risk Management Program that is designed and maintained to be compliant with all applicable federal and state regulations, and is regularly audited by independent experts to ensure continuous effectiveness and compliance. Key elements of this program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 comprehensive risk management process, integrated with the Enterprise Risk Management system, that continuously assesses, identifies, and manages current and emerging cybersecurity threats and risks, evaluates the effectiveness of information security controls, and reports the overall risk posture to Executive Management and the Board of Directors.</w:t>
            </w:r>
          </w:p>
        </w:tc>
      </w:tr>
    </w:tbl>
    <w:p>
      <w:pPr>
        <w:pStyle w:val="TextBody"/>
        <w:bidi w:val="0"/>
        <w:spacing w:before="0" w:after="0"/>
        <w:jc w:val="left"/>
        <w:rPr/>
      </w:pPr>
      <w:r>
        <w:rPr/>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320" w:type="dxa"/>
            <w:tcBorders/>
            <w:vAlign w:val="center"/>
          </w:tcPr>
          <w:p>
            <w:pPr>
              <w:pStyle w:val="TableContents"/>
              <w:bidi w:val="0"/>
              <w:spacing w:before="0" w:after="0"/>
              <w:jc w:val="both"/>
              <w:rPr>
                <w:color w:val="000000"/>
              </w:rPr>
            </w:pPr>
            <w:r>
              <w:rPr>
                <w:color w:val="000000"/>
              </w:rPr>
              <w:t>assessment of daily cyber threat intelligence from multiple sources;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use of third party information security services for continuous monitoring and alerting of information systems, network. and user activity;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 Vulnerability Management Program that scans networks, devices, and information systems for known cyber vulnerabilities, and initiates processes to mitigate them;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 third party risk management program that evaluates and ensures our key partners adhere to the same level of information security posture as we do internally;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Business Continuity and Incident Response plans that are designed and tested for anticipated operational failures, natural disasters, cyberattacks, and other disruptive events;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an Information Security Awareness program to ensure employees and customers maintain an awareness of information security threats and best practices to prevent them.</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Information Security Governance</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Chief Information Security Officer is primarily responsible for the Information Security and Cyber Risk Management programs, and reports to the Chief Risk Officer. The Chief Technology Officer that oversees the Information Technology Department plays a key role in cybersecurity, ensuring that information systems, networks, and endpoints are configured and operated according to the requirements of the Information Security Program and related policies and standards. Both the current Chief Information Security Officer and Chief Technology Officer have well over 20 years of experience in Information Technology and Information Security.</w:t>
      </w:r>
    </w:p>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Information Security Committee, consisting of senior management and analysts from Information Security and Information Technology, monitors and assesses cyber threat intelligence, responds to cyber incidents at a technical level, and determines whether new controls are needed to address emerging risks or active cyber exploits. Key Risk Indicators for Information Security and Information Technology are reported to the Operations and Information Technology Steering Committees. Key risks and other relevant information is further summarized for the Board Risk and Audit Committees. The Board also receives a full report on the Information Security Program and its effectiveness annually. Other cyber related issues are brought to the attention of the Board as needed.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 w:name="Item2.Properties"/>
      <w:bookmarkStart w:id="10" w:name="Item2.Properties"/>
      <w:bookmarkEnd w:id="10"/>
    </w:p>
    <w:tbl>
      <w:tblPr>
        <w:tblW w:w="1825" w:type="dxa"/>
        <w:jc w:val="left"/>
        <w:tblInd w:w="0" w:type="dxa"/>
        <w:tblLayout w:type="fixed"/>
        <w:tblCellMar>
          <w:top w:w="0" w:type="dxa"/>
          <w:left w:w="0" w:type="dxa"/>
          <w:bottom w:w="0" w:type="dxa"/>
          <w:right w:w="0" w:type="dxa"/>
        </w:tblCellMar>
      </w:tblPr>
      <w:tblGrid>
        <w:gridCol w:w="740"/>
        <w:gridCol w:w="1085"/>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1085" w:type="dxa"/>
            <w:tcBorders/>
            <w:vAlign w:val="center"/>
          </w:tcPr>
          <w:p>
            <w:pPr>
              <w:pStyle w:val="TableContents"/>
              <w:bidi w:val="0"/>
              <w:spacing w:before="0" w:after="0"/>
              <w:jc w:val="both"/>
              <w:rPr>
                <w:b/>
                <w:color w:val="000000"/>
              </w:rPr>
            </w:pPr>
            <w:r>
              <w:rPr>
                <w:b/>
                <w:color w:val="000000"/>
              </w:rPr>
              <w:t>Properties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pStyle w:val="TextBody"/>
        <w:bidi w:val="0"/>
        <w:spacing w:before="0" w:after="0"/>
        <w:jc w:val="left"/>
        <w:rPr/>
      </w:pPr>
      <w:r>
        <w:rPr/>
      </w:r>
    </w:p>
    <w:tbl>
      <w:tblPr>
        <w:tblW w:w="6425" w:type="dxa"/>
        <w:jc w:val="left"/>
        <w:tblInd w:w="0" w:type="dxa"/>
        <w:tblLayout w:type="fixed"/>
        <w:tblCellMar>
          <w:top w:w="0" w:type="dxa"/>
          <w:left w:w="0" w:type="dxa"/>
          <w:bottom w:w="28" w:type="dxa"/>
          <w:right w:w="0" w:type="dxa"/>
        </w:tblCellMar>
      </w:tblPr>
      <w:tblGrid>
        <w:gridCol w:w="965"/>
        <w:gridCol w:w="60"/>
        <w:gridCol w:w="2360"/>
        <w:gridCol w:w="60"/>
        <w:gridCol w:w="1295"/>
        <w:gridCol w:w="60"/>
        <w:gridCol w:w="1625"/>
      </w:tblGrid>
      <w:tr>
        <w:trPr/>
        <w:tc>
          <w:tcPr>
            <w:tcW w:w="3385" w:type="dxa"/>
            <w:gridSpan w:val="3"/>
            <w:tcBorders>
              <w:bottom w:val="single" w:sz="12" w:space="0" w:color="000000"/>
            </w:tcBorders>
            <w:vAlign w:val="center"/>
          </w:tcPr>
          <w:p>
            <w:pPr>
              <w:pStyle w:val="TableContents"/>
              <w:bidi w:val="0"/>
              <w:spacing w:before="0" w:after="0"/>
              <w:jc w:val="center"/>
              <w:rPr>
                <w:b/>
                <w:color w:val="000000"/>
              </w:rPr>
            </w:pPr>
            <w:r>
              <w:rPr>
                <w:b/>
                <w:color w:val="000000"/>
              </w:rPr>
              <w:t>Lubbock/South Plains</w:t>
            </w:r>
          </w:p>
        </w:tc>
        <w:tc>
          <w:tcPr>
            <w:tcW w:w="60" w:type="dxa"/>
            <w:tcBorders/>
            <w:tcMar>
              <w:bottom w:w="0" w:type="dxa"/>
            </w:tcMar>
            <w:vAlign w:val="center"/>
          </w:tcPr>
          <w:p>
            <w:pPr>
              <w:pStyle w:val="TableContents"/>
              <w:bidi w:val="0"/>
              <w:spacing w:before="0" w:after="283"/>
              <w:jc w:val="left"/>
              <w:rPr/>
            </w:pPr>
            <w:r>
              <w:rPr/>
              <w:t> </w:t>
            </w:r>
          </w:p>
        </w:tc>
        <w:tc>
          <w:tcPr>
            <w:tcW w:w="2980" w:type="dxa"/>
            <w:gridSpan w:val="3"/>
            <w:tcBorders>
              <w:bottom w:val="single" w:sz="12" w:space="0" w:color="000000"/>
            </w:tcBorders>
            <w:vAlign w:val="center"/>
          </w:tcPr>
          <w:p>
            <w:pPr>
              <w:pStyle w:val="TableContents"/>
              <w:bidi w:val="0"/>
              <w:spacing w:before="0" w:after="0"/>
              <w:jc w:val="center"/>
              <w:rPr>
                <w:b/>
                <w:color w:val="000000"/>
              </w:rPr>
            </w:pPr>
            <w:r>
              <w:rPr>
                <w:b/>
                <w:color w:val="000000"/>
              </w:rPr>
              <w:t>Dallas/Ft. Worth</w:t>
            </w:r>
          </w:p>
        </w:tc>
      </w:tr>
      <w:tr>
        <w:trPr/>
        <w:tc>
          <w:tcPr>
            <w:tcW w:w="965"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2360"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0"/>
              <w:jc w:val="center"/>
              <w:rPr>
                <w:color w:val="000000"/>
              </w:rPr>
            </w:pPr>
            <w:r>
              <w:rPr>
                <w:color w:val="000000"/>
              </w:rPr>
              <w:t>Main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jc w:val="left"/>
              <w:rPr>
                <w:color w:val="000000"/>
              </w:rPr>
            </w:pPr>
            <w:r>
              <w:rPr>
                <w:color w:val="000000"/>
              </w:rPr>
              <w:t>Plano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r>
      <w:tr>
        <w:trPr/>
        <w:tc>
          <w:tcPr>
            <w:tcW w:w="965" w:type="dxa"/>
            <w:tcBorders/>
            <w:tcMar>
              <w:bottom w:w="0" w:type="dxa"/>
            </w:tcMar>
            <w:vAlign w:val="center"/>
          </w:tcPr>
          <w:p>
            <w:pPr>
              <w:pStyle w:val="TableContents"/>
              <w:bidi w:val="0"/>
              <w:spacing w:before="0" w:after="0"/>
              <w:jc w:val="left"/>
              <w:rPr>
                <w:color w:val="000000"/>
              </w:rPr>
            </w:pPr>
            <w:r>
              <w:rPr>
                <w:color w:val="000000"/>
              </w:rPr>
              <w:t>Lubbock</w:t>
            </w:r>
          </w:p>
        </w:tc>
        <w:tc>
          <w:tcPr>
            <w:tcW w:w="60" w:type="dxa"/>
            <w:tcBorders/>
            <w:tcMar>
              <w:bottom w:w="0" w:type="dxa"/>
            </w:tcMar>
            <w:vAlign w:val="center"/>
          </w:tcPr>
          <w:p>
            <w:pPr>
              <w:pStyle w:val="TableContents"/>
              <w:bidi w:val="0"/>
              <w:spacing w:before="0" w:after="283"/>
              <w:jc w:val="left"/>
              <w:rPr/>
            </w:pPr>
            <w:r>
              <w:rPr/>
              <w:t> </w:t>
            </w:r>
          </w:p>
        </w:tc>
        <w:tc>
          <w:tcPr>
            <w:tcW w:w="2360" w:type="dxa"/>
            <w:tcBorders/>
            <w:tcMar>
              <w:bottom w:w="0" w:type="dxa"/>
            </w:tcMar>
            <w:vAlign w:val="center"/>
          </w:tcPr>
          <w:p>
            <w:pPr>
              <w:pStyle w:val="TableContents"/>
              <w:bidi w:val="0"/>
              <w:spacing w:lineRule="auto" w:line="240" w:before="0" w:after="0"/>
              <w:jc w:val="center"/>
              <w:rPr>
                <w:color w:val="000000"/>
              </w:rPr>
            </w:pPr>
            <w:r>
              <w:rPr>
                <w:color w:val="000000"/>
              </w:rPr>
              <w:t>4th Street Branch</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0"/>
              <w:jc w:val="left"/>
              <w:rPr>
                <w:color w:val="000000"/>
              </w:rPr>
            </w:pPr>
            <w:r>
              <w:rPr>
                <w:color w:val="000000"/>
              </w:rPr>
              <w:t>Dallas</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jc w:val="center"/>
              <w:rPr>
                <w:color w:val="000000"/>
              </w:rPr>
            </w:pPr>
            <w:r>
              <w:rPr>
                <w:color w:val="000000"/>
              </w:rPr>
              <w:t>Uptown Branch</w:t>
            </w:r>
          </w:p>
        </w:tc>
      </w:tr>
      <w:tr>
        <w:trPr/>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lineRule="auto" w:line="240" w:before="0" w:after="0"/>
              <w:jc w:val="center"/>
              <w:rPr>
                <w:color w:val="000000"/>
              </w:rPr>
            </w:pPr>
            <w:r>
              <w:rPr>
                <w:color w:val="000000"/>
              </w:rPr>
              <w:t>50th and Indiana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jc w:val="left"/>
              <w:rPr>
                <w:color w:val="000000"/>
              </w:rPr>
            </w:pPr>
            <w:r>
              <w:rPr>
                <w:color w:val="000000"/>
              </w:rPr>
              <w:t>Forney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r>
      <w:tr>
        <w:trPr/>
        <w:tc>
          <w:tcPr>
            <w:tcW w:w="965" w:type="dxa"/>
            <w:tcBorders/>
            <w:tcMar>
              <w:bottom w:w="0" w:type="dxa"/>
            </w:tcMar>
            <w:vAlign w:val="center"/>
          </w:tcPr>
          <w:p>
            <w:pPr>
              <w:pStyle w:val="TableContents"/>
              <w:bidi w:val="0"/>
              <w:spacing w:before="0" w:after="0"/>
              <w:jc w:val="left"/>
              <w:rPr>
                <w:color w:val="000000"/>
              </w:rPr>
            </w:pPr>
            <w:r>
              <w:rPr>
                <w:color w:val="000000"/>
              </w:rPr>
              <w:t>Lubbock</w:t>
            </w:r>
          </w:p>
        </w:tc>
        <w:tc>
          <w:tcPr>
            <w:tcW w:w="60" w:type="dxa"/>
            <w:tcBorders/>
            <w:tcMar>
              <w:bottom w:w="0" w:type="dxa"/>
            </w:tcMar>
            <w:vAlign w:val="center"/>
          </w:tcPr>
          <w:p>
            <w:pPr>
              <w:pStyle w:val="TableContents"/>
              <w:bidi w:val="0"/>
              <w:spacing w:before="0" w:after="283"/>
              <w:jc w:val="left"/>
              <w:rPr/>
            </w:pPr>
            <w:r>
              <w:rPr/>
              <w:t> </w:t>
            </w:r>
          </w:p>
        </w:tc>
        <w:tc>
          <w:tcPr>
            <w:tcW w:w="2360" w:type="dxa"/>
            <w:tcBorders/>
            <w:tcMar>
              <w:bottom w:w="0" w:type="dxa"/>
            </w:tcMar>
            <w:vAlign w:val="center"/>
          </w:tcPr>
          <w:p>
            <w:pPr>
              <w:pStyle w:val="TableContents"/>
              <w:bidi w:val="0"/>
              <w:spacing w:before="0" w:after="0"/>
              <w:jc w:val="center"/>
              <w:rPr>
                <w:color w:val="000000"/>
              </w:rPr>
            </w:pPr>
            <w:r>
              <w:rPr>
                <w:color w:val="000000"/>
              </w:rPr>
              <w:t>Kingsgate Branch</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0"/>
              <w:jc w:val="left"/>
              <w:rPr>
                <w:color w:val="000000"/>
              </w:rPr>
            </w:pPr>
            <w:r>
              <w:rPr>
                <w:color w:val="000000"/>
              </w:rPr>
              <w:t>Arlington</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jc w:val="center"/>
              <w:rPr>
                <w:color w:val="000000"/>
              </w:rPr>
            </w:pPr>
            <w:r>
              <w:rPr>
                <w:color w:val="000000"/>
              </w:rPr>
              <w:t>LPO</w:t>
            </w:r>
          </w:p>
        </w:tc>
      </w:tr>
      <w:tr>
        <w:trPr/>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0"/>
              <w:jc w:val="center"/>
              <w:rPr>
                <w:color w:val="000000"/>
              </w:rPr>
            </w:pPr>
            <w:r>
              <w:rPr>
                <w:color w:val="000000"/>
              </w:rPr>
              <w:t>Milwaukee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jc w:val="left"/>
              <w:rPr>
                <w:color w:val="000000"/>
              </w:rPr>
            </w:pPr>
            <w:r>
              <w:rPr>
                <w:color w:val="000000"/>
              </w:rPr>
              <w:t>Dallas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Hillcrest LPO</w:t>
            </w:r>
          </w:p>
        </w:tc>
      </w:tr>
      <w:tr>
        <w:trPr/>
        <w:tc>
          <w:tcPr>
            <w:tcW w:w="965" w:type="dxa"/>
            <w:tcBorders/>
            <w:tcMar>
              <w:bottom w:w="0" w:type="dxa"/>
            </w:tcMar>
            <w:vAlign w:val="center"/>
          </w:tcPr>
          <w:p>
            <w:pPr>
              <w:pStyle w:val="TableContents"/>
              <w:bidi w:val="0"/>
              <w:spacing w:before="0" w:after="0"/>
              <w:jc w:val="left"/>
              <w:rPr>
                <w:color w:val="000000"/>
              </w:rPr>
            </w:pPr>
            <w:r>
              <w:rPr>
                <w:color w:val="000000"/>
              </w:rPr>
              <w:t>Lubbock</w:t>
            </w:r>
          </w:p>
        </w:tc>
        <w:tc>
          <w:tcPr>
            <w:tcW w:w="60" w:type="dxa"/>
            <w:tcBorders/>
            <w:tcMar>
              <w:bottom w:w="0" w:type="dxa"/>
            </w:tcMar>
            <w:vAlign w:val="center"/>
          </w:tcPr>
          <w:p>
            <w:pPr>
              <w:pStyle w:val="TableContents"/>
              <w:bidi w:val="0"/>
              <w:spacing w:before="0" w:after="283"/>
              <w:jc w:val="left"/>
              <w:rPr/>
            </w:pPr>
            <w:r>
              <w:rPr/>
              <w:t> </w:t>
            </w:r>
          </w:p>
        </w:tc>
        <w:tc>
          <w:tcPr>
            <w:tcW w:w="2360" w:type="dxa"/>
            <w:tcBorders/>
            <w:tcMar>
              <w:bottom w:w="0" w:type="dxa"/>
            </w:tcMar>
            <w:vAlign w:val="center"/>
          </w:tcPr>
          <w:p>
            <w:pPr>
              <w:pStyle w:val="TableContents"/>
              <w:bidi w:val="0"/>
              <w:spacing w:before="0" w:after="0"/>
              <w:jc w:val="center"/>
              <w:rPr>
                <w:color w:val="000000"/>
              </w:rPr>
            </w:pPr>
            <w:r>
              <w:rPr>
                <w:color w:val="000000"/>
              </w:rPr>
              <w:t>Overton Branch</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0"/>
              <w:jc w:val="left"/>
              <w:rPr>
                <w:color w:val="000000"/>
              </w:rPr>
            </w:pPr>
            <w:r>
              <w:rPr>
                <w:color w:val="000000"/>
              </w:rPr>
              <w:t>Ft. Worth</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jc w:val="center"/>
              <w:rPr>
                <w:color w:val="000000"/>
              </w:rPr>
            </w:pPr>
            <w:r>
              <w:rPr>
                <w:color w:val="000000"/>
              </w:rPr>
              <w:t>LPO</w:t>
            </w:r>
          </w:p>
        </w:tc>
      </w:tr>
      <w:tr>
        <w:trPr/>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Lubbock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0"/>
              <w:jc w:val="center"/>
              <w:rPr>
                <w:color w:val="000000"/>
              </w:rPr>
            </w:pPr>
            <w:r>
              <w:rPr>
                <w:color w:val="000000"/>
              </w:rPr>
              <w:t>University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jc w:val="left"/>
              <w:rPr>
                <w:color w:val="000000"/>
              </w:rPr>
            </w:pPr>
            <w:r>
              <w:rPr>
                <w:color w:val="000000"/>
              </w:rPr>
              <w:t>Grand Prairie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LPO</w:t>
            </w:r>
          </w:p>
        </w:tc>
      </w:tr>
      <w:tr>
        <w:trPr/>
        <w:tc>
          <w:tcPr>
            <w:tcW w:w="965" w:type="dxa"/>
            <w:tcBorders/>
            <w:tcMar>
              <w:bottom w:w="0" w:type="dxa"/>
            </w:tcMar>
            <w:vAlign w:val="center"/>
          </w:tcPr>
          <w:p>
            <w:pPr>
              <w:pStyle w:val="TableContents"/>
              <w:bidi w:val="0"/>
              <w:spacing w:before="0" w:after="0"/>
              <w:jc w:val="left"/>
              <w:rPr>
                <w:color w:val="000000"/>
              </w:rPr>
            </w:pPr>
            <w:r>
              <w:rPr>
                <w:color w:val="000000"/>
              </w:rPr>
              <w:t>Morton</w:t>
            </w:r>
          </w:p>
        </w:tc>
        <w:tc>
          <w:tcPr>
            <w:tcW w:w="60" w:type="dxa"/>
            <w:tcBorders/>
            <w:tcMar>
              <w:bottom w:w="0" w:type="dxa"/>
            </w:tcMar>
            <w:vAlign w:val="center"/>
          </w:tcPr>
          <w:p>
            <w:pPr>
              <w:pStyle w:val="TableContents"/>
              <w:bidi w:val="0"/>
              <w:spacing w:before="0" w:after="283"/>
              <w:jc w:val="left"/>
              <w:rPr/>
            </w:pPr>
            <w:r>
              <w:rPr/>
              <w:t> </w:t>
            </w:r>
          </w:p>
        </w:tc>
        <w:tc>
          <w:tcPr>
            <w:tcW w:w="2360" w:type="dxa"/>
            <w:tcBorders/>
            <w:tcMar>
              <w:bottom w:w="0" w:type="dxa"/>
            </w:tcMar>
            <w:vAlign w:val="center"/>
          </w:tcPr>
          <w:p>
            <w:pPr>
              <w:pStyle w:val="TableContents"/>
              <w:bidi w:val="0"/>
              <w:spacing w:before="0" w:after="0"/>
              <w:jc w:val="center"/>
              <w:rPr>
                <w:color w:val="000000"/>
              </w:rPr>
            </w:pPr>
            <w:r>
              <w:rPr>
                <w:color w:val="000000"/>
              </w:rPr>
              <w:t>Branch</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0"/>
              <w:jc w:val="left"/>
              <w:rPr>
                <w:color w:val="000000"/>
              </w:rPr>
            </w:pPr>
            <w:r>
              <w:rPr>
                <w:color w:val="000000"/>
              </w:rPr>
              <w:t>Southlake</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jc w:val="center"/>
              <w:rPr>
                <w:color w:val="000000"/>
              </w:rPr>
            </w:pPr>
            <w:r>
              <w:rPr>
                <w:color w:val="000000"/>
              </w:rPr>
              <w:t>LPO</w:t>
            </w:r>
          </w:p>
        </w:tc>
      </w:tr>
      <w:tr>
        <w:trPr/>
        <w:tc>
          <w:tcPr>
            <w:tcW w:w="965" w:type="dxa"/>
            <w:tcBorders/>
            <w:shd w:fill="CCEEFF" w:val="clear"/>
            <w:tcMar>
              <w:bottom w:w="0" w:type="dxa"/>
            </w:tcMar>
            <w:vAlign w:val="center"/>
          </w:tcPr>
          <w:p>
            <w:pPr>
              <w:pStyle w:val="TableContents"/>
              <w:bidi w:val="0"/>
              <w:spacing w:before="0" w:after="0"/>
              <w:jc w:val="left"/>
              <w:rPr>
                <w:color w:val="000000"/>
              </w:rPr>
            </w:pPr>
            <w:r>
              <w:rPr>
                <w:color w:val="000000"/>
              </w:rPr>
              <w:t>Idalou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0"/>
              <w:jc w:val="left"/>
              <w:rPr>
                <w:color w:val="000000"/>
              </w:rPr>
            </w:pPr>
            <w:r>
              <w:rPr>
                <w:color w:val="000000"/>
              </w:rPr>
              <w:t>Levelland</w:t>
            </w:r>
          </w:p>
        </w:tc>
        <w:tc>
          <w:tcPr>
            <w:tcW w:w="60" w:type="dxa"/>
            <w:tcBorders/>
            <w:tcMar>
              <w:bottom w:w="0" w:type="dxa"/>
            </w:tcMar>
            <w:vAlign w:val="center"/>
          </w:tcPr>
          <w:p>
            <w:pPr>
              <w:pStyle w:val="TableContents"/>
              <w:bidi w:val="0"/>
              <w:spacing w:before="0" w:after="283"/>
              <w:jc w:val="left"/>
              <w:rPr/>
            </w:pPr>
            <w:r>
              <w:rPr/>
              <w:t> </w:t>
            </w:r>
          </w:p>
        </w:tc>
        <w:tc>
          <w:tcPr>
            <w:tcW w:w="2360" w:type="dxa"/>
            <w:tcBorders/>
            <w:tcMar>
              <w:bottom w:w="0" w:type="dxa"/>
            </w:tcMar>
            <w:vAlign w:val="center"/>
          </w:tcPr>
          <w:p>
            <w:pPr>
              <w:pStyle w:val="TableContents"/>
              <w:bidi w:val="0"/>
              <w:spacing w:before="0" w:after="0"/>
              <w:jc w:val="center"/>
              <w:rPr>
                <w:color w:val="000000"/>
              </w:rPr>
            </w:pPr>
            <w:r>
              <w:rPr>
                <w:color w:val="000000"/>
              </w:rPr>
              <w:t>Branch</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5270" w:type="dxa"/>
        <w:jc w:val="left"/>
        <w:tblInd w:w="0" w:type="dxa"/>
        <w:tblLayout w:type="fixed"/>
        <w:tblCellMar>
          <w:top w:w="0" w:type="dxa"/>
          <w:left w:w="0" w:type="dxa"/>
          <w:bottom w:w="28" w:type="dxa"/>
          <w:right w:w="0" w:type="dxa"/>
        </w:tblCellMar>
      </w:tblPr>
      <w:tblGrid>
        <w:gridCol w:w="920"/>
        <w:gridCol w:w="60"/>
        <w:gridCol w:w="1625"/>
        <w:gridCol w:w="60"/>
        <w:gridCol w:w="920"/>
        <w:gridCol w:w="60"/>
        <w:gridCol w:w="1625"/>
      </w:tblGrid>
      <w:tr>
        <w:trPr/>
        <w:tc>
          <w:tcPr>
            <w:tcW w:w="2605" w:type="dxa"/>
            <w:gridSpan w:val="3"/>
            <w:tcBorders>
              <w:bottom w:val="single" w:sz="12" w:space="0" w:color="000000"/>
            </w:tcBorders>
            <w:vAlign w:val="center"/>
          </w:tcPr>
          <w:p>
            <w:pPr>
              <w:pStyle w:val="TableContents"/>
              <w:bidi w:val="0"/>
              <w:spacing w:before="0" w:after="0"/>
              <w:jc w:val="center"/>
              <w:rPr>
                <w:b/>
                <w:color w:val="000000"/>
              </w:rPr>
            </w:pPr>
            <w:r>
              <w:rPr>
                <w:b/>
                <w:color w:val="000000"/>
              </w:rPr>
              <w:t>El Paso</w:t>
            </w:r>
          </w:p>
        </w:tc>
        <w:tc>
          <w:tcPr>
            <w:tcW w:w="60" w:type="dxa"/>
            <w:tcBorders/>
            <w:tcMar>
              <w:bottom w:w="0" w:type="dxa"/>
            </w:tcMar>
            <w:vAlign w:val="center"/>
          </w:tcPr>
          <w:p>
            <w:pPr>
              <w:pStyle w:val="TableContents"/>
              <w:bidi w:val="0"/>
              <w:spacing w:before="0" w:after="283"/>
              <w:jc w:val="left"/>
              <w:rPr/>
            </w:pPr>
            <w:r>
              <w:rPr/>
              <w:t> </w:t>
            </w:r>
          </w:p>
        </w:tc>
        <w:tc>
          <w:tcPr>
            <w:tcW w:w="2605" w:type="dxa"/>
            <w:gridSpan w:val="3"/>
            <w:tcBorders>
              <w:bottom w:val="single" w:sz="12" w:space="0" w:color="000000"/>
            </w:tcBorders>
            <w:vAlign w:val="center"/>
          </w:tcPr>
          <w:p>
            <w:pPr>
              <w:pStyle w:val="TableContents"/>
              <w:bidi w:val="0"/>
              <w:spacing w:before="0" w:after="0"/>
              <w:jc w:val="center"/>
              <w:rPr>
                <w:b/>
                <w:color w:val="000000"/>
              </w:rPr>
            </w:pPr>
            <w:r>
              <w:rPr>
                <w:b/>
                <w:color w:val="000000"/>
              </w:rPr>
              <w:t>Houston</w:t>
            </w:r>
          </w:p>
        </w:tc>
      </w:tr>
      <w:tr>
        <w:trPr/>
        <w:tc>
          <w:tcPr>
            <w:tcW w:w="92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920" w:type="dxa"/>
            <w:tcBorders/>
            <w:shd w:fill="CCEEFF" w:val="clear"/>
            <w:tcMar>
              <w:bottom w:w="0" w:type="dxa"/>
            </w:tcMar>
            <w:vAlign w:val="center"/>
          </w:tcPr>
          <w:p>
            <w:pPr>
              <w:pStyle w:val="TableContents"/>
              <w:bidi w:val="0"/>
              <w:spacing w:before="0" w:after="0"/>
              <w:jc w:val="left"/>
              <w:rPr>
                <w:color w:val="000000"/>
              </w:rPr>
            </w:pPr>
            <w:r>
              <w:rPr>
                <w:color w:val="000000"/>
              </w:rPr>
              <w:t>El Paso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East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0"/>
              <w:jc w:val="left"/>
              <w:rPr>
                <w:color w:val="000000"/>
              </w:rPr>
            </w:pPr>
            <w:r>
              <w:rPr>
                <w:color w:val="000000"/>
              </w:rPr>
              <w:t>Houston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r>
      <w:tr>
        <w:trPr/>
        <w:tc>
          <w:tcPr>
            <w:tcW w:w="920" w:type="dxa"/>
            <w:tcBorders/>
            <w:tcMar>
              <w:bottom w:w="0" w:type="dxa"/>
            </w:tcMar>
            <w:vAlign w:val="center"/>
          </w:tcPr>
          <w:p>
            <w:pPr>
              <w:pStyle w:val="TableContents"/>
              <w:bidi w:val="0"/>
              <w:spacing w:before="0" w:after="0"/>
              <w:jc w:val="left"/>
              <w:rPr>
                <w:color w:val="000000"/>
              </w:rPr>
            </w:pPr>
            <w:r>
              <w:rPr>
                <w:color w:val="000000"/>
              </w:rPr>
              <w:t>El Paso</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jc w:val="center"/>
              <w:rPr>
                <w:color w:val="000000"/>
              </w:rPr>
            </w:pPr>
            <w:r>
              <w:rPr>
                <w:color w:val="000000"/>
              </w:rPr>
              <w:t>West Branch</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0"/>
              <w:jc w:val="left"/>
              <w:rPr>
                <w:color w:val="000000"/>
              </w:rPr>
            </w:pPr>
            <w:r>
              <w:rPr>
                <w:color w:val="000000"/>
              </w:rPr>
              <w:t>El Paso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Mesa Hills LPO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6395" w:type="dxa"/>
        <w:jc w:val="left"/>
        <w:tblInd w:w="0" w:type="dxa"/>
        <w:tblLayout w:type="fixed"/>
        <w:tblCellMar>
          <w:top w:w="0" w:type="dxa"/>
          <w:left w:w="0" w:type="dxa"/>
          <w:bottom w:w="28" w:type="dxa"/>
          <w:right w:w="0" w:type="dxa"/>
        </w:tblCellMar>
      </w:tblPr>
      <w:tblGrid>
        <w:gridCol w:w="1475"/>
        <w:gridCol w:w="60"/>
        <w:gridCol w:w="1625"/>
        <w:gridCol w:w="60"/>
        <w:gridCol w:w="920"/>
        <w:gridCol w:w="60"/>
        <w:gridCol w:w="2195"/>
      </w:tblGrid>
      <w:tr>
        <w:trPr/>
        <w:tc>
          <w:tcPr>
            <w:tcW w:w="3160" w:type="dxa"/>
            <w:gridSpan w:val="3"/>
            <w:tcBorders>
              <w:bottom w:val="single" w:sz="12" w:space="0" w:color="000000"/>
            </w:tcBorders>
            <w:vAlign w:val="center"/>
          </w:tcPr>
          <w:p>
            <w:pPr>
              <w:pStyle w:val="TableContents"/>
              <w:bidi w:val="0"/>
              <w:spacing w:before="0" w:after="0"/>
              <w:jc w:val="center"/>
              <w:rPr>
                <w:b/>
                <w:color w:val="000000"/>
              </w:rPr>
            </w:pPr>
            <w:r>
              <w:rPr>
                <w:b/>
                <w:color w:val="000000"/>
              </w:rPr>
              <w:t>Bryan/College Station</w:t>
            </w:r>
          </w:p>
        </w:tc>
        <w:tc>
          <w:tcPr>
            <w:tcW w:w="60" w:type="dxa"/>
            <w:tcBorders/>
            <w:tcMar>
              <w:bottom w:w="0" w:type="dxa"/>
            </w:tcMar>
            <w:vAlign w:val="center"/>
          </w:tcPr>
          <w:p>
            <w:pPr>
              <w:pStyle w:val="TableContents"/>
              <w:bidi w:val="0"/>
              <w:spacing w:before="0" w:after="283"/>
              <w:jc w:val="left"/>
              <w:rPr/>
            </w:pPr>
            <w:r>
              <w:rPr/>
              <w:t> </w:t>
            </w:r>
          </w:p>
        </w:tc>
        <w:tc>
          <w:tcPr>
            <w:tcW w:w="3175" w:type="dxa"/>
            <w:gridSpan w:val="3"/>
            <w:tcBorders>
              <w:bottom w:val="single" w:sz="12" w:space="0" w:color="000000"/>
            </w:tcBorders>
            <w:vAlign w:val="center"/>
          </w:tcPr>
          <w:p>
            <w:pPr>
              <w:pStyle w:val="TableContents"/>
              <w:bidi w:val="0"/>
              <w:spacing w:before="0" w:after="0"/>
              <w:jc w:val="center"/>
              <w:rPr>
                <w:b/>
                <w:color w:val="000000"/>
              </w:rPr>
            </w:pPr>
            <w:r>
              <w:rPr>
                <w:b/>
                <w:color w:val="000000"/>
              </w:rPr>
              <w:t>Ruidoso, New Mexico</w:t>
            </w:r>
          </w:p>
        </w:tc>
      </w:tr>
      <w:tr>
        <w:trPr/>
        <w:tc>
          <w:tcPr>
            <w:tcW w:w="1475"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1475" w:type="dxa"/>
            <w:tcBorders/>
            <w:shd w:fill="CCEEFF" w:val="clear"/>
            <w:tcMar>
              <w:bottom w:w="0" w:type="dxa"/>
            </w:tcMar>
            <w:vAlign w:val="center"/>
          </w:tcPr>
          <w:p>
            <w:pPr>
              <w:pStyle w:val="TableContents"/>
              <w:bidi w:val="0"/>
              <w:spacing w:before="0" w:after="0"/>
              <w:jc w:val="left"/>
              <w:rPr>
                <w:color w:val="000000"/>
              </w:rPr>
            </w:pPr>
            <w:r>
              <w:rPr>
                <w:color w:val="000000"/>
              </w:rPr>
              <w:t>College Station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0"/>
              <w:jc w:val="left"/>
              <w:rPr>
                <w:color w:val="000000"/>
              </w:rPr>
            </w:pPr>
            <w:r>
              <w:rPr>
                <w:color w:val="000000"/>
              </w:rPr>
              <w:t>Ruidoso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5" w:type="dxa"/>
            <w:tcBorders/>
            <w:shd w:fill="CCEEFF" w:val="clear"/>
            <w:tcMar>
              <w:bottom w:w="0" w:type="dxa"/>
            </w:tcMar>
            <w:vAlign w:val="center"/>
          </w:tcPr>
          <w:p>
            <w:pPr>
              <w:pStyle w:val="TableContents"/>
              <w:bidi w:val="0"/>
              <w:spacing w:before="0" w:after="0"/>
              <w:jc w:val="center"/>
              <w:rPr>
                <w:color w:val="000000"/>
              </w:rPr>
            </w:pPr>
            <w:r>
              <w:rPr>
                <w:color w:val="000000"/>
              </w:rPr>
              <w:t>Gateway Branch</w:t>
            </w:r>
          </w:p>
        </w:tc>
      </w:tr>
      <w:tr>
        <w:trPr/>
        <w:tc>
          <w:tcPr>
            <w:tcW w:w="1475" w:type="dxa"/>
            <w:tcBorders/>
            <w:tcMar>
              <w:bottom w:w="0" w:type="dxa"/>
            </w:tcMar>
            <w:vAlign w:val="center"/>
          </w:tcPr>
          <w:p>
            <w:pPr>
              <w:pStyle w:val="TableContents"/>
              <w:bidi w:val="0"/>
              <w:spacing w:before="0" w:after="0"/>
              <w:jc w:val="left"/>
              <w:rPr>
                <w:color w:val="000000"/>
              </w:rPr>
            </w:pPr>
            <w:r>
              <w:rPr>
                <w:color w:val="000000"/>
              </w:rPr>
              <w:t>College Station</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jc w:val="center"/>
              <w:rPr>
                <w:color w:val="000000"/>
              </w:rPr>
            </w:pPr>
            <w:r>
              <w:rPr>
                <w:color w:val="000000"/>
              </w:rPr>
              <w:t>LPO</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0"/>
              <w:jc w:val="left"/>
              <w:rPr>
                <w:color w:val="000000"/>
              </w:rPr>
            </w:pPr>
            <w:r>
              <w:rPr>
                <w:color w:val="000000"/>
              </w:rPr>
              <w:t>Ruidoso</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0"/>
              <w:jc w:val="center"/>
              <w:rPr>
                <w:color w:val="000000"/>
              </w:rPr>
            </w:pPr>
            <w:r>
              <w:rPr>
                <w:color w:val="000000"/>
              </w:rPr>
              <w:t>River Crossing Branch</w:t>
            </w:r>
          </w:p>
        </w:tc>
      </w:tr>
    </w:tbl>
    <w:p>
      <w:pPr>
        <w:pStyle w:val="TextBody"/>
        <w:bidi w:val="0"/>
        <w:spacing w:before="0" w:after="0"/>
        <w:jc w:val="left"/>
        <w:rPr/>
      </w:pPr>
      <w:r>
        <w:rPr/>
      </w:r>
    </w:p>
    <w:tbl>
      <w:tblPr>
        <w:tblW w:w="6410" w:type="dxa"/>
        <w:jc w:val="left"/>
        <w:tblInd w:w="0" w:type="dxa"/>
        <w:tblLayout w:type="fixed"/>
        <w:tblCellMar>
          <w:top w:w="0" w:type="dxa"/>
          <w:left w:w="0" w:type="dxa"/>
          <w:bottom w:w="28" w:type="dxa"/>
          <w:right w:w="0" w:type="dxa"/>
        </w:tblCellMar>
      </w:tblPr>
      <w:tblGrid>
        <w:gridCol w:w="1310"/>
        <w:gridCol w:w="60"/>
        <w:gridCol w:w="1835"/>
        <w:gridCol w:w="60"/>
        <w:gridCol w:w="1460"/>
        <w:gridCol w:w="60"/>
        <w:gridCol w:w="1625"/>
      </w:tblGrid>
      <w:tr>
        <w:trPr/>
        <w:tc>
          <w:tcPr>
            <w:tcW w:w="3205" w:type="dxa"/>
            <w:gridSpan w:val="3"/>
            <w:tcBorders>
              <w:bottom w:val="single" w:sz="12" w:space="0" w:color="000000"/>
            </w:tcBorders>
            <w:vAlign w:val="center"/>
          </w:tcPr>
          <w:p>
            <w:pPr>
              <w:pStyle w:val="TableContents"/>
              <w:bidi w:val="0"/>
              <w:spacing w:before="0" w:after="0"/>
              <w:jc w:val="center"/>
              <w:rPr>
                <w:b/>
                <w:color w:val="000000"/>
              </w:rPr>
            </w:pPr>
            <w:r>
              <w:rPr>
                <w:b/>
                <w:color w:val="000000"/>
              </w:rPr>
              <w:t>The Permian Basin</w:t>
            </w:r>
          </w:p>
        </w:tc>
        <w:tc>
          <w:tcPr>
            <w:tcW w:w="60" w:type="dxa"/>
            <w:tcBorders/>
            <w:tcMar>
              <w:bottom w:w="0" w:type="dxa"/>
            </w:tcMar>
            <w:vAlign w:val="center"/>
          </w:tcPr>
          <w:p>
            <w:pPr>
              <w:pStyle w:val="TableContents"/>
              <w:bidi w:val="0"/>
              <w:spacing w:before="0" w:after="283"/>
              <w:jc w:val="left"/>
              <w:rPr/>
            </w:pPr>
            <w:r>
              <w:rPr/>
              <w:t> </w:t>
            </w:r>
          </w:p>
        </w:tc>
        <w:tc>
          <w:tcPr>
            <w:tcW w:w="3145" w:type="dxa"/>
            <w:gridSpan w:val="3"/>
            <w:tcBorders>
              <w:bottom w:val="single" w:sz="12" w:space="0" w:color="000000"/>
            </w:tcBorders>
            <w:vAlign w:val="center"/>
          </w:tcPr>
          <w:p>
            <w:pPr>
              <w:pStyle w:val="TableContents"/>
              <w:bidi w:val="0"/>
              <w:spacing w:before="0" w:after="0"/>
              <w:jc w:val="center"/>
              <w:rPr>
                <w:b/>
                <w:color w:val="000000"/>
              </w:rPr>
            </w:pPr>
            <w:r>
              <w:rPr>
                <w:b/>
                <w:color w:val="000000"/>
              </w:rPr>
              <w:t>Other Markets</w:t>
            </w:r>
          </w:p>
        </w:tc>
      </w:tr>
      <w:tr>
        <w:trPr/>
        <w:tc>
          <w:tcPr>
            <w:tcW w:w="131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12" w:space="0" w:color="000000"/>
            </w:tcBorders>
            <w:vAlign w:val="center"/>
          </w:tcPr>
          <w:p>
            <w:pPr>
              <w:pStyle w:val="TableContents"/>
              <w:bidi w:val="0"/>
              <w:spacing w:before="0" w:after="0"/>
              <w:jc w:val="center"/>
              <w:rPr>
                <w:b/>
                <w:color w:val="000000"/>
              </w:rPr>
            </w:pPr>
            <w:r>
              <w:rPr>
                <w:b/>
                <w:color w:val="000000"/>
              </w:rPr>
              <w:t>Location</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0"/>
              <w:jc w:val="center"/>
              <w:rPr>
                <w:b/>
                <w:color w:val="000000"/>
              </w:rPr>
            </w:pPr>
            <w:r>
              <w:rPr>
                <w:b/>
                <w:color w:val="000000"/>
              </w:rPr>
              <w:t>Branch or LPO</w:t>
            </w:r>
          </w:p>
        </w:tc>
      </w:tr>
      <w:tr>
        <w:trPr/>
        <w:tc>
          <w:tcPr>
            <w:tcW w:w="1310" w:type="dxa"/>
            <w:tcBorders/>
            <w:shd w:fill="CCEEFF" w:val="clear"/>
            <w:tcMar>
              <w:bottom w:w="0" w:type="dxa"/>
            </w:tcMar>
            <w:vAlign w:val="center"/>
          </w:tcPr>
          <w:p>
            <w:pPr>
              <w:pStyle w:val="TableContents"/>
              <w:bidi w:val="0"/>
              <w:spacing w:before="0" w:after="0"/>
              <w:jc w:val="left"/>
              <w:rPr>
                <w:color w:val="000000"/>
              </w:rPr>
            </w:pPr>
            <w:r>
              <w:rPr>
                <w:color w:val="000000"/>
              </w:rPr>
              <w:t>Odessa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0"/>
              <w:jc w:val="center"/>
              <w:rPr>
                <w:color w:val="000000"/>
              </w:rPr>
            </w:pPr>
            <w:r>
              <w:rPr>
                <w:color w:val="000000"/>
              </w:rPr>
              <w:t>University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0"/>
              <w:jc w:val="left"/>
              <w:rPr>
                <w:color w:val="000000"/>
              </w:rPr>
            </w:pPr>
            <w:r>
              <w:rPr>
                <w:color w:val="000000"/>
              </w:rPr>
              <w:t>Abilene, Texas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jc w:val="center"/>
              <w:rPr>
                <w:color w:val="000000"/>
              </w:rPr>
            </w:pPr>
            <w:r>
              <w:rPr>
                <w:color w:val="000000"/>
              </w:rPr>
              <w:t>LPO</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Odessa</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0"/>
              <w:jc w:val="center"/>
              <w:rPr>
                <w:color w:val="000000"/>
              </w:rPr>
            </w:pPr>
            <w:r>
              <w:rPr>
                <w:color w:val="000000"/>
              </w:rPr>
              <w:t>Grandview Branch</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0"/>
              <w:jc w:val="left"/>
              <w:rPr>
                <w:color w:val="000000"/>
              </w:rPr>
            </w:pPr>
            <w:r>
              <w:rPr>
                <w:color w:val="000000"/>
              </w:rPr>
              <w:t>Midland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Kermit</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0"/>
              <w:jc w:val="center"/>
              <w:rPr>
                <w:color w:val="000000"/>
              </w:rPr>
            </w:pPr>
            <w:r>
              <w:rPr>
                <w:color w:val="000000"/>
              </w:rPr>
              <w:t>Branch</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0"/>
              <w:jc w:val="left"/>
              <w:rPr>
                <w:color w:val="000000"/>
              </w:rPr>
            </w:pPr>
            <w:r>
              <w:rPr>
                <w:color w:val="000000"/>
              </w:rPr>
              <w:t>Fort Stockton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0"/>
              <w:jc w:val="center"/>
              <w:rPr>
                <w:color w:val="000000"/>
              </w:rPr>
            </w:pPr>
            <w:r>
              <w:rPr>
                <w:color w:val="000000"/>
              </w:rPr>
              <w:t>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Monahans</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0"/>
              <w:jc w:val="center"/>
              <w:rPr>
                <w:color w:val="000000"/>
              </w:rPr>
            </w:pPr>
            <w:r>
              <w:rPr>
                <w:color w:val="000000"/>
              </w:rPr>
              <w:t>Branch</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359"/>
        <w:jc w:val="left"/>
        <w:rPr>
          <w:rFonts w:ascii="Times New Roman" w:hAnsi="Times New Roman"/>
          <w:color w:val="000000"/>
          <w:sz w:val="20"/>
          <w:shd w:fill="FFFFFF" w:val="clear"/>
        </w:rPr>
      </w:pPr>
      <w:r>
        <w:rPr>
          <w:rFonts w:ascii="Times New Roman" w:hAnsi="Times New Roman"/>
          <w:color w:val="000000"/>
          <w:sz w:val="20"/>
          <w:shd w:fill="FFFFFF" w:val="clear"/>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Item3.LegalProceedings"/>
      <w:bookmarkStart w:id="12" w:name="Item3.LegalProceedings"/>
      <w:bookmarkEnd w:id="12"/>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189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pPr>
      <w:r>
        <w:rPr/>
      </w:r>
    </w:p>
    <w:p>
      <w:pPr>
        <w:pStyle w:val="TextBody"/>
        <w:bidi w:val="0"/>
        <w:spacing w:before="0" w:after="0"/>
        <w:ind w:left="0" w:right="0" w:firstLine="359"/>
        <w:jc w:val="both"/>
        <w:rPr>
          <w:rFonts w:ascii="Times New Roman" w:hAnsi="Times New Roman"/>
          <w:color w:val="000000"/>
          <w:sz w:val="20"/>
          <w:shd w:fill="FFFFFF" w:val="clear"/>
        </w:rPr>
      </w:pPr>
      <w:r>
        <w:rPr>
          <w:rFonts w:ascii="Times New Roman" w:hAnsi="Times New Roman"/>
          <w:color w:val="000000"/>
          <w:sz w:val="20"/>
          <w:shd w:fill="FFFFFF" w:val="clear"/>
        </w:rPr>
        <w:t>From time to time, the Company or the Bank is a party to claims and legal proceedings arising in the ordinary course of business.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Item4.MineSafetyDisclosur"/>
      <w:bookmarkStart w:id="14" w:name="Item4.MineSafetyDisclosur"/>
      <w:bookmarkEnd w:id="14"/>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450"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Item5.MarketforRegistrant"/>
      <w:bookmarkStart w:id="16" w:name="Item5.MarketforRegistrant"/>
      <w:bookmarkEnd w:id="16"/>
    </w:p>
    <w:tbl>
      <w:tblPr>
        <w:tblW w:w="10205" w:type="dxa"/>
        <w:jc w:val="left"/>
        <w:tblInd w:w="0" w:type="dxa"/>
        <w:tblLayout w:type="fixed"/>
        <w:tblCellMar>
          <w:top w:w="0" w:type="dxa"/>
          <w:left w:w="0" w:type="dxa"/>
          <w:bottom w:w="0" w:type="dxa"/>
          <w:right w:w="0" w:type="dxa"/>
        </w:tblCellMar>
      </w:tblPr>
      <w:tblGrid>
        <w:gridCol w:w="691"/>
        <w:gridCol w:w="9514"/>
      </w:tblGrid>
      <w:tr>
        <w:trPr/>
        <w:tc>
          <w:tcPr>
            <w:tcW w:w="691" w:type="dxa"/>
            <w:tcBorders/>
            <w:vAlign w:val="center"/>
          </w:tcPr>
          <w:p>
            <w:pPr>
              <w:pStyle w:val="TableContents"/>
              <w:bidi w:val="0"/>
              <w:spacing w:before="0" w:after="283"/>
              <w:jc w:val="left"/>
              <w:rPr>
                <w:b/>
                <w:color w:val="000000"/>
              </w:rPr>
            </w:pPr>
            <w:r>
              <w:rPr>
                <w:b/>
                <w:color w:val="000000"/>
              </w:rPr>
              <w:t>Item 5.</w:t>
            </w:r>
          </w:p>
        </w:tc>
        <w:tc>
          <w:tcPr>
            <w:tcW w:w="9514" w:type="dxa"/>
            <w:tcBorders/>
            <w:vAlign w:val="center"/>
          </w:tcPr>
          <w:p>
            <w:pPr>
              <w:pStyle w:val="TableContents"/>
              <w:bidi w:val="0"/>
              <w:spacing w:before="0" w:after="0"/>
              <w:jc w:val="both"/>
              <w:rPr>
                <w:b/>
                <w:color w:val="000000"/>
              </w:rPr>
            </w:pPr>
            <w:r>
              <w:rPr>
                <w:b/>
                <w:color w:val="000000"/>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 Information for Common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Company’s common stock is traded on the NASDAQ Global Select Market. Quotations of the sales volume and the closing sales prices of the Company’s common stock are listed daily under the symbol “SPFI” in NASDAQ’s listings.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Holders of Record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of March 13, 2024, there were approximately 170 holders of record of the Company’s common stock.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Dividends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Company paid a dividend of $0.13 per common share in each of the four quarters of 2023. Additionally, the Company paid a dividend of $0.13 per common share in the first quarter of 2024. Also, see “Item 1. Business – Supervision and Regulation – Dividend Payments, Stock Redemptions and Repurchases” and “Item 7. Management’s Discussion and Analysis of the Financial Condition and Results of Operations – Liquidity and Capital Resources – Capital Requirements” of this Report for restrictions on our present or future ability to pay dividends, particularly those restrictions arising under federal and state banking laws.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Authorized for Issuance Under Equity Compensation Plans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at December 31, 2023 with respect to compensation plans under which shares of our common stock may be issued.</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068"/>
        <w:gridCol w:w="60"/>
        <w:gridCol w:w="118"/>
        <w:gridCol w:w="1967"/>
        <w:gridCol w:w="60"/>
        <w:gridCol w:w="60"/>
        <w:gridCol w:w="415"/>
        <w:gridCol w:w="1662"/>
        <w:gridCol w:w="60"/>
        <w:gridCol w:w="60"/>
        <w:gridCol w:w="92"/>
        <w:gridCol w:w="1518"/>
        <w:gridCol w:w="65"/>
      </w:tblGrid>
      <w:tr>
        <w:trPr/>
        <w:tc>
          <w:tcPr>
            <w:tcW w:w="4068"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Plan Category</w:t>
            </w:r>
          </w:p>
        </w:tc>
        <w:tc>
          <w:tcPr>
            <w:tcW w:w="60" w:type="dxa"/>
            <w:tcBorders/>
            <w:tcMar>
              <w:bottom w:w="0" w:type="dxa"/>
            </w:tcMar>
            <w:vAlign w:val="bottom"/>
          </w:tcPr>
          <w:p>
            <w:pPr>
              <w:pStyle w:val="TableContents"/>
              <w:bidi w:val="0"/>
              <w:spacing w:before="0" w:after="283"/>
              <w:jc w:val="left"/>
              <w:rPr/>
            </w:pPr>
            <w:r>
              <w:rPr/>
              <w:t> </w:t>
            </w:r>
          </w:p>
        </w:tc>
        <w:tc>
          <w:tcPr>
            <w:tcW w:w="20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Shares to be</w:t>
            </w:r>
          </w:p>
          <w:p>
            <w:pPr>
              <w:pStyle w:val="TableContents"/>
              <w:bidi w:val="0"/>
              <w:spacing w:before="0" w:after="0"/>
              <w:jc w:val="center"/>
              <w:rPr>
                <w:b/>
                <w:color w:val="000000"/>
              </w:rPr>
            </w:pPr>
            <w:r>
              <w:rPr>
                <w:b/>
                <w:color w:val="000000"/>
              </w:rPr>
              <w:t>Issued Upon Exercise of</w:t>
            </w:r>
          </w:p>
          <w:p>
            <w:pPr>
              <w:pStyle w:val="TableContents"/>
              <w:bidi w:val="0"/>
              <w:spacing w:before="0" w:after="0"/>
              <w:jc w:val="center"/>
              <w:rPr>
                <w:b/>
                <w:color w:val="000000"/>
              </w:rPr>
            </w:pPr>
            <w:r>
              <w:rPr>
                <w:b/>
                <w:color w:val="000000"/>
              </w:rPr>
              <w:t>Outstanding Awards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77" w:type="dxa"/>
            <w:gridSpan w:val="2"/>
            <w:tcBorders>
              <w:bottom w:val="single" w:sz="12" w:space="0" w:color="000000"/>
            </w:tcBorders>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Exercise Price of</w:t>
            </w:r>
          </w:p>
          <w:p>
            <w:pPr>
              <w:pStyle w:val="TableContents"/>
              <w:bidi w:val="0"/>
              <w:spacing w:before="0" w:after="0"/>
              <w:jc w:val="center"/>
              <w:rPr>
                <w:b/>
                <w:color w:val="000000"/>
              </w:rPr>
            </w:pPr>
            <w:r>
              <w:rPr>
                <w:b/>
                <w:color w:val="000000"/>
              </w:rPr>
              <w:t>Outstanding Awards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10"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Shares</w:t>
            </w:r>
          </w:p>
          <w:p>
            <w:pPr>
              <w:pStyle w:val="TableContents"/>
              <w:bidi w:val="0"/>
              <w:spacing w:before="0" w:after="0"/>
              <w:jc w:val="center"/>
              <w:rPr>
                <w:b/>
                <w:color w:val="000000"/>
              </w:rPr>
            </w:pPr>
            <w:r>
              <w:rPr>
                <w:b/>
                <w:color w:val="000000"/>
              </w:rPr>
              <w:t>Available for</w:t>
            </w:r>
          </w:p>
          <w:p>
            <w:pPr>
              <w:pStyle w:val="TableContents"/>
              <w:bidi w:val="0"/>
              <w:spacing w:before="0" w:after="0"/>
              <w:jc w:val="center"/>
              <w:rPr>
                <w:b/>
                <w:color w:val="000000"/>
              </w:rPr>
            </w:pPr>
            <w:r>
              <w:rPr>
                <w:b/>
                <w:color w:val="000000"/>
              </w:rPr>
              <w:t>Future Grants</w:t>
            </w:r>
          </w:p>
        </w:tc>
        <w:tc>
          <w:tcPr>
            <w:tcW w:w="65" w:type="dxa"/>
            <w:tcBorders/>
            <w:tcMar>
              <w:bottom w:w="0" w:type="dxa"/>
            </w:tcMar>
            <w:vAlign w:val="bottom"/>
          </w:tcPr>
          <w:p>
            <w:pPr>
              <w:pStyle w:val="TableContents"/>
              <w:bidi w:val="0"/>
              <w:spacing w:before="0" w:after="283"/>
              <w:jc w:val="left"/>
              <w:rPr/>
            </w:pPr>
            <w:r>
              <w:rPr/>
              <w:t> </w:t>
            </w:r>
          </w:p>
        </w:tc>
      </w:tr>
      <w:tr>
        <w:trPr/>
        <w:tc>
          <w:tcPr>
            <w:tcW w:w="4068" w:type="dxa"/>
            <w:tcBorders/>
            <w:shd w:fill="CCEEFF" w:val="clear"/>
            <w:tcMar>
              <w:bottom w:w="0" w:type="dxa"/>
            </w:tcMar>
            <w:vAlign w:val="bottom"/>
          </w:tcPr>
          <w:p>
            <w:pPr>
              <w:pStyle w:val="TableContents"/>
              <w:bidi w:val="0"/>
              <w:spacing w:lineRule="auto" w:line="240" w:before="0" w:after="0"/>
              <w:ind w:left="144" w:right="0" w:hanging="144"/>
              <w:jc w:val="left"/>
              <w:rPr>
                <w:color w:val="000000"/>
              </w:rPr>
            </w:pPr>
            <w:r>
              <w:rPr>
                <w:color w:val="000000"/>
              </w:rPr>
              <w:t>Equity compensation plans approved by shareholders(1)</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18" w:type="dxa"/>
            <w:tcBorders/>
            <w:shd w:fill="CCEEFF" w:val="clear"/>
            <w:tcMar>
              <w:bottom w:w="0" w:type="dxa"/>
            </w:tcMar>
            <w:vAlign w:val="bottom"/>
          </w:tcPr>
          <w:p>
            <w:pPr>
              <w:pStyle w:val="TableContents"/>
              <w:bidi w:val="0"/>
              <w:spacing w:before="0" w:after="283"/>
              <w:jc w:val="left"/>
              <w:rPr/>
            </w:pPr>
            <w:r>
              <w:rPr/>
              <w:t> </w:t>
            </w:r>
          </w:p>
        </w:tc>
        <w:tc>
          <w:tcPr>
            <w:tcW w:w="1967" w:type="dxa"/>
            <w:tcBorders/>
            <w:shd w:fill="CCEEFF" w:val="clear"/>
            <w:tcMar>
              <w:bottom w:w="0" w:type="dxa"/>
            </w:tcMar>
            <w:vAlign w:val="bottom"/>
          </w:tcPr>
          <w:p>
            <w:pPr>
              <w:pStyle w:val="TableContents"/>
              <w:bidi w:val="0"/>
              <w:spacing w:before="0" w:after="0"/>
              <w:jc w:val="right"/>
              <w:rPr>
                <w:color w:val="000000"/>
              </w:rPr>
            </w:pPr>
            <w:r>
              <w:rPr>
                <w:color w:val="000000"/>
              </w:rPr>
              <w:t>1,406,775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662" w:type="dxa"/>
            <w:tcBorders/>
            <w:shd w:fill="CCEEFF" w:val="clear"/>
            <w:tcMar>
              <w:bottom w:w="0" w:type="dxa"/>
            </w:tcMar>
            <w:vAlign w:val="bottom"/>
          </w:tcPr>
          <w:p>
            <w:pPr>
              <w:pStyle w:val="TableContents"/>
              <w:bidi w:val="0"/>
              <w:spacing w:before="0" w:after="0"/>
              <w:jc w:val="right"/>
              <w:rPr>
                <w:color w:val="000000"/>
              </w:rPr>
            </w:pPr>
            <w:r>
              <w:rPr>
                <w:color w:val="000000"/>
              </w:rPr>
              <w:t>15.40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2" w:type="dxa"/>
            <w:tcBorders/>
            <w:shd w:fill="CCEEFF" w:val="clear"/>
            <w:tcMar>
              <w:bottom w:w="0" w:type="dxa"/>
            </w:tcMar>
            <w:vAlign w:val="bottom"/>
          </w:tcPr>
          <w:p>
            <w:pPr>
              <w:pStyle w:val="TableContents"/>
              <w:bidi w:val="0"/>
              <w:spacing w:before="0" w:after="283"/>
              <w:jc w:val="left"/>
              <w:rPr/>
            </w:pPr>
            <w:r>
              <w:rPr/>
              <w:t> </w:t>
            </w:r>
          </w:p>
        </w:tc>
        <w:tc>
          <w:tcPr>
            <w:tcW w:w="1518" w:type="dxa"/>
            <w:tcBorders/>
            <w:shd w:fill="CCEEFF" w:val="clear"/>
            <w:tcMar>
              <w:bottom w:w="0" w:type="dxa"/>
            </w:tcMar>
            <w:vAlign w:val="bottom"/>
          </w:tcPr>
          <w:p>
            <w:pPr>
              <w:pStyle w:val="TableContents"/>
              <w:bidi w:val="0"/>
              <w:spacing w:before="0" w:after="0"/>
              <w:jc w:val="right"/>
              <w:rPr>
                <w:color w:val="000000"/>
              </w:rPr>
            </w:pPr>
            <w:r>
              <w:rPr>
                <w:color w:val="000000"/>
              </w:rPr>
              <w:t>2,036,512</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4068" w:type="dxa"/>
            <w:tcBorders/>
            <w:tcMar>
              <w:bottom w:w="0" w:type="dxa"/>
            </w:tcMar>
            <w:vAlign w:val="bottom"/>
          </w:tcPr>
          <w:p>
            <w:pPr>
              <w:pStyle w:val="TableContents"/>
              <w:bidi w:val="0"/>
              <w:spacing w:before="0" w:after="0"/>
              <w:ind w:left="144" w:right="0" w:hanging="144"/>
              <w:jc w:val="left"/>
              <w:rPr>
                <w:color w:val="000000"/>
              </w:rPr>
            </w:pPr>
            <w:r>
              <w:rPr>
                <w:color w:val="000000"/>
              </w:rPr>
              <w:t>Equity compensation plans not approved by shareholders</w:t>
            </w:r>
          </w:p>
        </w:tc>
        <w:tc>
          <w:tcPr>
            <w:tcW w:w="60" w:type="dxa"/>
            <w:tcBorders/>
            <w:tcMar>
              <w:bottom w:w="0" w:type="dxa"/>
            </w:tcMar>
            <w:vAlign w:val="bottom"/>
          </w:tcPr>
          <w:p>
            <w:pPr>
              <w:pStyle w:val="TableContents"/>
              <w:bidi w:val="0"/>
              <w:spacing w:before="0" w:after="283"/>
              <w:jc w:val="right"/>
              <w:rPr/>
            </w:pPr>
            <w:r>
              <w:rPr/>
              <w:t> </w:t>
            </w:r>
          </w:p>
        </w:tc>
        <w:tc>
          <w:tcPr>
            <w:tcW w:w="118" w:type="dxa"/>
            <w:tcBorders>
              <w:bottom w:val="single" w:sz="12" w:space="0" w:color="000000"/>
            </w:tcBorders>
            <w:vAlign w:val="bottom"/>
          </w:tcPr>
          <w:p>
            <w:pPr>
              <w:pStyle w:val="TableContents"/>
              <w:bidi w:val="0"/>
              <w:spacing w:before="0" w:after="283"/>
              <w:jc w:val="left"/>
              <w:rPr/>
            </w:pPr>
            <w:r>
              <w:rPr/>
              <w:t> </w:t>
            </w:r>
          </w:p>
        </w:tc>
        <w:tc>
          <w:tcPr>
            <w:tcW w:w="1967"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15" w:type="dxa"/>
            <w:tcBorders>
              <w:bottom w:val="single" w:sz="12" w:space="0" w:color="000000"/>
            </w:tcBorders>
            <w:vAlign w:val="bottom"/>
          </w:tcPr>
          <w:p>
            <w:pPr>
              <w:pStyle w:val="TableContents"/>
              <w:bidi w:val="0"/>
              <w:spacing w:before="0" w:after="283"/>
              <w:jc w:val="left"/>
              <w:rPr/>
            </w:pPr>
            <w:r>
              <w:rPr/>
              <w:t> </w:t>
            </w:r>
          </w:p>
        </w:tc>
        <w:tc>
          <w:tcPr>
            <w:tcW w:w="1662"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92" w:type="dxa"/>
            <w:tcBorders>
              <w:bottom w:val="single" w:sz="12" w:space="0" w:color="000000"/>
            </w:tcBorders>
            <w:vAlign w:val="bottom"/>
          </w:tcPr>
          <w:p>
            <w:pPr>
              <w:pStyle w:val="TableContents"/>
              <w:bidi w:val="0"/>
              <w:spacing w:before="0" w:after="283"/>
              <w:jc w:val="left"/>
              <w:rPr/>
            </w:pPr>
            <w:r>
              <w:rPr/>
              <w:t> </w:t>
            </w:r>
          </w:p>
        </w:tc>
        <w:tc>
          <w:tcPr>
            <w:tcW w:w="1518"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65" w:type="dxa"/>
            <w:tcBorders/>
            <w:tcMar>
              <w:bottom w:w="0" w:type="dxa"/>
            </w:tcMar>
            <w:vAlign w:val="bottom"/>
          </w:tcPr>
          <w:p>
            <w:pPr>
              <w:pStyle w:val="TableContents"/>
              <w:bidi w:val="0"/>
              <w:spacing w:before="0" w:after="283"/>
              <w:jc w:val="left"/>
              <w:rPr/>
            </w:pPr>
            <w:r>
              <w:rPr/>
              <w:t> </w:t>
            </w:r>
          </w:p>
        </w:tc>
      </w:tr>
      <w:tr>
        <w:trPr/>
        <w:tc>
          <w:tcPr>
            <w:tcW w:w="4068"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Total</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18" w:type="dxa"/>
            <w:tcBorders>
              <w:bottom w:val="double" w:sz="8" w:space="0" w:color="000000"/>
            </w:tcBorders>
            <w:shd w:fill="CCEEFF" w:val="clear"/>
            <w:vAlign w:val="bottom"/>
          </w:tcPr>
          <w:p>
            <w:pPr>
              <w:pStyle w:val="TableContents"/>
              <w:bidi w:val="0"/>
              <w:spacing w:before="0" w:after="283"/>
              <w:jc w:val="left"/>
              <w:rPr/>
            </w:pPr>
            <w:r>
              <w:rPr/>
              <w:t> </w:t>
            </w:r>
          </w:p>
        </w:tc>
        <w:tc>
          <w:tcPr>
            <w:tcW w:w="1967"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1,406,775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15"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1662"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15.40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2" w:type="dxa"/>
            <w:tcBorders>
              <w:bottom w:val="double" w:sz="8" w:space="0" w:color="000000"/>
            </w:tcBorders>
            <w:shd w:fill="CCEEFF" w:val="clear"/>
            <w:vAlign w:val="bottom"/>
          </w:tcPr>
          <w:p>
            <w:pPr>
              <w:pStyle w:val="TableContents"/>
              <w:bidi w:val="0"/>
              <w:spacing w:before="0" w:after="283"/>
              <w:jc w:val="left"/>
              <w:rPr/>
            </w:pPr>
            <w:r>
              <w:rPr/>
              <w:t> </w:t>
            </w:r>
          </w:p>
        </w:tc>
        <w:tc>
          <w:tcPr>
            <w:tcW w:w="1518"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2,036,512</w:t>
            </w:r>
          </w:p>
        </w:tc>
        <w:tc>
          <w:tcPr>
            <w:tcW w:w="6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color w:val="000000"/>
              </w:rPr>
            </w:pPr>
            <w:r>
              <w:rPr>
                <w:color w:val="000000"/>
              </w:rPr>
              <w:t>(1)</w:t>
            </w:r>
          </w:p>
        </w:tc>
        <w:tc>
          <w:tcPr>
            <w:tcW w:w="9943" w:type="dxa"/>
            <w:tcBorders/>
            <w:vAlign w:val="center"/>
          </w:tcPr>
          <w:p>
            <w:pPr>
              <w:pStyle w:val="TableContents"/>
              <w:bidi w:val="0"/>
              <w:spacing w:before="0" w:after="0"/>
              <w:jc w:val="both"/>
              <w:rPr>
                <w:color w:val="000000"/>
              </w:rPr>
            </w:pPr>
            <w:r>
              <w:rPr>
                <w:color w:val="000000"/>
              </w:rPr>
              <w:t>The number of shares available for future issuance includes 2,036,512 shares available under the Company’s 2019 Equity Incentive Plan (which allows for the issuance of options, as well as various other stock-based awards).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Issuer Purchases of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5, 2023, the Company’s board of directors approved a stock repurchase program pursuant to which the Company may, from time to time, purchase up to $15.0 million of its outstanding shares of common stock (the “Program”). The shares could be repurchased from time to time in privately negotiated transactions or the open market, including pursuant to Rule 10b5-1 trading plans, and in accordance with applicable regulations of the SEC. The Company was not obligated to purchase any shares of its common stock under the Program and the timing and exact amount of any repurchases would depend on various factors including, the performance of the Company’s stock price, general market and other conditions, applicable legal requirements and other factors. The Program terminated in December 2023 after all allocated funds had been spent.</w:t>
      </w:r>
    </w:p>
    <w:p>
      <w:pPr>
        <w:pStyle w:val="TextBody"/>
        <w:bidi w:val="0"/>
        <w:spacing w:before="0" w:after="0"/>
        <w:ind w:left="0" w:right="0" w:firstLine="641"/>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share repurchase activity for the three months ended December 31,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84"/>
        <w:gridCol w:w="60"/>
        <w:gridCol w:w="112"/>
        <w:gridCol w:w="1518"/>
        <w:gridCol w:w="60"/>
        <w:gridCol w:w="60"/>
        <w:gridCol w:w="284"/>
        <w:gridCol w:w="1138"/>
        <w:gridCol w:w="60"/>
        <w:gridCol w:w="60"/>
        <w:gridCol w:w="323"/>
        <w:gridCol w:w="2269"/>
        <w:gridCol w:w="60"/>
        <w:gridCol w:w="60"/>
        <w:gridCol w:w="385"/>
        <w:gridCol w:w="2207"/>
        <w:gridCol w:w="65"/>
      </w:tblGrid>
      <w:tr>
        <w:trPr/>
        <w:tc>
          <w:tcPr>
            <w:tcW w:w="1484"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6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Shares</w:t>
            </w:r>
          </w:p>
          <w:p>
            <w:pPr>
              <w:pStyle w:val="TableContents"/>
              <w:bidi w:val="0"/>
              <w:spacing w:lineRule="auto" w:line="240" w:before="0" w:after="0"/>
              <w:jc w:val="center"/>
              <w:rPr>
                <w:color w:val="000000"/>
              </w:rPr>
            </w:pPr>
            <w:r>
              <w:rPr>
                <w:b/>
                <w:color w:val="000000"/>
              </w:rPr>
              <w:t xml:space="preserve">Repurchased </w:t>
            </w:r>
            <w:r>
              <w:rPr>
                <w:color w:val="00000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 Price</w:t>
            </w:r>
          </w:p>
          <w:p>
            <w:pPr>
              <w:pStyle w:val="TableContents"/>
              <w:bidi w:val="0"/>
              <w:spacing w:before="0" w:after="0"/>
              <w:jc w:val="center"/>
              <w:rPr>
                <w:b/>
                <w:color w:val="000000"/>
              </w:rPr>
            </w:pPr>
            <w:r>
              <w:rPr>
                <w:b/>
                <w:color w:val="000000"/>
              </w:rPr>
              <w:t>Paid 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Dollar Amount</w:t>
            </w:r>
          </w:p>
          <w:p>
            <w:pPr>
              <w:pStyle w:val="TableContents"/>
              <w:bidi w:val="0"/>
              <w:spacing w:before="0" w:after="0"/>
              <w:jc w:val="center"/>
              <w:rPr>
                <w:b/>
                <w:color w:val="000000"/>
              </w:rPr>
            </w:pPr>
            <w:r>
              <w:rPr>
                <w:b/>
                <w:color w:val="000000"/>
              </w:rPr>
              <w:t>Purchased Pursuant to</w:t>
            </w:r>
          </w:p>
          <w:p>
            <w:pPr>
              <w:pStyle w:val="TableContents"/>
              <w:bidi w:val="0"/>
              <w:spacing w:before="0" w:after="0"/>
              <w:jc w:val="center"/>
              <w:rPr>
                <w:b/>
                <w:color w:val="000000"/>
              </w:rPr>
            </w:pPr>
            <w:r>
              <w:rPr>
                <w:b/>
                <w:color w:val="000000"/>
              </w:rPr>
              <w:t>Publicly-Announced 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 Dollar Amount</w:t>
            </w:r>
          </w:p>
          <w:p>
            <w:pPr>
              <w:pStyle w:val="TableContents"/>
              <w:bidi w:val="0"/>
              <w:spacing w:before="0" w:after="0"/>
              <w:jc w:val="center"/>
              <w:rPr>
                <w:b/>
                <w:color w:val="000000"/>
              </w:rPr>
            </w:pPr>
            <w:r>
              <w:rPr>
                <w:b/>
                <w:color w:val="000000"/>
              </w:rPr>
              <w:t>Remaining Available for</w:t>
            </w:r>
          </w:p>
          <w:p>
            <w:pPr>
              <w:pStyle w:val="TableContents"/>
              <w:bidi w:val="0"/>
              <w:spacing w:before="0" w:after="0"/>
              <w:jc w:val="center"/>
              <w:rPr>
                <w:b/>
                <w:color w:val="000000"/>
              </w:rPr>
            </w:pPr>
            <w:r>
              <w:rPr>
                <w:b/>
                <w:color w:val="000000"/>
              </w:rPr>
              <w:t>Repurchase Pursuant to</w:t>
            </w:r>
          </w:p>
          <w:p>
            <w:pPr>
              <w:pStyle w:val="TableContents"/>
              <w:bidi w:val="0"/>
              <w:spacing w:before="0" w:after="0"/>
              <w:jc w:val="center"/>
              <w:rPr>
                <w:b/>
                <w:color w:val="000000"/>
              </w:rPr>
            </w:pPr>
            <w:r>
              <w:rPr>
                <w:b/>
                <w:color w:val="000000"/>
              </w:rPr>
              <w:t>Publicly-Announced Plans</w:t>
            </w:r>
          </w:p>
        </w:tc>
        <w:tc>
          <w:tcPr>
            <w:tcW w:w="65" w:type="dxa"/>
            <w:tcBorders/>
            <w:vAlign w:val="bottom"/>
          </w:tcPr>
          <w:p>
            <w:pPr>
              <w:pStyle w:val="TableContents"/>
              <w:bidi w:val="0"/>
              <w:spacing w:before="0" w:after="283"/>
              <w:jc w:val="left"/>
              <w:rPr/>
            </w:pPr>
            <w:r>
              <w:rPr/>
              <w:t> </w:t>
            </w:r>
          </w:p>
        </w:tc>
      </w:tr>
      <w:tr>
        <w:trPr/>
        <w:tc>
          <w:tcPr>
            <w:tcW w:w="1484" w:type="dxa"/>
            <w:tcBorders/>
            <w:shd w:fill="CCEEFF" w:val="clear"/>
            <w:vAlign w:val="bottom"/>
          </w:tcPr>
          <w:p>
            <w:pPr>
              <w:pStyle w:val="TableContents"/>
              <w:bidi w:val="0"/>
              <w:spacing w:before="0" w:after="0"/>
              <w:ind w:left="144" w:right="0" w:hanging="144"/>
              <w:jc w:val="left"/>
              <w:rPr>
                <w:b/>
                <w:color w:val="000000"/>
              </w:rPr>
            </w:pPr>
            <w:r>
              <w:rPr>
                <w:b/>
                <w:color w:val="000000"/>
              </w:rPr>
              <w:t>October 2023</w:t>
            </w:r>
          </w:p>
        </w:tc>
        <w:tc>
          <w:tcPr>
            <w:tcW w:w="6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107,803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1138" w:type="dxa"/>
            <w:tcBorders/>
            <w:shd w:fill="CCEEFF" w:val="clear"/>
            <w:vAlign w:val="bottom"/>
          </w:tcPr>
          <w:p>
            <w:pPr>
              <w:pStyle w:val="TableContents"/>
              <w:bidi w:val="0"/>
              <w:spacing w:before="0" w:after="0"/>
              <w:jc w:val="right"/>
              <w:rPr>
                <w:color w:val="000000"/>
              </w:rPr>
            </w:pPr>
            <w:r>
              <w:rPr>
                <w:color w:val="000000"/>
              </w:rPr>
              <w:t>26.47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0"/>
              <w:jc w:val="left"/>
              <w:rPr>
                <w:color w:val="000000"/>
              </w:rPr>
            </w:pPr>
            <w:r>
              <w:rPr>
                <w:color w:val="000000"/>
              </w:rPr>
              <w:t>$</w:t>
            </w:r>
          </w:p>
        </w:tc>
        <w:tc>
          <w:tcPr>
            <w:tcW w:w="2269" w:type="dxa"/>
            <w:tcBorders/>
            <w:shd w:fill="CCEEFF" w:val="clear"/>
            <w:vAlign w:val="bottom"/>
          </w:tcPr>
          <w:p>
            <w:pPr>
              <w:pStyle w:val="TableContents"/>
              <w:bidi w:val="0"/>
              <w:spacing w:before="0" w:after="0"/>
              <w:jc w:val="right"/>
              <w:rPr>
                <w:color w:val="000000"/>
              </w:rPr>
            </w:pPr>
            <w:r>
              <w:rPr>
                <w:color w:val="000000"/>
              </w:rPr>
              <w:t>2,853,822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0"/>
              <w:jc w:val="left"/>
              <w:rPr>
                <w:color w:val="000000"/>
              </w:rPr>
            </w:pPr>
            <w:r>
              <w:rPr>
                <w:color w:val="000000"/>
              </w:rPr>
              <w:t>$</w:t>
            </w:r>
          </w:p>
        </w:tc>
        <w:tc>
          <w:tcPr>
            <w:tcW w:w="2207" w:type="dxa"/>
            <w:tcBorders/>
            <w:shd w:fill="CCEEFF" w:val="clear"/>
            <w:vAlign w:val="bottom"/>
          </w:tcPr>
          <w:p>
            <w:pPr>
              <w:pStyle w:val="TableContents"/>
              <w:bidi w:val="0"/>
              <w:spacing w:before="0" w:after="0"/>
              <w:jc w:val="right"/>
              <w:rPr>
                <w:color w:val="000000"/>
              </w:rPr>
            </w:pPr>
            <w:r>
              <w:rPr>
                <w:color w:val="000000"/>
              </w:rPr>
              <w:t>277,330</w:t>
            </w:r>
          </w:p>
        </w:tc>
        <w:tc>
          <w:tcPr>
            <w:tcW w:w="65" w:type="dxa"/>
            <w:tcBorders/>
            <w:shd w:fill="CCEEFF" w:val="clear"/>
            <w:vAlign w:val="bottom"/>
          </w:tcPr>
          <w:p>
            <w:pPr>
              <w:pStyle w:val="TableContents"/>
              <w:bidi w:val="0"/>
              <w:spacing w:before="0" w:after="283"/>
              <w:jc w:val="left"/>
              <w:rPr/>
            </w:pPr>
            <w:r>
              <w:rPr/>
              <w:t> </w:t>
            </w:r>
          </w:p>
        </w:tc>
      </w:tr>
      <w:tr>
        <w:trPr/>
        <w:tc>
          <w:tcPr>
            <w:tcW w:w="1484" w:type="dxa"/>
            <w:tcBorders/>
            <w:vAlign w:val="bottom"/>
          </w:tcPr>
          <w:p>
            <w:pPr>
              <w:pStyle w:val="TableContents"/>
              <w:bidi w:val="0"/>
              <w:spacing w:before="0" w:after="0"/>
              <w:ind w:left="144" w:right="0" w:hanging="144"/>
              <w:jc w:val="left"/>
              <w:rPr>
                <w:b/>
                <w:color w:val="000000"/>
              </w:rPr>
            </w:pPr>
            <w:r>
              <w:rPr>
                <w:b/>
                <w:color w:val="000000"/>
              </w:rPr>
              <w:t>November 2023</w:t>
            </w:r>
          </w:p>
        </w:tc>
        <w:tc>
          <w:tcPr>
            <w:tcW w:w="60"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10,360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0"/>
              <w:jc w:val="right"/>
              <w:rPr>
                <w:color w:val="000000"/>
              </w:rPr>
            </w:pPr>
            <w:r>
              <w:rPr>
                <w:color w:val="000000"/>
              </w:rPr>
              <w:t>26.77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69" w:type="dxa"/>
            <w:tcBorders/>
            <w:vAlign w:val="bottom"/>
          </w:tcPr>
          <w:p>
            <w:pPr>
              <w:pStyle w:val="TableContents"/>
              <w:bidi w:val="0"/>
              <w:spacing w:before="0" w:after="0"/>
              <w:jc w:val="right"/>
              <w:rPr>
                <w:color w:val="000000"/>
              </w:rPr>
            </w:pPr>
            <w:r>
              <w:rPr>
                <w:color w:val="000000"/>
              </w:rPr>
              <w:t>277,330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before="0" w:after="0"/>
              <w:jc w:val="right"/>
              <w:rPr>
                <w:color w:val="000000"/>
              </w:rPr>
            </w:pPr>
            <w:r>
              <w:rPr>
                <w:color w:val="000000"/>
              </w:rPr>
              <w:t>—</w:t>
            </w:r>
          </w:p>
        </w:tc>
        <w:tc>
          <w:tcPr>
            <w:tcW w:w="65" w:type="dxa"/>
            <w:tcBorders/>
            <w:vAlign w:val="bottom"/>
          </w:tcPr>
          <w:p>
            <w:pPr>
              <w:pStyle w:val="TableContents"/>
              <w:bidi w:val="0"/>
              <w:spacing w:before="0" w:after="283"/>
              <w:jc w:val="left"/>
              <w:rPr/>
            </w:pPr>
            <w:r>
              <w:rPr/>
              <w:t> </w:t>
            </w:r>
          </w:p>
        </w:tc>
      </w:tr>
      <w:tr>
        <w:trPr/>
        <w:tc>
          <w:tcPr>
            <w:tcW w:w="1484" w:type="dxa"/>
            <w:tcBorders/>
            <w:shd w:fill="CCEEFF" w:val="clear"/>
            <w:vAlign w:val="bottom"/>
          </w:tcPr>
          <w:p>
            <w:pPr>
              <w:pStyle w:val="TableContents"/>
              <w:bidi w:val="0"/>
              <w:spacing w:before="0" w:after="0"/>
              <w:ind w:left="144" w:right="0" w:hanging="144"/>
              <w:jc w:val="left"/>
              <w:rPr>
                <w:b/>
                <w:color w:val="000000"/>
              </w:rPr>
            </w:pPr>
            <w:r>
              <w:rPr>
                <w:b/>
                <w:color w:val="000000"/>
              </w:rPr>
              <w:t>December 2023</w:t>
            </w:r>
          </w:p>
        </w:tc>
        <w:tc>
          <w:tcPr>
            <w:tcW w:w="60" w:type="dxa"/>
            <w:tcBorders/>
            <w:shd w:fill="CCEEFF" w:val="clear"/>
            <w:vAlign w:val="bottom"/>
          </w:tcPr>
          <w:p>
            <w:pPr>
              <w:pStyle w:val="TableContents"/>
              <w:bidi w:val="0"/>
              <w:spacing w:before="0" w:after="283"/>
              <w:jc w:val="right"/>
              <w:rPr/>
            </w:pPr>
            <w:r>
              <w:rPr/>
              <w:t> </w:t>
            </w:r>
          </w:p>
        </w:tc>
        <w:tc>
          <w:tcPr>
            <w:tcW w:w="1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6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2207" w:type="dxa"/>
            <w:tcBorders/>
            <w:shd w:fill="CCEEFF" w:val="clear"/>
            <w:vAlign w:val="bottom"/>
          </w:tcPr>
          <w:p>
            <w:pPr>
              <w:pStyle w:val="TableContents"/>
              <w:bidi w:val="0"/>
              <w:spacing w:before="0" w:after="0"/>
              <w:jc w:val="righ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r>
      <w:tr>
        <w:trPr/>
        <w:tc>
          <w:tcPr>
            <w:tcW w:w="1484" w:type="dxa"/>
            <w:tcBorders/>
            <w:vAlign w:val="bottom"/>
          </w:tcPr>
          <w:p>
            <w:pPr>
              <w:pStyle w:val="TableContents"/>
              <w:bidi w:val="0"/>
              <w:spacing w:before="0" w:after="0"/>
              <w:ind w:left="324" w:right="0" w:hanging="144"/>
              <w:jc w:val="left"/>
              <w:rPr>
                <w:b/>
                <w:color w:val="000000"/>
              </w:rPr>
            </w:pPr>
            <w:r>
              <w:rPr>
                <w:b/>
                <w:color w:val="000000"/>
              </w:rPr>
              <w:t>Total</w:t>
            </w:r>
          </w:p>
        </w:tc>
        <w:tc>
          <w:tcPr>
            <w:tcW w:w="60" w:type="dxa"/>
            <w:tcBorders/>
            <w:vAlign w:val="bottom"/>
          </w:tcPr>
          <w:p>
            <w:pPr>
              <w:pStyle w:val="TableContents"/>
              <w:bidi w:val="0"/>
              <w:spacing w:before="0" w:after="283"/>
              <w:jc w:val="right"/>
              <w:rPr/>
            </w:pPr>
            <w:r>
              <w:rPr/>
              <w:t> </w:t>
            </w:r>
          </w:p>
        </w:tc>
        <w:tc>
          <w:tcPr>
            <w:tcW w:w="112" w:type="dxa"/>
            <w:tcBorders>
              <w:bottom w:val="double" w:sz="8" w:space="0" w:color="000000"/>
            </w:tcBorders>
            <w:tcMar>
              <w:bottom w:w="28" w:type="dxa"/>
            </w:tcMar>
            <w:vAlign w:val="bottom"/>
          </w:tcPr>
          <w:p>
            <w:pPr>
              <w:pStyle w:val="TableContents"/>
              <w:bidi w:val="0"/>
              <w:spacing w:before="0" w:after="283"/>
              <w:jc w:val="left"/>
              <w:rPr/>
            </w:pPr>
            <w:r>
              <w:rPr/>
              <w:t> </w:t>
            </w:r>
          </w:p>
        </w:tc>
        <w:tc>
          <w:tcPr>
            <w:tcW w:w="151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130,189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220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19"/>
        <w:gridCol w:w="10086"/>
      </w:tblGrid>
      <w:tr>
        <w:trPr/>
        <w:tc>
          <w:tcPr>
            <w:tcW w:w="119" w:type="dxa"/>
            <w:tcBorders/>
            <w:vAlign w:val="center"/>
          </w:tcPr>
          <w:p>
            <w:pPr>
              <w:pStyle w:val="TableContents"/>
              <w:bidi w:val="0"/>
              <w:spacing w:before="0" w:after="0"/>
              <w:ind w:left="360" w:right="0" w:hanging="360"/>
              <w:jc w:val="left"/>
              <w:rPr>
                <w:sz w:val="16"/>
              </w:rPr>
            </w:pPr>
            <w:r>
              <w:rPr>
                <w:sz w:val="16"/>
              </w:rPr>
              <w:t>(1)</w:t>
            </w:r>
          </w:p>
        </w:tc>
        <w:tc>
          <w:tcPr>
            <w:tcW w:w="10086" w:type="dxa"/>
            <w:tcBorders/>
            <w:vAlign w:val="center"/>
          </w:tcPr>
          <w:p>
            <w:pPr>
              <w:pStyle w:val="TableContents"/>
              <w:bidi w:val="0"/>
              <w:spacing w:before="0" w:after="0"/>
              <w:jc w:val="left"/>
              <w:rPr/>
            </w:pPr>
            <w:r>
              <w:rPr/>
              <w:t>Includes 100,000 shares that the Company repurchased from Curtis C. Griffith, the Chairman and Chief Executive Officer of the Company, on November 7, 2023, at a price of $26.30 per share, in a privately negotiated transaction outside of the Program</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February 21, 2024, the Company’s board of directors approved a new stock repurchase program pursuant to which the Company may, from time to time, purchase up to $10.0 million of its outstanding shares of common stock (the “New Program”). The shares can be repurchased from time to time in privately negotiated transactions or the open market, including pursuant to Rule 10b5-1 trading plans, and in accordance with applicable regulations of the SEC. The Company is not obligated to purchase any shares of its common stock under the New Program and the timing and exact amount of any repurchases depends on various factors including, the performance of the Company’s stock price, general market and other conditions, applicable legal requirements and other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Stock Performance Graph</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performance graph compares total stockholders’ return on the Company’s common stock for the period beginning at the close of trading on May 9, 2019 and for the last trading date of each year from 2019 to 2023, with the cumulative total return of the S&amp;P 500 and the S&amp;P United States BMI Banks Index for the same periods. Cumulative total return is computed by dividing the difference between the Company’s share price at the end and the beginning of the measurement period by the share price at the beginning of the measurement period. The performance graph assumes $100 is invested on May 9, 2019, in the Company’s common stock, including reinvestment of any dividends, and each of the indices. Historical stock price performance is not necessarily indicative of future stock price performance. This performance graph and related information shall not be deemed “soliciting material” or to be “filed” with the SEC for purposes of Section 18 of the Exchange Act of 1934, or incorporated by reference into any future SEC filing, except as shall be expressly set forth by specific reference in such filing.</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6848475" cy="387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48475" cy="3876675"/>
                    </a:xfrm>
                    <a:prstGeom prst="rect">
                      <a:avLst/>
                    </a:prstGeom>
                  </pic:spPr>
                </pic:pic>
              </a:graphicData>
            </a:graphic>
          </wp:inline>
        </w:drawing>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9275" w:type="dxa"/>
        <w:jc w:val="left"/>
        <w:tblInd w:w="0" w:type="dxa"/>
        <w:tblLayout w:type="fixed"/>
        <w:tblCellMar>
          <w:top w:w="0" w:type="dxa"/>
          <w:left w:w="0" w:type="dxa"/>
          <w:bottom w:w="28" w:type="dxa"/>
          <w:right w:w="0" w:type="dxa"/>
        </w:tblCellMar>
      </w:tblPr>
      <w:tblGrid>
        <w:gridCol w:w="3560"/>
        <w:gridCol w:w="60"/>
        <w:gridCol w:w="140"/>
        <w:gridCol w:w="560"/>
        <w:gridCol w:w="60"/>
        <w:gridCol w:w="60"/>
        <w:gridCol w:w="146"/>
        <w:gridCol w:w="713"/>
        <w:gridCol w:w="60"/>
        <w:gridCol w:w="60"/>
        <w:gridCol w:w="146"/>
        <w:gridCol w:w="713"/>
        <w:gridCol w:w="60"/>
        <w:gridCol w:w="60"/>
        <w:gridCol w:w="146"/>
        <w:gridCol w:w="713"/>
        <w:gridCol w:w="60"/>
        <w:gridCol w:w="60"/>
        <w:gridCol w:w="146"/>
        <w:gridCol w:w="713"/>
        <w:gridCol w:w="60"/>
        <w:gridCol w:w="60"/>
        <w:gridCol w:w="146"/>
        <w:gridCol w:w="713"/>
        <w:gridCol w:w="60"/>
      </w:tblGrid>
      <w:tr>
        <w:trPr/>
        <w:tc>
          <w:tcPr>
            <w:tcW w:w="3560" w:type="dxa"/>
            <w:tcBorders>
              <w:bottom w:val="single" w:sz="12" w:space="0" w:color="000000"/>
            </w:tcBorders>
            <w:vAlign w:val="bottom"/>
          </w:tcPr>
          <w:p>
            <w:pPr>
              <w:pStyle w:val="TableContents"/>
              <w:bidi w:val="0"/>
              <w:spacing w:before="0" w:after="0"/>
              <w:ind w:left="144" w:right="0" w:hanging="144"/>
              <w:jc w:val="left"/>
              <w:rPr>
                <w:b/>
              </w:rPr>
            </w:pPr>
            <w:r>
              <w:rPr>
                <w:b/>
              </w:rPr>
              <w:t>Dollars</w:t>
            </w:r>
          </w:p>
        </w:tc>
        <w:tc>
          <w:tcPr>
            <w:tcW w:w="60" w:type="dxa"/>
            <w:tcBorders/>
            <w:tcMar>
              <w:bottom w:w="0" w:type="dxa"/>
            </w:tcMar>
            <w:vAlign w:val="bottom"/>
          </w:tcPr>
          <w:p>
            <w:pPr>
              <w:pStyle w:val="TableContents"/>
              <w:bidi w:val="0"/>
              <w:spacing w:before="0" w:after="283"/>
              <w:jc w:val="left"/>
              <w:rPr/>
            </w:pPr>
            <w:r>
              <w:rPr/>
              <w:t> </w:t>
            </w:r>
          </w:p>
        </w:tc>
        <w:tc>
          <w:tcPr>
            <w:tcW w:w="700" w:type="dxa"/>
            <w:gridSpan w:val="2"/>
            <w:tcBorders>
              <w:bottom w:val="single" w:sz="12" w:space="0" w:color="000000"/>
            </w:tcBorders>
            <w:vAlign w:val="bottom"/>
          </w:tcPr>
          <w:p>
            <w:pPr>
              <w:pStyle w:val="TableContents"/>
              <w:bidi w:val="0"/>
              <w:spacing w:before="0" w:after="0"/>
              <w:jc w:val="center"/>
              <w:rPr>
                <w:b/>
              </w:rPr>
            </w:pPr>
            <w:r>
              <w:rPr>
                <w:b/>
              </w:rPr>
              <w:t>5/9/19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9" w:type="dxa"/>
            <w:gridSpan w:val="2"/>
            <w:tcBorders>
              <w:bottom w:val="single" w:sz="12" w:space="0" w:color="000000"/>
            </w:tcBorders>
            <w:vAlign w:val="bottom"/>
          </w:tcPr>
          <w:p>
            <w:pPr>
              <w:pStyle w:val="TableContents"/>
              <w:bidi w:val="0"/>
              <w:spacing w:before="0" w:after="0"/>
              <w:jc w:val="center"/>
              <w:rPr>
                <w:b/>
              </w:rPr>
            </w:pPr>
            <w:r>
              <w:rPr>
                <w:b/>
              </w:rPr>
              <w:t>12/31/19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9" w:type="dxa"/>
            <w:gridSpan w:val="2"/>
            <w:tcBorders>
              <w:bottom w:val="single" w:sz="12" w:space="0" w:color="000000"/>
            </w:tcBorders>
            <w:vAlign w:val="bottom"/>
          </w:tcPr>
          <w:p>
            <w:pPr>
              <w:pStyle w:val="TableContents"/>
              <w:bidi w:val="0"/>
              <w:spacing w:before="0" w:after="0"/>
              <w:jc w:val="center"/>
              <w:rPr>
                <w:b/>
              </w:rPr>
            </w:pPr>
            <w:r>
              <w:rPr>
                <w:b/>
              </w:rPr>
              <w:t>12/31/20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9" w:type="dxa"/>
            <w:gridSpan w:val="2"/>
            <w:tcBorders>
              <w:bottom w:val="single" w:sz="12" w:space="0" w:color="000000"/>
            </w:tcBorders>
            <w:vAlign w:val="bottom"/>
          </w:tcPr>
          <w:p>
            <w:pPr>
              <w:pStyle w:val="TableContents"/>
              <w:bidi w:val="0"/>
              <w:spacing w:before="0" w:after="0"/>
              <w:jc w:val="center"/>
              <w:rPr>
                <w:b/>
              </w:rPr>
            </w:pPr>
            <w:r>
              <w:rPr>
                <w:b/>
              </w:rPr>
              <w:t>12/31/21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9" w:type="dxa"/>
            <w:gridSpan w:val="2"/>
            <w:tcBorders>
              <w:bottom w:val="single" w:sz="12" w:space="0" w:color="000000"/>
            </w:tcBorders>
            <w:vAlign w:val="bottom"/>
          </w:tcPr>
          <w:p>
            <w:pPr>
              <w:pStyle w:val="TableContents"/>
              <w:bidi w:val="0"/>
              <w:spacing w:before="0" w:after="0"/>
              <w:jc w:val="center"/>
              <w:rPr>
                <w:b/>
              </w:rPr>
            </w:pPr>
            <w:r>
              <w:rPr>
                <w:b/>
              </w:rPr>
              <w:t>12/31/22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9" w:type="dxa"/>
            <w:gridSpan w:val="2"/>
            <w:tcBorders>
              <w:bottom w:val="single" w:sz="12" w:space="0" w:color="000000"/>
            </w:tcBorders>
            <w:vAlign w:val="bottom"/>
          </w:tcPr>
          <w:p>
            <w:pPr>
              <w:pStyle w:val="TableContents"/>
              <w:bidi w:val="0"/>
              <w:spacing w:before="0" w:after="0"/>
              <w:jc w:val="center"/>
              <w:rPr>
                <w:b/>
              </w:rPr>
            </w:pPr>
            <w:r>
              <w:rPr>
                <w:b/>
              </w:rPr>
              <w:t>12/31/23</w:t>
            </w:r>
          </w:p>
        </w:tc>
        <w:tc>
          <w:tcPr>
            <w:tcW w:w="60" w:type="dxa"/>
            <w:tcBorders/>
            <w:tcMar>
              <w:bottom w:w="0" w:type="dxa"/>
            </w:tcMar>
            <w:vAlign w:val="bottom"/>
          </w:tcPr>
          <w:p>
            <w:pPr>
              <w:pStyle w:val="TableContents"/>
              <w:bidi w:val="0"/>
              <w:spacing w:before="0" w:after="283"/>
              <w:jc w:val="left"/>
              <w:rPr/>
            </w:pPr>
            <w:r>
              <w:rPr/>
              <w:t> </w:t>
            </w:r>
          </w:p>
        </w:tc>
      </w:tr>
      <w:tr>
        <w:trPr/>
        <w:tc>
          <w:tcPr>
            <w:tcW w:w="3560" w:type="dxa"/>
            <w:tcBorders/>
            <w:shd w:fill="CCEEFF" w:val="clear"/>
            <w:tcMar>
              <w:bottom w:w="0" w:type="dxa"/>
            </w:tcMar>
            <w:vAlign w:val="bottom"/>
          </w:tcPr>
          <w:p>
            <w:pPr>
              <w:pStyle w:val="TableContents"/>
              <w:bidi w:val="0"/>
              <w:spacing w:before="0" w:after="0"/>
              <w:ind w:left="144" w:right="0" w:hanging="144"/>
              <w:jc w:val="left"/>
              <w:rPr/>
            </w:pPr>
            <w:r>
              <w:rPr/>
              <w:t>South Plains Financial, Inc.</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0"/>
              <w:jc w:val="left"/>
              <w:rPr/>
            </w:pPr>
            <w:r>
              <w:rPr/>
              <w:t>$</w:t>
            </w:r>
          </w:p>
        </w:tc>
        <w:tc>
          <w:tcPr>
            <w:tcW w:w="560" w:type="dxa"/>
            <w:tcBorders/>
            <w:shd w:fill="CCEEFF" w:val="clear"/>
            <w:tcMar>
              <w:bottom w:w="0" w:type="dxa"/>
            </w:tcMar>
            <w:vAlign w:val="bottom"/>
          </w:tcPr>
          <w:p>
            <w:pPr>
              <w:pStyle w:val="TableContents"/>
              <w:bidi w:val="0"/>
              <w:spacing w:before="0" w:after="0"/>
              <w:jc w:val="right"/>
              <w:rPr/>
            </w:pPr>
            <w:r>
              <w:rPr/>
              <w:t>100.0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0"/>
              <w:jc w:val="left"/>
              <w:rPr/>
            </w:pPr>
            <w:r>
              <w:rPr/>
              <w:t>$</w:t>
            </w:r>
          </w:p>
        </w:tc>
        <w:tc>
          <w:tcPr>
            <w:tcW w:w="713" w:type="dxa"/>
            <w:tcBorders/>
            <w:shd w:fill="CCEEFF" w:val="clear"/>
            <w:tcMar>
              <w:bottom w:w="0" w:type="dxa"/>
            </w:tcMar>
            <w:vAlign w:val="bottom"/>
          </w:tcPr>
          <w:p>
            <w:pPr>
              <w:pStyle w:val="TableContents"/>
              <w:bidi w:val="0"/>
              <w:spacing w:before="0" w:after="0"/>
              <w:jc w:val="right"/>
              <w:rPr/>
            </w:pPr>
            <w:r>
              <w:rPr/>
              <w:t>118.25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0"/>
              <w:jc w:val="left"/>
              <w:rPr/>
            </w:pPr>
            <w:r>
              <w:rPr/>
              <w:t>$</w:t>
            </w:r>
          </w:p>
        </w:tc>
        <w:tc>
          <w:tcPr>
            <w:tcW w:w="713" w:type="dxa"/>
            <w:tcBorders/>
            <w:shd w:fill="CCEEFF" w:val="clear"/>
            <w:tcMar>
              <w:bottom w:w="0" w:type="dxa"/>
            </w:tcMar>
            <w:vAlign w:val="bottom"/>
          </w:tcPr>
          <w:p>
            <w:pPr>
              <w:pStyle w:val="TableContents"/>
              <w:bidi w:val="0"/>
              <w:spacing w:before="0" w:after="0"/>
              <w:jc w:val="right"/>
              <w:rPr/>
            </w:pPr>
            <w:r>
              <w:rPr/>
              <w:t>108.42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0"/>
              <w:jc w:val="left"/>
              <w:rPr/>
            </w:pPr>
            <w:r>
              <w:rPr/>
              <w:t>$</w:t>
            </w:r>
          </w:p>
        </w:tc>
        <w:tc>
          <w:tcPr>
            <w:tcW w:w="713" w:type="dxa"/>
            <w:tcBorders/>
            <w:shd w:fill="CCEEFF" w:val="clear"/>
            <w:tcMar>
              <w:bottom w:w="0" w:type="dxa"/>
            </w:tcMar>
            <w:vAlign w:val="bottom"/>
          </w:tcPr>
          <w:p>
            <w:pPr>
              <w:pStyle w:val="TableContents"/>
              <w:bidi w:val="0"/>
              <w:spacing w:before="0" w:after="0"/>
              <w:jc w:val="right"/>
              <w:rPr/>
            </w:pPr>
            <w:r>
              <w:rPr/>
              <w:t>161.21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0"/>
              <w:jc w:val="left"/>
              <w:rPr/>
            </w:pPr>
            <w:r>
              <w:rPr/>
              <w:t>$</w:t>
            </w:r>
          </w:p>
        </w:tc>
        <w:tc>
          <w:tcPr>
            <w:tcW w:w="713" w:type="dxa"/>
            <w:tcBorders/>
            <w:shd w:fill="CCEEFF" w:val="clear"/>
            <w:tcMar>
              <w:bottom w:w="0" w:type="dxa"/>
            </w:tcMar>
            <w:vAlign w:val="bottom"/>
          </w:tcPr>
          <w:p>
            <w:pPr>
              <w:pStyle w:val="TableContents"/>
              <w:bidi w:val="0"/>
              <w:spacing w:before="0" w:after="0"/>
              <w:jc w:val="right"/>
              <w:rPr/>
            </w:pPr>
            <w:r>
              <w:rPr/>
              <w:t>162.27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0"/>
              <w:jc w:val="left"/>
              <w:rPr/>
            </w:pPr>
            <w:r>
              <w:rPr/>
              <w:t>$</w:t>
            </w:r>
          </w:p>
        </w:tc>
        <w:tc>
          <w:tcPr>
            <w:tcW w:w="713" w:type="dxa"/>
            <w:tcBorders/>
            <w:shd w:fill="CCEEFF" w:val="clear"/>
            <w:tcMar>
              <w:bottom w:w="0" w:type="dxa"/>
            </w:tcMar>
            <w:vAlign w:val="bottom"/>
          </w:tcPr>
          <w:p>
            <w:pPr>
              <w:pStyle w:val="TableContents"/>
              <w:bidi w:val="0"/>
              <w:spacing w:before="0" w:after="0"/>
              <w:jc w:val="right"/>
              <w:rPr/>
            </w:pPr>
            <w:r>
              <w:rPr/>
              <w:t>174.28</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3560" w:type="dxa"/>
            <w:tcBorders/>
            <w:tcMar>
              <w:bottom w:w="0" w:type="dxa"/>
            </w:tcMar>
            <w:vAlign w:val="bottom"/>
          </w:tcPr>
          <w:p>
            <w:pPr>
              <w:pStyle w:val="TableContents"/>
              <w:bidi w:val="0"/>
              <w:spacing w:before="0" w:after="0"/>
              <w:ind w:left="144" w:right="0" w:hanging="144"/>
              <w:jc w:val="left"/>
              <w:rPr/>
            </w:pPr>
            <w:r>
              <w:rPr/>
              <w:t>S&amp;P United States BMI Banks Index</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560" w:type="dxa"/>
            <w:tcBorders/>
            <w:tcMar>
              <w:bottom w:w="0" w:type="dxa"/>
            </w:tcMar>
            <w:vAlign w:val="bottom"/>
          </w:tcPr>
          <w:p>
            <w:pPr>
              <w:pStyle w:val="TableContents"/>
              <w:bidi w:val="0"/>
              <w:spacing w:before="0" w:after="0"/>
              <w:jc w:val="right"/>
              <w:rPr/>
            </w:pPr>
            <w:r>
              <w:rPr/>
              <w:t>100.0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6" w:type="dxa"/>
            <w:tcBorders/>
            <w:tcMar>
              <w:bottom w:w="0" w:type="dxa"/>
            </w:tcMar>
            <w:vAlign w:val="bottom"/>
          </w:tcPr>
          <w:p>
            <w:pPr>
              <w:pStyle w:val="TableContents"/>
              <w:bidi w:val="0"/>
              <w:spacing w:before="0" w:after="283"/>
              <w:jc w:val="left"/>
              <w:rPr/>
            </w:pPr>
            <w:r>
              <w:rPr/>
              <w:t> </w:t>
            </w:r>
          </w:p>
        </w:tc>
        <w:tc>
          <w:tcPr>
            <w:tcW w:w="713" w:type="dxa"/>
            <w:tcBorders/>
            <w:tcMar>
              <w:bottom w:w="0" w:type="dxa"/>
            </w:tcMar>
            <w:vAlign w:val="bottom"/>
          </w:tcPr>
          <w:p>
            <w:pPr>
              <w:pStyle w:val="TableContents"/>
              <w:bidi w:val="0"/>
              <w:spacing w:before="0" w:after="0"/>
              <w:jc w:val="right"/>
              <w:rPr/>
            </w:pPr>
            <w:r>
              <w:rPr/>
              <w:t>117.22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6" w:type="dxa"/>
            <w:tcBorders/>
            <w:tcMar>
              <w:bottom w:w="0" w:type="dxa"/>
            </w:tcMar>
            <w:vAlign w:val="bottom"/>
          </w:tcPr>
          <w:p>
            <w:pPr>
              <w:pStyle w:val="TableContents"/>
              <w:bidi w:val="0"/>
              <w:spacing w:before="0" w:after="283"/>
              <w:jc w:val="left"/>
              <w:rPr/>
            </w:pPr>
            <w:r>
              <w:rPr/>
              <w:t> </w:t>
            </w:r>
          </w:p>
        </w:tc>
        <w:tc>
          <w:tcPr>
            <w:tcW w:w="713" w:type="dxa"/>
            <w:tcBorders/>
            <w:tcMar>
              <w:bottom w:w="0" w:type="dxa"/>
            </w:tcMar>
            <w:vAlign w:val="bottom"/>
          </w:tcPr>
          <w:p>
            <w:pPr>
              <w:pStyle w:val="TableContents"/>
              <w:bidi w:val="0"/>
              <w:spacing w:before="0" w:after="0"/>
              <w:jc w:val="right"/>
              <w:rPr/>
            </w:pPr>
            <w:r>
              <w:rPr/>
              <w:t>102.26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6" w:type="dxa"/>
            <w:tcBorders/>
            <w:tcMar>
              <w:bottom w:w="0" w:type="dxa"/>
            </w:tcMar>
            <w:vAlign w:val="bottom"/>
          </w:tcPr>
          <w:p>
            <w:pPr>
              <w:pStyle w:val="TableContents"/>
              <w:bidi w:val="0"/>
              <w:spacing w:before="0" w:after="283"/>
              <w:jc w:val="left"/>
              <w:rPr/>
            </w:pPr>
            <w:r>
              <w:rPr/>
              <w:t> </w:t>
            </w:r>
          </w:p>
        </w:tc>
        <w:tc>
          <w:tcPr>
            <w:tcW w:w="713" w:type="dxa"/>
            <w:tcBorders/>
            <w:tcMar>
              <w:bottom w:w="0" w:type="dxa"/>
            </w:tcMar>
            <w:vAlign w:val="bottom"/>
          </w:tcPr>
          <w:p>
            <w:pPr>
              <w:pStyle w:val="TableContents"/>
              <w:bidi w:val="0"/>
              <w:spacing w:before="0" w:after="0"/>
              <w:jc w:val="right"/>
              <w:rPr/>
            </w:pPr>
            <w:r>
              <w:rPr/>
              <w:t>139.04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6" w:type="dxa"/>
            <w:tcBorders/>
            <w:tcMar>
              <w:bottom w:w="0" w:type="dxa"/>
            </w:tcMar>
            <w:vAlign w:val="bottom"/>
          </w:tcPr>
          <w:p>
            <w:pPr>
              <w:pStyle w:val="TableContents"/>
              <w:bidi w:val="0"/>
              <w:spacing w:before="0" w:after="283"/>
              <w:jc w:val="left"/>
              <w:rPr/>
            </w:pPr>
            <w:r>
              <w:rPr/>
              <w:t> </w:t>
            </w:r>
          </w:p>
        </w:tc>
        <w:tc>
          <w:tcPr>
            <w:tcW w:w="713" w:type="dxa"/>
            <w:tcBorders/>
            <w:tcMar>
              <w:bottom w:w="0" w:type="dxa"/>
            </w:tcMar>
            <w:vAlign w:val="bottom"/>
          </w:tcPr>
          <w:p>
            <w:pPr>
              <w:pStyle w:val="TableContents"/>
              <w:bidi w:val="0"/>
              <w:spacing w:before="0" w:after="0"/>
              <w:jc w:val="right"/>
              <w:rPr/>
            </w:pPr>
            <w:r>
              <w:rPr/>
              <w:t>115.32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6" w:type="dxa"/>
            <w:tcBorders/>
            <w:tcMar>
              <w:bottom w:w="0" w:type="dxa"/>
            </w:tcMar>
            <w:vAlign w:val="bottom"/>
          </w:tcPr>
          <w:p>
            <w:pPr>
              <w:pStyle w:val="TableContents"/>
              <w:bidi w:val="0"/>
              <w:spacing w:before="0" w:after="283"/>
              <w:jc w:val="left"/>
              <w:rPr/>
            </w:pPr>
            <w:r>
              <w:rPr/>
              <w:t> </w:t>
            </w:r>
          </w:p>
        </w:tc>
        <w:tc>
          <w:tcPr>
            <w:tcW w:w="713" w:type="dxa"/>
            <w:tcBorders/>
            <w:tcMar>
              <w:bottom w:w="0" w:type="dxa"/>
            </w:tcMar>
            <w:vAlign w:val="bottom"/>
          </w:tcPr>
          <w:p>
            <w:pPr>
              <w:pStyle w:val="TableContents"/>
              <w:bidi w:val="0"/>
              <w:spacing w:before="0" w:after="0"/>
              <w:jc w:val="right"/>
              <w:rPr/>
            </w:pPr>
            <w:r>
              <w:rPr/>
              <w:t>179.71</w:t>
            </w:r>
          </w:p>
        </w:tc>
        <w:tc>
          <w:tcPr>
            <w:tcW w:w="60" w:type="dxa"/>
            <w:tcBorders/>
            <w:tcMar>
              <w:bottom w:w="0" w:type="dxa"/>
            </w:tcMar>
            <w:vAlign w:val="bottom"/>
          </w:tcPr>
          <w:p>
            <w:pPr>
              <w:pStyle w:val="TableContents"/>
              <w:bidi w:val="0"/>
              <w:spacing w:before="0" w:after="283"/>
              <w:jc w:val="left"/>
              <w:rPr/>
            </w:pPr>
            <w:r>
              <w:rPr/>
              <w:t> </w:t>
            </w:r>
          </w:p>
        </w:tc>
      </w:tr>
      <w:tr>
        <w:trPr/>
        <w:tc>
          <w:tcPr>
            <w:tcW w:w="3560" w:type="dxa"/>
            <w:tcBorders/>
            <w:shd w:fill="CCEEFF" w:val="clear"/>
            <w:tcMar>
              <w:bottom w:w="0" w:type="dxa"/>
            </w:tcMar>
            <w:vAlign w:val="bottom"/>
          </w:tcPr>
          <w:p>
            <w:pPr>
              <w:pStyle w:val="TableContents"/>
              <w:bidi w:val="0"/>
              <w:spacing w:before="0" w:after="0"/>
              <w:ind w:left="144" w:right="0" w:hanging="144"/>
              <w:jc w:val="left"/>
              <w:rPr/>
            </w:pPr>
            <w:r>
              <w:rPr/>
              <w:t>S&amp;P 500</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560" w:type="dxa"/>
            <w:tcBorders/>
            <w:shd w:fill="CCEEFF" w:val="clear"/>
            <w:tcMar>
              <w:bottom w:w="0" w:type="dxa"/>
            </w:tcMar>
            <w:vAlign w:val="bottom"/>
          </w:tcPr>
          <w:p>
            <w:pPr>
              <w:pStyle w:val="TableContents"/>
              <w:bidi w:val="0"/>
              <w:spacing w:before="0" w:after="0"/>
              <w:jc w:val="right"/>
              <w:rPr/>
            </w:pPr>
            <w:r>
              <w:rPr/>
              <w:t>100.0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283"/>
              <w:jc w:val="left"/>
              <w:rPr/>
            </w:pPr>
            <w:r>
              <w:rPr/>
              <w:t> </w:t>
            </w:r>
          </w:p>
        </w:tc>
        <w:tc>
          <w:tcPr>
            <w:tcW w:w="713" w:type="dxa"/>
            <w:tcBorders/>
            <w:shd w:fill="CCEEFF" w:val="clear"/>
            <w:tcMar>
              <w:bottom w:w="0" w:type="dxa"/>
            </w:tcMar>
            <w:vAlign w:val="bottom"/>
          </w:tcPr>
          <w:p>
            <w:pPr>
              <w:pStyle w:val="TableContents"/>
              <w:bidi w:val="0"/>
              <w:spacing w:before="0" w:after="0"/>
              <w:jc w:val="right"/>
              <w:rPr/>
            </w:pPr>
            <w:r>
              <w:rPr/>
              <w:t>114.03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283"/>
              <w:jc w:val="left"/>
              <w:rPr/>
            </w:pPr>
            <w:r>
              <w:rPr/>
              <w:t> </w:t>
            </w:r>
          </w:p>
        </w:tc>
        <w:tc>
          <w:tcPr>
            <w:tcW w:w="713" w:type="dxa"/>
            <w:tcBorders/>
            <w:shd w:fill="CCEEFF" w:val="clear"/>
            <w:tcMar>
              <w:bottom w:w="0" w:type="dxa"/>
            </w:tcMar>
            <w:vAlign w:val="bottom"/>
          </w:tcPr>
          <w:p>
            <w:pPr>
              <w:pStyle w:val="TableContents"/>
              <w:bidi w:val="0"/>
              <w:spacing w:before="0" w:after="0"/>
              <w:jc w:val="right"/>
              <w:rPr/>
            </w:pPr>
            <w:r>
              <w:rPr/>
              <w:t>135.01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283"/>
              <w:jc w:val="left"/>
              <w:rPr/>
            </w:pPr>
            <w:r>
              <w:rPr/>
              <w:t> </w:t>
            </w:r>
          </w:p>
        </w:tc>
        <w:tc>
          <w:tcPr>
            <w:tcW w:w="713" w:type="dxa"/>
            <w:tcBorders/>
            <w:shd w:fill="CCEEFF" w:val="clear"/>
            <w:tcMar>
              <w:bottom w:w="0" w:type="dxa"/>
            </w:tcMar>
            <w:vAlign w:val="bottom"/>
          </w:tcPr>
          <w:p>
            <w:pPr>
              <w:pStyle w:val="TableContents"/>
              <w:bidi w:val="0"/>
              <w:spacing w:before="0" w:after="0"/>
              <w:jc w:val="right"/>
              <w:rPr/>
            </w:pPr>
            <w:r>
              <w:rPr/>
              <w:t>173.77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283"/>
              <w:jc w:val="left"/>
              <w:rPr/>
            </w:pPr>
            <w:r>
              <w:rPr/>
              <w:t> </w:t>
            </w:r>
          </w:p>
        </w:tc>
        <w:tc>
          <w:tcPr>
            <w:tcW w:w="713" w:type="dxa"/>
            <w:tcBorders/>
            <w:shd w:fill="CCEEFF" w:val="clear"/>
            <w:tcMar>
              <w:bottom w:w="0" w:type="dxa"/>
            </w:tcMar>
            <w:vAlign w:val="bottom"/>
          </w:tcPr>
          <w:p>
            <w:pPr>
              <w:pStyle w:val="TableContents"/>
              <w:bidi w:val="0"/>
              <w:spacing w:before="0" w:after="0"/>
              <w:jc w:val="right"/>
              <w:rPr/>
            </w:pPr>
            <w:r>
              <w:rPr/>
              <w:t>142.30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6" w:type="dxa"/>
            <w:tcBorders/>
            <w:shd w:fill="CCEEFF" w:val="clear"/>
            <w:tcMar>
              <w:bottom w:w="0" w:type="dxa"/>
            </w:tcMar>
            <w:vAlign w:val="bottom"/>
          </w:tcPr>
          <w:p>
            <w:pPr>
              <w:pStyle w:val="TableContents"/>
              <w:bidi w:val="0"/>
              <w:spacing w:before="0" w:after="283"/>
              <w:jc w:val="left"/>
              <w:rPr/>
            </w:pPr>
            <w:r>
              <w:rPr/>
              <w:t> </w:t>
            </w:r>
          </w:p>
        </w:tc>
        <w:tc>
          <w:tcPr>
            <w:tcW w:w="713" w:type="dxa"/>
            <w:tcBorders/>
            <w:shd w:fill="CCEEFF" w:val="clear"/>
            <w:tcMar>
              <w:bottom w:w="0" w:type="dxa"/>
            </w:tcMar>
            <w:vAlign w:val="bottom"/>
          </w:tcPr>
          <w:p>
            <w:pPr>
              <w:pStyle w:val="TableContents"/>
              <w:bidi w:val="0"/>
              <w:spacing w:before="0" w:after="0"/>
              <w:jc w:val="right"/>
              <w:rPr/>
            </w:pPr>
            <w:r>
              <w:rPr/>
              <w:t>125.80</w:t>
            </w:r>
          </w:p>
        </w:tc>
        <w:tc>
          <w:tcPr>
            <w:tcW w:w="6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Source: S&amp;P Global Market Intelligence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Item6.Reserved"/>
      <w:bookmarkStart w:id="18" w:name="Item6.Reserved"/>
      <w:bookmarkEnd w:id="18"/>
    </w:p>
    <w:tbl>
      <w:tblPr>
        <w:tblW w:w="1870" w:type="dxa"/>
        <w:jc w:val="left"/>
        <w:tblInd w:w="0" w:type="dxa"/>
        <w:tblLayout w:type="fixed"/>
        <w:tblCellMar>
          <w:top w:w="0" w:type="dxa"/>
          <w:left w:w="0" w:type="dxa"/>
          <w:bottom w:w="0" w:type="dxa"/>
          <w:right w:w="0" w:type="dxa"/>
        </w:tblCellMar>
      </w:tblPr>
      <w:tblGrid>
        <w:gridCol w:w="740"/>
        <w:gridCol w:w="1130"/>
      </w:tblGrid>
      <w:tr>
        <w:trPr/>
        <w:tc>
          <w:tcPr>
            <w:tcW w:w="740" w:type="dxa"/>
            <w:tcBorders/>
            <w:vAlign w:val="center"/>
          </w:tcPr>
          <w:p>
            <w:pPr>
              <w:pStyle w:val="TableContents"/>
              <w:bidi w:val="0"/>
              <w:spacing w:before="0" w:after="283"/>
              <w:jc w:val="left"/>
              <w:rPr>
                <w:b/>
                <w:color w:val="000000"/>
              </w:rPr>
            </w:pPr>
            <w:r>
              <w:rPr>
                <w:b/>
                <w:color w:val="000000"/>
              </w:rPr>
              <w:t>Item 6.</w:t>
            </w:r>
          </w:p>
        </w:tc>
        <w:tc>
          <w:tcPr>
            <w:tcW w:w="1130" w:type="dxa"/>
            <w:tcBorders/>
            <w:vAlign w:val="center"/>
          </w:tcPr>
          <w:p>
            <w:pPr>
              <w:pStyle w:val="TableContents"/>
              <w:bidi w:val="0"/>
              <w:spacing w:before="0" w:after="0"/>
              <w:jc w:val="left"/>
              <w:rPr>
                <w:b/>
                <w:color w:val="000000"/>
              </w:rPr>
            </w:pPr>
            <w:r>
              <w:rPr>
                <w:b/>
                <w:color w:val="000000"/>
              </w:rPr>
              <w:t>[Reserved]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Item7.ManagementsDiscussi"/>
      <w:bookmarkStart w:id="20" w:name="Item7.ManagementsDiscussi"/>
      <w:bookmarkEnd w:id="20"/>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9050"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discussion and analysis of our financial condition and results of operations should be read in conjunction with our consolidated financial statements and the accompanying notes included in Item 8. Financial Statements and Supplementary Data.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2023, SPFI entered into a Securities Purchase Agreement (“Agreement”) with Alliant Insurance Services, Inc. (“Alliant”), providing for the sale of Windmark Insurance Agency, Inc. (“Windmark”)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This transaction did not meet the criteria for discontinued operations reporting.</w:t>
      </w:r>
    </w:p>
    <w:p>
      <w:pPr>
        <w:pStyle w:val="TextBody"/>
        <w:bidi w:val="0"/>
        <w:spacing w:before="0" w:after="0"/>
        <w:jc w:val="left"/>
        <w:rPr/>
      </w:pPr>
      <w:r>
        <w:rPr/>
      </w:r>
    </w:p>
    <w:p>
      <w:pPr>
        <w:pStyle w:val="TextBody"/>
        <w:bidi w:val="0"/>
        <w:spacing w:before="0" w:after="0"/>
        <w:ind w:left="720" w:right="0" w:hanging="720"/>
        <w:jc w:val="left"/>
        <w:rPr>
          <w:rFonts w:ascii="Times New Roman" w:hAnsi="Times New Roman"/>
          <w:b/>
          <w:color w:val="000000"/>
          <w:sz w:val="20"/>
          <w:shd w:fill="FFFFFF" w:val="clear"/>
        </w:rPr>
      </w:pPr>
      <w:r>
        <w:rPr>
          <w:rFonts w:ascii="Times New Roman" w:hAnsi="Times New Roman"/>
          <w:b/>
          <w:color w:val="000000"/>
          <w:sz w:val="20"/>
          <w:shd w:fill="FFFFFF" w:val="clear"/>
        </w:rPr>
        <w:t>Selected Financial Data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certain of our selected financial data for, and as of the end of, each of the periods indicated (dollars in thousands, except per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680"/>
        <w:gridCol w:w="60"/>
        <w:gridCol w:w="151"/>
        <w:gridCol w:w="1066"/>
        <w:gridCol w:w="233"/>
        <w:gridCol w:w="64"/>
        <w:gridCol w:w="151"/>
        <w:gridCol w:w="1066"/>
        <w:gridCol w:w="233"/>
        <w:gridCol w:w="64"/>
        <w:gridCol w:w="151"/>
        <w:gridCol w:w="1066"/>
        <w:gridCol w:w="220"/>
      </w:tblGrid>
      <w:tr>
        <w:trPr/>
        <w:tc>
          <w:tcPr>
            <w:tcW w:w="5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4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or for the Year Ended December 31,</w:t>
            </w:r>
          </w:p>
        </w:tc>
        <w:tc>
          <w:tcPr>
            <w:tcW w:w="220" w:type="dxa"/>
            <w:tcBorders/>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220" w:type="dxa"/>
            <w:tcBorders/>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144" w:right="0" w:hanging="144"/>
              <w:jc w:val="left"/>
              <w:rPr>
                <w:b/>
                <w:color w:val="000000"/>
              </w:rPr>
            </w:pPr>
            <w:r>
              <w:rPr>
                <w:b/>
                <w:color w:val="000000"/>
              </w:rPr>
              <w:t>Selected Income Statement Data:</w:t>
            </w:r>
          </w:p>
        </w:tc>
        <w:tc>
          <w:tcPr>
            <w:tcW w:w="60"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180" w:right="0" w:hanging="0"/>
              <w:jc w:val="left"/>
              <w:rPr>
                <w:color w:val="000000"/>
              </w:rPr>
            </w:pPr>
            <w:r>
              <w:rPr>
                <w:color w:val="000000"/>
              </w:rPr>
              <w:t>Net interest income</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139,747</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138,476</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121,764</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Provision for credit losses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4,610</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(2,619</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(1,918</w:t>
            </w:r>
          </w:p>
        </w:tc>
        <w:tc>
          <w:tcPr>
            <w:tcW w:w="220" w:type="dxa"/>
            <w:tcBorders/>
            <w:vAlign w:val="bottom"/>
          </w:tcPr>
          <w:p>
            <w:pPr>
              <w:pStyle w:val="TableContents"/>
              <w:bidi w:val="0"/>
              <w:spacing w:before="0" w:after="0"/>
              <w:jc w:val="left"/>
              <w:rPr>
                <w:color w:val="000000"/>
              </w:rPr>
            </w:pPr>
            <w:r>
              <w:rPr>
                <w:color w:val="000000"/>
              </w:rPr>
              <w:t>)</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Noninterest income</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79,226</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76,145</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97,469</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Noninterest expense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134,946</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144,089</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148,030</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Income tax expense</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16,672</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14,911</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14,507</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Net income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62,745</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58,240</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58,614</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144" w:right="0" w:hanging="144"/>
              <w:jc w:val="left"/>
              <w:rPr>
                <w:b/>
                <w:color w:val="000000"/>
              </w:rPr>
            </w:pPr>
            <w:r>
              <w:rPr>
                <w:b/>
                <w:color w:val="000000"/>
              </w:rPr>
              <w:t>Share and Per Share Data:</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Earnings per share (basic)</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color w:val="000000"/>
              </w:rPr>
            </w:pPr>
            <w:r>
              <w:rPr>
                <w:color w:val="000000"/>
              </w:rPr>
              <w:t>$</w:t>
            </w:r>
          </w:p>
        </w:tc>
        <w:tc>
          <w:tcPr>
            <w:tcW w:w="1066" w:type="dxa"/>
            <w:tcBorders/>
            <w:vAlign w:val="bottom"/>
          </w:tcPr>
          <w:p>
            <w:pPr>
              <w:pStyle w:val="TableContents"/>
              <w:bidi w:val="0"/>
              <w:spacing w:before="0" w:after="0"/>
              <w:jc w:val="right"/>
              <w:rPr>
                <w:color w:val="000000"/>
              </w:rPr>
            </w:pPr>
            <w:r>
              <w:rPr>
                <w:color w:val="000000"/>
              </w:rPr>
              <w:t>3.73</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color w:val="000000"/>
              </w:rPr>
            </w:pPr>
            <w:r>
              <w:rPr>
                <w:color w:val="000000"/>
              </w:rPr>
              <w:t>$</w:t>
            </w:r>
          </w:p>
        </w:tc>
        <w:tc>
          <w:tcPr>
            <w:tcW w:w="1066" w:type="dxa"/>
            <w:tcBorders/>
            <w:vAlign w:val="bottom"/>
          </w:tcPr>
          <w:p>
            <w:pPr>
              <w:pStyle w:val="TableContents"/>
              <w:bidi w:val="0"/>
              <w:spacing w:before="0" w:after="0"/>
              <w:jc w:val="right"/>
              <w:rPr>
                <w:color w:val="000000"/>
              </w:rPr>
            </w:pPr>
            <w:r>
              <w:rPr>
                <w:color w:val="000000"/>
              </w:rPr>
              <w:t>3.35</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0"/>
              <w:jc w:val="left"/>
              <w:rPr>
                <w:color w:val="000000"/>
              </w:rPr>
            </w:pPr>
            <w:r>
              <w:rPr>
                <w:color w:val="000000"/>
              </w:rPr>
              <w:t>$</w:t>
            </w:r>
          </w:p>
        </w:tc>
        <w:tc>
          <w:tcPr>
            <w:tcW w:w="1066" w:type="dxa"/>
            <w:tcBorders/>
            <w:vAlign w:val="bottom"/>
          </w:tcPr>
          <w:p>
            <w:pPr>
              <w:pStyle w:val="TableContents"/>
              <w:bidi w:val="0"/>
              <w:spacing w:before="0" w:after="0"/>
              <w:jc w:val="right"/>
              <w:rPr>
                <w:color w:val="000000"/>
              </w:rPr>
            </w:pPr>
            <w:r>
              <w:rPr>
                <w:color w:val="000000"/>
              </w:rPr>
              <w:t>3.26</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Earnings per share (diluted)</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3.62</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3.23</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3.17</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Dividends per share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0.52</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0.46</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0.30</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Tangible book value per share(1)</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23.47</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19.57</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21.51</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144" w:right="0" w:hanging="144"/>
              <w:jc w:val="left"/>
              <w:rPr>
                <w:b/>
                <w:color w:val="000000"/>
              </w:rPr>
            </w:pPr>
            <w:r>
              <w:rPr>
                <w:b/>
                <w:color w:val="000000"/>
              </w:rPr>
              <w:t>Selected Period End Balance Sheet Data:</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330,158</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234,883</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1066" w:type="dxa"/>
            <w:tcBorders/>
            <w:shd w:fill="CCEEFF" w:val="clear"/>
            <w:vAlign w:val="bottom"/>
          </w:tcPr>
          <w:p>
            <w:pPr>
              <w:pStyle w:val="TableContents"/>
              <w:bidi w:val="0"/>
              <w:spacing w:before="0" w:after="0"/>
              <w:jc w:val="right"/>
              <w:rPr>
                <w:color w:val="000000"/>
              </w:rPr>
            </w:pPr>
            <w:r>
              <w:rPr>
                <w:color w:val="000000"/>
              </w:rPr>
              <w:t>486,821</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Investment securities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622,762</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701,711</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724,504</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Gross loans held for investment</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3,014,153</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2,748,081</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2,437,577</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Allowance for credit losses on loans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42,356</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39,288</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42,098</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4,204,793</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3,944,063</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3,901,855</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Total deposits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3,626,153</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3,406,430</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3,341,222</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Borrowings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110,168</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122,354</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122,168</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Total stockholders’ equity</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407,114</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357,014</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407,427</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144" w:right="0" w:hanging="144"/>
              <w:jc w:val="left"/>
              <w:rPr>
                <w:b/>
                <w:color w:val="000000"/>
              </w:rPr>
            </w:pPr>
            <w:r>
              <w:rPr>
                <w:b/>
                <w:color w:val="000000"/>
              </w:rPr>
              <w:t>Performance Ratios: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r>
      <w:tr>
        <w:trPr/>
        <w:tc>
          <w:tcPr>
            <w:tcW w:w="5680" w:type="dxa"/>
            <w:tcBorders/>
            <w:vAlign w:val="bottom"/>
          </w:tcPr>
          <w:p>
            <w:pPr>
              <w:pStyle w:val="TableContents"/>
              <w:bidi w:val="0"/>
              <w:spacing w:before="0" w:after="0"/>
              <w:ind w:left="324" w:right="0" w:hanging="144"/>
              <w:jc w:val="left"/>
              <w:rPr>
                <w:color w:val="000000"/>
              </w:rPr>
            </w:pPr>
            <w:r>
              <w:rPr>
                <w:color w:val="000000"/>
              </w:rPr>
              <w:t>Return on average assets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1.54</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1.47</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1.56</w:t>
            </w:r>
          </w:p>
        </w:tc>
        <w:tc>
          <w:tcPr>
            <w:tcW w:w="220" w:type="dxa"/>
            <w:tcBorders/>
            <w:vAlign w:val="bottom"/>
          </w:tcPr>
          <w:p>
            <w:pPr>
              <w:pStyle w:val="TableContents"/>
              <w:bidi w:val="0"/>
              <w:spacing w:before="0" w:after="0"/>
              <w:jc w:val="left"/>
              <w:rPr>
                <w:color w:val="000000"/>
              </w:rPr>
            </w:pPr>
            <w:r>
              <w:rPr>
                <w:color w:val="000000"/>
              </w:rPr>
              <w:t>%</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Return on average stockholders’ equity</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16.58</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15.79</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15.08</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lineRule="auto" w:line="240" w:before="0" w:after="0"/>
              <w:ind w:left="324" w:right="0" w:hanging="144"/>
              <w:jc w:val="left"/>
              <w:rPr>
                <w:color w:val="000000"/>
              </w:rPr>
            </w:pPr>
            <w:r>
              <w:rPr>
                <w:color w:val="000000"/>
              </w:rPr>
              <w:t>Net interest margin(2)</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3.61</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3.73</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3.51</w:t>
            </w:r>
          </w:p>
        </w:tc>
        <w:tc>
          <w:tcPr>
            <w:tcW w:w="220" w:type="dxa"/>
            <w:tcBorders/>
            <w:vAlign w:val="bottom"/>
          </w:tcPr>
          <w:p>
            <w:pPr>
              <w:pStyle w:val="TableContents"/>
              <w:bidi w:val="0"/>
              <w:spacing w:before="0" w:after="0"/>
              <w:jc w:val="left"/>
              <w:rPr>
                <w:color w:val="000000"/>
              </w:rPr>
            </w:pPr>
            <w:r>
              <w:rPr>
                <w:color w:val="000000"/>
              </w:rPr>
              <w:t>%</w:t>
            </w:r>
          </w:p>
        </w:tc>
      </w:tr>
      <w:tr>
        <w:trPr/>
        <w:tc>
          <w:tcPr>
            <w:tcW w:w="5680"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Efficiency ratio(3)</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61.33</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66.76</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67.14</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before="0" w:after="0"/>
              <w:ind w:left="144" w:right="0" w:hanging="144"/>
              <w:jc w:val="left"/>
              <w:rPr>
                <w:b/>
                <w:color w:val="000000"/>
              </w:rPr>
            </w:pPr>
            <w:r>
              <w:rPr>
                <w:b/>
                <w:color w:val="000000"/>
              </w:rPr>
              <w:t>Credit Quality Ratios: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Nonperforming assets to total assets(4)</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0.14</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0.20</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0.30</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lineRule="auto" w:line="240" w:before="0" w:after="0"/>
              <w:ind w:left="324" w:right="0" w:hanging="144"/>
              <w:jc w:val="left"/>
              <w:rPr>
                <w:color w:val="000000"/>
              </w:rPr>
            </w:pPr>
            <w:r>
              <w:rPr>
                <w:color w:val="000000"/>
              </w:rPr>
              <w:t>Nonperforming loans to total loans held for investment(5)</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0.17</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0.28</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0.43</w:t>
            </w:r>
          </w:p>
        </w:tc>
        <w:tc>
          <w:tcPr>
            <w:tcW w:w="220" w:type="dxa"/>
            <w:tcBorders/>
            <w:vAlign w:val="bottom"/>
          </w:tcPr>
          <w:p>
            <w:pPr>
              <w:pStyle w:val="TableContents"/>
              <w:bidi w:val="0"/>
              <w:spacing w:before="0" w:after="0"/>
              <w:jc w:val="left"/>
              <w:rPr>
                <w:color w:val="000000"/>
              </w:rPr>
            </w:pPr>
            <w:r>
              <w:rPr>
                <w:color w:val="000000"/>
              </w:rPr>
              <w:t>%</w:t>
            </w:r>
          </w:p>
        </w:tc>
      </w:tr>
      <w:tr>
        <w:trPr/>
        <w:tc>
          <w:tcPr>
            <w:tcW w:w="5680"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Allowance for credit losses on loans to nonperforming loans(5)</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818.00</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504.34</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397.23</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before="0" w:after="0"/>
              <w:ind w:left="324" w:right="0" w:hanging="144"/>
              <w:jc w:val="left"/>
              <w:rPr>
                <w:color w:val="000000"/>
              </w:rPr>
            </w:pPr>
            <w:r>
              <w:rPr>
                <w:color w:val="000000"/>
              </w:rPr>
              <w:t>Allowance for credit losses on loans to total loans held for investment</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1.41</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1.43</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1.73</w:t>
            </w:r>
          </w:p>
        </w:tc>
        <w:tc>
          <w:tcPr>
            <w:tcW w:w="220" w:type="dxa"/>
            <w:tcBorders/>
            <w:vAlign w:val="bottom"/>
          </w:tcPr>
          <w:p>
            <w:pPr>
              <w:pStyle w:val="TableContents"/>
              <w:bidi w:val="0"/>
              <w:spacing w:before="0" w:after="0"/>
              <w:jc w:val="left"/>
              <w:rPr>
                <w:color w:val="000000"/>
              </w:rPr>
            </w:pPr>
            <w:r>
              <w:rPr>
                <w:color w:val="000000"/>
              </w:rPr>
              <w:t>%</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Net loan charge-offs to average loans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0.07</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0.01</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0.06</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before="0" w:after="0"/>
              <w:ind w:left="144" w:right="0" w:hanging="144"/>
              <w:jc w:val="left"/>
              <w:rPr>
                <w:b/>
                <w:color w:val="000000"/>
              </w:rPr>
            </w:pPr>
            <w:r>
              <w:rPr>
                <w:b/>
                <w:color w:val="000000"/>
              </w:rPr>
              <w:t>Capital Ratios: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Total stockholders’ equity to total assets</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9.68</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9.05</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10.44</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lineRule="auto" w:line="240" w:before="0" w:after="0"/>
              <w:ind w:left="324" w:right="0" w:hanging="144"/>
              <w:jc w:val="left"/>
              <w:rPr>
                <w:color w:val="000000"/>
              </w:rPr>
            </w:pPr>
            <w:r>
              <w:rPr>
                <w:color w:val="000000"/>
              </w:rPr>
              <w:t>Tangible common equity to tangible assets(1)</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9.21</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8.50</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9.85</w:t>
            </w:r>
          </w:p>
        </w:tc>
        <w:tc>
          <w:tcPr>
            <w:tcW w:w="220" w:type="dxa"/>
            <w:tcBorders/>
            <w:vAlign w:val="bottom"/>
          </w:tcPr>
          <w:p>
            <w:pPr>
              <w:pStyle w:val="TableContents"/>
              <w:bidi w:val="0"/>
              <w:spacing w:before="0" w:after="0"/>
              <w:jc w:val="left"/>
              <w:rPr>
                <w:color w:val="000000"/>
              </w:rPr>
            </w:pPr>
            <w:r>
              <w:rPr>
                <w:color w:val="000000"/>
              </w:rPr>
              <w:t>%</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Common equity tier 1 capital ratio</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12.41</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11.81</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12.91</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before="0" w:after="0"/>
              <w:ind w:left="324" w:right="0" w:hanging="144"/>
              <w:jc w:val="left"/>
              <w:rPr>
                <w:color w:val="000000"/>
              </w:rPr>
            </w:pPr>
            <w:r>
              <w:rPr>
                <w:color w:val="000000"/>
              </w:rPr>
              <w:t>Tier 1 leverage ratio</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11.33</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11.03</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10.77</w:t>
            </w:r>
          </w:p>
        </w:tc>
        <w:tc>
          <w:tcPr>
            <w:tcW w:w="220" w:type="dxa"/>
            <w:tcBorders/>
            <w:vAlign w:val="bottom"/>
          </w:tcPr>
          <w:p>
            <w:pPr>
              <w:pStyle w:val="TableContents"/>
              <w:bidi w:val="0"/>
              <w:spacing w:before="0" w:after="0"/>
              <w:jc w:val="left"/>
              <w:rPr>
                <w:color w:val="000000"/>
              </w:rPr>
            </w:pPr>
            <w:r>
              <w:rPr>
                <w:color w:val="000000"/>
              </w:rPr>
              <w:t>%</w:t>
            </w:r>
          </w:p>
        </w:tc>
      </w:tr>
      <w:tr>
        <w:trPr/>
        <w:tc>
          <w:tcPr>
            <w:tcW w:w="5680" w:type="dxa"/>
            <w:tcBorders/>
            <w:shd w:fill="CCEEFF" w:val="clear"/>
            <w:vAlign w:val="bottom"/>
          </w:tcPr>
          <w:p>
            <w:pPr>
              <w:pStyle w:val="TableContents"/>
              <w:bidi w:val="0"/>
              <w:spacing w:before="0" w:after="0"/>
              <w:ind w:left="324" w:right="0" w:hanging="144"/>
              <w:jc w:val="left"/>
              <w:rPr>
                <w:color w:val="000000"/>
              </w:rPr>
            </w:pPr>
            <w:r>
              <w:rPr>
                <w:color w:val="000000"/>
              </w:rPr>
              <w:t>Tier 1 risk-based capital ratio</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13.69</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13.15</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0"/>
              <w:jc w:val="right"/>
              <w:rPr>
                <w:color w:val="000000"/>
              </w:rPr>
            </w:pPr>
            <w:r>
              <w:rPr>
                <w:color w:val="000000"/>
              </w:rPr>
              <w:t>14.49</w:t>
            </w:r>
          </w:p>
        </w:tc>
        <w:tc>
          <w:tcPr>
            <w:tcW w:w="220" w:type="dxa"/>
            <w:tcBorders/>
            <w:shd w:fill="CCEEFF" w:val="clear"/>
            <w:vAlign w:val="bottom"/>
          </w:tcPr>
          <w:p>
            <w:pPr>
              <w:pStyle w:val="TableContents"/>
              <w:bidi w:val="0"/>
              <w:spacing w:before="0" w:after="0"/>
              <w:jc w:val="left"/>
              <w:rPr>
                <w:color w:val="000000"/>
              </w:rPr>
            </w:pPr>
            <w:r>
              <w:rPr>
                <w:color w:val="000000"/>
              </w:rPr>
              <w:t>%</w:t>
            </w:r>
          </w:p>
        </w:tc>
      </w:tr>
      <w:tr>
        <w:trPr/>
        <w:tc>
          <w:tcPr>
            <w:tcW w:w="5680" w:type="dxa"/>
            <w:tcBorders/>
            <w:vAlign w:val="bottom"/>
          </w:tcPr>
          <w:p>
            <w:pPr>
              <w:pStyle w:val="TableContents"/>
              <w:bidi w:val="0"/>
              <w:spacing w:before="0" w:after="0"/>
              <w:ind w:left="324" w:right="0" w:hanging="144"/>
              <w:jc w:val="left"/>
              <w:rPr>
                <w:color w:val="000000"/>
              </w:rPr>
            </w:pPr>
            <w:r>
              <w:rPr>
                <w:color w:val="000000"/>
              </w:rPr>
              <w:t>Total risk-based capital ratio</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16.74</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16.58</w:t>
            </w:r>
          </w:p>
        </w:tc>
        <w:tc>
          <w:tcPr>
            <w:tcW w:w="233" w:type="dxa"/>
            <w:tcBorders/>
            <w:vAlign w:val="bottom"/>
          </w:tcPr>
          <w:p>
            <w:pPr>
              <w:pStyle w:val="TableContents"/>
              <w:bidi w:val="0"/>
              <w:spacing w:before="0" w:after="0"/>
              <w:jc w:val="left"/>
              <w:rPr>
                <w:color w:val="000000"/>
              </w:rPr>
            </w:pPr>
            <w:r>
              <w:rPr>
                <w:color w:val="000000"/>
              </w:rPr>
              <w:t>%</w:t>
            </w:r>
          </w:p>
        </w:tc>
        <w:tc>
          <w:tcPr>
            <w:tcW w:w="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0"/>
              <w:jc w:val="right"/>
              <w:rPr>
                <w:color w:val="000000"/>
              </w:rPr>
            </w:pPr>
            <w:r>
              <w:rPr>
                <w:color w:val="000000"/>
              </w:rPr>
              <w:t>18.40</w:t>
            </w:r>
          </w:p>
        </w:tc>
        <w:tc>
          <w:tcPr>
            <w:tcW w:w="22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000000"/>
              </w:rPr>
            </w:pPr>
            <w:r>
              <w:rPr>
                <w:color w:val="000000"/>
              </w:rPr>
              <w:t>(1)</w:t>
            </w:r>
          </w:p>
        </w:tc>
        <w:tc>
          <w:tcPr>
            <w:tcW w:w="9953" w:type="dxa"/>
            <w:tcBorders/>
            <w:vAlign w:val="center"/>
          </w:tcPr>
          <w:p>
            <w:pPr>
              <w:pStyle w:val="TableContents"/>
              <w:bidi w:val="0"/>
              <w:spacing w:before="0" w:after="0"/>
              <w:jc w:val="both"/>
              <w:rPr>
                <w:color w:val="000000"/>
              </w:rPr>
            </w:pPr>
            <w:r>
              <w:rPr>
                <w:color w:val="000000"/>
              </w:rPr>
              <w:t>Represents a non-GAAP financial measure. See our reconciliation of non-GAAP financial measures to their most directly comparable GAAP financial measures under the caption “Management’s Discussion and Analysis of Financial Condition and Results of Operations — Non-GAAP Financial Measures.”</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color w:val="000000"/>
              </w:rPr>
            </w:pPr>
            <w:r>
              <w:rPr>
                <w:color w:val="000000"/>
              </w:rPr>
              <w:t>(2)</w:t>
            </w:r>
          </w:p>
        </w:tc>
        <w:tc>
          <w:tcPr>
            <w:tcW w:w="9922" w:type="dxa"/>
            <w:tcBorders/>
            <w:vAlign w:val="center"/>
          </w:tcPr>
          <w:p>
            <w:pPr>
              <w:pStyle w:val="TableContents"/>
              <w:bidi w:val="0"/>
              <w:spacing w:before="0" w:after="0"/>
              <w:jc w:val="both"/>
              <w:rPr>
                <w:color w:val="000000"/>
              </w:rPr>
            </w:pPr>
            <w:r>
              <w:rPr>
                <w:color w:val="000000"/>
              </w:rPr>
              <w:t>Net interest margin is calculated as the annual net interest income, on a fully tax-equivalent basis, divided by average interest-earning assets.</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color w:val="000000"/>
              </w:rPr>
            </w:pPr>
            <w:r>
              <w:rPr>
                <w:color w:val="000000"/>
              </w:rPr>
              <w:t>(3)</w:t>
            </w:r>
          </w:p>
        </w:tc>
        <w:tc>
          <w:tcPr>
            <w:tcW w:w="9925" w:type="dxa"/>
            <w:tcBorders/>
            <w:vAlign w:val="center"/>
          </w:tcPr>
          <w:p>
            <w:pPr>
              <w:pStyle w:val="TableContents"/>
              <w:bidi w:val="0"/>
              <w:spacing w:before="0" w:after="0"/>
              <w:jc w:val="both"/>
              <w:rPr>
                <w:color w:val="000000"/>
              </w:rPr>
            </w:pPr>
            <w:r>
              <w:rPr>
                <w:color w:val="000000"/>
              </w:rPr>
              <w:t>The efficiency ratio is calculated by dividing noninterest expense by the sum of net interest income on a tax-equivalent basis and noninterest income.</w:t>
            </w:r>
          </w:p>
        </w:tc>
      </w:tr>
    </w:tbl>
    <w:tbl>
      <w:tblPr>
        <w:tblW w:w="7540" w:type="dxa"/>
        <w:jc w:val="left"/>
        <w:tblInd w:w="0" w:type="dxa"/>
        <w:tblLayout w:type="fixed"/>
        <w:tblCellMar>
          <w:top w:w="0" w:type="dxa"/>
          <w:left w:w="0" w:type="dxa"/>
          <w:bottom w:w="0" w:type="dxa"/>
          <w:right w:w="0" w:type="dxa"/>
        </w:tblCellMar>
      </w:tblPr>
      <w:tblGrid>
        <w:gridCol w:w="305"/>
        <w:gridCol w:w="7235"/>
      </w:tblGrid>
      <w:tr>
        <w:trPr/>
        <w:tc>
          <w:tcPr>
            <w:tcW w:w="305" w:type="dxa"/>
            <w:tcBorders/>
            <w:vAlign w:val="center"/>
          </w:tcPr>
          <w:p>
            <w:pPr>
              <w:pStyle w:val="TableContents"/>
              <w:bidi w:val="0"/>
              <w:spacing w:before="0" w:after="283"/>
              <w:jc w:val="left"/>
              <w:rPr>
                <w:color w:val="000000"/>
              </w:rPr>
            </w:pPr>
            <w:r>
              <w:rPr>
                <w:color w:val="000000"/>
              </w:rPr>
              <w:t>(4)</w:t>
            </w:r>
          </w:p>
        </w:tc>
        <w:tc>
          <w:tcPr>
            <w:tcW w:w="7235" w:type="dxa"/>
            <w:tcBorders/>
            <w:vAlign w:val="center"/>
          </w:tcPr>
          <w:p>
            <w:pPr>
              <w:pStyle w:val="TableContents"/>
              <w:bidi w:val="0"/>
              <w:spacing w:before="0" w:after="0"/>
              <w:jc w:val="both"/>
              <w:rPr>
                <w:color w:val="000000"/>
              </w:rPr>
            </w:pPr>
            <w:r>
              <w:rPr>
                <w:color w:val="000000"/>
              </w:rPr>
              <w:t>Nonperforming assets consist of nonperforming loans plus foreclosed assets.</w:t>
            </w:r>
          </w:p>
        </w:tc>
      </w:tr>
    </w:tbl>
    <w:tbl>
      <w:tblPr>
        <w:tblW w:w="8215" w:type="dxa"/>
        <w:jc w:val="left"/>
        <w:tblInd w:w="0" w:type="dxa"/>
        <w:tblLayout w:type="fixed"/>
        <w:tblCellMar>
          <w:top w:w="0" w:type="dxa"/>
          <w:left w:w="0" w:type="dxa"/>
          <w:bottom w:w="0" w:type="dxa"/>
          <w:right w:w="0" w:type="dxa"/>
        </w:tblCellMar>
      </w:tblPr>
      <w:tblGrid>
        <w:gridCol w:w="305"/>
        <w:gridCol w:w="7910"/>
      </w:tblGrid>
      <w:tr>
        <w:trPr/>
        <w:tc>
          <w:tcPr>
            <w:tcW w:w="305" w:type="dxa"/>
            <w:tcBorders/>
            <w:vAlign w:val="center"/>
          </w:tcPr>
          <w:p>
            <w:pPr>
              <w:pStyle w:val="TableContents"/>
              <w:bidi w:val="0"/>
              <w:spacing w:before="0" w:after="283"/>
              <w:jc w:val="left"/>
              <w:rPr>
                <w:color w:val="000000"/>
              </w:rPr>
            </w:pPr>
            <w:r>
              <w:rPr>
                <w:color w:val="000000"/>
              </w:rPr>
              <w:t>(5)</w:t>
            </w:r>
          </w:p>
        </w:tc>
        <w:tc>
          <w:tcPr>
            <w:tcW w:w="7910" w:type="dxa"/>
            <w:tcBorders/>
            <w:vAlign w:val="center"/>
          </w:tcPr>
          <w:p>
            <w:pPr>
              <w:pStyle w:val="TableContents"/>
              <w:bidi w:val="0"/>
              <w:spacing w:before="0" w:after="0"/>
              <w:jc w:val="both"/>
              <w:rPr>
                <w:color w:val="000000"/>
              </w:rPr>
            </w:pPr>
            <w:r>
              <w:rPr>
                <w:color w:val="000000"/>
              </w:rPr>
              <w:t>Nonperforming loans include nonaccrual loans and loans past due 90 days or more.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income for the year ended December 31, 2023 was $62.7 million, or $3.62 per diluted share, compared to $58.2 million, or $3.23 per diluted share, for the year ended December 31, 2022. The increase in net income was primarily the result of an increase of $3.1 million in noninterest income, an increase of $1.3 million in net interest income, and a decrease of $9.1 million in noninterest expense, partially offset by an increase of $7.2 million in provision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Return on average assets was 1.54% and return on average equity was 16.58% for the year ended December 31, 2023, compared to 1.47% and 15.79%, respectively, for the year ended December 31, 2022. The increase in return on average assets was primarily due to the increase in net income of 7.7%, relative to a smaller increase of 2.9% in total average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income for the year ended December 31, 2022 was $58.2 million, or $3.23 per diluted share, compared to $58.6 million, or $3.17 per diluted share, for the year ended December 31, 2021. The decrease in net income was primarily the result of a decrease of $21.3 million in noninterest income, offset by an increase of $16.7 million in net interest income and a decrease of $3.9 million in noninterest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Return on average assets was 1.47% and return on average equity was 15.79% for the year ended December 31, 2022, compared to 1.56% and 15.08%, respectively, for the year ended December 31, 2021. The decrease in return on average assets was primarily due to the decrease in net income of 0.6%, relative to a larger increase of 5.2% in total average assets.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pStyle w:val="TextBody"/>
        <w:bidi w:val="0"/>
        <w:spacing w:before="0" w:after="0"/>
        <w:jc w:val="left"/>
        <w:rPr/>
      </w:pPr>
      <w:r>
        <w:rPr/>
      </w:r>
    </w:p>
    <w:tbl>
      <w:tblPr>
        <w:tblW w:w="11336" w:type="dxa"/>
        <w:jc w:val="left"/>
        <w:tblInd w:w="0" w:type="dxa"/>
        <w:tblLayout w:type="fixed"/>
        <w:tblCellMar>
          <w:top w:w="0" w:type="dxa"/>
          <w:left w:w="0" w:type="dxa"/>
          <w:bottom w:w="0" w:type="dxa"/>
          <w:right w:w="0" w:type="dxa"/>
        </w:tblCellMar>
      </w:tblPr>
      <w:tblGrid>
        <w:gridCol w:w="1751"/>
        <w:gridCol w:w="60"/>
        <w:gridCol w:w="140"/>
        <w:gridCol w:w="980"/>
        <w:gridCol w:w="60"/>
        <w:gridCol w:w="60"/>
        <w:gridCol w:w="140"/>
        <w:gridCol w:w="800"/>
        <w:gridCol w:w="60"/>
        <w:gridCol w:w="60"/>
        <w:gridCol w:w="74"/>
        <w:gridCol w:w="546"/>
        <w:gridCol w:w="215"/>
        <w:gridCol w:w="60"/>
        <w:gridCol w:w="140"/>
        <w:gridCol w:w="980"/>
        <w:gridCol w:w="60"/>
        <w:gridCol w:w="60"/>
        <w:gridCol w:w="140"/>
        <w:gridCol w:w="800"/>
        <w:gridCol w:w="60"/>
        <w:gridCol w:w="60"/>
        <w:gridCol w:w="74"/>
        <w:gridCol w:w="546"/>
        <w:gridCol w:w="215"/>
        <w:gridCol w:w="60"/>
        <w:gridCol w:w="140"/>
        <w:gridCol w:w="980"/>
        <w:gridCol w:w="60"/>
        <w:gridCol w:w="60"/>
        <w:gridCol w:w="140"/>
        <w:gridCol w:w="800"/>
        <w:gridCol w:w="60"/>
        <w:gridCol w:w="60"/>
        <w:gridCol w:w="74"/>
        <w:gridCol w:w="546"/>
        <w:gridCol w:w="215"/>
      </w:tblGrid>
      <w:tr>
        <w:trPr/>
        <w:tc>
          <w:tcPr>
            <w:tcW w:w="17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10" w:type="dxa"/>
            <w:gridSpan w:val="3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15" w:type="dxa"/>
            <w:tcBorders/>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215" w:type="dxa"/>
            <w:tcBorders/>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b/>
                <w:color w:val="000000"/>
              </w:rPr>
            </w:pPr>
            <w:r>
              <w:rPr>
                <w:b/>
                <w:color w:val="000000"/>
              </w:rPr>
              <w:t>Average 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b/>
                <w:color w:val="000000"/>
              </w:rPr>
            </w:pPr>
            <w:r>
              <w:rPr>
                <w:b/>
                <w:color w:val="00000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b/>
                <w:color w:val="000000"/>
              </w:rPr>
            </w:pPr>
            <w:r>
              <w:rPr>
                <w:b/>
                <w:color w:val="000000"/>
              </w:rPr>
              <w:t>Yield/Rate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b/>
                <w:color w:val="000000"/>
              </w:rPr>
            </w:pPr>
            <w:r>
              <w:rPr>
                <w:b/>
                <w:color w:val="000000"/>
              </w:rPr>
              <w:t>Average 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b/>
                <w:color w:val="000000"/>
              </w:rPr>
            </w:pPr>
            <w:r>
              <w:rPr>
                <w:b/>
                <w:color w:val="00000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b/>
                <w:color w:val="000000"/>
              </w:rPr>
            </w:pPr>
            <w:r>
              <w:rPr>
                <w:b/>
                <w:color w:val="000000"/>
              </w:rPr>
              <w:t>Yield/Rate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b/>
                <w:color w:val="000000"/>
              </w:rPr>
            </w:pPr>
            <w:r>
              <w:rPr>
                <w:b/>
                <w:color w:val="000000"/>
              </w:rPr>
              <w:t>Average 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b/>
                <w:color w:val="000000"/>
              </w:rPr>
            </w:pPr>
            <w:r>
              <w:rPr>
                <w:b/>
                <w:color w:val="00000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center"/>
              <w:rPr>
                <w:b/>
                <w:color w:val="000000"/>
              </w:rPr>
            </w:pPr>
            <w:r>
              <w:rPr>
                <w:b/>
                <w:color w:val="000000"/>
              </w:rPr>
              <w:t>Yield/Rate</w:t>
            </w:r>
          </w:p>
        </w:tc>
        <w:tc>
          <w:tcPr>
            <w:tcW w:w="215" w:type="dxa"/>
            <w:tcBorders/>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10" w:type="dxa"/>
            <w:gridSpan w:val="34"/>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0"/>
              <w:ind w:left="144" w:right="0" w:hanging="144"/>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0"/>
              <w:ind w:left="324" w:right="0" w:hanging="144"/>
              <w:jc w:val="left"/>
              <w:rPr>
                <w:color w:val="000000"/>
              </w:rPr>
            </w:pPr>
            <w:r>
              <w:rPr>
                <w:color w:val="000000"/>
              </w:rPr>
              <w:t>Interest-earning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lineRule="auto" w:line="240" w:before="0" w:after="0"/>
              <w:ind w:left="324" w:right="0" w:firstLine="36"/>
              <w:jc w:val="left"/>
              <w:rPr>
                <w:color w:val="000000"/>
              </w:rPr>
            </w:pPr>
            <w:r>
              <w:rPr>
                <w:color w:val="000000"/>
              </w:rPr>
              <w:t>Loans(1)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2,924,473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176,627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6.04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2,612,161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137,957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5.28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2,420,201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120,545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4.98</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before="0" w:after="0"/>
              <w:ind w:left="324" w:right="0" w:firstLine="36"/>
              <w:jc w:val="left"/>
              <w:rPr>
                <w:color w:val="000000"/>
              </w:rPr>
            </w:pPr>
            <w:r>
              <w:rPr>
                <w:color w:val="000000"/>
              </w:rPr>
              <w:t>Investment securities – taxable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570,655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21,590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3.78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594,405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15,010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2.53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532,272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9,292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1.75</w:t>
            </w:r>
          </w:p>
        </w:tc>
        <w:tc>
          <w:tcPr>
            <w:tcW w:w="215" w:type="dxa"/>
            <w:tcBorders/>
            <w:vAlign w:val="bottom"/>
          </w:tcPr>
          <w:p>
            <w:pPr>
              <w:pStyle w:val="TableContents"/>
              <w:bidi w:val="0"/>
              <w:spacing w:before="0" w:after="0"/>
              <w:jc w:val="left"/>
              <w:rPr>
                <w:color w:val="000000"/>
              </w:rPr>
            </w:pPr>
            <w:r>
              <w:rPr>
                <w:color w:val="000000"/>
              </w:rPr>
              <w:t>%</w:t>
            </w:r>
          </w:p>
        </w:tc>
      </w:tr>
      <w:tr>
        <w:trPr/>
        <w:tc>
          <w:tcPr>
            <w:tcW w:w="1751" w:type="dxa"/>
            <w:tcBorders/>
            <w:shd w:fill="CCEEFF" w:val="clear"/>
            <w:vAlign w:val="bottom"/>
          </w:tcPr>
          <w:p>
            <w:pPr>
              <w:pStyle w:val="TableContents"/>
              <w:bidi w:val="0"/>
              <w:spacing w:before="0" w:after="0"/>
              <w:ind w:left="324" w:right="0" w:firstLine="36"/>
              <w:jc w:val="left"/>
              <w:rPr>
                <w:color w:val="000000"/>
              </w:rPr>
            </w:pPr>
            <w:r>
              <w:rPr>
                <w:color w:val="000000"/>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185,205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4,901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2.65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216,216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5,733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2.65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219,385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5,872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2.68</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lineRule="auto" w:line="240" w:before="0" w:after="0"/>
              <w:ind w:left="324" w:right="0" w:firstLine="36"/>
              <w:jc w:val="left"/>
              <w:rPr>
                <w:color w:val="000000"/>
              </w:rPr>
            </w:pPr>
            <w:r>
              <w:rPr>
                <w:color w:val="000000"/>
              </w:rPr>
              <w:t>Other interest-earning assets (2)</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223,152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4.47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318,862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1.15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336,081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0.17</w:t>
            </w:r>
          </w:p>
        </w:tc>
        <w:tc>
          <w:tcPr>
            <w:tcW w:w="215" w:type="dxa"/>
            <w:tcBorders/>
            <w:vAlign w:val="bottom"/>
          </w:tcPr>
          <w:p>
            <w:pPr>
              <w:pStyle w:val="TableContents"/>
              <w:bidi w:val="0"/>
              <w:spacing w:before="0" w:after="0"/>
              <w:jc w:val="left"/>
              <w:rPr>
                <w:color w:val="000000"/>
              </w:rPr>
            </w:pPr>
            <w:r>
              <w:rPr>
                <w:color w:val="000000"/>
              </w:rPr>
              <w:t>%</w:t>
            </w:r>
          </w:p>
        </w:tc>
      </w:tr>
      <w:tr>
        <w:trPr/>
        <w:tc>
          <w:tcPr>
            <w:tcW w:w="1751" w:type="dxa"/>
            <w:tcBorders/>
            <w:shd w:fill="CCEEFF" w:val="clear"/>
            <w:vAlign w:val="bottom"/>
          </w:tcPr>
          <w:p>
            <w:pPr>
              <w:pStyle w:val="TableContents"/>
              <w:bidi w:val="0"/>
              <w:spacing w:before="0" w:after="0"/>
              <w:ind w:left="324" w:right="0" w:firstLine="36"/>
              <w:jc w:val="left"/>
              <w:rPr>
                <w:color w:val="000000"/>
              </w:rPr>
            </w:pPr>
            <w:r>
              <w:rPr>
                <w:color w:val="000000"/>
              </w:rPr>
              <w:t>Total interest-earning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3,903,485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213,091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5.46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3,741,644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162,375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4.34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3,507,939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136,274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3.88</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before="0" w:after="0"/>
              <w:ind w:left="324" w:right="0" w:hanging="144"/>
              <w:jc w:val="left"/>
              <w:rPr>
                <w:color w:val="000000"/>
              </w:rPr>
            </w:pPr>
            <w:r>
              <w:rPr>
                <w:color w:val="000000"/>
              </w:rPr>
              <w:t>Noninterest-earning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176,495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222,544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261,140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0"/>
              <w:ind w:left="324" w:right="0" w:firstLine="36"/>
              <w:jc w:val="left"/>
              <w:rPr>
                <w:color w:val="000000"/>
              </w:rPr>
            </w:pPr>
            <w:r>
              <w:rPr>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4,079,980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3,964,188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3,769,079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0"/>
              <w:ind w:left="144" w:right="0" w:hanging="144"/>
              <w:jc w:val="left"/>
              <w:rPr>
                <w:b/>
                <w:color w:val="000000"/>
              </w:rPr>
            </w:pPr>
            <w:r>
              <w:rPr>
                <w:b/>
                <w:color w:val="00000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0"/>
              <w:ind w:left="324" w:right="0" w:hanging="144"/>
              <w:jc w:val="left"/>
              <w:rPr>
                <w:color w:val="000000"/>
              </w:rPr>
            </w:pPr>
            <w:r>
              <w:rPr>
                <w:color w:val="000000"/>
              </w:rPr>
              <w:t>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0"/>
              <w:ind w:left="324" w:right="0" w:firstLine="36"/>
              <w:jc w:val="left"/>
              <w:rPr>
                <w:color w:val="000000"/>
              </w:rPr>
            </w:pPr>
            <w:r>
              <w:rPr>
                <w:color w:val="000000"/>
              </w:rPr>
              <w:t>NOW, savings and money market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2,117,985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55,423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2.62</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1,889,888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13,013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0.69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1,841,678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4,163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0.23</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before="0" w:after="0"/>
              <w:ind w:left="324" w:right="0" w:firstLine="36"/>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321,205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9,564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2.98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327,289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3,989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1.22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329,509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1.25</w:t>
            </w:r>
          </w:p>
        </w:tc>
        <w:tc>
          <w:tcPr>
            <w:tcW w:w="215" w:type="dxa"/>
            <w:tcBorders/>
            <w:vAlign w:val="bottom"/>
          </w:tcPr>
          <w:p>
            <w:pPr>
              <w:pStyle w:val="TableContents"/>
              <w:bidi w:val="0"/>
              <w:spacing w:before="0" w:after="0"/>
              <w:jc w:val="left"/>
              <w:rPr>
                <w:color w:val="000000"/>
              </w:rPr>
            </w:pPr>
            <w:r>
              <w:rPr>
                <w:color w:val="000000"/>
              </w:rPr>
              <w:t>%</w:t>
            </w:r>
          </w:p>
        </w:tc>
      </w:tr>
      <w:tr>
        <w:trPr/>
        <w:tc>
          <w:tcPr>
            <w:tcW w:w="1751" w:type="dxa"/>
            <w:tcBorders/>
            <w:shd w:fill="CCEEFF" w:val="clear"/>
            <w:vAlign w:val="bottom"/>
          </w:tcPr>
          <w:p>
            <w:pPr>
              <w:pStyle w:val="TableContents"/>
              <w:bidi w:val="0"/>
              <w:spacing w:before="0" w:after="0"/>
              <w:ind w:left="324" w:right="0" w:firstLine="36"/>
              <w:jc w:val="left"/>
              <w:rPr>
                <w:color w:val="000000"/>
              </w:rPr>
            </w:pPr>
            <w:r>
              <w:rPr>
                <w:color w:val="000000"/>
              </w:rPr>
              <w:t>Short-term borrowings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5.95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8,045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0.06</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before="0" w:after="0"/>
              <w:ind w:left="504" w:right="0" w:hanging="144"/>
              <w:jc w:val="left"/>
              <w:rPr>
                <w:color w:val="000000"/>
              </w:rPr>
            </w:pPr>
            <w:r>
              <w:rPr>
                <w:color w:val="000000"/>
              </w:rPr>
              <w:t>Notes payable &amp; other longer-term borrowings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19,641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0.19</w:t>
            </w:r>
          </w:p>
        </w:tc>
        <w:tc>
          <w:tcPr>
            <w:tcW w:w="215" w:type="dxa"/>
            <w:tcBorders/>
            <w:vAlign w:val="bottom"/>
          </w:tcPr>
          <w:p>
            <w:pPr>
              <w:pStyle w:val="TableContents"/>
              <w:bidi w:val="0"/>
              <w:spacing w:before="0" w:after="0"/>
              <w:jc w:val="left"/>
              <w:rPr>
                <w:color w:val="000000"/>
              </w:rPr>
            </w:pPr>
            <w:r>
              <w:rPr>
                <w:color w:val="000000"/>
              </w:rPr>
              <w:t>%</w:t>
            </w:r>
          </w:p>
        </w:tc>
      </w:tr>
      <w:tr>
        <w:trPr/>
        <w:tc>
          <w:tcPr>
            <w:tcW w:w="1751" w:type="dxa"/>
            <w:tcBorders/>
            <w:shd w:fill="CCEEFF" w:val="clear"/>
            <w:vAlign w:val="bottom"/>
          </w:tcPr>
          <w:p>
            <w:pPr>
              <w:pStyle w:val="TableContents"/>
              <w:bidi w:val="0"/>
              <w:spacing w:before="0" w:after="0"/>
              <w:ind w:left="324" w:right="0" w:firstLine="36"/>
              <w:jc w:val="left"/>
              <w:rPr>
                <w:color w:val="000000"/>
              </w:rPr>
            </w:pPr>
            <w:r>
              <w:rPr>
                <w:color w:val="000000"/>
              </w:rPr>
              <w:t>Subordinated debt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75,458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5.32</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75,874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5.34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75,699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5.36</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before="0" w:after="0"/>
              <w:ind w:left="504" w:right="0" w:hanging="144"/>
              <w:jc w:val="left"/>
              <w:rPr>
                <w:color w:val="000000"/>
              </w:rPr>
            </w:pPr>
            <w:r>
              <w:rPr>
                <w:color w:val="000000"/>
              </w:rPr>
              <w:t>Junior subordinated deferrable interest debentures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7.06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3.54</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1.90</w:t>
            </w:r>
          </w:p>
        </w:tc>
        <w:tc>
          <w:tcPr>
            <w:tcW w:w="215" w:type="dxa"/>
            <w:tcBorders/>
            <w:vAlign w:val="bottom"/>
          </w:tcPr>
          <w:p>
            <w:pPr>
              <w:pStyle w:val="TableContents"/>
              <w:bidi w:val="0"/>
              <w:spacing w:before="0" w:after="0"/>
              <w:jc w:val="left"/>
              <w:rPr>
                <w:color w:val="000000"/>
              </w:rPr>
            </w:pPr>
            <w:r>
              <w:rPr>
                <w:color w:val="000000"/>
              </w:rPr>
              <w:t>%</w:t>
            </w:r>
          </w:p>
        </w:tc>
      </w:tr>
      <w:tr>
        <w:trPr/>
        <w:tc>
          <w:tcPr>
            <w:tcW w:w="1751" w:type="dxa"/>
            <w:tcBorders/>
            <w:shd w:fill="CCEEFF" w:val="clear"/>
            <w:vAlign w:val="bottom"/>
          </w:tcPr>
          <w:p>
            <w:pPr>
              <w:pStyle w:val="TableContents"/>
              <w:bidi w:val="0"/>
              <w:spacing w:before="0" w:after="0"/>
              <w:ind w:left="324" w:right="0" w:firstLine="216"/>
              <w:jc w:val="left"/>
              <w:rPr>
                <w:color w:val="000000"/>
              </w:rPr>
            </w:pPr>
            <w:r>
              <w:rPr>
                <w:color w:val="00000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2,561,125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72,286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2.82</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2,339,448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22,692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0.97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2,320,965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13,272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0"/>
              <w:jc w:val="right"/>
              <w:rPr>
                <w:color w:val="000000"/>
              </w:rPr>
            </w:pPr>
            <w:r>
              <w:rPr>
                <w:color w:val="000000"/>
              </w:rPr>
              <w:t>0.57</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0"/>
              <w:ind w:left="144" w:right="0" w:hanging="144"/>
              <w:jc w:val="left"/>
              <w:rPr>
                <w:color w:val="000000"/>
              </w:rPr>
            </w:pPr>
            <w:r>
              <w:rPr>
                <w:color w:val="000000"/>
              </w:rPr>
              <w:t>Noninterest-bearing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0"/>
              <w:ind w:left="324" w:right="0" w:hanging="144"/>
              <w:jc w:val="left"/>
              <w:rPr>
                <w:color w:val="000000"/>
              </w:rPr>
            </w:pPr>
            <w:r>
              <w:rPr>
                <w:color w:val="000000"/>
              </w:rPr>
              <w:t>Noninterest-bearing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1,069,280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1,189,730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1,016,835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0"/>
              <w:ind w:left="324" w:right="0" w:hanging="144"/>
              <w:jc w:val="left"/>
              <w:rPr>
                <w:color w:val="000000"/>
              </w:rPr>
            </w:pPr>
            <w:r>
              <w:rPr>
                <w:color w:val="000000"/>
              </w:rPr>
              <w:t>Other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71,102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66,182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0"/>
              <w:ind w:left="504" w:right="0" w:hanging="144"/>
              <w:jc w:val="left"/>
              <w:rPr>
                <w:color w:val="000000"/>
              </w:rPr>
            </w:pPr>
            <w:r>
              <w:rPr>
                <w:color w:val="000000"/>
              </w:rPr>
              <w:t>Total noninterest-bearing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1,140,382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1,255,912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1,059,489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0"/>
              <w:ind w:left="324" w:right="0" w:firstLine="36"/>
              <w:jc w:val="left"/>
              <w:rPr>
                <w:color w:val="000000"/>
              </w:rPr>
            </w:pPr>
            <w:r>
              <w:rPr>
                <w:color w:val="000000"/>
              </w:rPr>
              <w:t>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378,473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368,828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388,625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0"/>
              <w:ind w:left="684" w:right="0" w:hanging="144"/>
              <w:jc w:val="left"/>
              <w:rPr>
                <w:color w:val="000000"/>
              </w:rPr>
            </w:pPr>
            <w:r>
              <w:rPr>
                <w:color w:val="000000"/>
              </w:rPr>
              <w:t>Total liabilities and stockholders’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4,079,980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3,964,188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3,769,079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1751" w:type="dxa"/>
            <w:tcBorders/>
            <w:vAlign w:val="bottom"/>
          </w:tcPr>
          <w:p>
            <w:pPr>
              <w:pStyle w:val="TableContents"/>
              <w:bidi w:val="0"/>
              <w:spacing w:before="0" w:after="0"/>
              <w:ind w:left="144" w:right="0" w:hanging="144"/>
              <w:jc w:val="left"/>
              <w:rPr>
                <w:color w:val="000000"/>
              </w:rPr>
            </w:pPr>
            <w:r>
              <w:rPr>
                <w:color w:val="000000"/>
              </w:rPr>
              <w:t>Net interest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140,805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139,683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123,002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1751" w:type="dxa"/>
            <w:tcBorders/>
            <w:shd w:fill="CCEEFF" w:val="clear"/>
            <w:vAlign w:val="bottom"/>
          </w:tcPr>
          <w:p>
            <w:pPr>
              <w:pStyle w:val="TableContents"/>
              <w:bidi w:val="0"/>
              <w:spacing w:before="0" w:after="0"/>
              <w:ind w:left="144" w:right="0" w:hanging="144"/>
              <w:jc w:val="left"/>
              <w:rPr>
                <w:color w:val="000000"/>
              </w:rPr>
            </w:pPr>
            <w:r>
              <w:rPr>
                <w:color w:val="000000"/>
              </w:rPr>
              <w:t>Net interest spread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3.31</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751" w:type="dxa"/>
            <w:tcBorders/>
            <w:vAlign w:val="bottom"/>
          </w:tcPr>
          <w:p>
            <w:pPr>
              <w:pStyle w:val="TableContents"/>
              <w:bidi w:val="0"/>
              <w:spacing w:lineRule="auto" w:line="240" w:before="0" w:after="0"/>
              <w:ind w:left="144" w:right="0" w:hanging="144"/>
              <w:jc w:val="left"/>
              <w:rPr>
                <w:color w:val="000000"/>
              </w:rPr>
            </w:pPr>
            <w:r>
              <w:rPr>
                <w:color w:val="000000"/>
              </w:rPr>
              <w:t>Net interest margin(3)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3.61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3.73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0"/>
              <w:jc w:val="right"/>
              <w:rPr>
                <w:color w:val="000000"/>
              </w:rPr>
            </w:pPr>
            <w:r>
              <w:rPr>
                <w:color w:val="000000"/>
              </w:rPr>
              <w:t>3.51</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7120" w:type="dxa"/>
        <w:jc w:val="left"/>
        <w:tblInd w:w="0" w:type="dxa"/>
        <w:tblLayout w:type="fixed"/>
        <w:tblCellMar>
          <w:top w:w="0" w:type="dxa"/>
          <w:left w:w="0" w:type="dxa"/>
          <w:bottom w:w="0" w:type="dxa"/>
          <w:right w:w="0" w:type="dxa"/>
        </w:tblCellMar>
      </w:tblPr>
      <w:tblGrid>
        <w:gridCol w:w="305"/>
        <w:gridCol w:w="6815"/>
      </w:tblGrid>
      <w:tr>
        <w:trPr/>
        <w:tc>
          <w:tcPr>
            <w:tcW w:w="305" w:type="dxa"/>
            <w:tcBorders/>
            <w:vAlign w:val="center"/>
          </w:tcPr>
          <w:p>
            <w:pPr>
              <w:pStyle w:val="TableContents"/>
              <w:bidi w:val="0"/>
              <w:spacing w:before="0" w:after="283"/>
              <w:jc w:val="left"/>
              <w:rPr>
                <w:color w:val="000000"/>
              </w:rPr>
            </w:pPr>
            <w:r>
              <w:rPr>
                <w:color w:val="000000"/>
              </w:rPr>
              <w:t>(1)</w:t>
            </w:r>
          </w:p>
        </w:tc>
        <w:tc>
          <w:tcPr>
            <w:tcW w:w="6815" w:type="dxa"/>
            <w:tcBorders/>
            <w:vAlign w:val="center"/>
          </w:tcPr>
          <w:p>
            <w:pPr>
              <w:pStyle w:val="TableContents"/>
              <w:bidi w:val="0"/>
              <w:spacing w:before="0" w:after="0"/>
              <w:jc w:val="both"/>
              <w:rPr>
                <w:color w:val="000000"/>
              </w:rPr>
            </w:pPr>
            <w:r>
              <w:rPr>
                <w:color w:val="000000"/>
              </w:rPr>
              <w:t>Average loan balances include nonaccrual loans and loans held for sale.</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color w:val="000000"/>
              </w:rPr>
            </w:pPr>
            <w:r>
              <w:rPr>
                <w:color w:val="000000"/>
              </w:rPr>
              <w:t>(2)</w:t>
            </w:r>
          </w:p>
        </w:tc>
        <w:tc>
          <w:tcPr>
            <w:tcW w:w="9933" w:type="dxa"/>
            <w:tcBorders/>
            <w:vAlign w:val="center"/>
          </w:tcPr>
          <w:p>
            <w:pPr>
              <w:pStyle w:val="TableContents"/>
              <w:bidi w:val="0"/>
              <w:spacing w:before="0" w:after="0"/>
              <w:jc w:val="both"/>
              <w:rPr>
                <w:color w:val="000000"/>
              </w:rPr>
            </w:pPr>
            <w:r>
              <w:rPr>
                <w:color w:val="000000"/>
              </w:rPr>
              <w:t>Includes income and average balances for interest-earning deposits at other banks, nonmarketable securities, federal funds sold and other miscellaneous interest-earning assets.</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000000"/>
              </w:rPr>
            </w:pPr>
            <w:r>
              <w:rPr>
                <w:color w:val="000000"/>
              </w:rPr>
              <w:t>(3)</w:t>
            </w:r>
          </w:p>
        </w:tc>
        <w:tc>
          <w:tcPr>
            <w:tcW w:w="9923" w:type="dxa"/>
            <w:tcBorders/>
            <w:vAlign w:val="center"/>
          </w:tcPr>
          <w:p>
            <w:pPr>
              <w:pStyle w:val="TableContents"/>
              <w:bidi w:val="0"/>
              <w:spacing w:before="0" w:after="0"/>
              <w:jc w:val="both"/>
              <w:rPr>
                <w:color w:val="000000"/>
              </w:rPr>
            </w:pPr>
            <w:r>
              <w:rPr>
                <w:color w:val="00000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53"/>
        <w:gridCol w:w="60"/>
        <w:gridCol w:w="168"/>
        <w:gridCol w:w="816"/>
        <w:gridCol w:w="113"/>
        <w:gridCol w:w="71"/>
        <w:gridCol w:w="168"/>
        <w:gridCol w:w="906"/>
        <w:gridCol w:w="113"/>
        <w:gridCol w:w="71"/>
        <w:gridCol w:w="232"/>
        <w:gridCol w:w="951"/>
        <w:gridCol w:w="95"/>
        <w:gridCol w:w="60"/>
        <w:gridCol w:w="227"/>
        <w:gridCol w:w="713"/>
        <w:gridCol w:w="117"/>
        <w:gridCol w:w="74"/>
        <w:gridCol w:w="173"/>
        <w:gridCol w:w="845"/>
        <w:gridCol w:w="117"/>
        <w:gridCol w:w="74"/>
        <w:gridCol w:w="241"/>
        <w:gridCol w:w="942"/>
        <w:gridCol w:w="105"/>
      </w:tblGrid>
      <w:tr>
        <w:trPr/>
        <w:tc>
          <w:tcPr>
            <w:tcW w:w="27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 2023 over 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3"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 2022 over 2021</w:t>
            </w:r>
          </w:p>
        </w:tc>
        <w:tc>
          <w:tcPr>
            <w:tcW w:w="105" w:type="dxa"/>
            <w:tcBorders/>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9"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bidi w:val="0"/>
              <w:spacing w:before="0" w:after="0"/>
              <w:jc w:val="center"/>
              <w:rPr>
                <w:b/>
                <w:color w:val="000000"/>
              </w:rPr>
            </w:pPr>
            <w:r>
              <w:rPr>
                <w:b/>
                <w:color w:val="000000"/>
              </w:rPr>
              <w:t>Volume</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0"/>
              <w:jc w:val="center"/>
              <w:rPr>
                <w:b/>
                <w:color w:val="000000"/>
              </w:rPr>
            </w:pPr>
            <w:r>
              <w:rPr>
                <w:b/>
                <w:color w:val="000000"/>
              </w:rPr>
              <w:t>Rate</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0"/>
              <w:jc w:val="center"/>
              <w:rPr>
                <w:b/>
                <w:color w:val="000000"/>
              </w:rPr>
            </w:pPr>
            <w:r>
              <w:rPr>
                <w:b/>
                <w:color w:val="000000"/>
              </w:rPr>
              <w:t>Total Variance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b/>
                <w:color w:val="000000"/>
              </w:rPr>
            </w:pPr>
            <w:r>
              <w:rPr>
                <w:b/>
                <w:color w:val="000000"/>
              </w:rPr>
              <w:t>Volume</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0"/>
              <w:jc w:val="center"/>
              <w:rPr>
                <w:b/>
                <w:color w:val="000000"/>
              </w:rPr>
            </w:pPr>
            <w:r>
              <w:rPr>
                <w:b/>
                <w:color w:val="000000"/>
              </w:rPr>
              <w:t>Rate</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0"/>
              <w:jc w:val="center"/>
              <w:rPr>
                <w:b/>
                <w:color w:val="000000"/>
              </w:rPr>
            </w:pPr>
            <w:r>
              <w:rPr>
                <w:b/>
                <w:color w:val="000000"/>
              </w:rPr>
              <w:t>Total Variance</w:t>
            </w:r>
          </w:p>
        </w:tc>
        <w:tc>
          <w:tcPr>
            <w:tcW w:w="105" w:type="dxa"/>
            <w:tcBorders/>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87" w:type="dxa"/>
            <w:gridSpan w:val="22"/>
            <w:tcBorders/>
            <w:vAlign w:val="bottom"/>
          </w:tcPr>
          <w:p>
            <w:pPr>
              <w:pStyle w:val="TableContents"/>
              <w:bidi w:val="0"/>
              <w:spacing w:before="0" w:after="0"/>
              <w:jc w:val="center"/>
              <w:rPr>
                <w:b/>
                <w:color w:val="000000"/>
              </w:rPr>
            </w:pPr>
            <w:r>
              <w:rPr>
                <w:b/>
                <w:color w:val="000000"/>
              </w:rPr>
              <w:t>(Dollars in thousands)</w:t>
            </w:r>
          </w:p>
        </w:tc>
        <w:tc>
          <w:tcPr>
            <w:tcW w:w="105" w:type="dxa"/>
            <w:tcBorders/>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0"/>
              <w:ind w:left="144" w:right="0" w:hanging="144"/>
              <w:jc w:val="left"/>
              <w:rPr>
                <w:b/>
                <w:color w:val="000000"/>
              </w:rPr>
            </w:pPr>
            <w:r>
              <w:rPr>
                <w:b/>
                <w:color w:val="000000"/>
              </w:rPr>
              <w:t>Interest-earning assets:</w:t>
            </w:r>
          </w:p>
        </w:tc>
        <w:tc>
          <w:tcPr>
            <w:tcW w:w="60"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r>
      <w:tr>
        <w:trPr/>
        <w:tc>
          <w:tcPr>
            <w:tcW w:w="2753" w:type="dxa"/>
            <w:tcBorders/>
            <w:shd w:fill="CCEEFF" w:val="clear"/>
            <w:vAlign w:val="bottom"/>
          </w:tcPr>
          <w:p>
            <w:pPr>
              <w:pStyle w:val="TableContents"/>
              <w:bidi w:val="0"/>
              <w:spacing w:before="0" w:after="0"/>
              <w:ind w:left="324" w:right="0" w:hanging="144"/>
              <w:jc w:val="left"/>
              <w:rPr>
                <w:color w:val="000000"/>
              </w:rPr>
            </w:pPr>
            <w:r>
              <w:rPr>
                <w:color w:val="000000"/>
              </w:rPr>
              <w:t>Loans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816" w:type="dxa"/>
            <w:tcBorders/>
            <w:shd w:fill="CCEEFF" w:val="clear"/>
            <w:vAlign w:val="bottom"/>
          </w:tcPr>
          <w:p>
            <w:pPr>
              <w:pStyle w:val="TableContents"/>
              <w:bidi w:val="0"/>
              <w:spacing w:before="0" w:after="0"/>
              <w:jc w:val="right"/>
              <w:rPr>
                <w:color w:val="000000"/>
              </w:rPr>
            </w:pPr>
            <w:r>
              <w:rPr>
                <w:color w:val="000000"/>
              </w:rPr>
              <w:t>16,494</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color w:val="000000"/>
              </w:rPr>
            </w:pPr>
            <w:r>
              <w:rPr>
                <w:color w:val="000000"/>
              </w:rPr>
              <w:t>$</w:t>
            </w:r>
          </w:p>
        </w:tc>
        <w:tc>
          <w:tcPr>
            <w:tcW w:w="906" w:type="dxa"/>
            <w:tcBorders/>
            <w:shd w:fill="CCEEFF" w:val="clear"/>
            <w:vAlign w:val="bottom"/>
          </w:tcPr>
          <w:p>
            <w:pPr>
              <w:pStyle w:val="TableContents"/>
              <w:bidi w:val="0"/>
              <w:spacing w:before="0" w:after="0"/>
              <w:jc w:val="right"/>
              <w:rPr>
                <w:color w:val="000000"/>
              </w:rPr>
            </w:pPr>
            <w:r>
              <w:rPr>
                <w:color w:val="000000"/>
              </w:rPr>
              <w:t>22,176</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color w:val="000000"/>
              </w:rPr>
            </w:pPr>
            <w:r>
              <w:rPr>
                <w:color w:val="000000"/>
              </w:rPr>
              <w:t>$</w:t>
            </w:r>
          </w:p>
        </w:tc>
        <w:tc>
          <w:tcPr>
            <w:tcW w:w="951" w:type="dxa"/>
            <w:tcBorders/>
            <w:shd w:fill="CCEEFF" w:val="clear"/>
            <w:vAlign w:val="bottom"/>
          </w:tcPr>
          <w:p>
            <w:pPr>
              <w:pStyle w:val="TableContents"/>
              <w:bidi w:val="0"/>
              <w:spacing w:before="0" w:after="0"/>
              <w:jc w:val="right"/>
              <w:rPr>
                <w:color w:val="000000"/>
              </w:rPr>
            </w:pPr>
            <w:r>
              <w:rPr>
                <w:color w:val="000000"/>
              </w:rPr>
              <w:t>38,670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color w:val="000000"/>
              </w:rPr>
            </w:pPr>
            <w:r>
              <w:rPr>
                <w:color w:val="000000"/>
              </w:rPr>
              <w:t>$</w:t>
            </w:r>
          </w:p>
        </w:tc>
        <w:tc>
          <w:tcPr>
            <w:tcW w:w="713" w:type="dxa"/>
            <w:tcBorders/>
            <w:shd w:fill="CCEEFF" w:val="clear"/>
            <w:vAlign w:val="bottom"/>
          </w:tcPr>
          <w:p>
            <w:pPr>
              <w:pStyle w:val="TableContents"/>
              <w:bidi w:val="0"/>
              <w:spacing w:before="0" w:after="0"/>
              <w:jc w:val="right"/>
              <w:rPr>
                <w:color w:val="000000"/>
              </w:rPr>
            </w:pPr>
            <w:r>
              <w:rPr>
                <w:color w:val="000000"/>
              </w:rPr>
              <w:t>7,134</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845" w:type="dxa"/>
            <w:tcBorders/>
            <w:shd w:fill="CCEEFF" w:val="clear"/>
            <w:vAlign w:val="bottom"/>
          </w:tcPr>
          <w:p>
            <w:pPr>
              <w:pStyle w:val="TableContents"/>
              <w:bidi w:val="0"/>
              <w:spacing w:before="0" w:after="0"/>
              <w:jc w:val="right"/>
              <w:rPr>
                <w:color w:val="000000"/>
              </w:rPr>
            </w:pPr>
            <w:r>
              <w:rPr>
                <w:color w:val="000000"/>
              </w:rPr>
              <w:t>10,278</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color w:val="000000"/>
              </w:rPr>
            </w:pPr>
            <w:r>
              <w:rPr>
                <w:color w:val="000000"/>
              </w:rPr>
              <w:t>$</w:t>
            </w:r>
          </w:p>
        </w:tc>
        <w:tc>
          <w:tcPr>
            <w:tcW w:w="942" w:type="dxa"/>
            <w:tcBorders/>
            <w:shd w:fill="CCEEFF" w:val="clear"/>
            <w:vAlign w:val="bottom"/>
          </w:tcPr>
          <w:p>
            <w:pPr>
              <w:pStyle w:val="TableContents"/>
              <w:bidi w:val="0"/>
              <w:spacing w:before="0" w:after="0"/>
              <w:jc w:val="right"/>
              <w:rPr>
                <w:color w:val="000000"/>
              </w:rPr>
            </w:pPr>
            <w:r>
              <w:rPr>
                <w:color w:val="000000"/>
              </w:rPr>
              <w:t>17,412</w:t>
            </w:r>
          </w:p>
        </w:tc>
        <w:tc>
          <w:tcPr>
            <w:tcW w:w="105" w:type="dxa"/>
            <w:tcBorders/>
            <w:shd w:fill="CCEEFF" w:val="clear"/>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0"/>
              <w:ind w:left="324" w:right="0" w:hanging="144"/>
              <w:jc w:val="left"/>
              <w:rPr>
                <w:color w:val="000000"/>
              </w:rPr>
            </w:pPr>
            <w:r>
              <w:rPr>
                <w:color w:val="000000"/>
              </w:rPr>
              <w:t>Investment securities – taxable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color w:val="000000"/>
              </w:rPr>
            </w:pPr>
            <w:r>
              <w:rPr>
                <w:color w:val="000000"/>
              </w:rPr>
              <w:t>(600</w:t>
            </w:r>
          </w:p>
        </w:tc>
        <w:tc>
          <w:tcPr>
            <w:tcW w:w="113" w:type="dxa"/>
            <w:tcBorders/>
            <w:vAlign w:val="bottom"/>
          </w:tcPr>
          <w:p>
            <w:pPr>
              <w:pStyle w:val="TableContents"/>
              <w:bidi w:val="0"/>
              <w:spacing w:before="0" w:after="0"/>
              <w:jc w:val="lef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color w:val="000000"/>
              </w:rPr>
            </w:pPr>
            <w:r>
              <w:rPr>
                <w:color w:val="000000"/>
              </w:rPr>
              <w:t>7,180</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color w:val="000000"/>
              </w:rPr>
            </w:pPr>
            <w:r>
              <w:rPr>
                <w:color w:val="000000"/>
              </w:rPr>
              <w:t>6,580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color w:val="000000"/>
              </w:rPr>
            </w:pPr>
            <w:r>
              <w:rPr>
                <w:color w:val="000000"/>
              </w:rPr>
              <w:t>1,085</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4,633</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color w:val="000000"/>
              </w:rPr>
            </w:pPr>
            <w:r>
              <w:rPr>
                <w:color w:val="000000"/>
              </w:rPr>
              <w:t>5,718</w:t>
            </w:r>
          </w:p>
        </w:tc>
        <w:tc>
          <w:tcPr>
            <w:tcW w:w="105" w:type="dxa"/>
            <w:tcBorders/>
            <w:vAlign w:val="bottom"/>
          </w:tcPr>
          <w:p>
            <w:pPr>
              <w:pStyle w:val="TableContents"/>
              <w:bidi w:val="0"/>
              <w:spacing w:before="0" w:after="283"/>
              <w:jc w:val="left"/>
              <w:rPr/>
            </w:pPr>
            <w:r>
              <w:rPr/>
              <w:t> </w:t>
            </w:r>
          </w:p>
        </w:tc>
      </w:tr>
      <w:tr>
        <w:trPr/>
        <w:tc>
          <w:tcPr>
            <w:tcW w:w="2753" w:type="dxa"/>
            <w:tcBorders/>
            <w:shd w:fill="CCEEFF" w:val="clear"/>
            <w:vAlign w:val="bottom"/>
          </w:tcPr>
          <w:p>
            <w:pPr>
              <w:pStyle w:val="TableContents"/>
              <w:bidi w:val="0"/>
              <w:spacing w:before="0" w:after="0"/>
              <w:ind w:left="324" w:right="0" w:hanging="144"/>
              <w:jc w:val="left"/>
              <w:rPr>
                <w:color w:val="000000"/>
              </w:rPr>
            </w:pPr>
            <w:r>
              <w:rPr>
                <w:color w:val="000000"/>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color w:val="000000"/>
              </w:rPr>
            </w:pPr>
            <w:r>
              <w:rPr>
                <w:color w:val="000000"/>
              </w:rPr>
              <w:t>(822</w:t>
            </w:r>
          </w:p>
        </w:tc>
        <w:tc>
          <w:tcPr>
            <w:tcW w:w="113" w:type="dxa"/>
            <w:tcBorders/>
            <w:shd w:fill="CCEEFF" w:val="clear"/>
            <w:vAlign w:val="bottom"/>
          </w:tcPr>
          <w:p>
            <w:pPr>
              <w:pStyle w:val="TableContents"/>
              <w:bidi w:val="0"/>
              <w:spacing w:before="0" w:after="0"/>
              <w:jc w:val="lef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color w:val="000000"/>
              </w:rPr>
            </w:pPr>
            <w:r>
              <w:rPr>
                <w:color w:val="000000"/>
              </w:rPr>
              <w:t>(10</w:t>
            </w:r>
          </w:p>
        </w:tc>
        <w:tc>
          <w:tcPr>
            <w:tcW w:w="113" w:type="dxa"/>
            <w:tcBorders/>
            <w:shd w:fill="CCEEFF" w:val="clear"/>
            <w:vAlign w:val="bottom"/>
          </w:tcPr>
          <w:p>
            <w:pPr>
              <w:pStyle w:val="TableContents"/>
              <w:bidi w:val="0"/>
              <w:spacing w:before="0" w:after="0"/>
              <w:jc w:val="lef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color w:val="000000"/>
              </w:rPr>
            </w:pPr>
            <w:r>
              <w:rPr>
                <w:color w:val="000000"/>
              </w:rPr>
              <w:t>(832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0"/>
              <w:jc w:val="right"/>
              <w:rPr>
                <w:color w:val="000000"/>
              </w:rPr>
            </w:pPr>
            <w:r>
              <w:rPr>
                <w:color w:val="000000"/>
              </w:rPr>
              <w:t>(85</w:t>
            </w:r>
          </w:p>
        </w:tc>
        <w:tc>
          <w:tcPr>
            <w:tcW w:w="117" w:type="dxa"/>
            <w:tcBorders/>
            <w:shd w:fill="CCEEFF" w:val="clear"/>
            <w:vAlign w:val="bottom"/>
          </w:tcPr>
          <w:p>
            <w:pPr>
              <w:pStyle w:val="TableContents"/>
              <w:bidi w:val="0"/>
              <w:spacing w:before="0" w:after="0"/>
              <w:jc w:val="left"/>
              <w:rPr>
                <w:color w:val="000000"/>
              </w:rPr>
            </w:pPr>
            <w:r>
              <w:rPr>
                <w:color w:val="000000"/>
              </w:rPr>
              <w:t>)</w:t>
            </w:r>
          </w:p>
        </w:tc>
        <w:tc>
          <w:tcPr>
            <w:tcW w:w="7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(54</w:t>
            </w:r>
          </w:p>
        </w:tc>
        <w:tc>
          <w:tcPr>
            <w:tcW w:w="117" w:type="dxa"/>
            <w:tcBorders/>
            <w:shd w:fill="CCEEFF" w:val="clear"/>
            <w:vAlign w:val="bottom"/>
          </w:tcPr>
          <w:p>
            <w:pPr>
              <w:pStyle w:val="TableContents"/>
              <w:bidi w:val="0"/>
              <w:spacing w:before="0" w:after="0"/>
              <w:jc w:val="left"/>
              <w:rPr>
                <w:color w:val="000000"/>
              </w:rPr>
            </w:pPr>
            <w:r>
              <w:rPr>
                <w:color w:val="000000"/>
              </w:rPr>
              <w:t>)</w:t>
            </w:r>
          </w:p>
        </w:tc>
        <w:tc>
          <w:tcPr>
            <w:tcW w:w="7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color w:val="000000"/>
              </w:rPr>
            </w:pPr>
            <w:r>
              <w:rPr>
                <w:color w:val="000000"/>
              </w:rPr>
              <w:t>(139</w:t>
            </w:r>
          </w:p>
        </w:tc>
        <w:tc>
          <w:tcPr>
            <w:tcW w:w="105" w:type="dxa"/>
            <w:tcBorders/>
            <w:shd w:fill="CCEEFF" w:val="clear"/>
            <w:vAlign w:val="bottom"/>
          </w:tcPr>
          <w:p>
            <w:pPr>
              <w:pStyle w:val="TableContents"/>
              <w:bidi w:val="0"/>
              <w:spacing w:before="0" w:after="0"/>
              <w:jc w:val="left"/>
              <w:rPr>
                <w:color w:val="000000"/>
              </w:rPr>
            </w:pPr>
            <w:r>
              <w:rPr>
                <w:color w:val="000000"/>
              </w:rPr>
              <w:t>)</w:t>
            </w:r>
          </w:p>
        </w:tc>
      </w:tr>
      <w:tr>
        <w:trPr/>
        <w:tc>
          <w:tcPr>
            <w:tcW w:w="2753" w:type="dxa"/>
            <w:tcBorders/>
            <w:vAlign w:val="bottom"/>
          </w:tcPr>
          <w:p>
            <w:pPr>
              <w:pStyle w:val="TableContents"/>
              <w:bidi w:val="0"/>
              <w:spacing w:before="0" w:after="0"/>
              <w:ind w:left="324" w:right="0" w:hanging="144"/>
              <w:jc w:val="left"/>
              <w:rPr>
                <w:color w:val="000000"/>
              </w:rPr>
            </w:pPr>
            <w:r>
              <w:rPr>
                <w:color w:val="000000"/>
              </w:rPr>
              <w:t>Other interest-earning assets</w:t>
            </w:r>
          </w:p>
        </w:tc>
        <w:tc>
          <w:tcPr>
            <w:tcW w:w="60"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(1,103</w:t>
            </w:r>
          </w:p>
        </w:tc>
        <w:tc>
          <w:tcPr>
            <w:tcW w:w="113" w:type="dxa"/>
            <w:tcBorders/>
            <w:vAlign w:val="bottom"/>
          </w:tcPr>
          <w:p>
            <w:pPr>
              <w:pStyle w:val="TableContents"/>
              <w:bidi w:val="0"/>
              <w:spacing w:before="0" w:after="0"/>
              <w:jc w:val="lef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7,401</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w:t>
            </w:r>
          </w:p>
        </w:tc>
        <w:tc>
          <w:tcPr>
            <w:tcW w:w="117" w:type="dxa"/>
            <w:tcBorders/>
            <w:vAlign w:val="bottom"/>
          </w:tcPr>
          <w:p>
            <w:pPr>
              <w:pStyle w:val="TableContents"/>
              <w:bidi w:val="0"/>
              <w:spacing w:before="0" w:after="0"/>
              <w:jc w:val="left"/>
              <w:rPr>
                <w:color w:val="000000"/>
              </w:rPr>
            </w:pPr>
            <w:r>
              <w:rPr>
                <w:color w:val="000000"/>
              </w:rPr>
              <w:t>)</w:t>
            </w:r>
          </w:p>
        </w:tc>
        <w:tc>
          <w:tcPr>
            <w:tcW w:w="74"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3,139</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3,110</w:t>
            </w:r>
          </w:p>
        </w:tc>
        <w:tc>
          <w:tcPr>
            <w:tcW w:w="105" w:type="dxa"/>
            <w:tcBorders/>
            <w:vAlign w:val="bottom"/>
          </w:tcPr>
          <w:p>
            <w:pPr>
              <w:pStyle w:val="TableContents"/>
              <w:bidi w:val="0"/>
              <w:spacing w:before="0" w:after="283"/>
              <w:jc w:val="left"/>
              <w:rPr/>
            </w:pPr>
            <w:r>
              <w:rPr/>
              <w:t> </w:t>
            </w:r>
          </w:p>
        </w:tc>
      </w:tr>
      <w:tr>
        <w:trPr/>
        <w:tc>
          <w:tcPr>
            <w:tcW w:w="2753" w:type="dxa"/>
            <w:tcBorders/>
            <w:shd w:fill="CCEEFF" w:val="clear"/>
            <w:vAlign w:val="bottom"/>
          </w:tcPr>
          <w:p>
            <w:pPr>
              <w:pStyle w:val="TableContents"/>
              <w:bidi w:val="0"/>
              <w:spacing w:before="0" w:after="0"/>
              <w:ind w:left="504" w:right="0" w:hanging="144"/>
              <w:jc w:val="left"/>
              <w:rPr>
                <w:color w:val="000000"/>
              </w:rPr>
            </w:pPr>
            <w:r>
              <w:rPr>
                <w:color w:val="000000"/>
              </w:rPr>
              <w:t>Total increase (decrease) in interest income</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13,969</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36,747</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50,716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8,105</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17,996</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26,101</w:t>
            </w:r>
          </w:p>
        </w:tc>
        <w:tc>
          <w:tcPr>
            <w:tcW w:w="105" w:type="dxa"/>
            <w:tcBorders/>
            <w:shd w:fill="CCEEFF" w:val="clear"/>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r>
      <w:tr>
        <w:trPr/>
        <w:tc>
          <w:tcPr>
            <w:tcW w:w="2753" w:type="dxa"/>
            <w:tcBorders/>
            <w:shd w:fill="CCEEFF" w:val="clear"/>
            <w:vAlign w:val="bottom"/>
          </w:tcPr>
          <w:p>
            <w:pPr>
              <w:pStyle w:val="TableContents"/>
              <w:bidi w:val="0"/>
              <w:spacing w:before="0" w:after="0"/>
              <w:ind w:left="144" w:right="0" w:hanging="144"/>
              <w:jc w:val="left"/>
              <w:rPr>
                <w:b/>
                <w:color w:val="000000"/>
              </w:rPr>
            </w:pPr>
            <w:r>
              <w:rPr>
                <w:b/>
                <w:color w:val="000000"/>
              </w:rPr>
              <w:t>Interest-bearing liabilities: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0"/>
              <w:ind w:left="324" w:right="0" w:hanging="144"/>
              <w:jc w:val="left"/>
              <w:rPr>
                <w:color w:val="000000"/>
              </w:rPr>
            </w:pPr>
            <w:r>
              <w:rPr>
                <w:color w:val="000000"/>
              </w:rPr>
              <w:t>NOW, Savings, MMDAs</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color w:val="000000"/>
              </w:rPr>
            </w:pPr>
            <w:r>
              <w:rPr>
                <w:color w:val="000000"/>
              </w:rPr>
              <w:t>1,571</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color w:val="000000"/>
              </w:rPr>
            </w:pPr>
            <w:r>
              <w:rPr>
                <w:color w:val="000000"/>
              </w:rPr>
              <w:t>40,839</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color w:val="000000"/>
              </w:rPr>
            </w:pPr>
            <w:r>
              <w:rPr>
                <w:color w:val="000000"/>
              </w:rPr>
              <w:t>42,410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color w:val="000000"/>
              </w:rPr>
            </w:pPr>
            <w:r>
              <w:rPr>
                <w:color w:val="000000"/>
              </w:rPr>
              <w:t>109</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8,741</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color w:val="000000"/>
              </w:rPr>
            </w:pPr>
            <w:r>
              <w:rPr>
                <w:color w:val="000000"/>
              </w:rPr>
              <w:t>8,850</w:t>
            </w:r>
          </w:p>
        </w:tc>
        <w:tc>
          <w:tcPr>
            <w:tcW w:w="105" w:type="dxa"/>
            <w:tcBorders/>
            <w:vAlign w:val="bottom"/>
          </w:tcPr>
          <w:p>
            <w:pPr>
              <w:pStyle w:val="TableContents"/>
              <w:bidi w:val="0"/>
              <w:spacing w:before="0" w:after="283"/>
              <w:jc w:val="left"/>
              <w:rPr/>
            </w:pPr>
            <w:r>
              <w:rPr/>
              <w:t> </w:t>
            </w:r>
          </w:p>
        </w:tc>
      </w:tr>
      <w:tr>
        <w:trPr/>
        <w:tc>
          <w:tcPr>
            <w:tcW w:w="2753" w:type="dxa"/>
            <w:tcBorders/>
            <w:shd w:fill="CCEEFF" w:val="clear"/>
            <w:vAlign w:val="bottom"/>
          </w:tcPr>
          <w:p>
            <w:pPr>
              <w:pStyle w:val="TableContents"/>
              <w:bidi w:val="0"/>
              <w:spacing w:before="0" w:after="0"/>
              <w:ind w:left="324" w:right="0" w:hanging="144"/>
              <w:jc w:val="left"/>
              <w:rPr>
                <w:color w:val="000000"/>
              </w:rPr>
            </w:pPr>
            <w:r>
              <w:rPr>
                <w:color w:val="000000"/>
              </w:rPr>
              <w:t>Time deposits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color w:val="000000"/>
              </w:rPr>
            </w:pPr>
            <w:r>
              <w:rPr>
                <w:color w:val="000000"/>
              </w:rPr>
              <w:t>(74</w:t>
            </w:r>
          </w:p>
        </w:tc>
        <w:tc>
          <w:tcPr>
            <w:tcW w:w="113" w:type="dxa"/>
            <w:tcBorders/>
            <w:shd w:fill="CCEEFF" w:val="clear"/>
            <w:vAlign w:val="bottom"/>
          </w:tcPr>
          <w:p>
            <w:pPr>
              <w:pStyle w:val="TableContents"/>
              <w:bidi w:val="0"/>
              <w:spacing w:before="0" w:after="0"/>
              <w:jc w:val="left"/>
              <w:rPr>
                <w:color w:val="000000"/>
              </w:rPr>
            </w:pPr>
            <w:r>
              <w:rPr>
                <w:color w:val="000000"/>
              </w:rPr>
              <w:t>)</w:t>
            </w:r>
          </w:p>
        </w:tc>
        <w:tc>
          <w:tcPr>
            <w:tcW w:w="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color w:val="000000"/>
              </w:rPr>
            </w:pPr>
            <w:r>
              <w:rPr>
                <w:color w:val="000000"/>
              </w:rPr>
              <w:t>5,649</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color w:val="000000"/>
              </w:rPr>
            </w:pPr>
            <w:r>
              <w:rPr>
                <w:color w:val="000000"/>
              </w:rPr>
              <w:t>5,575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0"/>
              <w:jc w:val="right"/>
              <w:rPr>
                <w:color w:val="000000"/>
              </w:rPr>
            </w:pPr>
            <w:r>
              <w:rPr>
                <w:color w:val="000000"/>
              </w:rPr>
              <w:t>(28</w:t>
            </w:r>
          </w:p>
        </w:tc>
        <w:tc>
          <w:tcPr>
            <w:tcW w:w="117" w:type="dxa"/>
            <w:tcBorders/>
            <w:shd w:fill="CCEEFF" w:val="clear"/>
            <w:vAlign w:val="bottom"/>
          </w:tcPr>
          <w:p>
            <w:pPr>
              <w:pStyle w:val="TableContents"/>
              <w:bidi w:val="0"/>
              <w:spacing w:before="0" w:after="0"/>
              <w:jc w:val="left"/>
              <w:rPr>
                <w:color w:val="000000"/>
              </w:rPr>
            </w:pPr>
            <w:r>
              <w:rPr>
                <w:color w:val="000000"/>
              </w:rPr>
              <w:t>)</w:t>
            </w:r>
          </w:p>
        </w:tc>
        <w:tc>
          <w:tcPr>
            <w:tcW w:w="7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(113</w:t>
            </w:r>
          </w:p>
        </w:tc>
        <w:tc>
          <w:tcPr>
            <w:tcW w:w="117" w:type="dxa"/>
            <w:tcBorders/>
            <w:shd w:fill="CCEEFF" w:val="clear"/>
            <w:vAlign w:val="bottom"/>
          </w:tcPr>
          <w:p>
            <w:pPr>
              <w:pStyle w:val="TableContents"/>
              <w:bidi w:val="0"/>
              <w:spacing w:before="0" w:after="0"/>
              <w:jc w:val="left"/>
              <w:rPr>
                <w:color w:val="000000"/>
              </w:rPr>
            </w:pPr>
            <w:r>
              <w:rPr>
                <w:color w:val="000000"/>
              </w:rPr>
              <w:t>)</w:t>
            </w:r>
          </w:p>
        </w:tc>
        <w:tc>
          <w:tcPr>
            <w:tcW w:w="7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color w:val="000000"/>
              </w:rPr>
            </w:pPr>
            <w:r>
              <w:rPr>
                <w:color w:val="000000"/>
              </w:rPr>
              <w:t>(141</w:t>
            </w:r>
          </w:p>
        </w:tc>
        <w:tc>
          <w:tcPr>
            <w:tcW w:w="105" w:type="dxa"/>
            <w:tcBorders/>
            <w:shd w:fill="CCEEFF" w:val="clear"/>
            <w:vAlign w:val="bottom"/>
          </w:tcPr>
          <w:p>
            <w:pPr>
              <w:pStyle w:val="TableContents"/>
              <w:bidi w:val="0"/>
              <w:spacing w:before="0" w:after="0"/>
              <w:jc w:val="left"/>
              <w:rPr>
                <w:color w:val="000000"/>
              </w:rPr>
            </w:pPr>
            <w:r>
              <w:rPr>
                <w:color w:val="000000"/>
              </w:rPr>
              <w:t>)</w:t>
            </w:r>
          </w:p>
        </w:tc>
      </w:tr>
      <w:tr>
        <w:trPr/>
        <w:tc>
          <w:tcPr>
            <w:tcW w:w="2753" w:type="dxa"/>
            <w:tcBorders/>
            <w:vAlign w:val="bottom"/>
          </w:tcPr>
          <w:p>
            <w:pPr>
              <w:pStyle w:val="TableContents"/>
              <w:bidi w:val="0"/>
              <w:spacing w:before="0" w:after="0"/>
              <w:ind w:left="324" w:right="0" w:hanging="144"/>
              <w:jc w:val="left"/>
              <w:rPr>
                <w:color w:val="000000"/>
              </w:rPr>
            </w:pPr>
            <w:r>
              <w:rPr>
                <w:color w:val="000000"/>
              </w:rPr>
              <w:t>Short-term borrowings</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color w:val="000000"/>
              </w:rPr>
            </w:pPr>
            <w:r>
              <w:rPr>
                <w:color w:val="000000"/>
              </w:rPr>
              <w:t>5</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color w:val="000000"/>
              </w:rPr>
            </w:pPr>
            <w:r>
              <w:rPr>
                <w:color w:val="000000"/>
              </w:rPr>
              <w:t>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color w:val="000000"/>
              </w:rPr>
            </w:pPr>
            <w:r>
              <w:rPr>
                <w:color w:val="000000"/>
              </w:rPr>
              <w:t>(5</w:t>
            </w:r>
          </w:p>
        </w:tc>
        <w:tc>
          <w:tcPr>
            <w:tcW w:w="117" w:type="dxa"/>
            <w:tcBorders/>
            <w:vAlign w:val="bottom"/>
          </w:tcPr>
          <w:p>
            <w:pPr>
              <w:pStyle w:val="TableContents"/>
              <w:bidi w:val="0"/>
              <w:spacing w:before="0" w:after="0"/>
              <w:jc w:val="left"/>
              <w:rPr>
                <w:color w:val="000000"/>
              </w:rPr>
            </w:pPr>
            <w:r>
              <w:rPr>
                <w:color w:val="000000"/>
              </w:rPr>
              <w:t>)</w:t>
            </w:r>
          </w:p>
        </w:tc>
        <w:tc>
          <w:tcPr>
            <w:tcW w:w="7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color w:val="000000"/>
              </w:rPr>
            </w:pPr>
            <w:r>
              <w:rPr>
                <w:color w:val="000000"/>
              </w:rPr>
              <w:t>(5</w:t>
            </w:r>
          </w:p>
        </w:tc>
        <w:tc>
          <w:tcPr>
            <w:tcW w:w="105" w:type="dxa"/>
            <w:tcBorders/>
            <w:vAlign w:val="bottom"/>
          </w:tcPr>
          <w:p>
            <w:pPr>
              <w:pStyle w:val="TableContents"/>
              <w:bidi w:val="0"/>
              <w:spacing w:before="0" w:after="0"/>
              <w:jc w:val="left"/>
              <w:rPr>
                <w:color w:val="000000"/>
              </w:rPr>
            </w:pPr>
            <w:r>
              <w:rPr>
                <w:color w:val="000000"/>
              </w:rPr>
              <w:t>)</w:t>
            </w:r>
          </w:p>
        </w:tc>
      </w:tr>
      <w:tr>
        <w:trPr/>
        <w:tc>
          <w:tcPr>
            <w:tcW w:w="2753" w:type="dxa"/>
            <w:tcBorders/>
            <w:shd w:fill="CCEEFF" w:val="clear"/>
            <w:vAlign w:val="bottom"/>
          </w:tcPr>
          <w:p>
            <w:pPr>
              <w:pStyle w:val="TableContents"/>
              <w:bidi w:val="0"/>
              <w:spacing w:before="0" w:after="0"/>
              <w:ind w:left="324" w:right="0" w:hanging="144"/>
              <w:jc w:val="left"/>
              <w:rPr>
                <w:color w:val="000000"/>
              </w:rPr>
            </w:pPr>
            <w:r>
              <w:rPr>
                <w:color w:val="000000"/>
              </w:rPr>
              <w:t>Notes payable &amp; other borrowings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0"/>
              <w:jc w:val="right"/>
              <w:rPr>
                <w:color w:val="000000"/>
              </w:rPr>
            </w:pPr>
            <w:r>
              <w:rPr>
                <w:color w:val="000000"/>
              </w:rPr>
              <w:t>(38</w:t>
            </w:r>
          </w:p>
        </w:tc>
        <w:tc>
          <w:tcPr>
            <w:tcW w:w="117" w:type="dxa"/>
            <w:tcBorders/>
            <w:shd w:fill="CCEEFF" w:val="clear"/>
            <w:vAlign w:val="bottom"/>
          </w:tcPr>
          <w:p>
            <w:pPr>
              <w:pStyle w:val="TableContents"/>
              <w:bidi w:val="0"/>
              <w:spacing w:before="0" w:after="0"/>
              <w:jc w:val="left"/>
              <w:rPr>
                <w:color w:val="000000"/>
              </w:rPr>
            </w:pPr>
            <w:r>
              <w:rPr>
                <w:color w:val="000000"/>
              </w:rPr>
              <w:t>)</w:t>
            </w:r>
          </w:p>
        </w:tc>
        <w:tc>
          <w:tcPr>
            <w:tcW w:w="7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color w:val="000000"/>
              </w:rPr>
            </w:pPr>
            <w:r>
              <w:rPr>
                <w:color w:val="000000"/>
              </w:rPr>
              <w:t>(38</w:t>
            </w:r>
          </w:p>
        </w:tc>
        <w:tc>
          <w:tcPr>
            <w:tcW w:w="105" w:type="dxa"/>
            <w:tcBorders/>
            <w:shd w:fill="CCEEFF" w:val="clear"/>
            <w:vAlign w:val="bottom"/>
          </w:tcPr>
          <w:p>
            <w:pPr>
              <w:pStyle w:val="TableContents"/>
              <w:bidi w:val="0"/>
              <w:spacing w:before="0" w:after="0"/>
              <w:jc w:val="left"/>
              <w:rPr>
                <w:color w:val="000000"/>
              </w:rPr>
            </w:pPr>
            <w:r>
              <w:rPr>
                <w:color w:val="000000"/>
              </w:rPr>
              <w:t>)</w:t>
            </w:r>
          </w:p>
        </w:tc>
      </w:tr>
      <w:tr>
        <w:trPr/>
        <w:tc>
          <w:tcPr>
            <w:tcW w:w="2753" w:type="dxa"/>
            <w:tcBorders/>
            <w:vAlign w:val="bottom"/>
          </w:tcPr>
          <w:p>
            <w:pPr>
              <w:pStyle w:val="TableContents"/>
              <w:bidi w:val="0"/>
              <w:spacing w:before="0" w:after="0"/>
              <w:ind w:left="324" w:right="0" w:hanging="144"/>
              <w:jc w:val="left"/>
              <w:rPr>
                <w:color w:val="000000"/>
              </w:rPr>
            </w:pPr>
            <w:r>
              <w:rPr>
                <w:color w:val="000000"/>
              </w:rPr>
              <w:t>Subordinated debt</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color w:val="000000"/>
              </w:rPr>
            </w:pPr>
            <w:r>
              <w:rPr>
                <w:color w:val="000000"/>
              </w:rPr>
              <w:t>(22</w:t>
            </w:r>
          </w:p>
        </w:tc>
        <w:tc>
          <w:tcPr>
            <w:tcW w:w="113" w:type="dxa"/>
            <w:tcBorders/>
            <w:vAlign w:val="bottom"/>
          </w:tcPr>
          <w:p>
            <w:pPr>
              <w:pStyle w:val="TableContents"/>
              <w:bidi w:val="0"/>
              <w:spacing w:before="0" w:after="0"/>
              <w:jc w:val="lef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color w:val="000000"/>
              </w:rPr>
            </w:pPr>
            <w:r>
              <w:rPr>
                <w:color w:val="000000"/>
              </w:rPr>
              <w:t>(10</w:t>
            </w:r>
          </w:p>
        </w:tc>
        <w:tc>
          <w:tcPr>
            <w:tcW w:w="113" w:type="dxa"/>
            <w:tcBorders/>
            <w:vAlign w:val="bottom"/>
          </w:tcPr>
          <w:p>
            <w:pPr>
              <w:pStyle w:val="TableContents"/>
              <w:bidi w:val="0"/>
              <w:spacing w:before="0" w:after="0"/>
              <w:jc w:val="lef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color w:val="000000"/>
              </w:rPr>
            </w:pPr>
            <w:r>
              <w:rPr>
                <w:color w:val="000000"/>
              </w:rPr>
              <w:t>(32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color w:val="000000"/>
              </w:rPr>
            </w:pPr>
            <w:r>
              <w:rPr>
                <w:color w:val="000000"/>
              </w:rPr>
              <w:t>9</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(15</w:t>
            </w:r>
          </w:p>
        </w:tc>
        <w:tc>
          <w:tcPr>
            <w:tcW w:w="117" w:type="dxa"/>
            <w:tcBorders/>
            <w:vAlign w:val="bottom"/>
          </w:tcPr>
          <w:p>
            <w:pPr>
              <w:pStyle w:val="TableContents"/>
              <w:bidi w:val="0"/>
              <w:spacing w:before="0" w:after="0"/>
              <w:jc w:val="left"/>
              <w:rPr>
                <w:color w:val="000000"/>
              </w:rPr>
            </w:pPr>
            <w:r>
              <w:rPr>
                <w:color w:val="000000"/>
              </w:rPr>
              <w:t>)</w:t>
            </w:r>
          </w:p>
        </w:tc>
        <w:tc>
          <w:tcPr>
            <w:tcW w:w="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color w:val="000000"/>
              </w:rPr>
            </w:pPr>
            <w:r>
              <w:rPr>
                <w:color w:val="000000"/>
              </w:rPr>
              <w:t>(6</w:t>
            </w:r>
          </w:p>
        </w:tc>
        <w:tc>
          <w:tcPr>
            <w:tcW w:w="105" w:type="dxa"/>
            <w:tcBorders/>
            <w:vAlign w:val="bottom"/>
          </w:tcPr>
          <w:p>
            <w:pPr>
              <w:pStyle w:val="TableContents"/>
              <w:bidi w:val="0"/>
              <w:spacing w:before="0" w:after="0"/>
              <w:jc w:val="left"/>
              <w:rPr>
                <w:color w:val="000000"/>
              </w:rPr>
            </w:pPr>
            <w:r>
              <w:rPr>
                <w:color w:val="000000"/>
              </w:rPr>
              <w:t>)</w:t>
            </w:r>
          </w:p>
        </w:tc>
      </w:tr>
      <w:tr>
        <w:trPr/>
        <w:tc>
          <w:tcPr>
            <w:tcW w:w="2753" w:type="dxa"/>
            <w:tcBorders/>
            <w:shd w:fill="CCEEFF" w:val="clear"/>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1,636</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760</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760</w:t>
            </w:r>
          </w:p>
        </w:tc>
        <w:tc>
          <w:tcPr>
            <w:tcW w:w="105" w:type="dxa"/>
            <w:tcBorders/>
            <w:shd w:fill="CCEEFF" w:val="clear"/>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0"/>
              <w:ind w:left="504" w:right="0" w:hanging="144"/>
              <w:jc w:val="left"/>
              <w:rPr>
                <w:color w:val="000000"/>
              </w:rPr>
            </w:pPr>
            <w:r>
              <w:rPr>
                <w:color w:val="000000"/>
              </w:rPr>
              <w:t>Total increase (decrease) interest expense:</w:t>
            </w:r>
          </w:p>
        </w:tc>
        <w:tc>
          <w:tcPr>
            <w:tcW w:w="60"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1,475</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48,119</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49,594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9,373</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9,420</w:t>
            </w:r>
          </w:p>
        </w:tc>
        <w:tc>
          <w:tcPr>
            <w:tcW w:w="105" w:type="dxa"/>
            <w:tcBorders/>
            <w:vAlign w:val="bottom"/>
          </w:tcPr>
          <w:p>
            <w:pPr>
              <w:pStyle w:val="TableContents"/>
              <w:bidi w:val="0"/>
              <w:spacing w:before="0" w:after="283"/>
              <w:jc w:val="left"/>
              <w:rPr/>
            </w:pPr>
            <w:r>
              <w:rPr/>
              <w:t> </w:t>
            </w:r>
          </w:p>
        </w:tc>
      </w:tr>
      <w:tr>
        <w:trPr/>
        <w:tc>
          <w:tcPr>
            <w:tcW w:w="27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05" w:type="dxa"/>
            <w:tcBorders/>
            <w:shd w:fill="CCEEFF" w:val="clear"/>
            <w:vAlign w:val="bottom"/>
          </w:tcPr>
          <w:p>
            <w:pPr>
              <w:pStyle w:val="TableContents"/>
              <w:bidi w:val="0"/>
              <w:spacing w:before="0" w:after="283"/>
              <w:jc w:val="left"/>
              <w:rPr/>
            </w:pPr>
            <w:r>
              <w:rPr/>
              <w:t> </w:t>
            </w:r>
          </w:p>
        </w:tc>
      </w:tr>
      <w:tr>
        <w:trPr/>
        <w:tc>
          <w:tcPr>
            <w:tcW w:w="2753" w:type="dxa"/>
            <w:tcBorders/>
            <w:vAlign w:val="bottom"/>
          </w:tcPr>
          <w:p>
            <w:pPr>
              <w:pStyle w:val="TableContents"/>
              <w:bidi w:val="0"/>
              <w:spacing w:before="0" w:after="0"/>
              <w:ind w:left="144" w:right="0" w:hanging="144"/>
              <w:jc w:val="left"/>
              <w:rPr>
                <w:color w:val="000000"/>
              </w:rPr>
            </w:pPr>
            <w:r>
              <w:rPr>
                <w:color w:val="000000"/>
              </w:rPr>
              <w:t>Increase (decrease) in net interest income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0"/>
              <w:jc w:val="left"/>
              <w:rPr>
                <w:color w:val="000000"/>
              </w:rPr>
            </w:pPr>
            <w:r>
              <w:rPr>
                <w:color w:val="000000"/>
              </w:rPr>
              <w:t>$</w:t>
            </w:r>
          </w:p>
        </w:tc>
        <w:tc>
          <w:tcPr>
            <w:tcW w:w="816" w:type="dxa"/>
            <w:tcBorders/>
            <w:vAlign w:val="bottom"/>
          </w:tcPr>
          <w:p>
            <w:pPr>
              <w:pStyle w:val="TableContents"/>
              <w:bidi w:val="0"/>
              <w:spacing w:before="0" w:after="0"/>
              <w:jc w:val="right"/>
              <w:rPr>
                <w:color w:val="000000"/>
              </w:rPr>
            </w:pPr>
            <w:r>
              <w:rPr>
                <w:color w:val="000000"/>
              </w:rPr>
              <w:t>12,494</w:t>
            </w:r>
          </w:p>
        </w:tc>
        <w:tc>
          <w:tcPr>
            <w:tcW w:w="113"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0"/>
              <w:jc w:val="left"/>
              <w:rPr>
                <w:color w:val="000000"/>
              </w:rPr>
            </w:pPr>
            <w:r>
              <w:rPr>
                <w:color w:val="000000"/>
              </w:rPr>
              <w:t>$</w:t>
            </w:r>
          </w:p>
        </w:tc>
        <w:tc>
          <w:tcPr>
            <w:tcW w:w="906" w:type="dxa"/>
            <w:tcBorders/>
            <w:vAlign w:val="bottom"/>
          </w:tcPr>
          <w:p>
            <w:pPr>
              <w:pStyle w:val="TableContents"/>
              <w:bidi w:val="0"/>
              <w:spacing w:before="0" w:after="0"/>
              <w:jc w:val="right"/>
              <w:rPr>
                <w:color w:val="000000"/>
              </w:rPr>
            </w:pPr>
            <w:r>
              <w:rPr>
                <w:color w:val="000000"/>
              </w:rPr>
              <w:t>(11,372</w:t>
            </w:r>
          </w:p>
        </w:tc>
        <w:tc>
          <w:tcPr>
            <w:tcW w:w="113" w:type="dxa"/>
            <w:tcBorders/>
            <w:vAlign w:val="bottom"/>
          </w:tcPr>
          <w:p>
            <w:pPr>
              <w:pStyle w:val="TableContents"/>
              <w:bidi w:val="0"/>
              <w:spacing w:before="0" w:after="0"/>
              <w:jc w:val="left"/>
              <w:rPr>
                <w:color w:val="000000"/>
              </w:rPr>
            </w:pPr>
            <w:r>
              <w:rPr>
                <w:color w:val="000000"/>
              </w:rPr>
              <w:t>)</w:t>
            </w:r>
          </w:p>
        </w:tc>
        <w:tc>
          <w:tcPr>
            <w:tcW w:w="7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color w:val="000000"/>
              </w:rPr>
            </w:pPr>
            <w:r>
              <w:rPr>
                <w:color w:val="000000"/>
              </w:rPr>
              <w:t>$</w:t>
            </w:r>
          </w:p>
        </w:tc>
        <w:tc>
          <w:tcPr>
            <w:tcW w:w="951" w:type="dxa"/>
            <w:tcBorders/>
            <w:vAlign w:val="bottom"/>
          </w:tcPr>
          <w:p>
            <w:pPr>
              <w:pStyle w:val="TableContents"/>
              <w:bidi w:val="0"/>
              <w:spacing w:before="0" w:after="0"/>
              <w:jc w:val="right"/>
              <w:rPr>
                <w:color w:val="000000"/>
              </w:rPr>
            </w:pPr>
            <w:r>
              <w:rPr>
                <w:color w:val="000000"/>
              </w:rPr>
              <w:t>1,122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0"/>
              <w:jc w:val="left"/>
              <w:rPr>
                <w:color w:val="000000"/>
              </w:rPr>
            </w:pPr>
            <w:r>
              <w:rPr>
                <w:color w:val="000000"/>
              </w:rPr>
              <w:t>$</w:t>
            </w:r>
          </w:p>
        </w:tc>
        <w:tc>
          <w:tcPr>
            <w:tcW w:w="713" w:type="dxa"/>
            <w:tcBorders/>
            <w:vAlign w:val="bottom"/>
          </w:tcPr>
          <w:p>
            <w:pPr>
              <w:pStyle w:val="TableContents"/>
              <w:bidi w:val="0"/>
              <w:spacing w:before="0" w:after="0"/>
              <w:jc w:val="right"/>
              <w:rPr>
                <w:color w:val="000000"/>
              </w:rPr>
            </w:pPr>
            <w:r>
              <w:rPr>
                <w:color w:val="000000"/>
              </w:rPr>
              <w:t>8,058</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845" w:type="dxa"/>
            <w:tcBorders/>
            <w:vAlign w:val="bottom"/>
          </w:tcPr>
          <w:p>
            <w:pPr>
              <w:pStyle w:val="TableContents"/>
              <w:bidi w:val="0"/>
              <w:spacing w:before="0" w:after="0"/>
              <w:jc w:val="right"/>
              <w:rPr>
                <w:color w:val="000000"/>
              </w:rPr>
            </w:pPr>
            <w:r>
              <w:rPr>
                <w:color w:val="000000"/>
              </w:rPr>
              <w:t>8,623</w:t>
            </w:r>
          </w:p>
        </w:tc>
        <w:tc>
          <w:tcPr>
            <w:tcW w:w="11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0"/>
              <w:jc w:val="left"/>
              <w:rPr>
                <w:color w:val="000000"/>
              </w:rPr>
            </w:pPr>
            <w:r>
              <w:rPr>
                <w:color w:val="000000"/>
              </w:rPr>
              <w:t>$</w:t>
            </w:r>
          </w:p>
        </w:tc>
        <w:tc>
          <w:tcPr>
            <w:tcW w:w="942" w:type="dxa"/>
            <w:tcBorders/>
            <w:vAlign w:val="bottom"/>
          </w:tcPr>
          <w:p>
            <w:pPr>
              <w:pStyle w:val="TableContents"/>
              <w:bidi w:val="0"/>
              <w:spacing w:before="0" w:after="0"/>
              <w:jc w:val="right"/>
              <w:rPr>
                <w:color w:val="000000"/>
              </w:rPr>
            </w:pPr>
            <w:r>
              <w:rPr>
                <w:color w:val="000000"/>
              </w:rPr>
              <w:t>16,681</w:t>
            </w:r>
          </w:p>
        </w:tc>
        <w:tc>
          <w:tcPr>
            <w:tcW w:w="10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2023 compared to Year Ended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for the year ended December 31, 2023 was $139.7 million compared to $138.5 million for the year ended December 31, 2022, an increase of $1.3 million, or 0.9%. The increase in net interest income in 2023 was comprised of a $50.9 million, or 31.6%, increase in interest income, partially offset by a $49.6 million, or 218.6%, increase in interest expense. The growth in interest income was primarily attributable to increases of $38.6 million in loan interest income and $12.2 million in interest income from securities and other interest-earning assets. The increase in loan interest income was primarily due to growth of $312.3 million in average loans outstanding and the rising interest rate environment. The increase in interest income on securities and other interest-earning assets was primarily due to rising market interest rates.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$49.6 million increase in interest expense for the year ended December 31, 2023 was primarily related to a 185 basis points increase in the rate paid on interest-bearing liabilities and an increase of $221.7 million in average interest-bearing liabilities over the same period in 2022. The rise in rates was largely attributed to the Federal Open Market Committee (“FOMC”) of the Board of Governors of the Federal Reserve repeatedly raising their target benchmark interest rate, resulting in federal funds rate increases of 525 basis points between March of 2022 and July of 2023.</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2023, net interest margin and net interest spread were 3.61% and 2.64%, respectively, compared to 3.73% and 3.37% for the same period in 2022, respectively, which reflects the changes in interest income and interest expense discussed above.</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2022 compared to Year Ended December 31, 2021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for the year ended December 31, 2022 was $138.5 million compared to $121.8 million for the year ended December 31, 2021, an increase of $16.7 million, or 13.7%. The increase in net interest income in 2022 was comprised of a $26.1 million, or 19.4%, increase in interest income, partially offset by a $9.4 million, or 71.0%, increase in interest expense. The increase in interest income was primarily attributable to increases of $17.4 million in loan interest income and $8.7 million in interest income from securities and other interest-earning assets. The increase in loan interest income was primarily due to growth of $192.0 million in average loans outstanding and the rising interest rate environment, partially offset by decreases of $102.9 million in average Paycheck Protection Program (“PPP”) loans and $6.3 million in the PPP-related interest and fees. The increase in interest income on securities and other interest-earning assets was primarily due to securities purchases and rising market interest rates. During the years ended December 31, 2022 and 2021, the Company recognized $2.0 million and $8.3 million, respectively, in PPP-related interest and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$9.4 million increase in interest expense for the year ended December 31, 2022 was primarily related to a 40 basis points increase in the rate paid on interest-bearing liabilities and an increase of $18.5 million in average interest-bearing liabilities over the same period in 2021. The rise in rates was largely attributed to the FOMC repeatedly raising their target benchmark interest rate, resulting in federal funds rate increases of 425 basis points between March and December of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year ended December 31, 2022, net interest margin and net interest spread were 3.73% and 3.37%, respectively, compared to 3.51% and 3.31% for the same period in 2021, respectively, which reflects the changes in interest income and interest expense discussed above.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Provision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Policies” in the notes to our consolidated financial statements included elsewhere in this Report for more detailed discussion.</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2023 compared to Year Ended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for the year ended December 31, 2023 was $4.6 million compared to ($2.6) million for the year ended December 31, 2022. The provision during the year ended December 31, 2023 was largely attributable to organic growth of $266.1 million in loans held for investment and net charge-offs of $2.0 million. Net charge-offs increased $1.8 million during 2023 as compared to 2022. The allowance for credit losses as a percentage of loans held for investment was 1.41% at December 31, 2023 and 1.43% at December 31, 2022. Further discussion of the allowance for credit losses is noted below.</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2022 compared to Year Ended December 31, 2021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for the year ended December 31, 2022 was ($2.6) million compared to ($1.9) million for the year ended December 31, 2021. The decrease in the provision for credit losses for the year ended December 31, 2022 compared to the same period in 2021 was primarily due to improved credit metrics in the loan portfolio, specifically in the hotel segment, direct energy segment, and other Permian Basin-related credits, and a decline in the amount of loans that were actively under a pandemic-related modification, partially offset by growth of $310.5 million in loans held for investment. Net charge-offs decreased $1.3 million during 2022 as compared to 2021. The allowance for credit losses as a percentage of loans held for investment was 1.43% at December 31, 2022 and 1.73% at December 31, 2021. Further discussion of the allowance for credit losses is noted below.</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Prior to the sale of Windmark in 2023, income from insurance activities also comprised a large portion of noninterest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income for the periods indicated: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82"/>
        <w:gridCol w:w="60"/>
        <w:gridCol w:w="146"/>
        <w:gridCol w:w="714"/>
        <w:gridCol w:w="62"/>
        <w:gridCol w:w="62"/>
        <w:gridCol w:w="146"/>
        <w:gridCol w:w="714"/>
        <w:gridCol w:w="62"/>
        <w:gridCol w:w="62"/>
        <w:gridCol w:w="246"/>
        <w:gridCol w:w="1336"/>
        <w:gridCol w:w="95"/>
        <w:gridCol w:w="60"/>
        <w:gridCol w:w="146"/>
        <w:gridCol w:w="714"/>
        <w:gridCol w:w="62"/>
        <w:gridCol w:w="62"/>
        <w:gridCol w:w="146"/>
        <w:gridCol w:w="714"/>
        <w:gridCol w:w="62"/>
        <w:gridCol w:w="62"/>
        <w:gridCol w:w="246"/>
        <w:gridCol w:w="1336"/>
        <w:gridCol w:w="108"/>
      </w:tblGrid>
      <w:tr>
        <w:trPr/>
        <w:tc>
          <w:tcPr>
            <w:tcW w:w="27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2023 over 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2022 over 2021</w:t>
            </w:r>
          </w:p>
        </w:tc>
        <w:tc>
          <w:tcPr>
            <w:tcW w:w="108" w:type="dxa"/>
            <w:tcBorders/>
            <w:vAlign w:val="bottom"/>
          </w:tcPr>
          <w:p>
            <w:pPr>
              <w:pStyle w:val="TableContents"/>
              <w:bidi w:val="0"/>
              <w:spacing w:before="0" w:after="283"/>
              <w:jc w:val="left"/>
              <w:rPr/>
            </w:pPr>
            <w:r>
              <w:rPr/>
              <w:t> </w:t>
            </w:r>
          </w:p>
        </w:tc>
      </w:tr>
      <w:tr>
        <w:trPr/>
        <w:tc>
          <w:tcPr>
            <w:tcW w:w="27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0"/>
              <w:jc w:val="center"/>
              <w:rPr>
                <w:b/>
                <w:color w:val="000000"/>
              </w:rPr>
            </w:pPr>
            <w:r>
              <w:rPr>
                <w:b/>
                <w:color w:val="000000"/>
              </w:rPr>
              <w:t>2023</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0"/>
              <w:jc w:val="center"/>
              <w:rPr>
                <w:b/>
                <w:color w:val="000000"/>
              </w:rPr>
            </w:pPr>
            <w:r>
              <w:rPr>
                <w:b/>
                <w:color w:val="000000"/>
              </w:rPr>
              <w:t>2022</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2" w:type="dxa"/>
            <w:gridSpan w:val="2"/>
            <w:tcBorders/>
            <w:vAlign w:val="bottom"/>
          </w:tcPr>
          <w:p>
            <w:pPr>
              <w:pStyle w:val="TableContents"/>
              <w:bidi w:val="0"/>
              <w:spacing w:before="0" w:after="0"/>
              <w:jc w:val="center"/>
              <w:rPr>
                <w:b/>
                <w:color w:val="000000"/>
              </w:rPr>
            </w:pPr>
            <w:r>
              <w:rPr>
                <w:b/>
                <w:color w:val="000000"/>
              </w:rPr>
              <w:t>Increase (decrease)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0"/>
              <w:jc w:val="center"/>
              <w:rPr>
                <w:b/>
                <w:color w:val="000000"/>
              </w:rPr>
            </w:pPr>
            <w:r>
              <w:rPr>
                <w:b/>
                <w:color w:val="000000"/>
              </w:rPr>
              <w:t>2022</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0"/>
              <w:jc w:val="center"/>
              <w:rPr>
                <w:b/>
                <w:color w:val="000000"/>
              </w:rPr>
            </w:pPr>
            <w:r>
              <w:rPr>
                <w:b/>
                <w:color w:val="000000"/>
              </w:rPr>
              <w:t>2021</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2" w:type="dxa"/>
            <w:gridSpan w:val="2"/>
            <w:tcBorders/>
            <w:vAlign w:val="bottom"/>
          </w:tcPr>
          <w:p>
            <w:pPr>
              <w:pStyle w:val="TableContents"/>
              <w:bidi w:val="0"/>
              <w:spacing w:before="0" w:after="0"/>
              <w:jc w:val="center"/>
              <w:rPr>
                <w:b/>
                <w:color w:val="000000"/>
              </w:rPr>
            </w:pPr>
            <w:r>
              <w:rPr>
                <w:b/>
                <w:color w:val="000000"/>
              </w:rPr>
              <w:t>Increase (decrease)</w:t>
            </w:r>
          </w:p>
        </w:tc>
        <w:tc>
          <w:tcPr>
            <w:tcW w:w="108" w:type="dxa"/>
            <w:tcBorders/>
            <w:vAlign w:val="bottom"/>
          </w:tcPr>
          <w:p>
            <w:pPr>
              <w:pStyle w:val="TableContents"/>
              <w:bidi w:val="0"/>
              <w:spacing w:before="0" w:after="283"/>
              <w:jc w:val="left"/>
              <w:rPr/>
            </w:pPr>
            <w:r>
              <w:rPr/>
              <w:t> </w:t>
            </w:r>
          </w:p>
        </w:tc>
      </w:tr>
      <w:tr>
        <w:trPr/>
        <w:tc>
          <w:tcPr>
            <w:tcW w:w="27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5" w:type="dxa"/>
            <w:gridSpan w:val="22"/>
            <w:tcBorders/>
            <w:vAlign w:val="bottom"/>
          </w:tcPr>
          <w:p>
            <w:pPr>
              <w:pStyle w:val="TableContents"/>
              <w:bidi w:val="0"/>
              <w:spacing w:before="0" w:after="0"/>
              <w:jc w:val="center"/>
              <w:rPr>
                <w:b/>
                <w:color w:val="000000"/>
              </w:rPr>
            </w:pPr>
            <w:r>
              <w:rPr>
                <w:b/>
                <w:color w:val="000000"/>
              </w:rPr>
              <w:t>(Dollars in thousands)</w:t>
            </w:r>
          </w:p>
        </w:tc>
        <w:tc>
          <w:tcPr>
            <w:tcW w:w="108" w:type="dxa"/>
            <w:tcBorders/>
            <w:vAlign w:val="bottom"/>
          </w:tcPr>
          <w:p>
            <w:pPr>
              <w:pStyle w:val="TableContents"/>
              <w:bidi w:val="0"/>
              <w:spacing w:before="0" w:after="283"/>
              <w:jc w:val="left"/>
              <w:rPr/>
            </w:pPr>
            <w:r>
              <w:rPr/>
              <w:t> </w:t>
            </w:r>
          </w:p>
        </w:tc>
      </w:tr>
      <w:tr>
        <w:trPr/>
        <w:tc>
          <w:tcPr>
            <w:tcW w:w="2782" w:type="dxa"/>
            <w:tcBorders/>
            <w:vAlign w:val="bottom"/>
          </w:tcPr>
          <w:p>
            <w:pPr>
              <w:pStyle w:val="TableContents"/>
              <w:bidi w:val="0"/>
              <w:spacing w:before="0" w:after="0"/>
              <w:ind w:left="144" w:right="0" w:hanging="144"/>
              <w:jc w:val="left"/>
              <w:rPr>
                <w:color w:val="000000"/>
              </w:rPr>
            </w:pPr>
            <w:r>
              <w:rPr>
                <w:color w:val="000000"/>
              </w:rPr>
              <w:t>Noninterest income:</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2"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2"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r>
      <w:tr>
        <w:trPr/>
        <w:tc>
          <w:tcPr>
            <w:tcW w:w="2782" w:type="dxa"/>
            <w:tcBorders/>
            <w:shd w:fill="CCEEFF" w:val="clear"/>
            <w:vAlign w:val="bottom"/>
          </w:tcPr>
          <w:p>
            <w:pPr>
              <w:pStyle w:val="TableContents"/>
              <w:bidi w:val="0"/>
              <w:spacing w:before="0" w:after="0"/>
              <w:ind w:left="324" w:right="0" w:hanging="144"/>
              <w:jc w:val="left"/>
              <w:rPr>
                <w:color w:val="000000"/>
              </w:rPr>
            </w:pPr>
            <w:r>
              <w:rPr>
                <w:color w:val="000000"/>
              </w:rPr>
              <w:t>Service charges on deposit accounts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7,130</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6,829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color w:val="000000"/>
              </w:rPr>
            </w:pPr>
            <w:r>
              <w:rPr>
                <w:color w:val="000000"/>
              </w:rPr>
              <w:t>$</w:t>
            </w:r>
          </w:p>
        </w:tc>
        <w:tc>
          <w:tcPr>
            <w:tcW w:w="1336" w:type="dxa"/>
            <w:tcBorders/>
            <w:shd w:fill="CCEEFF" w:val="clear"/>
            <w:vAlign w:val="bottom"/>
          </w:tcPr>
          <w:p>
            <w:pPr>
              <w:pStyle w:val="TableContents"/>
              <w:bidi w:val="0"/>
              <w:spacing w:before="0" w:after="0"/>
              <w:jc w:val="right"/>
              <w:rPr>
                <w:color w:val="000000"/>
              </w:rPr>
            </w:pPr>
            <w:r>
              <w:rPr>
                <w:color w:val="000000"/>
              </w:rPr>
              <w:t>301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6,829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6,963</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color w:val="000000"/>
              </w:rPr>
            </w:pPr>
            <w:r>
              <w:rPr>
                <w:color w:val="000000"/>
              </w:rPr>
              <w:t>$</w:t>
            </w:r>
          </w:p>
        </w:tc>
        <w:tc>
          <w:tcPr>
            <w:tcW w:w="1336" w:type="dxa"/>
            <w:tcBorders/>
            <w:shd w:fill="CCEEFF" w:val="clear"/>
            <w:vAlign w:val="bottom"/>
          </w:tcPr>
          <w:p>
            <w:pPr>
              <w:pStyle w:val="TableContents"/>
              <w:bidi w:val="0"/>
              <w:spacing w:before="0" w:after="0"/>
              <w:jc w:val="right"/>
              <w:rPr>
                <w:color w:val="000000"/>
              </w:rPr>
            </w:pPr>
            <w:r>
              <w:rPr>
                <w:color w:val="000000"/>
              </w:rPr>
              <w:t>(134</w:t>
            </w:r>
          </w:p>
        </w:tc>
        <w:tc>
          <w:tcPr>
            <w:tcW w:w="108" w:type="dxa"/>
            <w:tcBorders/>
            <w:shd w:fill="CCEEFF" w:val="clear"/>
            <w:vAlign w:val="bottom"/>
          </w:tcPr>
          <w:p>
            <w:pPr>
              <w:pStyle w:val="TableContents"/>
              <w:bidi w:val="0"/>
              <w:spacing w:before="0" w:after="0"/>
              <w:jc w:val="left"/>
              <w:rPr>
                <w:color w:val="000000"/>
              </w:rPr>
            </w:pPr>
            <w:r>
              <w:rPr>
                <w:color w:val="000000"/>
              </w:rPr>
              <w:t>)</w:t>
            </w:r>
          </w:p>
        </w:tc>
      </w:tr>
      <w:tr>
        <w:trPr/>
        <w:tc>
          <w:tcPr>
            <w:tcW w:w="2782" w:type="dxa"/>
            <w:tcBorders/>
            <w:vAlign w:val="bottom"/>
          </w:tcPr>
          <w:p>
            <w:pPr>
              <w:pStyle w:val="TableContents"/>
              <w:bidi w:val="0"/>
              <w:spacing w:before="0" w:after="0"/>
              <w:ind w:left="324" w:right="0" w:hanging="144"/>
              <w:jc w:val="left"/>
              <w:rPr>
                <w:color w:val="000000"/>
              </w:rPr>
            </w:pPr>
            <w:r>
              <w:rPr>
                <w:color w:val="000000"/>
              </w:rPr>
              <w:t>Income from insurance activities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1,515</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10,826</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(9,311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10,826</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8,314</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2,512</w:t>
            </w:r>
          </w:p>
        </w:tc>
        <w:tc>
          <w:tcPr>
            <w:tcW w:w="108" w:type="dxa"/>
            <w:tcBorders/>
            <w:vAlign w:val="bottom"/>
          </w:tcPr>
          <w:p>
            <w:pPr>
              <w:pStyle w:val="TableContents"/>
              <w:bidi w:val="0"/>
              <w:spacing w:before="0" w:after="283"/>
              <w:jc w:val="left"/>
              <w:rPr/>
            </w:pPr>
            <w:r>
              <w:rPr/>
              <w:t> </w:t>
            </w:r>
          </w:p>
        </w:tc>
      </w:tr>
      <w:tr>
        <w:trPr/>
        <w:tc>
          <w:tcPr>
            <w:tcW w:w="2782" w:type="dxa"/>
            <w:tcBorders/>
            <w:shd w:fill="CCEEFF" w:val="clear"/>
            <w:vAlign w:val="bottom"/>
          </w:tcPr>
          <w:p>
            <w:pPr>
              <w:pStyle w:val="TableContents"/>
              <w:bidi w:val="0"/>
              <w:spacing w:before="0" w:after="0"/>
              <w:ind w:left="324" w:right="0" w:hanging="144"/>
              <w:jc w:val="left"/>
              <w:rPr>
                <w:color w:val="000000"/>
              </w:rPr>
            </w:pPr>
            <w:r>
              <w:rPr>
                <w:color w:val="000000"/>
              </w:rPr>
              <w:t>Bank card services and interchange fees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13,323</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12,946</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377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12,946</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12,239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707</w:t>
            </w:r>
          </w:p>
        </w:tc>
        <w:tc>
          <w:tcPr>
            <w:tcW w:w="108" w:type="dxa"/>
            <w:tcBorders/>
            <w:shd w:fill="CCEEFF" w:val="clear"/>
            <w:vAlign w:val="bottom"/>
          </w:tcPr>
          <w:p>
            <w:pPr>
              <w:pStyle w:val="TableContents"/>
              <w:bidi w:val="0"/>
              <w:spacing w:before="0" w:after="283"/>
              <w:jc w:val="left"/>
              <w:rPr/>
            </w:pPr>
            <w:r>
              <w:rPr/>
              <w:t> </w:t>
            </w:r>
          </w:p>
        </w:tc>
      </w:tr>
      <w:tr>
        <w:trPr/>
        <w:tc>
          <w:tcPr>
            <w:tcW w:w="2782" w:type="dxa"/>
            <w:tcBorders/>
            <w:vAlign w:val="bottom"/>
          </w:tcPr>
          <w:p>
            <w:pPr>
              <w:pStyle w:val="TableContents"/>
              <w:bidi w:val="0"/>
              <w:spacing w:before="0" w:after="0"/>
              <w:ind w:left="324" w:right="0" w:hanging="144"/>
              <w:jc w:val="left"/>
              <w:rPr>
                <w:color w:val="000000"/>
              </w:rPr>
            </w:pPr>
            <w:r>
              <w:rPr>
                <w:color w:val="000000"/>
              </w:rPr>
              <w:t>Mortgage banking activities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13,817</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31,370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(17,553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31,370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59,726</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(28,356</w:t>
            </w:r>
          </w:p>
        </w:tc>
        <w:tc>
          <w:tcPr>
            <w:tcW w:w="108" w:type="dxa"/>
            <w:tcBorders/>
            <w:vAlign w:val="bottom"/>
          </w:tcPr>
          <w:p>
            <w:pPr>
              <w:pStyle w:val="TableContents"/>
              <w:bidi w:val="0"/>
              <w:spacing w:before="0" w:after="0"/>
              <w:jc w:val="left"/>
              <w:rPr>
                <w:color w:val="000000"/>
              </w:rPr>
            </w:pPr>
            <w:r>
              <w:rPr>
                <w:color w:val="000000"/>
              </w:rPr>
              <w:t>)</w:t>
            </w:r>
          </w:p>
        </w:tc>
      </w:tr>
      <w:tr>
        <w:trPr/>
        <w:tc>
          <w:tcPr>
            <w:tcW w:w="2782" w:type="dxa"/>
            <w:tcBorders/>
            <w:shd w:fill="CCEEFF" w:val="clear"/>
            <w:vAlign w:val="bottom"/>
          </w:tcPr>
          <w:p>
            <w:pPr>
              <w:pStyle w:val="TableContents"/>
              <w:bidi w:val="0"/>
              <w:spacing w:before="0" w:after="0"/>
              <w:ind w:left="324" w:right="0" w:hanging="144"/>
              <w:jc w:val="left"/>
              <w:rPr>
                <w:color w:val="000000"/>
              </w:rPr>
            </w:pPr>
            <w:r>
              <w:rPr>
                <w:color w:val="000000"/>
              </w:rPr>
              <w:t>Investment commissions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1,698</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1,825</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(127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1,825</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1,934</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(109</w:t>
            </w:r>
          </w:p>
        </w:tc>
        <w:tc>
          <w:tcPr>
            <w:tcW w:w="108" w:type="dxa"/>
            <w:tcBorders/>
            <w:shd w:fill="CCEEFF" w:val="clear"/>
            <w:vAlign w:val="bottom"/>
          </w:tcPr>
          <w:p>
            <w:pPr>
              <w:pStyle w:val="TableContents"/>
              <w:bidi w:val="0"/>
              <w:spacing w:before="0" w:after="0"/>
              <w:jc w:val="left"/>
              <w:rPr>
                <w:color w:val="000000"/>
              </w:rPr>
            </w:pPr>
            <w:r>
              <w:rPr>
                <w:color w:val="000000"/>
              </w:rPr>
              <w:t>)</w:t>
            </w:r>
          </w:p>
        </w:tc>
      </w:tr>
      <w:tr>
        <w:trPr/>
        <w:tc>
          <w:tcPr>
            <w:tcW w:w="2782" w:type="dxa"/>
            <w:tcBorders/>
            <w:vAlign w:val="bottom"/>
          </w:tcPr>
          <w:p>
            <w:pPr>
              <w:pStyle w:val="TableContents"/>
              <w:bidi w:val="0"/>
              <w:spacing w:before="0" w:after="0"/>
              <w:ind w:left="324" w:right="0" w:hanging="144"/>
              <w:jc w:val="left"/>
              <w:rPr>
                <w:color w:val="000000"/>
              </w:rPr>
            </w:pPr>
            <w:r>
              <w:rPr>
                <w:color w:val="000000"/>
              </w:rPr>
              <w:t>Fiduciary income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2,433</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2,390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2,390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2,917</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(527</w:t>
            </w:r>
          </w:p>
        </w:tc>
        <w:tc>
          <w:tcPr>
            <w:tcW w:w="108" w:type="dxa"/>
            <w:tcBorders/>
            <w:vAlign w:val="bottom"/>
          </w:tcPr>
          <w:p>
            <w:pPr>
              <w:pStyle w:val="TableContents"/>
              <w:bidi w:val="0"/>
              <w:spacing w:before="0" w:after="0"/>
              <w:jc w:val="left"/>
              <w:rPr>
                <w:color w:val="000000"/>
              </w:rPr>
            </w:pPr>
            <w:r>
              <w:rPr>
                <w:color w:val="000000"/>
              </w:rPr>
              <w:t>)</w:t>
            </w:r>
          </w:p>
        </w:tc>
      </w:tr>
      <w:tr>
        <w:trPr/>
        <w:tc>
          <w:tcPr>
            <w:tcW w:w="2782" w:type="dxa"/>
            <w:tcBorders/>
            <w:shd w:fill="CCEEFF" w:val="clear"/>
            <w:vAlign w:val="bottom"/>
          </w:tcPr>
          <w:p>
            <w:pPr>
              <w:pStyle w:val="TableContents"/>
              <w:bidi w:val="0"/>
              <w:spacing w:before="0" w:after="0"/>
              <w:ind w:left="324" w:right="0" w:hanging="144"/>
              <w:jc w:val="left"/>
              <w:rPr>
                <w:color w:val="000000"/>
              </w:rPr>
            </w:pPr>
            <w:r>
              <w:rPr>
                <w:color w:val="000000"/>
              </w:rPr>
              <w:t>Gain on sale of subsidiary</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33,778</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33,778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w:t>
            </w:r>
          </w:p>
        </w:tc>
        <w:tc>
          <w:tcPr>
            <w:tcW w:w="108" w:type="dxa"/>
            <w:tcBorders/>
            <w:shd w:fill="CCEEFF" w:val="clear"/>
            <w:vAlign w:val="bottom"/>
          </w:tcPr>
          <w:p>
            <w:pPr>
              <w:pStyle w:val="TableContents"/>
              <w:bidi w:val="0"/>
              <w:spacing w:before="0" w:after="283"/>
              <w:jc w:val="left"/>
              <w:rPr/>
            </w:pPr>
            <w:r>
              <w:rPr/>
              <w:t> </w:t>
            </w:r>
          </w:p>
        </w:tc>
      </w:tr>
      <w:tr>
        <w:trPr/>
        <w:tc>
          <w:tcPr>
            <w:tcW w:w="2782" w:type="dxa"/>
            <w:tcBorders/>
            <w:vAlign w:val="bottom"/>
          </w:tcPr>
          <w:p>
            <w:pPr>
              <w:pStyle w:val="TableContents"/>
              <w:bidi w:val="0"/>
              <w:spacing w:lineRule="auto" w:line="240" w:before="0" w:after="0"/>
              <w:ind w:left="324" w:right="0" w:hanging="144"/>
              <w:jc w:val="left"/>
              <w:rPr>
                <w:color w:val="000000"/>
              </w:rPr>
            </w:pPr>
            <w:r>
              <w:rPr>
                <w:color w:val="000000"/>
              </w:rPr>
              <w:t>Other income and fees(1)</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5,532</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9,959</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(4,427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9,959</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5,376</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4,583</w:t>
            </w:r>
          </w:p>
        </w:tc>
        <w:tc>
          <w:tcPr>
            <w:tcW w:w="108" w:type="dxa"/>
            <w:tcBorders/>
            <w:vAlign w:val="bottom"/>
          </w:tcPr>
          <w:p>
            <w:pPr>
              <w:pStyle w:val="TableContents"/>
              <w:bidi w:val="0"/>
              <w:spacing w:before="0" w:after="283"/>
              <w:jc w:val="left"/>
              <w:rPr/>
            </w:pPr>
            <w:r>
              <w:rPr/>
              <w:t> </w:t>
            </w:r>
          </w:p>
        </w:tc>
      </w:tr>
      <w:tr>
        <w:trPr/>
        <w:tc>
          <w:tcPr>
            <w:tcW w:w="2782" w:type="dxa"/>
            <w:tcBorders/>
            <w:shd w:fill="CCEEFF" w:val="clear"/>
            <w:vAlign w:val="bottom"/>
          </w:tcPr>
          <w:p>
            <w:pPr>
              <w:pStyle w:val="TableContents"/>
              <w:bidi w:val="0"/>
              <w:spacing w:before="0" w:after="0"/>
              <w:ind w:left="504" w:right="0" w:hanging="144"/>
              <w:jc w:val="left"/>
              <w:rPr>
                <w:color w:val="000000"/>
              </w:rPr>
            </w:pPr>
            <w:r>
              <w:rPr>
                <w:color w:val="000000"/>
              </w:rPr>
              <w:t>Total noninterest income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79,226</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76,145</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color w:val="000000"/>
              </w:rPr>
            </w:pPr>
            <w:r>
              <w:rPr>
                <w:color w:val="000000"/>
              </w:rPr>
              <w:t>$</w:t>
            </w:r>
          </w:p>
        </w:tc>
        <w:tc>
          <w:tcPr>
            <w:tcW w:w="1336" w:type="dxa"/>
            <w:tcBorders/>
            <w:shd w:fill="CCEEFF" w:val="clear"/>
            <w:vAlign w:val="bottom"/>
          </w:tcPr>
          <w:p>
            <w:pPr>
              <w:pStyle w:val="TableContents"/>
              <w:bidi w:val="0"/>
              <w:spacing w:before="0" w:after="0"/>
              <w:jc w:val="right"/>
              <w:rPr>
                <w:color w:val="000000"/>
              </w:rPr>
            </w:pPr>
            <w:r>
              <w:rPr>
                <w:color w:val="000000"/>
              </w:rPr>
              <w:t>3,081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76,145</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97,469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color w:val="000000"/>
              </w:rPr>
            </w:pPr>
            <w:r>
              <w:rPr>
                <w:color w:val="000000"/>
              </w:rPr>
              <w:t>$</w:t>
            </w:r>
          </w:p>
        </w:tc>
        <w:tc>
          <w:tcPr>
            <w:tcW w:w="1336" w:type="dxa"/>
            <w:tcBorders/>
            <w:shd w:fill="CCEEFF" w:val="clear"/>
            <w:vAlign w:val="bottom"/>
          </w:tcPr>
          <w:p>
            <w:pPr>
              <w:pStyle w:val="TableContents"/>
              <w:bidi w:val="0"/>
              <w:spacing w:before="0" w:after="0"/>
              <w:jc w:val="right"/>
              <w:rPr>
                <w:color w:val="000000"/>
              </w:rPr>
            </w:pPr>
            <w:r>
              <w:rPr>
                <w:color w:val="000000"/>
              </w:rPr>
              <w:t>(21,324</w:t>
            </w:r>
          </w:p>
        </w:tc>
        <w:tc>
          <w:tcPr>
            <w:tcW w:w="108"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color w:val="000000"/>
              </w:rPr>
            </w:pPr>
            <w:r>
              <w:rPr>
                <w:color w:val="000000"/>
              </w:rPr>
              <w:t>(1)</w:t>
            </w:r>
          </w:p>
        </w:tc>
        <w:tc>
          <w:tcPr>
            <w:tcW w:w="9952" w:type="dxa"/>
            <w:tcBorders/>
            <w:vAlign w:val="center"/>
          </w:tcPr>
          <w:p>
            <w:pPr>
              <w:pStyle w:val="TableContents"/>
              <w:bidi w:val="0"/>
              <w:spacing w:before="0" w:after="0"/>
              <w:jc w:val="both"/>
              <w:rPr>
                <w:color w:val="000000"/>
              </w:rPr>
            </w:pPr>
            <w:r>
              <w:rPr>
                <w:color w:val="000000"/>
              </w:rPr>
              <w:t>Other income and fees includes income and fees associated with the increase in the cash surrender value of life insurance, safe deposit box rental, check printing, collections, legal settlements, wire transfer, Small Business Investment Company (“SBIC”) investments, and other miscellaneous services.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2023 compared to Year Ended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income for the year ended December 31, 2023 was $79.2 million compared to $76.1 million for the year ended December 31, 2022, an increase of $3.1 million, or 4.0%. Significant changes in the components of noninterest income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Mortgage banking activities</w:t>
      </w:r>
      <w:r>
        <w:rPr>
          <w:rFonts w:ascii="Times New Roman" w:hAnsi="Times New Roman"/>
          <w:color w:val="000000"/>
          <w:sz w:val="20"/>
          <w:shd w:fill="FFFFFF" w:val="clear"/>
        </w:rPr>
        <w:t xml:space="preserve"> - Income from mortgage banking activities decreased $17.6 million, or 56.0%, to $13.8 million for the year ended December 31, 2023 from $31.4 million for the year ended December 31, 2022. This decrease was primarily a result of a decrease of $276.4 million, or 46.2%, in mortgage loan originations in the current year as compared to the prior year as mortgage interest rates were at higher levels during 2023. There was also a $2.4 million decrease in the fair value of the Company’s mortgage servicing rights portfolio for the year ended December 31, 2023 as compared to a $4.7 million increase for the same period in 2022, given the changes in market interest rates during the periods.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Income from insurance activities</w:t>
      </w:r>
      <w:r>
        <w:rPr>
          <w:rFonts w:ascii="Times New Roman" w:hAnsi="Times New Roman"/>
          <w:color w:val="000000"/>
          <w:sz w:val="20"/>
          <w:shd w:fill="FFFFFF" w:val="clear"/>
        </w:rPr>
        <w:t xml:space="preserve"> - Due to the sale of Windmark in the second quarter of 2023, there was a decline of $9.3 million in income from insurance activities for year ended December 31, 2023 as compared to the same period in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income and fees</w:t>
      </w:r>
      <w:r>
        <w:rPr>
          <w:rFonts w:ascii="Times New Roman" w:hAnsi="Times New Roman"/>
          <w:color w:val="000000"/>
          <w:sz w:val="20"/>
          <w:shd w:fill="FFFFFF" w:val="clear"/>
        </w:rPr>
        <w:t xml:space="preserve"> - Other noninterest income and fees decreased $4.4 million for the year ended December 31, 2023 compared to the same period in 2022 largely as a result of earnings on SBIC investments of $310 thousand during 2023 as compared to $2.3 million during 2022, and $2.1 million of income related to legal settlements recorded in the third quarter of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Gain on sale of subsidiary</w:t>
      </w:r>
      <w:r>
        <w:rPr>
          <w:rFonts w:ascii="Times New Roman" w:hAnsi="Times New Roman"/>
          <w:color w:val="000000"/>
          <w:sz w:val="20"/>
          <w:shd w:fill="FFFFFF" w:val="clear"/>
        </w:rPr>
        <w:t xml:space="preserve"> - A $33.8 million gain from the sale of Windmark was recorded in 2023.</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2022 compared to Year Ended December 31, 2021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income for the year ended December 31, 2022 was $76.1 million compared to $97.5 million for the year ended December 31, 2021, a decrease of $21.3 million, or 21.9%. Significant changes in the components of noninterest income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Mortgage banking activities</w:t>
      </w:r>
      <w:r>
        <w:rPr>
          <w:rFonts w:ascii="Times New Roman" w:hAnsi="Times New Roman"/>
          <w:color w:val="000000"/>
          <w:sz w:val="20"/>
          <w:shd w:fill="FFFFFF" w:val="clear"/>
        </w:rPr>
        <w:t xml:space="preserve"> - Income from mortgage banking activities decreased $28.4 million, or 47.5%, to $31.4 million for the year ended December 31, 2022 from $59.7 million for the year ended December 31, 2021. The decrease was primarily the result of a reduction of $838.6 million, or 58.4%, in mortgage loan originations for the year ended December 31, 2022, compared to the year ended December 31, 2021, driven by rising mortgage interest rates during 2022 and the departure of several mortgage loan originators during the first quarter of 2022 and a decline in gain on sale margins. This decrease was partially offset by increases of $3.2 million in the fair value adjustment and $1.0 million in servicing income for the Company’s mortgage servicing rights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Income from insurance activities</w:t>
      </w:r>
      <w:r>
        <w:rPr>
          <w:rFonts w:ascii="Times New Roman" w:hAnsi="Times New Roman"/>
          <w:color w:val="000000"/>
          <w:sz w:val="20"/>
          <w:shd w:fill="FFFFFF" w:val="clear"/>
        </w:rPr>
        <w:t xml:space="preserve"> - Income from insurance activities grew $2.5 million during 2022 compared to 2021. This was a result of both an increase in base premiums and profit-sharing bonuses.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income and fees</w:t>
      </w:r>
      <w:r>
        <w:rPr>
          <w:rFonts w:ascii="Times New Roman" w:hAnsi="Times New Roman"/>
          <w:color w:val="000000"/>
          <w:sz w:val="20"/>
          <w:shd w:fill="FFFFFF" w:val="clear"/>
        </w:rPr>
        <w:t xml:space="preserve"> - Other noninterest income and fees increased $4.6 million for the year ended December 31, 2022 compared to the same period in 2021, largely as a result of increased earnings from SBIC investments of $2.3 million and $2.1 million in legal settlements during 2022.</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expense for the periods indicated: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90"/>
        <w:gridCol w:w="60"/>
        <w:gridCol w:w="143"/>
        <w:gridCol w:w="818"/>
        <w:gridCol w:w="61"/>
        <w:gridCol w:w="61"/>
        <w:gridCol w:w="143"/>
        <w:gridCol w:w="818"/>
        <w:gridCol w:w="61"/>
        <w:gridCol w:w="61"/>
        <w:gridCol w:w="285"/>
        <w:gridCol w:w="1298"/>
        <w:gridCol w:w="95"/>
        <w:gridCol w:w="60"/>
        <w:gridCol w:w="143"/>
        <w:gridCol w:w="818"/>
        <w:gridCol w:w="61"/>
        <w:gridCol w:w="61"/>
        <w:gridCol w:w="143"/>
        <w:gridCol w:w="818"/>
        <w:gridCol w:w="61"/>
        <w:gridCol w:w="61"/>
        <w:gridCol w:w="285"/>
        <w:gridCol w:w="1298"/>
        <w:gridCol w:w="102"/>
      </w:tblGrid>
      <w:tr>
        <w:trPr/>
        <w:tc>
          <w:tcPr>
            <w:tcW w:w="2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2023 over 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9"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w:t>
            </w:r>
          </w:p>
          <w:p>
            <w:pPr>
              <w:pStyle w:val="TableContents"/>
              <w:bidi w:val="0"/>
              <w:spacing w:before="0" w:after="0"/>
              <w:jc w:val="center"/>
              <w:rPr>
                <w:b/>
                <w:color w:val="000000"/>
              </w:rPr>
            </w:pPr>
            <w:r>
              <w:rPr>
                <w:b/>
                <w:color w:val="000000"/>
              </w:rPr>
              <w:t>December 31, 2022 over 2021</w:t>
            </w:r>
          </w:p>
        </w:tc>
        <w:tc>
          <w:tcPr>
            <w:tcW w:w="102" w:type="dxa"/>
            <w:tcBorders/>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0"/>
              <w:jc w:val="center"/>
              <w:rPr>
                <w:b/>
                <w:color w:val="000000"/>
              </w:rPr>
            </w:pPr>
            <w:r>
              <w:rPr>
                <w:b/>
                <w:color w:val="000000"/>
              </w:rPr>
              <w:t>2023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0"/>
              <w:jc w:val="center"/>
              <w:rPr>
                <w:b/>
                <w:color w:val="000000"/>
              </w:rPr>
            </w:pPr>
            <w:r>
              <w:rPr>
                <w:b/>
                <w:color w:val="000000"/>
              </w:rPr>
              <w:t>2022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83" w:type="dxa"/>
            <w:gridSpan w:val="2"/>
            <w:tcBorders/>
            <w:vAlign w:val="bottom"/>
          </w:tcPr>
          <w:p>
            <w:pPr>
              <w:pStyle w:val="TableContents"/>
              <w:bidi w:val="0"/>
              <w:spacing w:before="0" w:after="0"/>
              <w:jc w:val="center"/>
              <w:rPr>
                <w:b/>
                <w:color w:val="000000"/>
              </w:rPr>
            </w:pPr>
            <w:r>
              <w:rPr>
                <w:b/>
                <w:color w:val="000000"/>
              </w:rPr>
              <w:t>Increase (decrease)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0"/>
              <w:jc w:val="center"/>
              <w:rPr>
                <w:b/>
                <w:color w:val="000000"/>
              </w:rPr>
            </w:pPr>
            <w:r>
              <w:rPr>
                <w:b/>
                <w:color w:val="000000"/>
              </w:rPr>
              <w:t>2022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0"/>
              <w:jc w:val="center"/>
              <w:rPr>
                <w:b/>
                <w:color w:val="000000"/>
              </w:rPr>
            </w:pPr>
            <w:r>
              <w:rPr>
                <w:b/>
                <w:color w:val="000000"/>
              </w:rPr>
              <w:t>2021</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83" w:type="dxa"/>
            <w:gridSpan w:val="2"/>
            <w:tcBorders/>
            <w:vAlign w:val="bottom"/>
          </w:tcPr>
          <w:p>
            <w:pPr>
              <w:pStyle w:val="TableContents"/>
              <w:bidi w:val="0"/>
              <w:spacing w:before="0" w:after="0"/>
              <w:jc w:val="center"/>
              <w:rPr>
                <w:b/>
                <w:color w:val="000000"/>
              </w:rPr>
            </w:pPr>
            <w:r>
              <w:rPr>
                <w:b/>
                <w:color w:val="000000"/>
              </w:rPr>
              <w:t>Increase (decrease)</w:t>
            </w:r>
          </w:p>
        </w:tc>
        <w:tc>
          <w:tcPr>
            <w:tcW w:w="102" w:type="dxa"/>
            <w:tcBorders/>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3" w:type="dxa"/>
            <w:gridSpan w:val="22"/>
            <w:tcBorders/>
            <w:vAlign w:val="bottom"/>
          </w:tcPr>
          <w:p>
            <w:pPr>
              <w:pStyle w:val="TableContents"/>
              <w:bidi w:val="0"/>
              <w:spacing w:before="0" w:after="0"/>
              <w:jc w:val="center"/>
              <w:rPr>
                <w:b/>
                <w:color w:val="000000"/>
              </w:rPr>
            </w:pPr>
            <w:r>
              <w:rPr>
                <w:b/>
                <w:color w:val="000000"/>
              </w:rPr>
              <w:t>(Dollars in thousands)</w:t>
            </w:r>
          </w:p>
        </w:tc>
        <w:tc>
          <w:tcPr>
            <w:tcW w:w="102" w:type="dxa"/>
            <w:tcBorders/>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ind w:left="144" w:right="0" w:hanging="144"/>
              <w:jc w:val="left"/>
              <w:rPr>
                <w:color w:val="000000"/>
              </w:rPr>
            </w:pPr>
            <w:r>
              <w:rPr>
                <w:color w:val="000000"/>
              </w:rPr>
              <w:t>Noninterest expense:</w:t>
            </w:r>
          </w:p>
        </w:tc>
        <w:tc>
          <w:tcPr>
            <w:tcW w:w="60"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8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83" w:type="dxa"/>
            <w:gridSpan w:val="2"/>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ind w:left="324" w:right="0" w:hanging="144"/>
              <w:jc w:val="left"/>
              <w:rPr>
                <w:color w:val="000000"/>
              </w:rPr>
            </w:pPr>
            <w:r>
              <w:rPr>
                <w:color w:val="000000"/>
              </w:rPr>
              <w:t>Salaries and employee benefits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818" w:type="dxa"/>
            <w:tcBorders/>
            <w:shd w:fill="CCEEFF" w:val="clear"/>
            <w:vAlign w:val="bottom"/>
          </w:tcPr>
          <w:p>
            <w:pPr>
              <w:pStyle w:val="TableContents"/>
              <w:bidi w:val="0"/>
              <w:spacing w:before="0" w:after="0"/>
              <w:jc w:val="right"/>
              <w:rPr>
                <w:color w:val="000000"/>
              </w:rPr>
            </w:pPr>
            <w:r>
              <w:rPr>
                <w:color w:val="000000"/>
              </w:rPr>
              <w:t>79,377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818" w:type="dxa"/>
            <w:tcBorders/>
            <w:shd w:fill="CCEEFF" w:val="clear"/>
            <w:vAlign w:val="bottom"/>
          </w:tcPr>
          <w:p>
            <w:pPr>
              <w:pStyle w:val="TableContents"/>
              <w:bidi w:val="0"/>
              <w:spacing w:before="0" w:after="0"/>
              <w:jc w:val="right"/>
              <w:rPr>
                <w:color w:val="000000"/>
              </w:rPr>
            </w:pPr>
            <w:r>
              <w:rPr>
                <w:color w:val="000000"/>
              </w:rPr>
              <w:t>86,323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1298" w:type="dxa"/>
            <w:tcBorders/>
            <w:shd w:fill="CCEEFF" w:val="clear"/>
            <w:vAlign w:val="bottom"/>
          </w:tcPr>
          <w:p>
            <w:pPr>
              <w:pStyle w:val="TableContents"/>
              <w:bidi w:val="0"/>
              <w:spacing w:before="0" w:after="0"/>
              <w:jc w:val="right"/>
              <w:rPr>
                <w:color w:val="000000"/>
              </w:rPr>
            </w:pPr>
            <w:r>
              <w:rPr>
                <w:color w:val="000000"/>
              </w:rPr>
              <w:t>(6,946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818" w:type="dxa"/>
            <w:tcBorders/>
            <w:shd w:fill="CCEEFF" w:val="clear"/>
            <w:vAlign w:val="bottom"/>
          </w:tcPr>
          <w:p>
            <w:pPr>
              <w:pStyle w:val="TableContents"/>
              <w:bidi w:val="0"/>
              <w:spacing w:before="0" w:after="0"/>
              <w:jc w:val="right"/>
              <w:rPr>
                <w:color w:val="000000"/>
              </w:rPr>
            </w:pPr>
            <w:r>
              <w:rPr>
                <w:color w:val="000000"/>
              </w:rPr>
              <w:t>86,323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0"/>
              <w:jc w:val="left"/>
              <w:rPr>
                <w:color w:val="000000"/>
              </w:rPr>
            </w:pPr>
            <w:r>
              <w:rPr>
                <w:color w:val="000000"/>
              </w:rPr>
              <w:t>$</w:t>
            </w:r>
          </w:p>
        </w:tc>
        <w:tc>
          <w:tcPr>
            <w:tcW w:w="818" w:type="dxa"/>
            <w:tcBorders/>
            <w:shd w:fill="CCEEFF" w:val="clear"/>
            <w:vAlign w:val="bottom"/>
          </w:tcPr>
          <w:p>
            <w:pPr>
              <w:pStyle w:val="TableContents"/>
              <w:bidi w:val="0"/>
              <w:spacing w:before="0" w:after="0"/>
              <w:jc w:val="right"/>
              <w:rPr>
                <w:color w:val="000000"/>
              </w:rPr>
            </w:pPr>
            <w:r>
              <w:rPr>
                <w:color w:val="000000"/>
              </w:rPr>
              <w:t>93,360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1298" w:type="dxa"/>
            <w:tcBorders/>
            <w:shd w:fill="CCEEFF" w:val="clear"/>
            <w:vAlign w:val="bottom"/>
          </w:tcPr>
          <w:p>
            <w:pPr>
              <w:pStyle w:val="TableContents"/>
              <w:bidi w:val="0"/>
              <w:spacing w:before="0" w:after="0"/>
              <w:jc w:val="right"/>
              <w:rPr>
                <w:color w:val="000000"/>
              </w:rPr>
            </w:pPr>
            <w:r>
              <w:rPr>
                <w:color w:val="000000"/>
              </w:rPr>
              <w:t>(7,037</w:t>
            </w:r>
          </w:p>
        </w:tc>
        <w:tc>
          <w:tcPr>
            <w:tcW w:w="102" w:type="dxa"/>
            <w:tcBorders/>
            <w:shd w:fill="CCEEFF" w:val="clear"/>
            <w:vAlign w:val="bottom"/>
          </w:tcPr>
          <w:p>
            <w:pPr>
              <w:pStyle w:val="TableContents"/>
              <w:bidi w:val="0"/>
              <w:spacing w:before="0" w:after="0"/>
              <w:jc w:val="left"/>
              <w:rPr>
                <w:color w:val="000000"/>
              </w:rPr>
            </w:pPr>
            <w:r>
              <w:rPr>
                <w:color w:val="000000"/>
              </w:rPr>
              <w:t>)</w:t>
            </w:r>
          </w:p>
        </w:tc>
      </w:tr>
      <w:tr>
        <w:trPr/>
        <w:tc>
          <w:tcPr>
            <w:tcW w:w="2390" w:type="dxa"/>
            <w:tcBorders/>
            <w:vAlign w:val="bottom"/>
          </w:tcPr>
          <w:p>
            <w:pPr>
              <w:pStyle w:val="TableContents"/>
              <w:bidi w:val="0"/>
              <w:spacing w:before="0" w:after="0"/>
              <w:ind w:left="324" w:right="0" w:hanging="144"/>
              <w:jc w:val="left"/>
              <w:rPr>
                <w:color w:val="000000"/>
              </w:rPr>
            </w:pPr>
            <w:r>
              <w:rPr>
                <w:color w:val="000000"/>
              </w:rPr>
              <w:t>Occupancy expense, net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16,102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15,987</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115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15,987</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14,560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1,427</w:t>
            </w:r>
          </w:p>
        </w:tc>
        <w:tc>
          <w:tcPr>
            <w:tcW w:w="102"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ind w:left="324" w:right="0" w:hanging="144"/>
              <w:jc w:val="left"/>
              <w:rPr>
                <w:color w:val="000000"/>
              </w:rPr>
            </w:pPr>
            <w:r>
              <w:rPr>
                <w:color w:val="000000"/>
              </w:rPr>
              <w:t>Professional services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6,433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9,740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color w:val="000000"/>
              </w:rPr>
            </w:pPr>
            <w:r>
              <w:rPr>
                <w:color w:val="000000"/>
              </w:rPr>
              <w:t>(3,307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9,740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6,752</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color w:val="000000"/>
              </w:rPr>
            </w:pPr>
            <w:r>
              <w:rPr>
                <w:color w:val="000000"/>
              </w:rPr>
              <w:t>2,988</w:t>
            </w:r>
          </w:p>
        </w:tc>
        <w:tc>
          <w:tcPr>
            <w:tcW w:w="102" w:type="dxa"/>
            <w:tcBorders/>
            <w:shd w:fill="CCEEFF" w:val="clear"/>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ind w:left="324" w:right="0" w:hanging="144"/>
              <w:jc w:val="left"/>
              <w:rPr>
                <w:color w:val="000000"/>
              </w:rPr>
            </w:pPr>
            <w:r>
              <w:rPr>
                <w:color w:val="000000"/>
              </w:rPr>
              <w:t>Marketing and development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3,453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3,614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(161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3,614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3,225</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389</w:t>
            </w:r>
          </w:p>
        </w:tc>
        <w:tc>
          <w:tcPr>
            <w:tcW w:w="102"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ind w:left="324" w:right="0" w:hanging="144"/>
              <w:jc w:val="left"/>
              <w:rPr>
                <w:color w:val="000000"/>
              </w:rPr>
            </w:pPr>
            <w:r>
              <w:rPr>
                <w:color w:val="000000"/>
              </w:rPr>
              <w:t>IT and data services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3,410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3,780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color w:val="000000"/>
              </w:rPr>
            </w:pPr>
            <w:r>
              <w:rPr>
                <w:color w:val="000000"/>
              </w:rPr>
              <w:t>(370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3,780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4,007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color w:val="000000"/>
              </w:rPr>
            </w:pPr>
            <w:r>
              <w:rPr>
                <w:color w:val="000000"/>
              </w:rPr>
              <w:t>(227</w:t>
            </w:r>
          </w:p>
        </w:tc>
        <w:tc>
          <w:tcPr>
            <w:tcW w:w="102" w:type="dxa"/>
            <w:tcBorders/>
            <w:shd w:fill="CCEEFF" w:val="clear"/>
            <w:vAlign w:val="bottom"/>
          </w:tcPr>
          <w:p>
            <w:pPr>
              <w:pStyle w:val="TableContents"/>
              <w:bidi w:val="0"/>
              <w:spacing w:before="0" w:after="0"/>
              <w:jc w:val="left"/>
              <w:rPr>
                <w:color w:val="000000"/>
              </w:rPr>
            </w:pPr>
            <w:r>
              <w:rPr>
                <w:color w:val="000000"/>
              </w:rPr>
              <w:t>)</w:t>
            </w:r>
          </w:p>
        </w:tc>
      </w:tr>
      <w:tr>
        <w:trPr/>
        <w:tc>
          <w:tcPr>
            <w:tcW w:w="2390" w:type="dxa"/>
            <w:tcBorders/>
            <w:vAlign w:val="bottom"/>
          </w:tcPr>
          <w:p>
            <w:pPr>
              <w:pStyle w:val="TableContents"/>
              <w:bidi w:val="0"/>
              <w:spacing w:before="0" w:after="0"/>
              <w:ind w:left="324" w:right="0" w:hanging="144"/>
              <w:jc w:val="left"/>
              <w:rPr>
                <w:color w:val="000000"/>
              </w:rPr>
            </w:pPr>
            <w:r>
              <w:rPr>
                <w:color w:val="000000"/>
              </w:rPr>
              <w:t>Bankcard expenses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5,557</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5,376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181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5,376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4,995</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381</w:t>
            </w:r>
          </w:p>
        </w:tc>
        <w:tc>
          <w:tcPr>
            <w:tcW w:w="102"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ind w:left="324" w:right="0" w:hanging="144"/>
              <w:jc w:val="left"/>
              <w:rPr>
                <w:color w:val="000000"/>
              </w:rPr>
            </w:pPr>
            <w:r>
              <w:rPr>
                <w:color w:val="000000"/>
              </w:rPr>
              <w:t>Appraisal expenses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1,087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1,747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color w:val="000000"/>
              </w:rPr>
            </w:pPr>
            <w:r>
              <w:rPr>
                <w:color w:val="000000"/>
              </w:rPr>
              <w:t>(660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1,747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color w:val="000000"/>
              </w:rPr>
            </w:pPr>
            <w:r>
              <w:rPr>
                <w:color w:val="000000"/>
              </w:rPr>
              <w:t>3,248</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0"/>
              <w:jc w:val="right"/>
              <w:rPr>
                <w:color w:val="000000"/>
              </w:rPr>
            </w:pPr>
            <w:r>
              <w:rPr>
                <w:color w:val="000000"/>
              </w:rPr>
              <w:t>(1,501</w:t>
            </w:r>
          </w:p>
        </w:tc>
        <w:tc>
          <w:tcPr>
            <w:tcW w:w="102" w:type="dxa"/>
            <w:tcBorders/>
            <w:shd w:fill="CCEEFF" w:val="clear"/>
            <w:vAlign w:val="bottom"/>
          </w:tcPr>
          <w:p>
            <w:pPr>
              <w:pStyle w:val="TableContents"/>
              <w:bidi w:val="0"/>
              <w:spacing w:before="0" w:after="0"/>
              <w:jc w:val="left"/>
              <w:rPr>
                <w:color w:val="000000"/>
              </w:rPr>
            </w:pPr>
            <w:r>
              <w:rPr>
                <w:color w:val="000000"/>
              </w:rPr>
              <w:t>)</w:t>
            </w:r>
          </w:p>
        </w:tc>
      </w:tr>
      <w:tr>
        <w:trPr/>
        <w:tc>
          <w:tcPr>
            <w:tcW w:w="2390" w:type="dxa"/>
            <w:tcBorders/>
            <w:vAlign w:val="bottom"/>
          </w:tcPr>
          <w:p>
            <w:pPr>
              <w:pStyle w:val="TableContents"/>
              <w:bidi w:val="0"/>
              <w:spacing w:before="0" w:after="0"/>
              <w:ind w:left="324" w:right="0" w:hanging="144"/>
              <w:jc w:val="left"/>
              <w:rPr>
                <w:color w:val="000000"/>
              </w:rPr>
            </w:pPr>
            <w:r>
              <w:rPr>
                <w:color w:val="000000"/>
              </w:rPr>
              <w:t>Realized loss on sale of securities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3,409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3,409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color w:val="000000"/>
              </w:rPr>
            </w:pPr>
            <w:r>
              <w:rPr>
                <w:color w:val="000000"/>
              </w:rPr>
              <w:t>—</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0"/>
              <w:jc w:val="right"/>
              <w:rPr>
                <w:color w:val="000000"/>
              </w:rPr>
            </w:pPr>
            <w:r>
              <w:rPr>
                <w:color w:val="000000"/>
              </w:rPr>
              <w:t>—</w:t>
            </w:r>
          </w:p>
        </w:tc>
        <w:tc>
          <w:tcPr>
            <w:tcW w:w="102"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Other expenses(1)</w:t>
            </w:r>
          </w:p>
        </w:tc>
        <w:tc>
          <w:tcPr>
            <w:tcW w:w="60"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16,118</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17,522</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(1,404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17,522</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17,883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(361</w:t>
            </w:r>
          </w:p>
        </w:tc>
        <w:tc>
          <w:tcPr>
            <w:tcW w:w="102" w:type="dxa"/>
            <w:tcBorders/>
            <w:shd w:fill="CCEEFF" w:val="clear"/>
            <w:vAlign w:val="bottom"/>
          </w:tcPr>
          <w:p>
            <w:pPr>
              <w:pStyle w:val="TableContents"/>
              <w:bidi w:val="0"/>
              <w:spacing w:before="0" w:after="0"/>
              <w:jc w:val="left"/>
              <w:rPr>
                <w:color w:val="000000"/>
              </w:rPr>
            </w:pPr>
            <w:r>
              <w:rPr>
                <w:color w:val="000000"/>
              </w:rPr>
              <w:t>)</w:t>
            </w:r>
          </w:p>
        </w:tc>
      </w:tr>
      <w:tr>
        <w:trPr/>
        <w:tc>
          <w:tcPr>
            <w:tcW w:w="2390" w:type="dxa"/>
            <w:tcBorders/>
            <w:vAlign w:val="bottom"/>
          </w:tcPr>
          <w:p>
            <w:pPr>
              <w:pStyle w:val="TableContents"/>
              <w:bidi w:val="0"/>
              <w:spacing w:before="0" w:after="0"/>
              <w:ind w:left="504" w:right="0" w:hanging="144"/>
              <w:jc w:val="left"/>
              <w:rPr>
                <w:color w:val="000000"/>
              </w:rPr>
            </w:pPr>
            <w:r>
              <w:rPr>
                <w:color w:val="000000"/>
              </w:rPr>
              <w:t>Total noninterest expense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0"/>
              <w:jc w:val="left"/>
              <w:rPr>
                <w:color w:val="000000"/>
              </w:rPr>
            </w:pPr>
            <w:r>
              <w:rPr>
                <w:color w:val="000000"/>
              </w:rPr>
              <w:t>$</w:t>
            </w:r>
          </w:p>
        </w:tc>
        <w:tc>
          <w:tcPr>
            <w:tcW w:w="818" w:type="dxa"/>
            <w:tcBorders/>
            <w:vAlign w:val="bottom"/>
          </w:tcPr>
          <w:p>
            <w:pPr>
              <w:pStyle w:val="TableContents"/>
              <w:bidi w:val="0"/>
              <w:spacing w:before="0" w:after="0"/>
              <w:jc w:val="right"/>
              <w:rPr>
                <w:color w:val="000000"/>
              </w:rPr>
            </w:pPr>
            <w:r>
              <w:rPr>
                <w:color w:val="000000"/>
              </w:rPr>
              <w:t>134,946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0"/>
              <w:jc w:val="left"/>
              <w:rPr>
                <w:color w:val="000000"/>
              </w:rPr>
            </w:pPr>
            <w:r>
              <w:rPr>
                <w:color w:val="000000"/>
              </w:rPr>
              <w:t>$</w:t>
            </w:r>
          </w:p>
        </w:tc>
        <w:tc>
          <w:tcPr>
            <w:tcW w:w="818" w:type="dxa"/>
            <w:tcBorders/>
            <w:vAlign w:val="bottom"/>
          </w:tcPr>
          <w:p>
            <w:pPr>
              <w:pStyle w:val="TableContents"/>
              <w:bidi w:val="0"/>
              <w:spacing w:before="0" w:after="0"/>
              <w:jc w:val="right"/>
              <w:rPr>
                <w:color w:val="000000"/>
              </w:rPr>
            </w:pPr>
            <w:r>
              <w:rPr>
                <w:color w:val="000000"/>
              </w:rPr>
              <w:t>144,089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0"/>
              <w:jc w:val="left"/>
              <w:rPr>
                <w:color w:val="000000"/>
              </w:rPr>
            </w:pPr>
            <w:r>
              <w:rPr>
                <w:color w:val="000000"/>
              </w:rPr>
              <w:t>$</w:t>
            </w:r>
          </w:p>
        </w:tc>
        <w:tc>
          <w:tcPr>
            <w:tcW w:w="1298" w:type="dxa"/>
            <w:tcBorders/>
            <w:vAlign w:val="bottom"/>
          </w:tcPr>
          <w:p>
            <w:pPr>
              <w:pStyle w:val="TableContents"/>
              <w:bidi w:val="0"/>
              <w:spacing w:before="0" w:after="0"/>
              <w:jc w:val="right"/>
              <w:rPr>
                <w:color w:val="000000"/>
              </w:rPr>
            </w:pPr>
            <w:r>
              <w:rPr>
                <w:color w:val="000000"/>
              </w:rPr>
              <w:t>(9,143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0"/>
              <w:jc w:val="left"/>
              <w:rPr>
                <w:color w:val="000000"/>
              </w:rPr>
            </w:pPr>
            <w:r>
              <w:rPr>
                <w:color w:val="000000"/>
              </w:rPr>
              <w:t>$</w:t>
            </w:r>
          </w:p>
        </w:tc>
        <w:tc>
          <w:tcPr>
            <w:tcW w:w="818" w:type="dxa"/>
            <w:tcBorders/>
            <w:vAlign w:val="bottom"/>
          </w:tcPr>
          <w:p>
            <w:pPr>
              <w:pStyle w:val="TableContents"/>
              <w:bidi w:val="0"/>
              <w:spacing w:before="0" w:after="0"/>
              <w:jc w:val="right"/>
              <w:rPr>
                <w:color w:val="000000"/>
              </w:rPr>
            </w:pPr>
            <w:r>
              <w:rPr>
                <w:color w:val="000000"/>
              </w:rPr>
              <w:t>144,089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0"/>
              <w:jc w:val="left"/>
              <w:rPr>
                <w:color w:val="000000"/>
              </w:rPr>
            </w:pPr>
            <w:r>
              <w:rPr>
                <w:color w:val="000000"/>
              </w:rPr>
              <w:t>$</w:t>
            </w:r>
          </w:p>
        </w:tc>
        <w:tc>
          <w:tcPr>
            <w:tcW w:w="818" w:type="dxa"/>
            <w:tcBorders/>
            <w:vAlign w:val="bottom"/>
          </w:tcPr>
          <w:p>
            <w:pPr>
              <w:pStyle w:val="TableContents"/>
              <w:bidi w:val="0"/>
              <w:spacing w:before="0" w:after="0"/>
              <w:jc w:val="right"/>
              <w:rPr>
                <w:color w:val="000000"/>
              </w:rPr>
            </w:pPr>
            <w:r>
              <w:rPr>
                <w:color w:val="000000"/>
              </w:rPr>
              <w:t>148,030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0"/>
              <w:jc w:val="left"/>
              <w:rPr>
                <w:color w:val="000000"/>
              </w:rPr>
            </w:pPr>
            <w:r>
              <w:rPr>
                <w:color w:val="000000"/>
              </w:rPr>
              <w:t>$</w:t>
            </w:r>
          </w:p>
        </w:tc>
        <w:tc>
          <w:tcPr>
            <w:tcW w:w="1298" w:type="dxa"/>
            <w:tcBorders/>
            <w:vAlign w:val="bottom"/>
          </w:tcPr>
          <w:p>
            <w:pPr>
              <w:pStyle w:val="TableContents"/>
              <w:bidi w:val="0"/>
              <w:spacing w:before="0" w:after="0"/>
              <w:jc w:val="right"/>
              <w:rPr>
                <w:color w:val="000000"/>
              </w:rPr>
            </w:pPr>
            <w:r>
              <w:rPr>
                <w:color w:val="000000"/>
              </w:rPr>
              <w:t>(3,941</w:t>
            </w:r>
          </w:p>
        </w:tc>
        <w:tc>
          <w:tcPr>
            <w:tcW w:w="102"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color w:val="000000"/>
              </w:rPr>
            </w:pPr>
            <w:r>
              <w:rPr>
                <w:color w:val="000000"/>
              </w:rPr>
              <w:t>(1)</w:t>
            </w:r>
          </w:p>
        </w:tc>
        <w:tc>
          <w:tcPr>
            <w:tcW w:w="9922" w:type="dxa"/>
            <w:tcBorders/>
            <w:vAlign w:val="center"/>
          </w:tcPr>
          <w:p>
            <w:pPr>
              <w:pStyle w:val="TableContents"/>
              <w:bidi w:val="0"/>
              <w:spacing w:before="0" w:after="0"/>
              <w:jc w:val="both"/>
              <w:rPr>
                <w:color w:val="000000"/>
              </w:rPr>
            </w:pPr>
            <w:r>
              <w:rPr>
                <w:color w:val="000000"/>
              </w:rPr>
              <w:t>Other expenses include items such as banking regulatory assessments, telephone expenses, postage, courier fees, directors’ fees, and insurance.</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2023 compared to Year Ended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expense for the year ended December 31, 2023 was $134.9 million compared to $144.1 million for the year ended December 31, 2022, a decrease of $9.1 million, or 6.3%. Significant changes in the components of noninterest expense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Salaries and employee benefits</w:t>
      </w:r>
      <w:r>
        <w:rPr>
          <w:rFonts w:ascii="Times New Roman" w:hAnsi="Times New Roman"/>
          <w:color w:val="000000"/>
          <w:sz w:val="20"/>
          <w:shd w:fill="FFFFFF" w:val="clear"/>
        </w:rPr>
        <w:t xml:space="preserve"> - Salaries and employee benefits decreased $6.9 million, or 8.0%, from $86.3 million for the year ended December 31, 2022 to $79.4 million for the year ended December 31, 2023. This was primarily driven by approximately $6.7 million in lower mortgage personnel costs, due to the reduction in mortgage loan originations and operations. Also, there was lower core Windmark personnel costs of $4.5 million due to the sale, partially offset by Windmark transaction and related incentive-based compensation expenses incurred in the first and second quarters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Professional services</w:t>
      </w:r>
      <w:r>
        <w:rPr>
          <w:rFonts w:ascii="Times New Roman" w:hAnsi="Times New Roman"/>
          <w:color w:val="000000"/>
          <w:sz w:val="20"/>
          <w:shd w:fill="FFFFFF" w:val="clear"/>
        </w:rPr>
        <w:t xml:space="preserve"> - Professional services decreased $3.3 million for the year ended December 31, 2023, as compared to the same period in 2022, primarily from a reduction of $2.7 million in legal fees incurred largely as a result of a vendor dispute, which was resolved and accounted for by the end of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Loss on sale of securities</w:t>
      </w:r>
      <w:r>
        <w:rPr>
          <w:rFonts w:ascii="Times New Roman" w:hAnsi="Times New Roman"/>
          <w:color w:val="000000"/>
          <w:sz w:val="20"/>
          <w:shd w:fill="FFFFFF" w:val="clear"/>
        </w:rPr>
        <w:t xml:space="preserve"> - The Company sold approximately $56.2 million of available for sale securities in the second quarter of 2023. This resulted in a loss on sale of $3.4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expenses</w:t>
      </w:r>
      <w:r>
        <w:rPr>
          <w:rFonts w:ascii="Times New Roman" w:hAnsi="Times New Roman"/>
          <w:color w:val="000000"/>
          <w:sz w:val="20"/>
          <w:shd w:fill="FFFFFF" w:val="clear"/>
        </w:rPr>
        <w:t xml:space="preserve"> – Other noninterest expenses declined $1.4 million in the current year primarily from reduced expenses from mortgage operations, as mortgage originations declined, and Windmark expenses, due to the sale. Additionally, the FDIC assessment increased approximately $636 thousand as the assessment rates charged by the FDIC were increased as well as growth in the assessment base for the year ended December 31, 2023 as compared to the same period in 2022.</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Year Ended December 31, 2022 compared to Year Ended December 31, 2021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expense for the year ended December 31, 2022 was $144.1 million compared to $148.0 million for the year ended December 31, 2021, a decrease of $3.9 million, or 2.7%.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Salaries and employee benefits</w:t>
      </w:r>
      <w:r>
        <w:rPr>
          <w:rFonts w:ascii="Times New Roman" w:hAnsi="Times New Roman"/>
          <w:color w:val="000000"/>
          <w:sz w:val="20"/>
          <w:shd w:fill="FFFFFF" w:val="clear"/>
        </w:rPr>
        <w:t xml:space="preserve"> - Salaries and employee benefits decreased $7.0 million, or 7.5%, from $93.4 million for the December 31, 2021 to $86.3 million for the year ended December 31, 2022. This decrease in salaries and employee benefits expense was primarily driven by lower mortgage commissions of $10.3 million and reduced related supporting personnel expenses due to the contraction in mortgage loan originations, partially offset by an increase of $1.0 million in variable insurance commission expense and additional expense for commercial lenders hired as part of a planned initiative.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Occupancy expense, net</w:t>
      </w:r>
      <w:r>
        <w:rPr>
          <w:rFonts w:ascii="Times New Roman" w:hAnsi="Times New Roman"/>
          <w:color w:val="000000"/>
          <w:sz w:val="20"/>
          <w:shd w:fill="FFFFFF" w:val="clear"/>
        </w:rPr>
        <w:t xml:space="preserve"> - There was a rise of $1.4 million in occupancy expense primarily related to property repair and maintenance on banking house properties for the year ended December 31, 2022, compared to the same period in 2021.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Professional services</w:t>
      </w:r>
      <w:r>
        <w:rPr>
          <w:rFonts w:ascii="Times New Roman" w:hAnsi="Times New Roman"/>
          <w:color w:val="000000"/>
          <w:sz w:val="20"/>
          <w:shd w:fill="FFFFFF" w:val="clear"/>
        </w:rPr>
        <w:t xml:space="preserve"> - Professional services increased $3.0 million for the year ended December 31, 2022, compared to the same period in 2021. The increase was largely attributable to additional legal fees of $2.6 million as a result of vendor dispute legal proceedings and other legal matters.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Appraisal expenses</w:t>
      </w:r>
      <w:r>
        <w:rPr>
          <w:rFonts w:ascii="Times New Roman" w:hAnsi="Times New Roman"/>
          <w:color w:val="000000"/>
          <w:sz w:val="20"/>
          <w:shd w:fill="FFFFFF" w:val="clear"/>
        </w:rPr>
        <w:t xml:space="preserve"> – Appraisal expenses declined $1.5 million for the year ended December 31, 2022, compared to the same period in 2021 primarily as a result of the overall decline in new mortgage loan originations.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total assets increased $260.7 million, or 6.6%, to $4.20 billion at December 31, 2023 as compared to $3.94 billion at December 31, 2022. Our loans held for investment increased $266.1 million, or 9.7%, to $3.01 billion at December 31, 2023, compared to $2.75 billion at December 31, 2022. Total deposits increased $219.7 million, or 6.5% to $3.63 billion at December 31, 2023, compared to $3.41 billion at December 31, 2022. The increase in loans was primarily the continued result of organic growth of the Company from strong loan demand. The growth in deposits came both organically and from brokered deposits.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Loan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investments increased $266.1 million, or 9.7%, to $3.01 billion at December 31, 2023 as compared to $2.75 billion at December 31, 2022. This increase in our loans was primarily the result of organic net loan growth based on strong loan demand. The organic loan growth remained relationship-focused and occurred primarily in commercial real estate loans, residential mortgage loans, and commercial loans, partially offset by decreases in consumer auto loans and residential construction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contractual maturities of our loans held for investment portfolio at December 31, 2023:</w:t>
      </w:r>
    </w:p>
    <w:p>
      <w:pPr>
        <w:pStyle w:val="TextBody"/>
        <w:bidi w:val="0"/>
        <w:spacing w:before="0" w:after="0"/>
        <w:jc w:val="left"/>
        <w:rPr/>
      </w:pPr>
      <w:r>
        <w:rPr/>
      </w:r>
    </w:p>
    <w:tbl>
      <w:tblPr>
        <w:tblW w:w="9736" w:type="dxa"/>
        <w:jc w:val="left"/>
        <w:tblInd w:w="0" w:type="dxa"/>
        <w:tblLayout w:type="fixed"/>
        <w:tblCellMar>
          <w:top w:w="0" w:type="dxa"/>
          <w:left w:w="0" w:type="dxa"/>
          <w:bottom w:w="0" w:type="dxa"/>
          <w:right w:w="0" w:type="dxa"/>
        </w:tblCellMar>
      </w:tblPr>
      <w:tblGrid>
        <w:gridCol w:w="2405"/>
        <w:gridCol w:w="60"/>
        <w:gridCol w:w="192"/>
        <w:gridCol w:w="1102"/>
        <w:gridCol w:w="60"/>
        <w:gridCol w:w="60"/>
        <w:gridCol w:w="182"/>
        <w:gridCol w:w="1277"/>
        <w:gridCol w:w="60"/>
        <w:gridCol w:w="60"/>
        <w:gridCol w:w="219"/>
        <w:gridCol w:w="1255"/>
        <w:gridCol w:w="60"/>
        <w:gridCol w:w="60"/>
        <w:gridCol w:w="206"/>
        <w:gridCol w:w="1178"/>
        <w:gridCol w:w="60"/>
        <w:gridCol w:w="60"/>
        <w:gridCol w:w="140"/>
        <w:gridCol w:w="980"/>
        <w:gridCol w:w="60"/>
      </w:tblGrid>
      <w:tr>
        <w:trPr/>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One Year or</w:t>
            </w:r>
          </w:p>
          <w:p>
            <w:pPr>
              <w:pStyle w:val="TableContents"/>
              <w:bidi w:val="0"/>
              <w:spacing w:before="0" w:after="0"/>
              <w:jc w:val="center"/>
              <w:rPr>
                <w:b/>
                <w:color w:val="000000"/>
              </w:rPr>
            </w:pPr>
            <w:r>
              <w:rPr>
                <w:b/>
                <w:color w:val="000000"/>
              </w:rPr>
              <w:t>Less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w:t>
            </w:r>
          </w:p>
          <w:p>
            <w:pPr>
              <w:pStyle w:val="TableContents"/>
              <w:bidi w:val="0"/>
              <w:spacing w:before="0" w:after="0"/>
              <w:jc w:val="center"/>
              <w:rPr>
                <w:b/>
                <w:color w:val="000000"/>
              </w:rPr>
            </w:pPr>
            <w:r>
              <w:rPr>
                <w:b/>
                <w:color w:val="000000"/>
              </w:rPr>
              <w:t>Year</w:t>
            </w:r>
          </w:p>
          <w:p>
            <w:pPr>
              <w:pStyle w:val="TableContents"/>
              <w:bidi w:val="0"/>
              <w:spacing w:before="0" w:after="0"/>
              <w:jc w:val="center"/>
              <w:rPr>
                <w:b/>
                <w:color w:val="000000"/>
              </w:rPr>
            </w:pPr>
            <w:r>
              <w:rPr>
                <w:b/>
                <w:color w:val="000000"/>
              </w:rPr>
              <w:t>Through Five</w:t>
            </w:r>
          </w:p>
          <w:p>
            <w:pPr>
              <w:pStyle w:val="TableContents"/>
              <w:bidi w:val="0"/>
              <w:spacing w:before="0" w:after="0"/>
              <w:jc w:val="center"/>
              <w:rPr>
                <w:b/>
                <w:color w:val="000000"/>
              </w:rPr>
            </w:pPr>
            <w:r>
              <w:rPr>
                <w:b/>
                <w:color w:val="000000"/>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w:t>
            </w:r>
          </w:p>
          <w:p>
            <w:pPr>
              <w:pStyle w:val="TableContents"/>
              <w:bidi w:val="0"/>
              <w:spacing w:before="0" w:after="0"/>
              <w:jc w:val="center"/>
              <w:rPr>
                <w:b/>
                <w:color w:val="000000"/>
              </w:rPr>
            </w:pPr>
            <w:r>
              <w:rPr>
                <w:b/>
                <w:color w:val="000000"/>
              </w:rPr>
              <w:t>Years</w:t>
            </w:r>
          </w:p>
          <w:p>
            <w:pPr>
              <w:pStyle w:val="TableContents"/>
              <w:bidi w:val="0"/>
              <w:spacing w:before="0" w:after="0"/>
              <w:jc w:val="center"/>
              <w:rPr>
                <w:b/>
                <w:color w:val="000000"/>
              </w:rPr>
            </w:pPr>
            <w:r>
              <w:rPr>
                <w:b/>
                <w:color w:val="000000"/>
              </w:rPr>
              <w:t>Through</w:t>
            </w:r>
          </w:p>
          <w:p>
            <w:pPr>
              <w:pStyle w:val="TableContents"/>
              <w:bidi w:val="0"/>
              <w:spacing w:before="0" w:after="0"/>
              <w:jc w:val="center"/>
              <w:rPr>
                <w:b/>
                <w:color w:val="000000"/>
              </w:rPr>
            </w:pPr>
            <w:r>
              <w:rPr>
                <w:b/>
                <w:color w:val="000000"/>
              </w:rPr>
              <w:t>Fifteen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Fifteen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60" w:type="dxa"/>
            <w:tcBorders/>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1" w:type="dxa"/>
            <w:gridSpan w:val="18"/>
            <w:tcBorders/>
            <w:vAlign w:val="bottom"/>
          </w:tcPr>
          <w:p>
            <w:pPr>
              <w:pStyle w:val="TableContents"/>
              <w:bidi w:val="0"/>
              <w:spacing w:before="0" w:after="0"/>
              <w:jc w:val="center"/>
              <w:rPr>
                <w:b/>
                <w:color w:val="000000"/>
              </w:rPr>
            </w:pPr>
            <w:r>
              <w:rPr>
                <w:b/>
                <w:color w:val="000000"/>
              </w:rPr>
              <w:t>(Dollars in thousands)</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1102" w:type="dxa"/>
            <w:tcBorders/>
            <w:shd w:fill="CCEEFF" w:val="clear"/>
            <w:vAlign w:val="bottom"/>
          </w:tcPr>
          <w:p>
            <w:pPr>
              <w:pStyle w:val="TableContents"/>
              <w:bidi w:val="0"/>
              <w:spacing w:before="0" w:after="0"/>
              <w:jc w:val="right"/>
              <w:rPr>
                <w:color w:val="000000"/>
              </w:rPr>
            </w:pPr>
            <w:r>
              <w:rPr>
                <w:color w:val="000000"/>
              </w:rPr>
              <w:t>110,563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color w:val="000000"/>
              </w:rPr>
            </w:pPr>
            <w:r>
              <w:rPr>
                <w:color w:val="000000"/>
              </w:rPr>
              <w:t>$</w:t>
            </w:r>
          </w:p>
        </w:tc>
        <w:tc>
          <w:tcPr>
            <w:tcW w:w="1277" w:type="dxa"/>
            <w:tcBorders/>
            <w:shd w:fill="CCEEFF" w:val="clear"/>
            <w:vAlign w:val="bottom"/>
          </w:tcPr>
          <w:p>
            <w:pPr>
              <w:pStyle w:val="TableContents"/>
              <w:bidi w:val="0"/>
              <w:spacing w:before="0" w:after="0"/>
              <w:jc w:val="right"/>
              <w:rPr>
                <w:color w:val="000000"/>
              </w:rPr>
            </w:pPr>
            <w:r>
              <w:rPr>
                <w:color w:val="000000"/>
              </w:rPr>
              <w:t>597,520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0"/>
              <w:jc w:val="left"/>
              <w:rPr>
                <w:color w:val="000000"/>
              </w:rPr>
            </w:pPr>
            <w:r>
              <w:rPr>
                <w:color w:val="000000"/>
              </w:rPr>
              <w:t>$</w:t>
            </w:r>
          </w:p>
        </w:tc>
        <w:tc>
          <w:tcPr>
            <w:tcW w:w="1255" w:type="dxa"/>
            <w:tcBorders/>
            <w:shd w:fill="CCEEFF" w:val="clear"/>
            <w:vAlign w:val="bottom"/>
          </w:tcPr>
          <w:p>
            <w:pPr>
              <w:pStyle w:val="TableContents"/>
              <w:bidi w:val="0"/>
              <w:spacing w:before="0" w:after="0"/>
              <w:jc w:val="right"/>
              <w:rPr>
                <w:color w:val="000000"/>
              </w:rPr>
            </w:pPr>
            <w:r>
              <w:rPr>
                <w:color w:val="000000"/>
              </w:rPr>
              <w:t>288,569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1178" w:type="dxa"/>
            <w:tcBorders/>
            <w:shd w:fill="CCEEFF" w:val="clear"/>
            <w:vAlign w:val="bottom"/>
          </w:tcPr>
          <w:p>
            <w:pPr>
              <w:pStyle w:val="TableContents"/>
              <w:bidi w:val="0"/>
              <w:spacing w:before="0" w:after="0"/>
              <w:jc w:val="right"/>
              <w:rPr>
                <w:color w:val="000000"/>
              </w:rPr>
            </w:pPr>
            <w:r>
              <w:rPr>
                <w:color w:val="000000"/>
              </w:rPr>
              <w:t>84,404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1,081,056</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0"/>
              <w:jc w:val="right"/>
              <w:rPr>
                <w:color w:val="000000"/>
              </w:rPr>
            </w:pPr>
            <w:r>
              <w:rPr>
                <w:color w:val="000000"/>
              </w:rPr>
              <w:t>130,836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0"/>
              <w:jc w:val="right"/>
              <w:rPr>
                <w:color w:val="000000"/>
              </w:rPr>
            </w:pPr>
            <w:r>
              <w:rPr>
                <w:color w:val="000000"/>
              </w:rPr>
              <w:t>115,520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74,148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color w:val="000000"/>
              </w:rPr>
            </w:pPr>
            <w:r>
              <w:rPr>
                <w:color w:val="000000"/>
              </w:rPr>
              <w:t>51,872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372,376</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0"/>
              <w:jc w:val="right"/>
              <w:rPr>
                <w:color w:val="000000"/>
              </w:rPr>
            </w:pPr>
            <w:r>
              <w:rPr>
                <w:color w:val="000000"/>
              </w:rPr>
              <w:t>77,012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0"/>
              <w:jc w:val="right"/>
              <w:rPr>
                <w:color w:val="000000"/>
              </w:rPr>
            </w:pPr>
            <w:r>
              <w:rPr>
                <w:color w:val="000000"/>
              </w:rPr>
              <w:t>166,654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color w:val="000000"/>
              </w:rPr>
            </w:pPr>
            <w:r>
              <w:rPr>
                <w:color w:val="000000"/>
              </w:rPr>
              <w:t>149,795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color w:val="000000"/>
              </w:rPr>
            </w:pPr>
            <w:r>
              <w:rPr>
                <w:color w:val="000000"/>
              </w:rPr>
              <w:t>123,900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517,361</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0"/>
              <w:jc w:val="right"/>
              <w:rPr>
                <w:color w:val="000000"/>
              </w:rPr>
            </w:pPr>
            <w:r>
              <w:rPr>
                <w:color w:val="000000"/>
              </w:rPr>
              <w:t>32,425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0"/>
              <w:jc w:val="right"/>
              <w:rPr>
                <w:color w:val="000000"/>
              </w:rPr>
            </w:pPr>
            <w:r>
              <w:rPr>
                <w:color w:val="000000"/>
              </w:rPr>
              <w:t>92,820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color w:val="000000"/>
              </w:rPr>
            </w:pPr>
            <w:r>
              <w:rPr>
                <w:color w:val="000000"/>
              </w:rPr>
              <w:t>80,478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color w:val="000000"/>
              </w:rPr>
            </w:pPr>
            <w:r>
              <w:rPr>
                <w:color w:val="000000"/>
              </w:rPr>
              <w:t>329,008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534,731</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32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0"/>
              <w:jc w:val="right"/>
              <w:rPr>
                <w:color w:val="000000"/>
              </w:rPr>
            </w:pPr>
            <w:r>
              <w:rPr>
                <w:color w:val="000000"/>
              </w:rPr>
              <w:t>3,074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0"/>
              <w:jc w:val="right"/>
              <w:rPr>
                <w:color w:val="000000"/>
              </w:rPr>
            </w:pPr>
            <w:r>
              <w:rPr>
                <w:color w:val="000000"/>
              </w:rPr>
              <w:t>192,825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0"/>
              <w:jc w:val="right"/>
              <w:rPr>
                <w:color w:val="000000"/>
              </w:rPr>
            </w:pPr>
            <w:r>
              <w:rPr>
                <w:color w:val="000000"/>
              </w:rPr>
              <w:t>109,372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305,271</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0"/>
              <w:jc w:val="right"/>
              <w:rPr>
                <w:color w:val="000000"/>
              </w:rPr>
            </w:pPr>
            <w:r>
              <w:rPr>
                <w:color w:val="000000"/>
              </w:rPr>
              <w:t>8,487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0"/>
              <w:jc w:val="right"/>
              <w:rPr>
                <w:color w:val="000000"/>
              </w:rPr>
            </w:pPr>
            <w:r>
              <w:rPr>
                <w:color w:val="000000"/>
              </w:rPr>
              <w:t>46,961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0"/>
              <w:jc w:val="right"/>
              <w:rPr>
                <w:color w:val="000000"/>
              </w:rPr>
            </w:pPr>
            <w:r>
              <w:rPr>
                <w:color w:val="000000"/>
              </w:rPr>
              <w:t>18,720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74,168</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108,663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15,072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129,190</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Total loans</w:t>
            </w:r>
          </w:p>
        </w:tc>
        <w:tc>
          <w:tcPr>
            <w:tcW w:w="6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471,060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1,227,372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722,406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7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593,315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3,014,153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the distribution between fixed and adjustable interest rate loans for maturities greater than one year as of December 31, 2023:</w:t>
      </w:r>
    </w:p>
    <w:p>
      <w:pPr>
        <w:pStyle w:val="TextBody"/>
        <w:bidi w:val="0"/>
        <w:spacing w:before="0" w:after="0"/>
        <w:jc w:val="left"/>
        <w:rPr/>
      </w:pPr>
      <w:r>
        <w:rPr/>
      </w:r>
    </w:p>
    <w:tbl>
      <w:tblPr>
        <w:tblW w:w="4895" w:type="dxa"/>
        <w:jc w:val="left"/>
        <w:tblInd w:w="0" w:type="dxa"/>
        <w:tblLayout w:type="fixed"/>
        <w:tblCellMar>
          <w:top w:w="0" w:type="dxa"/>
          <w:left w:w="0" w:type="dxa"/>
          <w:bottom w:w="0" w:type="dxa"/>
          <w:right w:w="0" w:type="dxa"/>
        </w:tblCellMar>
      </w:tblPr>
      <w:tblGrid>
        <w:gridCol w:w="2405"/>
        <w:gridCol w:w="60"/>
        <w:gridCol w:w="140"/>
        <w:gridCol w:w="980"/>
        <w:gridCol w:w="60"/>
        <w:gridCol w:w="60"/>
        <w:gridCol w:w="141"/>
        <w:gridCol w:w="989"/>
        <w:gridCol w:w="60"/>
      </w:tblGrid>
      <w:tr>
        <w:trPr/>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Fixed</w:t>
            </w:r>
          </w:p>
          <w:p>
            <w:pPr>
              <w:pStyle w:val="TableContents"/>
              <w:bidi w:val="0"/>
              <w:spacing w:before="0" w:after="0"/>
              <w:jc w:val="center"/>
              <w:rPr>
                <w:b/>
                <w:color w:val="000000"/>
              </w:rPr>
            </w:pPr>
            <w:r>
              <w:rPr>
                <w:b/>
                <w:color w:val="000000"/>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Adjustable</w:t>
            </w:r>
          </w:p>
          <w:p>
            <w:pPr>
              <w:pStyle w:val="TableContents"/>
              <w:bidi w:val="0"/>
              <w:spacing w:before="0" w:after="0"/>
              <w:jc w:val="center"/>
              <w:rPr>
                <w:b/>
                <w:color w:val="000000"/>
              </w:rPr>
            </w:pPr>
            <w:r>
              <w:rPr>
                <w:b/>
                <w:color w:val="000000"/>
              </w:rPr>
              <w:t>Rate</w:t>
            </w:r>
          </w:p>
        </w:tc>
        <w:tc>
          <w:tcPr>
            <w:tcW w:w="60" w:type="dxa"/>
            <w:tcBorders/>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0" w:type="dxa"/>
            <w:gridSpan w:val="6"/>
            <w:tcBorders/>
            <w:vAlign w:val="bottom"/>
          </w:tcPr>
          <w:p>
            <w:pPr>
              <w:pStyle w:val="TableContents"/>
              <w:bidi w:val="0"/>
              <w:spacing w:before="0" w:after="0"/>
              <w:jc w:val="center"/>
              <w:rPr>
                <w:b/>
                <w:color w:val="000000"/>
              </w:rPr>
            </w:pPr>
            <w:r>
              <w:rPr>
                <w:b/>
                <w:color w:val="000000"/>
              </w:rPr>
              <w:t>(Dollars in thousands)</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438,873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989" w:type="dxa"/>
            <w:tcBorders/>
            <w:shd w:fill="CCEEFF" w:val="clear"/>
            <w:vAlign w:val="bottom"/>
          </w:tcPr>
          <w:p>
            <w:pPr>
              <w:pStyle w:val="TableContents"/>
              <w:bidi w:val="0"/>
              <w:spacing w:before="0" w:after="0"/>
              <w:jc w:val="right"/>
              <w:rPr>
                <w:color w:val="000000"/>
              </w:rPr>
            </w:pPr>
            <w:r>
              <w:rPr>
                <w:color w:val="000000"/>
              </w:rPr>
              <w:t>531,620</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90,848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150,692</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160,529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279,820</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307,699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194,607</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32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302,197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65,681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9,415</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Total loans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1,376,939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1,166,154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At December 31, 2023, there was $1.48 billion in adjustable rate loans, with $727.3 million of these loans that mature or reprice in the next twelve months. Of these loans that mature or reprice in the next twelve months, $484.7 million will reprice immediately upon changes in the underlying index rate, with the remaining $242.6 million being subject to rate ceilings, floors above the current index, or a future repricing date.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is the predominate index used by the Bank.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is primarily involved in real estate, commercial, agricultural and consumer lending activities with customers throughout Texas and Eastern New Mexico. We have a collateral concentration as 72.7% of our loans were secured by real property as of December 31, 2023, compared to 69.8% as of December 31, 2022.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40.1% of loans held for investment as of December 31, 2023 and represented 38.7% of loans held for investment as of December 31, 2022. Further, these loans are geographically diversified, primarily throughout the state of Texas as well as Eastern New Mexico.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Real Estate</w:t>
      </w:r>
      <w:r>
        <w:rPr>
          <w:rFonts w:ascii="Times New Roman" w:hAnsi="Times New Roman"/>
          <w:color w:val="000000"/>
          <w:sz w:val="20"/>
          <w:shd w:fill="FFFFFF" w:val="clear"/>
        </w:rPr>
        <w:t>. Our commercial real estate portfolio includes loans for commercial property that is owned by real 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real estate loans increased $161.7 million, or 17.6%, to $1.08 billion as of December 31, 2023 from $919.4 million as of December 31, 2022. The increase was primarily driven by an increase of $52.0 million in commercial and residential land development loans, an increase of $57.7 million in multi-family property loans, and an increase of $66.8 million in office, commercial and retail tenant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 General and Specialized</w:t>
      </w:r>
      <w:r>
        <w:rPr>
          <w:rFonts w:ascii="Times New Roman" w:hAnsi="Times New Roman"/>
          <w:color w:val="000000"/>
          <w:sz w:val="20"/>
          <w:shd w:fill="FFFFFF" w:val="clear"/>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general loans increased $32.6 million, or 6.7%, to $517.4 million as of December 31, 2023 from $484.8 million as of December 31, 2022. The increase in commercial general loans was primarily due to organic loan growth in other industry loans of $49.7 million, partially offset by a decrease of $18.6 million in construction company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specialized loans increased $44.9 million, or 13.7%, to $372.4 million as of December 31, 2023 from $327.5 million as of December 31, 2022. This increase was primarily due to growth of $38.3 million in seasonal agricultural production loans and farmland loans and an increase of $25.5 million in direct energy loans, partially offset by a reduction of $19.3 million in finance, investment, and insurance loans.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Consumer</w:t>
      </w:r>
      <w:r>
        <w:rPr>
          <w:rFonts w:ascii="Times New Roman" w:hAnsi="Times New Roman"/>
          <w:color w:val="000000"/>
          <w:sz w:val="20"/>
          <w:shd w:fill="FFFFFF" w:val="clear"/>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Consumer and other loans increased $51.3 million, or 5.9%, to $914.2 million as of December 31, 2023, from $862.9 million as of December 31, 2022. The increase in these loans was primarily a result of a $74.6 million increase in residential mortgage loans, partially offset by a reduction of $16.2 million in consumer auto loans. As of December 31, 2023, our consumer loan portfolio was comprised of $534.7 million in 1-4 family residential loans, $305.3 million in auto loans, and $74.2 million in other consumer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Construction</w:t>
      </w:r>
      <w:r>
        <w:rPr>
          <w:rFonts w:ascii="Times New Roman" w:hAnsi="Times New Roman"/>
          <w:color w:val="000000"/>
          <w:sz w:val="20"/>
          <w:shd w:fill="FFFFFF" w:val="clear"/>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Construction loans decreased $24.3 million, or 15.8%, to $129.2 million as of December 31, 2023 from $153.5 million as of December 31, 2022. The decrease resulted from reduced demand for residential construction as interest rate levels remained elevated and projects were completed and sold.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Non-owner occupied office real estate loans are included in commercial real estate loans and totaled $131.9 million at December 31, 2023. Owner occupied office real estate loans are included in commercial loans and totaled $56.9 million at December 31,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commitments we have made as of the dates presented.</w:t>
      </w:r>
    </w:p>
    <w:p>
      <w:pPr>
        <w:pStyle w:val="TextBody"/>
        <w:bidi w:val="0"/>
        <w:spacing w:before="0" w:after="0"/>
        <w:jc w:val="left"/>
        <w:rPr/>
      </w:pPr>
      <w:r>
        <w:rPr/>
      </w:r>
    </w:p>
    <w:tbl>
      <w:tblPr>
        <w:tblW w:w="9667" w:type="dxa"/>
        <w:jc w:val="left"/>
        <w:tblInd w:w="0" w:type="dxa"/>
        <w:tblLayout w:type="fixed"/>
        <w:tblCellMar>
          <w:top w:w="0" w:type="dxa"/>
          <w:left w:w="0" w:type="dxa"/>
          <w:bottom w:w="0" w:type="dxa"/>
          <w:right w:w="0" w:type="dxa"/>
        </w:tblCellMar>
      </w:tblPr>
      <w:tblGrid>
        <w:gridCol w:w="7295"/>
        <w:gridCol w:w="60"/>
        <w:gridCol w:w="157"/>
        <w:gridCol w:w="902"/>
        <w:gridCol w:w="67"/>
        <w:gridCol w:w="67"/>
        <w:gridCol w:w="157"/>
        <w:gridCol w:w="902"/>
        <w:gridCol w:w="60"/>
      </w:tblGrid>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60" w:type="dxa"/>
            <w:tcBorders/>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2" w:type="dxa"/>
            <w:gridSpan w:val="6"/>
            <w:tcBorders/>
            <w:vAlign w:val="bottom"/>
          </w:tcPr>
          <w:p>
            <w:pPr>
              <w:pStyle w:val="TableContents"/>
              <w:bidi w:val="0"/>
              <w:spacing w:before="0" w:after="0"/>
              <w:jc w:val="center"/>
              <w:rPr>
                <w:b/>
                <w:color w:val="000000"/>
              </w:rPr>
            </w:pPr>
            <w:r>
              <w:rPr>
                <w:b/>
                <w:color w:val="000000"/>
              </w:rPr>
              <w:t>(Dollars in thousands)</w:t>
            </w:r>
          </w:p>
        </w:tc>
        <w:tc>
          <w:tcPr>
            <w:tcW w:w="60"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000000"/>
              </w:rPr>
            </w:pPr>
            <w:r>
              <w:rPr>
                <w:color w:val="000000"/>
              </w:rPr>
              <w:t>Commitments to grant loans and unfunded commitments under lines of credit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902" w:type="dxa"/>
            <w:tcBorders/>
            <w:shd w:fill="CCEEFF" w:val="clear"/>
            <w:vAlign w:val="bottom"/>
          </w:tcPr>
          <w:p>
            <w:pPr>
              <w:pStyle w:val="TableContents"/>
              <w:bidi w:val="0"/>
              <w:spacing w:before="0" w:after="0"/>
              <w:jc w:val="right"/>
              <w:rPr>
                <w:color w:val="000000"/>
              </w:rPr>
            </w:pPr>
            <w:r>
              <w:rPr>
                <w:color w:val="000000"/>
              </w:rPr>
              <w:t>598,800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902" w:type="dxa"/>
            <w:tcBorders/>
            <w:shd w:fill="CCEEFF" w:val="clear"/>
            <w:vAlign w:val="bottom"/>
          </w:tcPr>
          <w:p>
            <w:pPr>
              <w:pStyle w:val="TableContents"/>
              <w:bidi w:val="0"/>
              <w:spacing w:before="0" w:after="0"/>
              <w:jc w:val="right"/>
              <w:rPr>
                <w:color w:val="000000"/>
              </w:rPr>
            </w:pPr>
            <w:r>
              <w:rPr>
                <w:color w:val="000000"/>
              </w:rPr>
              <w:t>682,296</w:t>
            </w:r>
          </w:p>
        </w:tc>
        <w:tc>
          <w:tcPr>
            <w:tcW w:w="60"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000000"/>
              </w:rPr>
            </w:pPr>
            <w:r>
              <w:rPr>
                <w:color w:val="000000"/>
              </w:rPr>
              <w:t>Standby letters of credit</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11,503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13,864</w:t>
            </w:r>
          </w:p>
        </w:tc>
        <w:tc>
          <w:tcPr>
            <w:tcW w:w="60"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324" w:right="0" w:hanging="144"/>
              <w:jc w:val="left"/>
              <w:rPr>
                <w:color w:val="000000"/>
              </w:rPr>
            </w:pPr>
            <w:r>
              <w:rPr>
                <w:color w:val="000000"/>
              </w:rPr>
              <w:t>Total</w:t>
            </w:r>
          </w:p>
        </w:tc>
        <w:tc>
          <w:tcPr>
            <w:tcW w:w="60"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610,303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696,160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Allowance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discussed in Note 1 - Summary of Significant Accounting Policies in the accompanying notes to consolidated financial statements, our policies and procedures related to accounting for credit losses changed effective January 1, 2023, as we adopted the accounting standard update as codified in Accounting Standards Codification (“ASC”) Topic 326 (“ASC 326”) Financial Instruments - Credit Losses. The amount of allowance represents management’s best estimate of current expected credit losses (“CECL”) on these financial instruments over the contractual term of the instrument. Upon adoption, we recognized a cumulative effect adjustment to the ACL for loans and off-balance sheet credit exposures of $1.3 million. The CECL model requires recording life-of-loan projected losses in the loan portfolio based on future economic events and related loan portfolio credit performance. The prior accounting standard recorded reserves based on incurred losses at the balance sheet date.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allowance for credit losses was $42.4 million at December 31, 2023 compared to $39.3 million at December 31, 2022, an increase of $3.1 million, or 7.8%. The increase was primarily a result of a provision for credit losses of $5.0 million being recorded during 2023 based on growth in the loan portfolio and net charge-offs of $2.0 million during 2023.</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an analysis of the ACL for loans and other data during the periods indicated.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656"/>
        <w:gridCol w:w="60"/>
        <w:gridCol w:w="146"/>
        <w:gridCol w:w="1027"/>
        <w:gridCol w:w="284"/>
        <w:gridCol w:w="62"/>
        <w:gridCol w:w="146"/>
        <w:gridCol w:w="1027"/>
        <w:gridCol w:w="284"/>
        <w:gridCol w:w="62"/>
        <w:gridCol w:w="146"/>
        <w:gridCol w:w="1027"/>
        <w:gridCol w:w="278"/>
      </w:tblGrid>
      <w:tr>
        <w:trPr/>
        <w:tc>
          <w:tcPr>
            <w:tcW w:w="56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1"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or for the Year Ended December 31,</w:t>
            </w:r>
          </w:p>
        </w:tc>
        <w:tc>
          <w:tcPr>
            <w:tcW w:w="278" w:type="dxa"/>
            <w:tcBorders/>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278" w:type="dxa"/>
            <w:tcBorders/>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1" w:type="dxa"/>
            <w:gridSpan w:val="10"/>
            <w:tcBorders/>
            <w:vAlign w:val="bottom"/>
          </w:tcPr>
          <w:p>
            <w:pPr>
              <w:pStyle w:val="TableContents"/>
              <w:bidi w:val="0"/>
              <w:spacing w:before="0" w:after="0"/>
              <w:jc w:val="center"/>
              <w:rPr>
                <w:b/>
                <w:color w:val="000000"/>
              </w:rPr>
            </w:pPr>
            <w:r>
              <w:rPr>
                <w:b/>
                <w:color w:val="000000"/>
              </w:rPr>
              <w:t>(Dollars in thousands)</w:t>
            </w:r>
          </w:p>
        </w:tc>
        <w:tc>
          <w:tcPr>
            <w:tcW w:w="278" w:type="dxa"/>
            <w:tcBorders/>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lineRule="auto" w:line="240" w:before="0" w:after="0"/>
              <w:ind w:left="144" w:right="0" w:hanging="144"/>
              <w:jc w:val="left"/>
              <w:rPr>
                <w:color w:val="000000"/>
              </w:rPr>
            </w:pPr>
            <w:r>
              <w:rPr>
                <w:color w:val="000000"/>
              </w:rPr>
              <w:t>Average loans outstanding during period(1)</w:t>
            </w:r>
          </w:p>
        </w:tc>
        <w:tc>
          <w:tcPr>
            <w:tcW w:w="60"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73" w:type="dxa"/>
            <w:gridSpan w:val="2"/>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988,121</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817,365</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705,516</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350,940</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351,598</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336,754</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517,242</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476,553</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490,945</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50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512,149</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409,023</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374,609</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50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317,465</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285,493</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227,301</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50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78,842</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85,881</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68,106</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140,460</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150,072</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124,840</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Loans held for sale</w:t>
            </w:r>
          </w:p>
        </w:tc>
        <w:tc>
          <w:tcPr>
            <w:tcW w:w="60"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19,254</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36,176</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92,130</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144" w:right="0" w:hanging="144"/>
              <w:jc w:val="left"/>
              <w:rPr>
                <w:color w:val="000000"/>
              </w:rPr>
            </w:pPr>
            <w:r>
              <w:rPr>
                <w:color w:val="000000"/>
              </w:rPr>
              <w:t>Total average loans outstanding during period</w:t>
            </w:r>
          </w:p>
        </w:tc>
        <w:tc>
          <w:tcPr>
            <w:tcW w:w="60" w:type="dxa"/>
            <w:tcBorders/>
            <w:vAlign w:val="bottom"/>
          </w:tcPr>
          <w:p>
            <w:pPr>
              <w:pStyle w:val="TableContents"/>
              <w:bidi w:val="0"/>
              <w:spacing w:before="0" w:after="283"/>
              <w:jc w:val="left"/>
              <w:rPr/>
            </w:pPr>
            <w:r>
              <w:rPr/>
              <w:t> </w:t>
            </w:r>
          </w:p>
        </w:tc>
        <w:tc>
          <w:tcPr>
            <w:tcW w:w="14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2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2,924,473</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2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2,612,161</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2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2,420,201</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144" w:right="0" w:hanging="144"/>
              <w:jc w:val="left"/>
              <w:rPr>
                <w:color w:val="000000"/>
              </w:rPr>
            </w:pPr>
            <w:r>
              <w:rPr>
                <w:color w:val="000000"/>
              </w:rPr>
              <w:t>Net charge-offs (recoveries) during the period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(418</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(109</w:t>
            </w:r>
          </w:p>
        </w:tc>
        <w:tc>
          <w:tcPr>
            <w:tcW w:w="278" w:type="dxa"/>
            <w:tcBorders/>
            <w:shd w:fill="CCEEFF" w:val="clear"/>
            <w:vAlign w:val="bottom"/>
          </w:tcPr>
          <w:p>
            <w:pPr>
              <w:pStyle w:val="TableContents"/>
              <w:bidi w:val="0"/>
              <w:spacing w:before="0" w:after="0"/>
              <w:jc w:val="left"/>
              <w:rPr>
                <w:color w:val="000000"/>
              </w:rPr>
            </w:pPr>
            <w:r>
              <w:rPr>
                <w:color w:val="000000"/>
              </w:rPr>
              <w:t>)</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(164</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(807</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11</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292</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(122</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459</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50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(5</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100</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44</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50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691</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364</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483</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50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861</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913</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653</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319</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161</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w:t>
            </w:r>
          </w:p>
        </w:tc>
        <w:tc>
          <w:tcPr>
            <w:tcW w:w="278" w:type="dxa"/>
            <w:tcBorders/>
            <w:vAlign w:val="bottom"/>
          </w:tcPr>
          <w:p>
            <w:pPr>
              <w:pStyle w:val="TableContents"/>
              <w:bidi w:val="0"/>
              <w:spacing w:before="0" w:after="0"/>
              <w:jc w:val="left"/>
              <w:rPr>
                <w:color w:val="000000"/>
              </w:rPr>
            </w:pPr>
            <w:r>
              <w:rPr>
                <w:color w:val="000000"/>
              </w:rPr>
              <w:t>)</w:t>
            </w:r>
          </w:p>
        </w:tc>
      </w:tr>
      <w:tr>
        <w:trPr/>
        <w:tc>
          <w:tcPr>
            <w:tcW w:w="5656" w:type="dxa"/>
            <w:tcBorders/>
            <w:shd w:fill="CCEEFF" w:val="clear"/>
            <w:vAlign w:val="bottom"/>
          </w:tcPr>
          <w:p>
            <w:pPr>
              <w:pStyle w:val="TableContents"/>
              <w:bidi w:val="0"/>
              <w:spacing w:before="0" w:after="0"/>
              <w:ind w:left="144" w:right="0" w:hanging="144"/>
              <w:jc w:val="left"/>
              <w:rPr>
                <w:color w:val="000000"/>
              </w:rPr>
            </w:pPr>
            <w:r>
              <w:rPr>
                <w:color w:val="000000"/>
              </w:rPr>
              <w:t>Total net charge-offs (recoveries) during the period</w:t>
            </w:r>
          </w:p>
        </w:tc>
        <w:tc>
          <w:tcPr>
            <w:tcW w:w="60"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1,994</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191</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1,537</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144" w:right="0" w:hanging="144"/>
              <w:jc w:val="left"/>
              <w:rPr>
                <w:color w:val="000000"/>
              </w:rPr>
            </w:pPr>
            <w:r>
              <w:rPr>
                <w:color w:val="000000"/>
              </w:rPr>
              <w:t>Total loans held for investment outstanding</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3,014,153</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2,748,081</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2,437,577</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144" w:right="0" w:hanging="144"/>
              <w:jc w:val="left"/>
              <w:rPr>
                <w:color w:val="000000"/>
              </w:rPr>
            </w:pPr>
            <w:r>
              <w:rPr>
                <w:color w:val="000000"/>
              </w:rPr>
              <w:t>Nonaccrual loans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0"/>
              <w:jc w:val="left"/>
              <w:rPr>
                <w:color w:val="000000"/>
              </w:rPr>
            </w:pPr>
            <w:r>
              <w:rPr>
                <w:color w:val="000000"/>
              </w:rPr>
              <w:t>$</w:t>
            </w:r>
          </w:p>
        </w:tc>
        <w:tc>
          <w:tcPr>
            <w:tcW w:w="1027" w:type="dxa"/>
            <w:tcBorders/>
            <w:vAlign w:val="bottom"/>
          </w:tcPr>
          <w:p>
            <w:pPr>
              <w:pStyle w:val="TableContents"/>
              <w:bidi w:val="0"/>
              <w:spacing w:before="0" w:after="0"/>
              <w:jc w:val="right"/>
              <w:rPr>
                <w:color w:val="000000"/>
              </w:rPr>
            </w:pPr>
            <w:r>
              <w:rPr>
                <w:color w:val="000000"/>
              </w:rPr>
              <w:t>3,242</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0"/>
              <w:jc w:val="left"/>
              <w:rPr>
                <w:color w:val="000000"/>
              </w:rPr>
            </w:pPr>
            <w:r>
              <w:rPr>
                <w:color w:val="000000"/>
              </w:rPr>
              <w:t>$</w:t>
            </w:r>
          </w:p>
        </w:tc>
        <w:tc>
          <w:tcPr>
            <w:tcW w:w="1027" w:type="dxa"/>
            <w:tcBorders/>
            <w:vAlign w:val="bottom"/>
          </w:tcPr>
          <w:p>
            <w:pPr>
              <w:pStyle w:val="TableContents"/>
              <w:bidi w:val="0"/>
              <w:spacing w:before="0" w:after="0"/>
              <w:jc w:val="right"/>
              <w:rPr>
                <w:color w:val="000000"/>
              </w:rPr>
            </w:pPr>
            <w:r>
              <w:rPr>
                <w:color w:val="000000"/>
              </w:rPr>
              <w:t>5,802</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0"/>
              <w:jc w:val="left"/>
              <w:rPr>
                <w:color w:val="000000"/>
              </w:rPr>
            </w:pPr>
            <w:r>
              <w:rPr>
                <w:color w:val="000000"/>
              </w:rPr>
              <w:t>$</w:t>
            </w:r>
          </w:p>
        </w:tc>
        <w:tc>
          <w:tcPr>
            <w:tcW w:w="1027" w:type="dxa"/>
            <w:tcBorders/>
            <w:vAlign w:val="bottom"/>
          </w:tcPr>
          <w:p>
            <w:pPr>
              <w:pStyle w:val="TableContents"/>
              <w:bidi w:val="0"/>
              <w:spacing w:before="0" w:after="0"/>
              <w:jc w:val="right"/>
              <w:rPr>
                <w:color w:val="000000"/>
              </w:rPr>
            </w:pPr>
            <w:r>
              <w:rPr>
                <w:color w:val="000000"/>
              </w:rPr>
              <w:t>9,518</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144" w:right="0" w:hanging="144"/>
              <w:jc w:val="left"/>
              <w:rPr>
                <w:color w:val="000000"/>
              </w:rPr>
            </w:pPr>
            <w:r>
              <w:rPr>
                <w:color w:val="000000"/>
              </w:rPr>
              <w:t>Allowance for credit losses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42,356</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39,288</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1027" w:type="dxa"/>
            <w:tcBorders/>
            <w:shd w:fill="CCEEFF" w:val="clear"/>
            <w:vAlign w:val="bottom"/>
          </w:tcPr>
          <w:p>
            <w:pPr>
              <w:pStyle w:val="TableContents"/>
              <w:bidi w:val="0"/>
              <w:spacing w:before="0" w:after="0"/>
              <w:jc w:val="right"/>
              <w:rPr>
                <w:color w:val="000000"/>
              </w:rPr>
            </w:pPr>
            <w:r>
              <w:rPr>
                <w:color w:val="000000"/>
              </w:rPr>
              <w:t>42,098</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144" w:right="0" w:hanging="144"/>
              <w:jc w:val="left"/>
              <w:rPr>
                <w:color w:val="000000"/>
              </w:rPr>
            </w:pPr>
            <w:r>
              <w:rPr>
                <w:color w:val="000000"/>
              </w:rPr>
              <w:t>Ratio of allowance to total loans held for investment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1.41</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1.43</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1.73</w:t>
            </w:r>
          </w:p>
        </w:tc>
        <w:tc>
          <w:tcPr>
            <w:tcW w:w="278" w:type="dxa"/>
            <w:tcBorders/>
            <w:shd w:fill="CCEEFF" w:val="clear"/>
            <w:vAlign w:val="bottom"/>
          </w:tcPr>
          <w:p>
            <w:pPr>
              <w:pStyle w:val="TableContents"/>
              <w:bidi w:val="0"/>
              <w:spacing w:before="0" w:after="0"/>
              <w:jc w:val="left"/>
              <w:rPr>
                <w:color w:val="000000"/>
              </w:rPr>
            </w:pPr>
            <w:r>
              <w:rPr>
                <w:color w:val="000000"/>
              </w:rPr>
              <w:t>%</w:t>
            </w:r>
          </w:p>
        </w:tc>
      </w:tr>
      <w:tr>
        <w:trPr/>
        <w:tc>
          <w:tcPr>
            <w:tcW w:w="5656" w:type="dxa"/>
            <w:tcBorders/>
            <w:vAlign w:val="bottom"/>
          </w:tcPr>
          <w:p>
            <w:pPr>
              <w:pStyle w:val="TableContents"/>
              <w:bidi w:val="0"/>
              <w:spacing w:before="0" w:after="0"/>
              <w:ind w:left="144" w:right="0" w:hanging="144"/>
              <w:jc w:val="left"/>
              <w:rPr>
                <w:color w:val="000000"/>
              </w:rPr>
            </w:pPr>
            <w:r>
              <w:rPr>
                <w:color w:val="000000"/>
              </w:rPr>
              <w:t>Ratio of allowance to nonaccrual loans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1,306.48</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677.15</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442.30</w:t>
            </w:r>
          </w:p>
        </w:tc>
        <w:tc>
          <w:tcPr>
            <w:tcW w:w="278" w:type="dxa"/>
            <w:tcBorders/>
            <w:vAlign w:val="bottom"/>
          </w:tcPr>
          <w:p>
            <w:pPr>
              <w:pStyle w:val="TableContents"/>
              <w:bidi w:val="0"/>
              <w:spacing w:before="0" w:after="0"/>
              <w:jc w:val="left"/>
              <w:rPr>
                <w:color w:val="000000"/>
              </w:rPr>
            </w:pPr>
            <w:r>
              <w:rPr>
                <w:color w:val="000000"/>
              </w:rPr>
              <w:t>%</w:t>
            </w:r>
          </w:p>
        </w:tc>
      </w:tr>
      <w:tr>
        <w:trPr/>
        <w:tc>
          <w:tcPr>
            <w:tcW w:w="5656" w:type="dxa"/>
            <w:tcBorders/>
            <w:shd w:fill="CCEEFF" w:val="clear"/>
            <w:vAlign w:val="bottom"/>
          </w:tcPr>
          <w:p>
            <w:pPr>
              <w:pStyle w:val="TableContents"/>
              <w:bidi w:val="0"/>
              <w:spacing w:before="0" w:after="0"/>
              <w:ind w:left="144" w:right="0" w:hanging="144"/>
              <w:jc w:val="left"/>
              <w:rPr>
                <w:color w:val="000000"/>
              </w:rPr>
            </w:pPr>
            <w:r>
              <w:rPr>
                <w:color w:val="000000"/>
              </w:rPr>
              <w:t>Ratio of nonaccrual loans to total loans held for investment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0.11</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0.21</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0.39</w:t>
            </w:r>
          </w:p>
        </w:tc>
        <w:tc>
          <w:tcPr>
            <w:tcW w:w="278" w:type="dxa"/>
            <w:tcBorders/>
            <w:shd w:fill="CCEEFF" w:val="clear"/>
            <w:vAlign w:val="bottom"/>
          </w:tcPr>
          <w:p>
            <w:pPr>
              <w:pStyle w:val="TableContents"/>
              <w:bidi w:val="0"/>
              <w:spacing w:before="0" w:after="0"/>
              <w:jc w:val="left"/>
              <w:rPr>
                <w:color w:val="000000"/>
              </w:rPr>
            </w:pPr>
            <w:r>
              <w:rPr>
                <w:color w:val="000000"/>
              </w:rPr>
              <w:t>%</w:t>
            </w:r>
          </w:p>
        </w:tc>
      </w:tr>
      <w:tr>
        <w:trPr/>
        <w:tc>
          <w:tcPr>
            <w:tcW w:w="56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5656" w:type="dxa"/>
            <w:tcBorders/>
            <w:shd w:fill="CCEEFF" w:val="clear"/>
            <w:vAlign w:val="bottom"/>
          </w:tcPr>
          <w:p>
            <w:pPr>
              <w:pStyle w:val="TableContents"/>
              <w:bidi w:val="0"/>
              <w:spacing w:before="0" w:after="0"/>
              <w:ind w:left="144" w:right="0" w:hanging="144"/>
              <w:jc w:val="left"/>
              <w:rPr>
                <w:color w:val="000000"/>
              </w:rPr>
            </w:pPr>
            <w:r>
              <w:rPr>
                <w:color w:val="000000"/>
              </w:rPr>
              <w:t>Ratio of net charge-offs (recoveries) to average loans during the period</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Commercial real estate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(0.05</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(0.02</w:t>
            </w:r>
          </w:p>
        </w:tc>
        <w:tc>
          <w:tcPr>
            <w:tcW w:w="278" w:type="dxa"/>
            <w:tcBorders/>
            <w:vAlign w:val="bottom"/>
          </w:tcPr>
          <w:p>
            <w:pPr>
              <w:pStyle w:val="TableContents"/>
              <w:bidi w:val="0"/>
              <w:spacing w:before="0" w:after="0"/>
              <w:jc w:val="left"/>
              <w:rPr>
                <w:color w:val="000000"/>
              </w:rPr>
            </w:pPr>
            <w:r>
              <w:rPr>
                <w:color w:val="000000"/>
              </w:rPr>
              <w:t>)%</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Commercial – specialized</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(0.05</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(0.23</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324" w:right="0" w:hanging="144"/>
              <w:jc w:val="left"/>
              <w:rPr>
                <w:color w:val="000000"/>
              </w:rPr>
            </w:pPr>
            <w:r>
              <w:rPr>
                <w:color w:val="000000"/>
              </w:rPr>
              <w:t>Commercial – general</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0.06</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(0.03</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0.09</w:t>
            </w:r>
          </w:p>
        </w:tc>
        <w:tc>
          <w:tcPr>
            <w:tcW w:w="278" w:type="dxa"/>
            <w:tcBorders/>
            <w:vAlign w:val="bottom"/>
          </w:tcPr>
          <w:p>
            <w:pPr>
              <w:pStyle w:val="TableContents"/>
              <w:bidi w:val="0"/>
              <w:spacing w:before="0" w:after="0"/>
              <w:jc w:val="left"/>
              <w:rPr>
                <w:color w:val="000000"/>
              </w:rPr>
            </w:pPr>
            <w:r>
              <w:rPr>
                <w:color w:val="000000"/>
              </w:rPr>
              <w:t>%</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Consumer:</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504" w:right="0" w:hanging="144"/>
              <w:jc w:val="left"/>
              <w:rPr>
                <w:color w:val="000000"/>
              </w:rPr>
            </w:pPr>
            <w:r>
              <w:rPr>
                <w:color w:val="000000"/>
              </w:rPr>
              <w:t>1-4 family residential</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w:t>
            </w:r>
          </w:p>
        </w:tc>
        <w:tc>
          <w:tcPr>
            <w:tcW w:w="28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0.02</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0.01</w:t>
            </w:r>
          </w:p>
        </w:tc>
        <w:tc>
          <w:tcPr>
            <w:tcW w:w="278" w:type="dxa"/>
            <w:tcBorders/>
            <w:vAlign w:val="bottom"/>
          </w:tcPr>
          <w:p>
            <w:pPr>
              <w:pStyle w:val="TableContents"/>
              <w:bidi w:val="0"/>
              <w:spacing w:before="0" w:after="0"/>
              <w:jc w:val="left"/>
              <w:rPr>
                <w:color w:val="000000"/>
              </w:rPr>
            </w:pPr>
            <w:r>
              <w:rPr>
                <w:color w:val="000000"/>
              </w:rPr>
              <w:t>%</w:t>
            </w:r>
          </w:p>
        </w:tc>
      </w:tr>
      <w:tr>
        <w:trPr/>
        <w:tc>
          <w:tcPr>
            <w:tcW w:w="5656" w:type="dxa"/>
            <w:tcBorders/>
            <w:shd w:fill="CCEEFF" w:val="clear"/>
            <w:vAlign w:val="bottom"/>
          </w:tcPr>
          <w:p>
            <w:pPr>
              <w:pStyle w:val="TableContents"/>
              <w:bidi w:val="0"/>
              <w:spacing w:before="0" w:after="0"/>
              <w:ind w:left="504" w:right="0" w:hanging="144"/>
              <w:jc w:val="left"/>
              <w:rPr>
                <w:color w:val="000000"/>
              </w:rPr>
            </w:pPr>
            <w:r>
              <w:rPr>
                <w:color w:val="000000"/>
              </w:rPr>
              <w:t>Auto loans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0.22</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0.13</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0.21</w:t>
            </w:r>
          </w:p>
        </w:tc>
        <w:tc>
          <w:tcPr>
            <w:tcW w:w="278" w:type="dxa"/>
            <w:tcBorders/>
            <w:shd w:fill="CCEEFF" w:val="clear"/>
            <w:vAlign w:val="bottom"/>
          </w:tcPr>
          <w:p>
            <w:pPr>
              <w:pStyle w:val="TableContents"/>
              <w:bidi w:val="0"/>
              <w:spacing w:before="0" w:after="0"/>
              <w:jc w:val="left"/>
              <w:rPr>
                <w:color w:val="000000"/>
              </w:rPr>
            </w:pPr>
            <w:r>
              <w:rPr>
                <w:color w:val="000000"/>
              </w:rPr>
              <w:t>%</w:t>
            </w:r>
          </w:p>
        </w:tc>
      </w:tr>
      <w:tr>
        <w:trPr/>
        <w:tc>
          <w:tcPr>
            <w:tcW w:w="5656" w:type="dxa"/>
            <w:tcBorders/>
            <w:vAlign w:val="bottom"/>
          </w:tcPr>
          <w:p>
            <w:pPr>
              <w:pStyle w:val="TableContents"/>
              <w:bidi w:val="0"/>
              <w:spacing w:before="0" w:after="0"/>
              <w:ind w:left="504" w:right="0" w:hanging="144"/>
              <w:jc w:val="left"/>
              <w:rPr>
                <w:color w:val="000000"/>
              </w:rPr>
            </w:pPr>
            <w:r>
              <w:rPr>
                <w:color w:val="000000"/>
              </w:rPr>
              <w:t>Other consumer</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1.09</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1.06</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0.96</w:t>
            </w:r>
          </w:p>
        </w:tc>
        <w:tc>
          <w:tcPr>
            <w:tcW w:w="278" w:type="dxa"/>
            <w:tcBorders/>
            <w:vAlign w:val="bottom"/>
          </w:tcPr>
          <w:p>
            <w:pPr>
              <w:pStyle w:val="TableContents"/>
              <w:bidi w:val="0"/>
              <w:spacing w:before="0" w:after="0"/>
              <w:jc w:val="left"/>
              <w:rPr>
                <w:color w:val="000000"/>
              </w:rPr>
            </w:pPr>
            <w:r>
              <w:rPr>
                <w:color w:val="000000"/>
              </w:rPr>
              <w:t>%</w:t>
            </w:r>
          </w:p>
        </w:tc>
      </w:tr>
      <w:tr>
        <w:trPr/>
        <w:tc>
          <w:tcPr>
            <w:tcW w:w="5656" w:type="dxa"/>
            <w:tcBorders/>
            <w:shd w:fill="CCEEFF" w:val="clear"/>
            <w:vAlign w:val="bottom"/>
          </w:tcPr>
          <w:p>
            <w:pPr>
              <w:pStyle w:val="TableContents"/>
              <w:bidi w:val="0"/>
              <w:spacing w:before="0" w:after="0"/>
              <w:ind w:left="324" w:right="0" w:hanging="144"/>
              <w:jc w:val="left"/>
              <w:rPr>
                <w:color w:val="000000"/>
              </w:rPr>
            </w:pPr>
            <w:r>
              <w:rPr>
                <w:color w:val="000000"/>
              </w:rPr>
              <w:t>Construction</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0.23</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0.11</w:t>
            </w:r>
          </w:p>
        </w:tc>
        <w:tc>
          <w:tcPr>
            <w:tcW w:w="284"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color w:val="000000"/>
              </w:rPr>
            </w:pPr>
            <w:r>
              <w:rPr>
                <w:color w:val="000000"/>
              </w:rPr>
              <w:t>—</w:t>
            </w:r>
          </w:p>
        </w:tc>
        <w:tc>
          <w:tcPr>
            <w:tcW w:w="278" w:type="dxa"/>
            <w:tcBorders/>
            <w:shd w:fill="CCEEFF" w:val="clear"/>
            <w:vAlign w:val="bottom"/>
          </w:tcPr>
          <w:p>
            <w:pPr>
              <w:pStyle w:val="TableContents"/>
              <w:bidi w:val="0"/>
              <w:spacing w:before="0" w:after="283"/>
              <w:jc w:val="left"/>
              <w:rPr/>
            </w:pPr>
            <w:r>
              <w:rPr/>
              <w:t> </w:t>
            </w:r>
          </w:p>
        </w:tc>
      </w:tr>
      <w:tr>
        <w:trPr/>
        <w:tc>
          <w:tcPr>
            <w:tcW w:w="5656" w:type="dxa"/>
            <w:tcBorders/>
            <w:vAlign w:val="bottom"/>
          </w:tcPr>
          <w:p>
            <w:pPr>
              <w:pStyle w:val="TableContents"/>
              <w:bidi w:val="0"/>
              <w:spacing w:before="0" w:after="0"/>
              <w:ind w:left="144" w:right="0" w:hanging="144"/>
              <w:jc w:val="left"/>
              <w:rPr>
                <w:color w:val="000000"/>
              </w:rPr>
            </w:pPr>
            <w:r>
              <w:rPr>
                <w:color w:val="000000"/>
              </w:rPr>
              <w:t>Total ratio of net charge-offs (recoveries) to average loans during the period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0.07</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0.01</w:t>
            </w:r>
          </w:p>
        </w:tc>
        <w:tc>
          <w:tcPr>
            <w:tcW w:w="284"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color w:val="000000"/>
              </w:rPr>
            </w:pPr>
            <w:r>
              <w:rPr>
                <w:color w:val="000000"/>
              </w:rPr>
              <w:t>0.06</w:t>
            </w:r>
          </w:p>
        </w:tc>
        <w:tc>
          <w:tcPr>
            <w:tcW w:w="278" w:type="dxa"/>
            <w:tcBorders/>
            <w:vAlign w:val="bottom"/>
          </w:tcPr>
          <w:p>
            <w:pPr>
              <w:pStyle w:val="TableContents"/>
              <w:bidi w:val="0"/>
              <w:spacing w:before="0" w:after="0"/>
              <w:jc w:val="left"/>
              <w:rPr>
                <w:color w:val="000000"/>
              </w:rPr>
            </w:pPr>
            <w:r>
              <w:rPr>
                <w:color w:val="000000"/>
              </w:rPr>
              <w:t>%</w:t>
            </w:r>
          </w:p>
        </w:tc>
      </w:tr>
      <w:tr>
        <w:trPr/>
        <w:tc>
          <w:tcPr>
            <w:tcW w:w="56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755" w:type="dxa"/>
        <w:jc w:val="left"/>
        <w:tblInd w:w="0" w:type="dxa"/>
        <w:tblLayout w:type="fixed"/>
        <w:tblCellMar>
          <w:top w:w="0" w:type="dxa"/>
          <w:left w:w="0" w:type="dxa"/>
          <w:bottom w:w="0" w:type="dxa"/>
          <w:right w:w="0" w:type="dxa"/>
        </w:tblCellMar>
      </w:tblPr>
      <w:tblGrid>
        <w:gridCol w:w="305"/>
        <w:gridCol w:w="5450"/>
      </w:tblGrid>
      <w:tr>
        <w:trPr/>
        <w:tc>
          <w:tcPr>
            <w:tcW w:w="305" w:type="dxa"/>
            <w:tcBorders/>
            <w:vAlign w:val="center"/>
          </w:tcPr>
          <w:p>
            <w:pPr>
              <w:pStyle w:val="TableContents"/>
              <w:bidi w:val="0"/>
              <w:spacing w:before="0" w:after="283"/>
              <w:jc w:val="left"/>
              <w:rPr>
                <w:color w:val="000000"/>
              </w:rPr>
            </w:pPr>
            <w:r>
              <w:rPr>
                <w:color w:val="000000"/>
              </w:rPr>
              <w:t>(1)</w:t>
            </w:r>
          </w:p>
        </w:tc>
        <w:tc>
          <w:tcPr>
            <w:tcW w:w="5450" w:type="dxa"/>
            <w:tcBorders/>
            <w:vAlign w:val="center"/>
          </w:tcPr>
          <w:p>
            <w:pPr>
              <w:pStyle w:val="TableContents"/>
              <w:bidi w:val="0"/>
              <w:spacing w:before="0" w:after="0"/>
              <w:jc w:val="both"/>
              <w:rPr>
                <w:color w:val="000000"/>
              </w:rPr>
            </w:pPr>
            <w:r>
              <w:rPr>
                <w:color w:val="000000"/>
              </w:rPr>
              <w:t>Average outstanding balances include loans held for sale.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charge-offs totaled $2.0 million and were 0.07% of average loans outstanding for the year ended December 31, 2023, compared to $0.2 million and 0.01% for the year ended December 31, 2022. Gross charge-offs increased $320 thousand and recoveries decreased $1.5 million for the year ended December 31, 2023 compared to the same period in 2022. The increase in charge-offs was primarily attributable to an increase of $380 thousand in consumer auto loan charge-offs in 2023, while the decrease in recoveries was mainly due to a $822 thousand recovery on an energy relationship and a $400 thousand recovery on a commercial real estate loan during 2022. The allowance for credit losses as a percentage of loans held for investment was 1.41% at December 31, 2023 and 1.43% at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pStyle w:val="TextBody"/>
        <w:bidi w:val="0"/>
        <w:spacing w:before="0" w:after="0"/>
        <w:jc w:val="left"/>
        <w:rPr/>
      </w:pPr>
      <w:r>
        <w:rPr/>
      </w:r>
    </w:p>
    <w:tbl>
      <w:tblPr>
        <w:tblW w:w="8690" w:type="dxa"/>
        <w:jc w:val="left"/>
        <w:tblInd w:w="0" w:type="dxa"/>
        <w:tblLayout w:type="fixed"/>
        <w:tblCellMar>
          <w:top w:w="0" w:type="dxa"/>
          <w:left w:w="0" w:type="dxa"/>
          <w:bottom w:w="0" w:type="dxa"/>
          <w:right w:w="0" w:type="dxa"/>
        </w:tblCellMar>
      </w:tblPr>
      <w:tblGrid>
        <w:gridCol w:w="3065"/>
        <w:gridCol w:w="60"/>
        <w:gridCol w:w="146"/>
        <w:gridCol w:w="714"/>
        <w:gridCol w:w="60"/>
        <w:gridCol w:w="60"/>
        <w:gridCol w:w="60"/>
        <w:gridCol w:w="560"/>
        <w:gridCol w:w="215"/>
        <w:gridCol w:w="60"/>
        <w:gridCol w:w="146"/>
        <w:gridCol w:w="714"/>
        <w:gridCol w:w="60"/>
        <w:gridCol w:w="60"/>
        <w:gridCol w:w="60"/>
        <w:gridCol w:w="560"/>
        <w:gridCol w:w="215"/>
        <w:gridCol w:w="60"/>
        <w:gridCol w:w="146"/>
        <w:gridCol w:w="714"/>
        <w:gridCol w:w="60"/>
        <w:gridCol w:w="60"/>
        <w:gridCol w:w="60"/>
        <w:gridCol w:w="560"/>
        <w:gridCol w:w="215"/>
      </w:tblGrid>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w:t>
            </w:r>
          </w:p>
        </w:tc>
        <w:tc>
          <w:tcPr>
            <w:tcW w:w="21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21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1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0" w:type="dxa"/>
            <w:gridSpan w:val="22"/>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15,808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37.3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33.1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17,245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41.0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06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4,020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9.5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3,425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8.7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4,363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10.4</w:t>
            </w:r>
          </w:p>
        </w:tc>
        <w:tc>
          <w:tcPr>
            <w:tcW w:w="215" w:type="dxa"/>
            <w:tcBorders/>
            <w:vAlign w:val="bottom"/>
          </w:tcPr>
          <w:p>
            <w:pPr>
              <w:pStyle w:val="TableContents"/>
              <w:bidi w:val="0"/>
              <w:spacing w:before="0" w:after="0"/>
              <w:jc w:val="left"/>
              <w:rPr>
                <w:color w:val="000000"/>
              </w:rPr>
            </w:pPr>
            <w:r>
              <w:rPr>
                <w:color w:val="000000"/>
              </w:rPr>
              <w:t>%</w:t>
            </w:r>
          </w:p>
        </w:tc>
      </w:tr>
      <w:tr>
        <w:trPr/>
        <w:tc>
          <w:tcPr>
            <w:tcW w:w="306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6,391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15.1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9,215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23.5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8,466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20.1</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065" w:type="dxa"/>
            <w:tcBorders/>
            <w:vAlign w:val="bottom"/>
          </w:tcPr>
          <w:p>
            <w:pPr>
              <w:pStyle w:val="TableContents"/>
              <w:bidi w:val="0"/>
              <w:spacing w:before="0" w:after="0"/>
              <w:ind w:left="14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9,177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21.7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6,194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15.8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5,268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12.5</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065" w:type="dxa"/>
            <w:tcBorders/>
            <w:vAlign w:val="bottom"/>
          </w:tcPr>
          <w:p>
            <w:pPr>
              <w:pStyle w:val="TableContents"/>
              <w:bidi w:val="0"/>
              <w:spacing w:before="0" w:after="0"/>
              <w:ind w:left="32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3,601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8.5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3,926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3,653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8.7</w:t>
            </w:r>
          </w:p>
        </w:tc>
        <w:tc>
          <w:tcPr>
            <w:tcW w:w="215" w:type="dxa"/>
            <w:tcBorders/>
            <w:vAlign w:val="bottom"/>
          </w:tcPr>
          <w:p>
            <w:pPr>
              <w:pStyle w:val="TableContents"/>
              <w:bidi w:val="0"/>
              <w:spacing w:before="0" w:after="0"/>
              <w:jc w:val="left"/>
              <w:rPr>
                <w:color w:val="000000"/>
              </w:rPr>
            </w:pPr>
            <w:r>
              <w:rPr>
                <w:color w:val="000000"/>
              </w:rPr>
              <w:t>%</w:t>
            </w:r>
          </w:p>
        </w:tc>
      </w:tr>
      <w:tr>
        <w:trPr/>
        <w:tc>
          <w:tcPr>
            <w:tcW w:w="306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2.3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3.5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1,357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3.2</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065" w:type="dxa"/>
            <w:tcBorders/>
            <w:vAlign w:val="bottom"/>
          </w:tcPr>
          <w:p>
            <w:pPr>
              <w:pStyle w:val="TableContents"/>
              <w:bidi w:val="0"/>
              <w:spacing w:before="0" w:after="0"/>
              <w:ind w:left="14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w:t>
            </w:r>
          </w:p>
        </w:tc>
        <w:tc>
          <w:tcPr>
            <w:tcW w:w="215" w:type="dxa"/>
            <w:tcBorders/>
            <w:vAlign w:val="bottom"/>
          </w:tcPr>
          <w:p>
            <w:pPr>
              <w:pStyle w:val="TableContents"/>
              <w:bidi w:val="0"/>
              <w:spacing w:before="0" w:after="0"/>
              <w:jc w:val="left"/>
              <w:rPr>
                <w:color w:val="000000"/>
              </w:rPr>
            </w:pPr>
            <w:r>
              <w:rPr>
                <w:color w:val="000000"/>
              </w:rPr>
              <w:t>%</w:t>
            </w:r>
          </w:p>
        </w:tc>
      </w:tr>
      <w:tr>
        <w:trPr/>
        <w:tc>
          <w:tcPr>
            <w:tcW w:w="3065" w:type="dxa"/>
            <w:tcBorders/>
            <w:shd w:fill="CCEEFF" w:val="clear"/>
            <w:vAlign w:val="bottom"/>
          </w:tcPr>
          <w:p>
            <w:pPr>
              <w:pStyle w:val="TableContents"/>
              <w:bidi w:val="0"/>
              <w:spacing w:before="0" w:after="0"/>
              <w:ind w:left="144" w:right="0" w:hanging="144"/>
              <w:jc w:val="left"/>
              <w:rPr>
                <w:color w:val="000000"/>
              </w:rPr>
            </w:pPr>
            <w:r>
              <w:rPr>
                <w:color w:val="000000"/>
              </w:rPr>
              <w:t>Total allowance for credit losses</w:t>
            </w:r>
          </w:p>
        </w:tc>
        <w:tc>
          <w:tcPr>
            <w:tcW w:w="60"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Asset Quality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include nonaccrual loans and loans past due 90 days or more. Nonperforming assets consist of nonperforming loans plus foreclosed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2023, our total nonaccrual loans were $3.2 million, or 0.11% of total loans held for investment, as compared to $5.8 million, or 0.21% of total loans held for investment, at December 31, 2022. These loans within this amount that exceeded $250 thousand were specifically analyzed and specific valuation allowances were established as necessary and included in the ACL for loans as of December 31, 2023 to cover any probable loss. The decrease in the year ended December 31, 2023 was primarily due to one $2.6 million loan that was removed from nonaccrual status during the second quarter of 2023. This was a result of principal paydowns and continued sustained payment performance.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were $5.2 million at December 31, 2023 and $7.8 million at December 31, 2022. This decrease of $2.6 million is due to the improvement in one nonaccrual loan noted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Securities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securities at December 31, 2023 were $622.8 million, representing a decrease of $78.9 million, or 11.3%, compared to $701.7 million at December 31, 2022. The decrease was primarily due to a $20.7 million decline in the unrealized loss on available for sale securities and the sale of $56.2 million securities during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securities have fair values less than amortized cost and, therefore, contain unrealized losses. During the year ended December 31, 2023, the fair value adjustment to the Company’s available for sale securities increased $20.7 million after declining by $114.4 million during 2022 as a result of the significant increase in market interest rates. At December 31, 2023,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pStyle w:val="TextBody"/>
        <w:bidi w:val="0"/>
        <w:spacing w:before="0" w:after="0"/>
        <w:jc w:val="left"/>
        <w:rPr/>
      </w:pPr>
      <w:r>
        <w:rPr/>
      </w:r>
    </w:p>
    <w:tbl>
      <w:tblPr>
        <w:tblW w:w="11621" w:type="dxa"/>
        <w:jc w:val="left"/>
        <w:tblInd w:w="0" w:type="dxa"/>
        <w:tblLayout w:type="fixed"/>
        <w:tblCellMar>
          <w:top w:w="0" w:type="dxa"/>
          <w:left w:w="0" w:type="dxa"/>
          <w:bottom w:w="0" w:type="dxa"/>
          <w:right w:w="0" w:type="dxa"/>
        </w:tblCellMar>
      </w:tblPr>
      <w:tblGrid>
        <w:gridCol w:w="1661"/>
        <w:gridCol w:w="60"/>
        <w:gridCol w:w="296"/>
        <w:gridCol w:w="804"/>
        <w:gridCol w:w="60"/>
        <w:gridCol w:w="60"/>
        <w:gridCol w:w="119"/>
        <w:gridCol w:w="876"/>
        <w:gridCol w:w="215"/>
        <w:gridCol w:w="60"/>
        <w:gridCol w:w="221"/>
        <w:gridCol w:w="879"/>
        <w:gridCol w:w="60"/>
        <w:gridCol w:w="60"/>
        <w:gridCol w:w="119"/>
        <w:gridCol w:w="876"/>
        <w:gridCol w:w="215"/>
        <w:gridCol w:w="60"/>
        <w:gridCol w:w="191"/>
        <w:gridCol w:w="909"/>
        <w:gridCol w:w="60"/>
        <w:gridCol w:w="60"/>
        <w:gridCol w:w="119"/>
        <w:gridCol w:w="876"/>
        <w:gridCol w:w="215"/>
        <w:gridCol w:w="60"/>
        <w:gridCol w:w="163"/>
        <w:gridCol w:w="937"/>
        <w:gridCol w:w="60"/>
        <w:gridCol w:w="60"/>
        <w:gridCol w:w="119"/>
        <w:gridCol w:w="876"/>
        <w:gridCol w:w="215"/>
      </w:tblGrid>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 2023</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One Year or Less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 Years</w:t>
            </w:r>
          </w:p>
          <w:p>
            <w:pPr>
              <w:pStyle w:val="TableContents"/>
              <w:bidi w:val="0"/>
              <w:spacing w:before="0" w:after="0"/>
              <w:jc w:val="center"/>
              <w:rPr>
                <w:b/>
                <w:color w:val="000000"/>
              </w:rPr>
            </w:pPr>
            <w:r>
              <w:rPr>
                <w:b/>
                <w:color w:val="000000"/>
              </w:rPr>
              <w:t>Through Ten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Ten Years</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Yield</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144" w:right="0" w:hanging="144"/>
              <w:jc w:val="left"/>
              <w:rPr>
                <w:b/>
                <w:color w:val="000000"/>
              </w:rPr>
            </w:pPr>
            <w:r>
              <w:rPr>
                <w:b/>
                <w:color w:val="000000"/>
              </w:rPr>
              <w:t>Available-for-sale</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0"/>
              <w:jc w:val="left"/>
              <w:rPr>
                <w:color w:val="000000"/>
              </w:rPr>
            </w:pPr>
            <w:r>
              <w:rPr>
                <w:color w:val="000000"/>
              </w:rPr>
              <w:t>$</w:t>
            </w:r>
          </w:p>
        </w:tc>
        <w:tc>
          <w:tcPr>
            <w:tcW w:w="804" w:type="dxa"/>
            <w:tcBorders/>
            <w:shd w:fill="CCEEFF" w:val="clear"/>
            <w:vAlign w:val="bottom"/>
          </w:tcPr>
          <w:p>
            <w:pPr>
              <w:pStyle w:val="TableContents"/>
              <w:bidi w:val="0"/>
              <w:spacing w:before="0" w:after="0"/>
              <w:jc w:val="right"/>
              <w:rPr>
                <w:color w:val="000000"/>
              </w:rPr>
            </w:pPr>
            <w:r>
              <w:rPr>
                <w:color w:val="000000"/>
              </w:rPr>
              <w:t>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3.65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879" w:type="dxa"/>
            <w:tcBorders/>
            <w:shd w:fill="CCEEFF" w:val="clear"/>
            <w:vAlign w:val="bottom"/>
          </w:tcPr>
          <w:p>
            <w:pPr>
              <w:pStyle w:val="TableContents"/>
              <w:bidi w:val="0"/>
              <w:spacing w:before="0" w:after="0"/>
              <w:jc w:val="right"/>
              <w:rPr>
                <w:color w:val="000000"/>
              </w:rPr>
            </w:pPr>
            <w:r>
              <w:rPr>
                <w:color w:val="000000"/>
              </w:rPr>
              <w:t>6,112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1.73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color w:val="000000"/>
              </w:rPr>
            </w:pPr>
            <w:r>
              <w:rPr>
                <w:color w:val="000000"/>
              </w:rPr>
              <w:t>$</w:t>
            </w:r>
          </w:p>
        </w:tc>
        <w:tc>
          <w:tcPr>
            <w:tcW w:w="909" w:type="dxa"/>
            <w:tcBorders/>
            <w:shd w:fill="CCEEFF" w:val="clear"/>
            <w:vAlign w:val="bottom"/>
          </w:tcPr>
          <w:p>
            <w:pPr>
              <w:pStyle w:val="TableContents"/>
              <w:bidi w:val="0"/>
              <w:spacing w:before="0" w:after="0"/>
              <w:jc w:val="right"/>
              <w:rPr>
                <w:color w:val="000000"/>
              </w:rPr>
            </w:pPr>
            <w:r>
              <w:rPr>
                <w:color w:val="000000"/>
              </w:rPr>
              <w:t>4,897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2.15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color w:val="000000"/>
              </w:rPr>
            </w:pPr>
            <w:r>
              <w:rPr>
                <w:color w:val="000000"/>
              </w:rPr>
              <w:t>$</w:t>
            </w:r>
          </w:p>
        </w:tc>
        <w:tc>
          <w:tcPr>
            <w:tcW w:w="937" w:type="dxa"/>
            <w:tcBorders/>
            <w:shd w:fill="CCEEFF" w:val="clear"/>
            <w:vAlign w:val="bottom"/>
          </w:tcPr>
          <w:p>
            <w:pPr>
              <w:pStyle w:val="TableContents"/>
              <w:bidi w:val="0"/>
              <w:spacing w:before="0" w:after="0"/>
              <w:jc w:val="right"/>
              <w:rPr>
                <w:color w:val="000000"/>
              </w:rPr>
            </w:pPr>
            <w:r>
              <w:rPr>
                <w:color w:val="000000"/>
              </w:rPr>
              <w:t>191,070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2.28</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661" w:type="dxa"/>
            <w:tcBorders/>
            <w:vAlign w:val="bottom"/>
          </w:tcPr>
          <w:p>
            <w:pPr>
              <w:pStyle w:val="TableContents"/>
              <w:bidi w:val="0"/>
              <w:spacing w:before="0" w:after="0"/>
              <w:ind w:left="324" w:right="0" w:hanging="144"/>
              <w:jc w:val="left"/>
              <w:rPr>
                <w:color w:val="000000"/>
              </w:rPr>
            </w:pPr>
            <w:r>
              <w:rPr>
                <w:color w:val="000000"/>
              </w:rPr>
              <w:t>Residential mortgage-</w:t>
            </w:r>
          </w:p>
          <w:p>
            <w:pPr>
              <w:pStyle w:val="TableContents"/>
              <w:bidi w:val="0"/>
              <w:spacing w:before="0" w:after="0"/>
              <w:ind w:left="324" w:right="0" w:hanging="144"/>
              <w:jc w:val="left"/>
              <w:rPr>
                <w:color w:val="000000"/>
              </w:rPr>
            </w:pPr>
            <w:r>
              <w:rPr>
                <w:color w:val="000000"/>
              </w:rPr>
              <w:t>backed securities</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3,038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2.02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color w:val="000000"/>
              </w:rPr>
            </w:pPr>
            <w:r>
              <w:rPr>
                <w:color w:val="000000"/>
              </w:rPr>
              <w:t>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2.91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347,293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2.20</w:t>
            </w:r>
          </w:p>
        </w:tc>
        <w:tc>
          <w:tcPr>
            <w:tcW w:w="215" w:type="dxa"/>
            <w:tcBorders/>
            <w:vAlign w:val="bottom"/>
          </w:tcPr>
          <w:p>
            <w:pPr>
              <w:pStyle w:val="TableContents"/>
              <w:bidi w:val="0"/>
              <w:spacing w:before="0" w:after="0"/>
              <w:jc w:val="left"/>
              <w:rPr>
                <w:color w:val="000000"/>
              </w:rPr>
            </w:pPr>
            <w:r>
              <w:rPr>
                <w:color w:val="000000"/>
              </w:rPr>
              <w:t>%</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Commercial mortgage-backed securities</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color w:val="000000"/>
              </w:rPr>
            </w:pPr>
            <w:r>
              <w:rPr>
                <w:color w:val="000000"/>
              </w:rPr>
              <w:t>47,898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2.22</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324" w:right="0" w:hanging="144"/>
              <w:jc w:val="left"/>
              <w:rPr>
                <w:color w:val="000000"/>
              </w:rPr>
            </w:pPr>
            <w:r>
              <w:rPr>
                <w:color w:val="000000"/>
              </w:rPr>
              <w:t>Collateralized mortgage obligations</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color w:val="000000"/>
              </w:rPr>
            </w:pPr>
            <w:r>
              <w:rPr>
                <w:color w:val="000000"/>
              </w:rPr>
              <w:t>72,391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6.01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color w:val="000000"/>
              </w:rPr>
            </w:pPr>
            <w:r>
              <w:rPr>
                <w:color w:val="000000"/>
              </w:rPr>
              <w:t>2,359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3.07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16,117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2.79</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661" w:type="dxa"/>
            <w:tcBorders/>
            <w:vAlign w:val="bottom"/>
          </w:tcPr>
          <w:p>
            <w:pPr>
              <w:pStyle w:val="TableContents"/>
              <w:bidi w:val="0"/>
              <w:spacing w:before="0" w:after="0"/>
              <w:ind w:left="180" w:right="0" w:hanging="0"/>
              <w:jc w:val="left"/>
              <w:rPr>
                <w:color w:val="000000"/>
              </w:rPr>
            </w:pPr>
            <w:r>
              <w:rPr>
                <w:color w:val="000000"/>
              </w:rPr>
              <w:t>Other securities</w:t>
            </w:r>
          </w:p>
        </w:tc>
        <w:tc>
          <w:tcPr>
            <w:tcW w:w="60" w:type="dxa"/>
            <w:tcBorders/>
            <w:vAlign w:val="bottom"/>
          </w:tcPr>
          <w:p>
            <w:pPr>
              <w:pStyle w:val="TableContents"/>
              <w:bidi w:val="0"/>
              <w:spacing w:before="0" w:after="283"/>
              <w:jc w:val="left"/>
              <w:rPr/>
            </w:pPr>
            <w:r>
              <w:rPr/>
              <w:t> </w:t>
            </w:r>
          </w:p>
        </w:tc>
        <w:tc>
          <w:tcPr>
            <w:tcW w:w="2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4.47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504" w:right="0" w:hanging="144"/>
              <w:jc w:val="left"/>
              <w:rPr>
                <w:color w:val="000000"/>
              </w:rPr>
            </w:pPr>
            <w:r>
              <w:rPr>
                <w:color w:val="000000"/>
              </w:rPr>
              <w:t>Total available-for-sale</w:t>
            </w:r>
          </w:p>
        </w:tc>
        <w:tc>
          <w:tcPr>
            <w:tcW w:w="60" w:type="dxa"/>
            <w:tcBorders/>
            <w:shd w:fill="CCEEFF" w:val="clear"/>
            <w:vAlign w:val="bottom"/>
          </w:tcPr>
          <w:p>
            <w:pPr>
              <w:pStyle w:val="TableContents"/>
              <w:bidi w:val="0"/>
              <w:spacing w:before="0" w:after="283"/>
              <w:jc w:val="left"/>
              <w:rPr/>
            </w:pPr>
            <w:r>
              <w:rPr/>
              <w:t> </w:t>
            </w:r>
          </w:p>
        </w:tc>
        <w:tc>
          <w:tcPr>
            <w:tcW w:w="2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3.65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1.83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140,465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4.38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554,480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2.24</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Deposits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deposits at December 31, 2023 were $3.63 billion, representing an increase of $219.7 million, or 6.5%, compared to $3.41 billion at December 31, 2022. The increase in total deposits since December 31, 2022 came both organically and from brokered deposits with growth of $68.3 million and $151.4 million, respectively. As of December 31, 2023, 26.9% of total deposits were comprised of noninterest-bearing demand accounts, 63.0% of interest-bearing non-maturity accounts and 10.1% of time deposits. Interest-bearing non-maturity accounts included $206.9 million in brokered deposits, which represented 5.7% of total deposits at December 31, 2023.</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deposit mix as of the dates presented:</w:t>
      </w:r>
    </w:p>
    <w:p>
      <w:pPr>
        <w:pStyle w:val="TextBody"/>
        <w:bidi w:val="0"/>
        <w:spacing w:before="0" w:after="0"/>
        <w:jc w:val="left"/>
        <w:rPr/>
      </w:pPr>
      <w:r>
        <w:rPr/>
      </w:r>
    </w:p>
    <w:tbl>
      <w:tblPr>
        <w:tblW w:w="8964" w:type="dxa"/>
        <w:jc w:val="left"/>
        <w:tblInd w:w="0" w:type="dxa"/>
        <w:tblLayout w:type="fixed"/>
        <w:tblCellMar>
          <w:top w:w="0" w:type="dxa"/>
          <w:left w:w="0" w:type="dxa"/>
          <w:bottom w:w="0" w:type="dxa"/>
          <w:right w:w="0" w:type="dxa"/>
        </w:tblCellMar>
      </w:tblPr>
      <w:tblGrid>
        <w:gridCol w:w="3515"/>
        <w:gridCol w:w="60"/>
        <w:gridCol w:w="147"/>
        <w:gridCol w:w="1030"/>
        <w:gridCol w:w="63"/>
        <w:gridCol w:w="63"/>
        <w:gridCol w:w="109"/>
        <w:gridCol w:w="1034"/>
        <w:gridCol w:w="220"/>
        <w:gridCol w:w="61"/>
        <w:gridCol w:w="150"/>
        <w:gridCol w:w="1057"/>
        <w:gridCol w:w="63"/>
        <w:gridCol w:w="63"/>
        <w:gridCol w:w="107"/>
        <w:gridCol w:w="1007"/>
        <w:gridCol w:w="215"/>
      </w:tblGrid>
      <w:tr>
        <w:trPr/>
        <w:tc>
          <w:tcPr>
            <w:tcW w:w="3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6"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 2023</w:t>
            </w:r>
          </w:p>
        </w:tc>
        <w:tc>
          <w:tcPr>
            <w:tcW w:w="2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447" w:type="dxa"/>
            <w:gridSpan w:val="6"/>
            <w:tcBorders>
              <w:bottom w:val="single" w:sz="12" w:space="0" w:color="000000"/>
            </w:tcBorders>
            <w:tcMar>
              <w:bottom w:w="28" w:type="dxa"/>
            </w:tcMar>
            <w:vAlign w:val="bottom"/>
          </w:tcPr>
          <w:p>
            <w:pPr>
              <w:pStyle w:val="TableContents"/>
              <w:bidi w:val="0"/>
              <w:spacing w:before="0" w:after="0"/>
              <w:jc w:val="right"/>
              <w:rPr>
                <w:b/>
              </w:rPr>
            </w:pPr>
            <w:r>
              <w:rPr>
                <w:b/>
              </w:rPr>
              <w:t>December 31, 2022</w:t>
            </w:r>
          </w:p>
        </w:tc>
        <w:tc>
          <w:tcPr>
            <w:tcW w:w="215"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right"/>
              <w:rPr>
                <w:b/>
              </w:rPr>
            </w:pPr>
            <w:r>
              <w:rPr>
                <w:b/>
              </w:rPr>
              <w:t>Amount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43" w:type="dxa"/>
            <w:gridSpan w:val="2"/>
            <w:tcBorders>
              <w:bottom w:val="single" w:sz="12" w:space="0" w:color="000000"/>
            </w:tcBorders>
            <w:tcMar>
              <w:bottom w:w="28" w:type="dxa"/>
            </w:tcMar>
            <w:vAlign w:val="bottom"/>
          </w:tcPr>
          <w:p>
            <w:pPr>
              <w:pStyle w:val="TableContents"/>
              <w:bidi w:val="0"/>
              <w:spacing w:before="0" w:after="0"/>
              <w:jc w:val="right"/>
              <w:rPr>
                <w:b/>
              </w:rPr>
            </w:pPr>
            <w:r>
              <w:rPr>
                <w:b/>
              </w:rPr>
              <w:t>% of Total</w:t>
            </w:r>
          </w:p>
        </w:tc>
        <w:tc>
          <w:tcPr>
            <w:tcW w:w="2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bottom"/>
          </w:tcPr>
          <w:p>
            <w:pPr>
              <w:pStyle w:val="TableContents"/>
              <w:bidi w:val="0"/>
              <w:spacing w:before="0" w:after="0"/>
              <w:jc w:val="right"/>
              <w:rPr>
                <w:b/>
              </w:rPr>
            </w:pPr>
            <w:r>
              <w:rPr>
                <w:b/>
              </w:rPr>
              <w:t>Amount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right"/>
              <w:rPr>
                <w:b/>
              </w:rPr>
            </w:pPr>
            <w:r>
              <w:rPr>
                <w:b/>
              </w:rPr>
              <w:t>% of Total</w:t>
            </w:r>
          </w:p>
        </w:tc>
        <w:tc>
          <w:tcPr>
            <w:tcW w:w="215"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631" w:type="dxa"/>
            <w:gridSpan w:val="6"/>
            <w:tcBorders/>
            <w:vAlign w:val="bottom"/>
          </w:tcPr>
          <w:p>
            <w:pPr>
              <w:pStyle w:val="TableContents"/>
              <w:bidi w:val="0"/>
              <w:spacing w:before="0" w:after="0"/>
              <w:ind w:left="0" w:right="0" w:firstLine="380"/>
              <w:jc w:val="left"/>
              <w:rPr>
                <w:b/>
              </w:rPr>
            </w:pPr>
            <w:r>
              <w:rPr>
                <w:b/>
              </w:rPr>
              <w:t>(Dollars in thousands)</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44" w:right="0" w:hanging="144"/>
              <w:jc w:val="left"/>
              <w:rPr/>
            </w:pPr>
            <w:r>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pPr>
            <w:r>
              <w:rPr/>
              <w:t>$</w:t>
            </w:r>
          </w:p>
        </w:tc>
        <w:tc>
          <w:tcPr>
            <w:tcW w:w="1030" w:type="dxa"/>
            <w:tcBorders/>
            <w:shd w:fill="CCEEFF" w:val="clear"/>
            <w:vAlign w:val="bottom"/>
          </w:tcPr>
          <w:p>
            <w:pPr>
              <w:pStyle w:val="TableContents"/>
              <w:bidi w:val="0"/>
              <w:spacing w:before="0" w:after="0"/>
              <w:jc w:val="right"/>
              <w:rPr/>
            </w:pPr>
            <w:r>
              <w:rPr/>
              <w:t>974,201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pPr>
            <w:r>
              <w:rPr/>
              <w:t>26.9</w:t>
            </w:r>
          </w:p>
        </w:tc>
        <w:tc>
          <w:tcPr>
            <w:tcW w:w="220"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pPr>
            <w:r>
              <w:rPr/>
              <w:t>$</w:t>
            </w:r>
          </w:p>
        </w:tc>
        <w:tc>
          <w:tcPr>
            <w:tcW w:w="1057" w:type="dxa"/>
            <w:tcBorders/>
            <w:shd w:fill="CCEEFF" w:val="clear"/>
            <w:vAlign w:val="bottom"/>
          </w:tcPr>
          <w:p>
            <w:pPr>
              <w:pStyle w:val="TableContents"/>
              <w:bidi w:val="0"/>
              <w:spacing w:before="0" w:after="0"/>
              <w:jc w:val="right"/>
              <w:rPr/>
            </w:pPr>
            <w:r>
              <w:rPr/>
              <w:t>1,150,488</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33.8</w:t>
            </w:r>
          </w:p>
        </w:tc>
        <w:tc>
          <w:tcPr>
            <w:tcW w:w="215" w:type="dxa"/>
            <w:tcBorders/>
            <w:shd w:fill="CCEEFF" w:val="clear"/>
            <w:vAlign w:val="bottom"/>
          </w:tcPr>
          <w:p>
            <w:pPr>
              <w:pStyle w:val="TableContents"/>
              <w:bidi w:val="0"/>
              <w:spacing w:before="0" w:after="0"/>
              <w:jc w:val="left"/>
              <w:rPr/>
            </w:pPr>
            <w:r>
              <w:rPr/>
              <w:t>%</w:t>
            </w:r>
          </w:p>
        </w:tc>
      </w:tr>
      <w:tr>
        <w:trPr/>
        <w:tc>
          <w:tcPr>
            <w:tcW w:w="3515" w:type="dxa"/>
            <w:tcBorders/>
            <w:vAlign w:val="bottom"/>
          </w:tcPr>
          <w:p>
            <w:pPr>
              <w:pStyle w:val="TableContents"/>
              <w:bidi w:val="0"/>
              <w:spacing w:before="0" w:after="0"/>
              <w:ind w:left="144" w:right="0" w:hanging="144"/>
              <w:jc w:val="left"/>
              <w:rPr/>
            </w:pPr>
            <w:r>
              <w:rPr/>
              <w:t>NOW and other transaction accounts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pPr>
            <w:r>
              <w:rPr/>
              <w:t>562,066</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pPr>
            <w:r>
              <w:rPr/>
              <w:t>15.5</w:t>
            </w:r>
          </w:p>
        </w:tc>
        <w:tc>
          <w:tcPr>
            <w:tcW w:w="220"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pPr>
            <w:r>
              <w:rPr/>
              <w:t>350,910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10.3</w:t>
            </w:r>
          </w:p>
        </w:tc>
        <w:tc>
          <w:tcPr>
            <w:tcW w:w="215" w:type="dxa"/>
            <w:tcBorders/>
            <w:vAlign w:val="bottom"/>
          </w:tcPr>
          <w:p>
            <w:pPr>
              <w:pStyle w:val="TableContents"/>
              <w:bidi w:val="0"/>
              <w:spacing w:before="0" w:after="0"/>
              <w:jc w:val="left"/>
              <w:rPr/>
            </w:pPr>
            <w:r>
              <w:rPr/>
              <w:t>%</w:t>
            </w:r>
          </w:p>
        </w:tc>
      </w:tr>
      <w:tr>
        <w:trPr/>
        <w:tc>
          <w:tcPr>
            <w:tcW w:w="3515" w:type="dxa"/>
            <w:tcBorders/>
            <w:shd w:fill="CCEEFF" w:val="clear"/>
            <w:vAlign w:val="bottom"/>
          </w:tcPr>
          <w:p>
            <w:pPr>
              <w:pStyle w:val="TableContents"/>
              <w:bidi w:val="0"/>
              <w:spacing w:before="0" w:after="0"/>
              <w:ind w:left="144" w:right="0" w:hanging="144"/>
              <w:jc w:val="left"/>
              <w:rPr/>
            </w:pPr>
            <w:r>
              <w:rPr/>
              <w:t>Money market and other savings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pPr>
            <w:r>
              <w:rPr/>
              <w:t>1,722,170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pPr>
            <w:r>
              <w:rPr/>
              <w:t>47.5</w:t>
            </w:r>
          </w:p>
        </w:tc>
        <w:tc>
          <w:tcPr>
            <w:tcW w:w="220"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0"/>
              <w:jc w:val="right"/>
              <w:rPr/>
            </w:pPr>
            <w:r>
              <w:rPr/>
              <w:t>1,618,833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47.5</w:t>
            </w:r>
          </w:p>
        </w:tc>
        <w:tc>
          <w:tcPr>
            <w:tcW w:w="215" w:type="dxa"/>
            <w:tcBorders/>
            <w:shd w:fill="CCEEFF" w:val="clear"/>
            <w:vAlign w:val="bottom"/>
          </w:tcPr>
          <w:p>
            <w:pPr>
              <w:pStyle w:val="TableContents"/>
              <w:bidi w:val="0"/>
              <w:spacing w:before="0" w:after="0"/>
              <w:jc w:val="left"/>
              <w:rPr/>
            </w:pPr>
            <w:r>
              <w:rPr/>
              <w:t>%</w:t>
            </w:r>
          </w:p>
        </w:tc>
      </w:tr>
      <w:tr>
        <w:trPr/>
        <w:tc>
          <w:tcPr>
            <w:tcW w:w="3515" w:type="dxa"/>
            <w:tcBorders/>
            <w:vAlign w:val="bottom"/>
          </w:tcPr>
          <w:p>
            <w:pPr>
              <w:pStyle w:val="TableContents"/>
              <w:bidi w:val="0"/>
              <w:spacing w:before="0" w:after="0"/>
              <w:ind w:left="144" w:right="0" w:hanging="144"/>
              <w:jc w:val="left"/>
              <w:rPr/>
            </w:pPr>
            <w:r>
              <w:rPr/>
              <w:t>Time deposits</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tcMar>
              <w:bottom w:w="28" w:type="dxa"/>
            </w:tcMar>
            <w:vAlign w:val="bottom"/>
          </w:tcPr>
          <w:p>
            <w:pPr>
              <w:pStyle w:val="TableContents"/>
              <w:bidi w:val="0"/>
              <w:spacing w:before="0" w:after="0"/>
              <w:jc w:val="right"/>
              <w:rPr/>
            </w:pPr>
            <w:r>
              <w:rPr/>
              <w:t>367,716</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pPr>
            <w:r>
              <w:rPr/>
              <w:t>10.1</w:t>
            </w:r>
          </w:p>
        </w:tc>
        <w:tc>
          <w:tcPr>
            <w:tcW w:w="220" w:type="dxa"/>
            <w:tcBorders/>
            <w:vAlign w:val="bottom"/>
          </w:tcPr>
          <w:p>
            <w:pPr>
              <w:pStyle w:val="TableContents"/>
              <w:bidi w:val="0"/>
              <w:spacing w:before="0" w:after="0"/>
              <w:jc w:val="left"/>
              <w:rPr/>
            </w:pPr>
            <w:r>
              <w:rPr/>
              <w:t>%</w:t>
            </w:r>
          </w:p>
        </w:tc>
        <w:tc>
          <w:tcPr>
            <w:tcW w:w="61"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0"/>
              <w:jc w:val="right"/>
              <w:rPr/>
            </w:pPr>
            <w:r>
              <w:rPr/>
              <w:t>286,199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8.4</w:t>
            </w:r>
          </w:p>
        </w:tc>
        <w:tc>
          <w:tcPr>
            <w:tcW w:w="215" w:type="dxa"/>
            <w:tcBorders/>
            <w:vAlign w:val="bottom"/>
          </w:tcPr>
          <w:p>
            <w:pPr>
              <w:pStyle w:val="TableContents"/>
              <w:bidi w:val="0"/>
              <w:spacing w:before="0" w:after="0"/>
              <w:jc w:val="left"/>
              <w:rPr/>
            </w:pPr>
            <w:r>
              <w:rPr/>
              <w:t>%</w:t>
            </w:r>
          </w:p>
        </w:tc>
      </w:tr>
      <w:tr>
        <w:trPr/>
        <w:tc>
          <w:tcPr>
            <w:tcW w:w="3515" w:type="dxa"/>
            <w:tcBorders/>
            <w:shd w:fill="CCEEFF" w:val="clear"/>
            <w:vAlign w:val="bottom"/>
          </w:tcPr>
          <w:p>
            <w:pPr>
              <w:pStyle w:val="TableContents"/>
              <w:bidi w:val="0"/>
              <w:spacing w:before="0" w:after="0"/>
              <w:ind w:left="324" w:right="0" w:hanging="144"/>
              <w:jc w:val="left"/>
              <w:rPr/>
            </w:pPr>
            <w:r>
              <w:rPr/>
              <w:t>Total deposits</w:t>
            </w:r>
          </w:p>
        </w:tc>
        <w:tc>
          <w:tcPr>
            <w:tcW w:w="6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3,626,153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20"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57" w:type="dxa"/>
            <w:tcBorders>
              <w:bottom w:val="double" w:sz="8" w:space="0" w:color="000000"/>
            </w:tcBorders>
            <w:shd w:fill="CCEEFF" w:val="clear"/>
            <w:tcMar>
              <w:bottom w:w="28" w:type="dxa"/>
            </w:tcMar>
            <w:vAlign w:val="bottom"/>
          </w:tcPr>
          <w:p>
            <w:pPr>
              <w:pStyle w:val="TableContents"/>
              <w:bidi w:val="0"/>
              <w:spacing w:before="0" w:after="0"/>
              <w:jc w:val="right"/>
              <w:rPr/>
            </w:pPr>
            <w:r>
              <w:rPr/>
              <w:t>3,406,430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average deposit balances and weighted average rates for the periods indicated: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40"/>
        <w:gridCol w:w="60"/>
        <w:gridCol w:w="140"/>
        <w:gridCol w:w="980"/>
        <w:gridCol w:w="60"/>
        <w:gridCol w:w="60"/>
        <w:gridCol w:w="134"/>
        <w:gridCol w:w="994"/>
        <w:gridCol w:w="215"/>
        <w:gridCol w:w="60"/>
        <w:gridCol w:w="140"/>
        <w:gridCol w:w="980"/>
        <w:gridCol w:w="60"/>
        <w:gridCol w:w="60"/>
        <w:gridCol w:w="119"/>
        <w:gridCol w:w="876"/>
        <w:gridCol w:w="215"/>
        <w:gridCol w:w="60"/>
        <w:gridCol w:w="140"/>
        <w:gridCol w:w="980"/>
        <w:gridCol w:w="60"/>
        <w:gridCol w:w="60"/>
        <w:gridCol w:w="119"/>
        <w:gridCol w:w="876"/>
        <w:gridCol w:w="217"/>
      </w:tblGrid>
      <w:tr>
        <w:trPr/>
        <w:tc>
          <w:tcPr>
            <w:tcW w:w="25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217"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Rate</w:t>
            </w:r>
          </w:p>
        </w:tc>
        <w:tc>
          <w:tcPr>
            <w:tcW w:w="217"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88" w:type="dxa"/>
            <w:gridSpan w:val="22"/>
            <w:tcBorders/>
            <w:vAlign w:val="bottom"/>
          </w:tcPr>
          <w:p>
            <w:pPr>
              <w:pStyle w:val="TableContents"/>
              <w:bidi w:val="0"/>
              <w:spacing w:before="0" w:after="0"/>
              <w:ind w:left="0" w:right="0" w:hanging="140"/>
              <w:jc w:val="center"/>
              <w:rPr>
                <w:b/>
                <w:color w:val="000000"/>
              </w:rPr>
            </w:pPr>
            <w:r>
              <w:rPr>
                <w:b/>
                <w:color w:val="000000"/>
              </w:rPr>
              <w:t>(Dollars in thousands)</w:t>
            </w:r>
          </w:p>
        </w:tc>
        <w:tc>
          <w:tcPr>
            <w:tcW w:w="217"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144" w:right="0" w:hanging="144"/>
              <w:jc w:val="left"/>
              <w:rPr>
                <w:color w:val="000000"/>
              </w:rPr>
            </w:pPr>
            <w:r>
              <w:rPr>
                <w:color w:val="00000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1,069,280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1,189,730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1,016,835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w:t>
            </w:r>
          </w:p>
        </w:tc>
        <w:tc>
          <w:tcPr>
            <w:tcW w:w="217" w:type="dxa"/>
            <w:tcBorders/>
            <w:shd w:fill="CCEEFF" w:val="clear"/>
            <w:vAlign w:val="bottom"/>
          </w:tcPr>
          <w:p>
            <w:pPr>
              <w:pStyle w:val="TableContents"/>
              <w:bidi w:val="0"/>
              <w:spacing w:before="0" w:after="0"/>
              <w:jc w:val="left"/>
              <w:rPr>
                <w:color w:val="000000"/>
              </w:rPr>
            </w:pPr>
            <w:r>
              <w:rPr>
                <w:color w:val="000000"/>
              </w:rPr>
              <w:t>%</w:t>
            </w:r>
          </w:p>
        </w:tc>
      </w:tr>
      <w:tr>
        <w:trPr/>
        <w:tc>
          <w:tcPr>
            <w:tcW w:w="2540" w:type="dxa"/>
            <w:tcBorders/>
            <w:vAlign w:val="bottom"/>
          </w:tcPr>
          <w:p>
            <w:pPr>
              <w:pStyle w:val="TableContents"/>
              <w:bidi w:val="0"/>
              <w:spacing w:before="0" w:after="0"/>
              <w:ind w:left="144" w:right="0" w:hanging="144"/>
              <w:jc w:val="left"/>
              <w:rPr>
                <w:color w:val="000000"/>
              </w:rPr>
            </w:pPr>
            <w:r>
              <w:rPr>
                <w:color w:val="000000"/>
              </w:rPr>
              <w:t>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324" w:right="0" w:hanging="144"/>
              <w:jc w:val="left"/>
              <w:rPr>
                <w:color w:val="000000"/>
              </w:rPr>
            </w:pPr>
            <w:r>
              <w:rPr>
                <w:color w:val="000000"/>
              </w:rPr>
              <w:t>NOW and interest-bearing demand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401,075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color w:val="000000"/>
              </w:rPr>
            </w:pPr>
            <w:r>
              <w:rPr>
                <w:color w:val="000000"/>
              </w:rPr>
              <w:t>2.93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352,791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0.59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355,274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0.03</w:t>
            </w:r>
          </w:p>
        </w:tc>
        <w:tc>
          <w:tcPr>
            <w:tcW w:w="217" w:type="dxa"/>
            <w:tcBorders/>
            <w:shd w:fill="CCEEFF" w:val="clear"/>
            <w:vAlign w:val="bottom"/>
          </w:tcPr>
          <w:p>
            <w:pPr>
              <w:pStyle w:val="TableContents"/>
              <w:bidi w:val="0"/>
              <w:spacing w:before="0" w:after="0"/>
              <w:jc w:val="left"/>
              <w:rPr>
                <w:color w:val="000000"/>
              </w:rPr>
            </w:pPr>
            <w:r>
              <w:rPr>
                <w:color w:val="000000"/>
              </w:rPr>
              <w:t>%</w:t>
            </w:r>
          </w:p>
        </w:tc>
      </w:tr>
      <w:tr>
        <w:trPr/>
        <w:tc>
          <w:tcPr>
            <w:tcW w:w="2540" w:type="dxa"/>
            <w:tcBorders/>
            <w:vAlign w:val="bottom"/>
          </w:tcPr>
          <w:p>
            <w:pPr>
              <w:pStyle w:val="TableContents"/>
              <w:bidi w:val="0"/>
              <w:spacing w:before="0" w:after="0"/>
              <w:ind w:left="324" w:right="0" w:hanging="144"/>
              <w:jc w:val="left"/>
              <w:rPr>
                <w:color w:val="000000"/>
              </w:rPr>
            </w:pPr>
            <w:r>
              <w:rPr>
                <w:color w:val="000000"/>
              </w:rPr>
              <w:t>Savings accounts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145,758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color w:val="000000"/>
              </w:rPr>
            </w:pPr>
            <w:r>
              <w:rPr>
                <w:color w:val="000000"/>
              </w:rPr>
              <w:t>0.87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151,128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0.32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132,426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0.09</w:t>
            </w:r>
          </w:p>
        </w:tc>
        <w:tc>
          <w:tcPr>
            <w:tcW w:w="217" w:type="dxa"/>
            <w:tcBorders/>
            <w:vAlign w:val="bottom"/>
          </w:tcPr>
          <w:p>
            <w:pPr>
              <w:pStyle w:val="TableContents"/>
              <w:bidi w:val="0"/>
              <w:spacing w:before="0" w:after="0"/>
              <w:jc w:val="left"/>
              <w:rPr>
                <w:color w:val="000000"/>
              </w:rPr>
            </w:pPr>
            <w:r>
              <w:rPr>
                <w:color w:val="000000"/>
              </w:rPr>
              <w:t>%</w:t>
            </w:r>
          </w:p>
        </w:tc>
      </w:tr>
      <w:tr>
        <w:trPr/>
        <w:tc>
          <w:tcPr>
            <w:tcW w:w="2540" w:type="dxa"/>
            <w:tcBorders/>
            <w:shd w:fill="CCEEFF" w:val="clear"/>
            <w:vAlign w:val="bottom"/>
          </w:tcPr>
          <w:p>
            <w:pPr>
              <w:pStyle w:val="TableContents"/>
              <w:bidi w:val="0"/>
              <w:spacing w:before="0" w:after="0"/>
              <w:ind w:left="324" w:right="0" w:hanging="144"/>
              <w:jc w:val="left"/>
              <w:rPr>
                <w:color w:val="000000"/>
              </w:rPr>
            </w:pPr>
            <w:r>
              <w:rPr>
                <w:color w:val="000000"/>
              </w:rPr>
              <w:t>Money market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1,571,152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color w:val="000000"/>
              </w:rPr>
            </w:pPr>
            <w:r>
              <w:rPr>
                <w:color w:val="000000"/>
              </w:rPr>
              <w:t>2.70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1,385,969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0.75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1,353,978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0.29</w:t>
            </w:r>
          </w:p>
        </w:tc>
        <w:tc>
          <w:tcPr>
            <w:tcW w:w="217" w:type="dxa"/>
            <w:tcBorders/>
            <w:shd w:fill="CCEEFF" w:val="clear"/>
            <w:vAlign w:val="bottom"/>
          </w:tcPr>
          <w:p>
            <w:pPr>
              <w:pStyle w:val="TableContents"/>
              <w:bidi w:val="0"/>
              <w:spacing w:before="0" w:after="0"/>
              <w:jc w:val="left"/>
              <w:rPr>
                <w:color w:val="000000"/>
              </w:rPr>
            </w:pPr>
            <w:r>
              <w:rPr>
                <w:color w:val="000000"/>
              </w:rPr>
              <w:t>%</w:t>
            </w:r>
          </w:p>
        </w:tc>
      </w:tr>
      <w:tr>
        <w:trPr/>
        <w:tc>
          <w:tcPr>
            <w:tcW w:w="2540" w:type="dxa"/>
            <w:tcBorders/>
            <w:vAlign w:val="bottom"/>
          </w:tcPr>
          <w:p>
            <w:pPr>
              <w:pStyle w:val="TableContents"/>
              <w:bidi w:val="0"/>
              <w:spacing w:before="0" w:after="0"/>
              <w:ind w:left="324" w:right="0" w:hanging="144"/>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321,205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color w:val="000000"/>
              </w:rPr>
            </w:pPr>
            <w:r>
              <w:rPr>
                <w:color w:val="000000"/>
              </w:rPr>
              <w:t>2.98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327,289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1.22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329,509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1.25</w:t>
            </w:r>
          </w:p>
        </w:tc>
        <w:tc>
          <w:tcPr>
            <w:tcW w:w="217" w:type="dxa"/>
            <w:tcBorders/>
            <w:vAlign w:val="bottom"/>
          </w:tcPr>
          <w:p>
            <w:pPr>
              <w:pStyle w:val="TableContents"/>
              <w:bidi w:val="0"/>
              <w:spacing w:before="0" w:after="0"/>
              <w:jc w:val="left"/>
              <w:rPr>
                <w:color w:val="000000"/>
              </w:rPr>
            </w:pPr>
            <w:r>
              <w:rPr>
                <w:color w:val="000000"/>
              </w:rPr>
              <w:t>%</w:t>
            </w:r>
          </w:p>
        </w:tc>
      </w:tr>
      <w:tr>
        <w:trPr/>
        <w:tc>
          <w:tcPr>
            <w:tcW w:w="2540"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2,439,190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color w:val="000000"/>
              </w:rPr>
            </w:pPr>
            <w:r>
              <w:rPr>
                <w:color w:val="000000"/>
              </w:rPr>
              <w:t>2.66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2,217,177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0.77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2,171,187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0.38</w:t>
            </w:r>
          </w:p>
        </w:tc>
        <w:tc>
          <w:tcPr>
            <w:tcW w:w="217" w:type="dxa"/>
            <w:tcBorders/>
            <w:shd w:fill="CCEEFF" w:val="clear"/>
            <w:vAlign w:val="bottom"/>
          </w:tcPr>
          <w:p>
            <w:pPr>
              <w:pStyle w:val="TableContents"/>
              <w:bidi w:val="0"/>
              <w:spacing w:before="0" w:after="0"/>
              <w:jc w:val="left"/>
              <w:rPr>
                <w:color w:val="000000"/>
              </w:rPr>
            </w:pPr>
            <w:r>
              <w:rPr>
                <w:color w:val="000000"/>
              </w:rPr>
              <w:t>%</w:t>
            </w:r>
          </w:p>
        </w:tc>
      </w:tr>
      <w:tr>
        <w:trPr/>
        <w:tc>
          <w:tcPr>
            <w:tcW w:w="2540" w:type="dxa"/>
            <w:tcBorders/>
            <w:vAlign w:val="bottom"/>
          </w:tcPr>
          <w:p>
            <w:pPr>
              <w:pStyle w:val="TableContents"/>
              <w:bidi w:val="0"/>
              <w:spacing w:before="0" w:after="0"/>
              <w:ind w:left="684" w:right="0" w:hanging="144"/>
              <w:jc w:val="left"/>
              <w:rPr>
                <w:color w:val="000000"/>
              </w:rPr>
            </w:pPr>
            <w:r>
              <w:rPr>
                <w:color w:val="000000"/>
              </w:rPr>
              <w:t>Total deposits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3,508,470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color w:val="000000"/>
              </w:rPr>
            </w:pPr>
            <w:r>
              <w:rPr>
                <w:color w:val="000000"/>
              </w:rPr>
              <w:t>1.85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3,406,907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0.50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3,188,022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0.26</w:t>
            </w:r>
          </w:p>
        </w:tc>
        <w:tc>
          <w:tcPr>
            <w:tcW w:w="217"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scheduled maturities of time deposits of more than $250 thousand as of December 31, 2023 follows:</w:t>
      </w:r>
    </w:p>
    <w:p>
      <w:pPr>
        <w:pStyle w:val="TextBody"/>
        <w:bidi w:val="0"/>
        <w:spacing w:before="0" w:after="0"/>
        <w:jc w:val="left"/>
        <w:rPr/>
      </w:pPr>
      <w:r>
        <w:rPr/>
      </w:r>
    </w:p>
    <w:tbl>
      <w:tblPr>
        <w:tblW w:w="7987" w:type="dxa"/>
        <w:jc w:val="left"/>
        <w:tblInd w:w="0" w:type="dxa"/>
        <w:tblLayout w:type="fixed"/>
        <w:tblCellMar>
          <w:top w:w="0" w:type="dxa"/>
          <w:left w:w="0" w:type="dxa"/>
          <w:bottom w:w="0" w:type="dxa"/>
          <w:right w:w="0" w:type="dxa"/>
        </w:tblCellMar>
      </w:tblPr>
      <w:tblGrid>
        <w:gridCol w:w="2255"/>
        <w:gridCol w:w="60"/>
        <w:gridCol w:w="140"/>
        <w:gridCol w:w="680"/>
        <w:gridCol w:w="60"/>
        <w:gridCol w:w="60"/>
        <w:gridCol w:w="200"/>
        <w:gridCol w:w="974"/>
        <w:gridCol w:w="60"/>
        <w:gridCol w:w="60"/>
        <w:gridCol w:w="187"/>
        <w:gridCol w:w="912"/>
        <w:gridCol w:w="60"/>
        <w:gridCol w:w="60"/>
        <w:gridCol w:w="187"/>
        <w:gridCol w:w="912"/>
        <w:gridCol w:w="60"/>
        <w:gridCol w:w="60"/>
        <w:gridCol w:w="140"/>
        <w:gridCol w:w="800"/>
        <w:gridCol w:w="60"/>
      </w:tblGrid>
      <w:tr>
        <w:trPr/>
        <w:tc>
          <w:tcPr>
            <w:tcW w:w="2255" w:type="dxa"/>
            <w:tcBorders/>
            <w:vAlign w:val="bottom"/>
          </w:tcPr>
          <w:p>
            <w:pPr>
              <w:pStyle w:val="TableContents"/>
              <w:bidi w:val="0"/>
              <w:spacing w:before="0" w:after="0"/>
              <w:ind w:left="144" w:right="0" w:hanging="144"/>
              <w:jc w:val="left"/>
              <w:rPr>
                <w:b/>
                <w:color w:val="000000"/>
              </w:rPr>
            </w:pPr>
            <w:r>
              <w:rPr>
                <w:b/>
                <w:color w:val="000000"/>
              </w:rPr>
              <w:t>(Dollars in thousands)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w:t>
            </w:r>
          </w:p>
          <w:p>
            <w:pPr>
              <w:pStyle w:val="TableContents"/>
              <w:bidi w:val="0"/>
              <w:spacing w:before="0" w:after="0"/>
              <w:jc w:val="center"/>
              <w:rPr>
                <w:b/>
                <w:color w:val="000000"/>
              </w:rPr>
            </w:pPr>
            <w:r>
              <w:rPr>
                <w:b/>
                <w:color w:val="000000"/>
              </w:rPr>
              <w:t>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to</w:t>
            </w:r>
          </w:p>
          <w:p>
            <w:pPr>
              <w:pStyle w:val="TableContents"/>
              <w:bidi w:val="0"/>
              <w:spacing w:before="0" w:after="0"/>
              <w:jc w:val="center"/>
              <w:rPr>
                <w:b/>
                <w:color w:val="000000"/>
              </w:rPr>
            </w:pPr>
            <w:r>
              <w:rPr>
                <w:b/>
                <w:color w:val="000000"/>
              </w:rPr>
              <w:t>Six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to</w:t>
            </w:r>
          </w:p>
          <w:p>
            <w:pPr>
              <w:pStyle w:val="TableContents"/>
              <w:bidi w:val="0"/>
              <w:spacing w:before="0" w:after="0"/>
              <w:jc w:val="center"/>
              <w:rPr>
                <w:b/>
                <w:color w:val="000000"/>
              </w:rPr>
            </w:pPr>
            <w:r>
              <w:rPr>
                <w:b/>
                <w:color w:val="000000"/>
              </w:rPr>
              <w:t>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After</w:t>
            </w:r>
          </w:p>
          <w:p>
            <w:pPr>
              <w:pStyle w:val="TableContents"/>
              <w:bidi w:val="0"/>
              <w:spacing w:before="0" w:after="0"/>
              <w:jc w:val="center"/>
              <w:rPr>
                <w:b/>
                <w:color w:val="000000"/>
              </w:rPr>
            </w:pPr>
            <w:r>
              <w:rPr>
                <w:b/>
                <w:color w:val="000000"/>
              </w:rPr>
              <w:t>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78,777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974" w:type="dxa"/>
            <w:tcBorders/>
            <w:shd w:fill="CCEEFF" w:val="clear"/>
            <w:vAlign w:val="bottom"/>
          </w:tcPr>
          <w:p>
            <w:pPr>
              <w:pStyle w:val="TableContents"/>
              <w:bidi w:val="0"/>
              <w:spacing w:before="0" w:after="0"/>
              <w:jc w:val="right"/>
              <w:rPr>
                <w:color w:val="000000"/>
              </w:rPr>
            </w:pPr>
            <w:r>
              <w:rPr>
                <w:color w:val="000000"/>
              </w:rPr>
              <w:t>14,934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53,727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11,694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159,132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amount of uninsured deposits as of December 31, 2023 was $918 million. This represented approximately 16% of total deposits and excludes $325 million of collateralized public fund deposits.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Borrowed Funds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deposits, we utilize advances from the FHLB and other borrowings as a supplementary funding source to finance our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FHLB Advances</w:t>
      </w:r>
      <w:r>
        <w:rPr>
          <w:rFonts w:ascii="Times New Roman" w:hAnsi="Times New Roman"/>
          <w:color w:val="000000"/>
          <w:sz w:val="20"/>
          <w:shd w:fill="FFFFFF" w:val="clear"/>
        </w:rPr>
        <w:t>. The FHLB allows us to borrow, both short and long-term, on a blanket floating lien status collateralized by first mortgage loans and commercial real estate loans as well as FHLB stock. At December 31, 2023 and 2022, we had total remaining borrowing capacity from the FHLB of $1.10 billion and $920.2 million, respectively. We had no FHLB borrowings during the years ended December 31, 2023 or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used FHLB letters of credit to pledge to certain public deposits. There were no FHLB letters of credit outstanding at December 31, 2023 and 2022.</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Federal Reserve Bank of Dallas</w:t>
      </w:r>
      <w:r>
        <w:rPr>
          <w:rFonts w:ascii="Times New Roman" w:hAnsi="Times New Roman"/>
          <w:color w:val="000000"/>
          <w:sz w:val="20"/>
          <w:shd w:fill="FFFFFF" w:val="clear"/>
        </w:rPr>
        <w:t>. The Bank has a line of credit with the FRB. The amount of the line is determined on a monthly basis by the Federal Reserve Bank. The line is collateralized by a blanket floating lien on all agriculture, commercial and consumer loans. The amount of the line was $595.4 million and $648.3 million at December 31, 2023 and 2022, respectively. There were no amounts outstanding on the FRB line of credit at December 31, 2023 and 2022. We had no long-term FRB borrowings during the years ended December 31, 2023 or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we have access to the Federal Reserve’s Bank Term Funding Program (“BTFP”). As of December 31, 2023, the Company has not pledged any securities for the BTFP but has approximately $134 million of available securities that can be used as collateral for additional borrowings through the program.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Lines of Credit</w:t>
      </w:r>
      <w:r>
        <w:rPr>
          <w:rFonts w:ascii="Times New Roman" w:hAnsi="Times New Roman"/>
          <w:color w:val="000000"/>
          <w:sz w:val="20"/>
          <w:shd w:fill="FFFFFF" w:val="clear"/>
        </w:rPr>
        <w:t>. The Bank has uncollateralized lines of credit with multiple banks as a source of funding for liquidity management. The total amount of the lines was $140.0 million and $160.0 million as of December 31, 2023 and 2022. The lines were not used, other than testing during the years ended December 31, 2023 and 2022.</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Subordinated Debt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2018, the Company issued $26.5 million in subordinated notes. Notes totaling $12.4 million (the “2028 Notes”)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November 8, 2023, the Company notified holders of its 2028 Notes that it had elected to redeem all the outstanding 2028 Notes effective on December 15, 2023 (the “Redemption Date”). Each of the 2028 Notes were redeemed pursuant to the terms of the Indenture, dated as of December 14, 2018, between the Company and Argent Trust Company, N.A., as trustee for the 2028 Notes (the “Trustee”), at the redemption price totaling approximately $12.4 million in aggregate principal amount, plus accrued and unpaid interest. As provided in the redemption notice, on the Redemption Date, the Trustee paid the relevant Redemption Price to the holders of 2028 Notes appearing on the books and records of the Trustee on the Redemption Date. The 2028 Notes ceased to represent the right to payment of principal and interest upon the payment to the holders of 2028 Notes by the Trustee representing the Redemption Price. The Company received all necessary regulatory approvals for the redemption of the 2028 Notes.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the total amount of subordinated debt outstanding was $64.1 million, less approximately $325 thousand of remaining debt issuance costs for a total balance of $63.8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Junior Subordinated Deferrable Interest Debentures and Trust Preferred Securities</w:t>
      </w:r>
      <w:r>
        <w:rPr>
          <w:rFonts w:ascii="Times New Roman" w:hAnsi="Times New Roman"/>
          <w:color w:val="000000"/>
          <w:sz w:val="20"/>
          <w:shd w:fill="FFFFFF" w:val="clear"/>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2023 and 2022.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chart below indicates certain information, as of December 31, 2023,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28" w:type="dxa"/>
          <w:right w:w="0" w:type="dxa"/>
        </w:tblCellMar>
      </w:tblPr>
      <w:tblGrid>
        <w:gridCol w:w="3028"/>
        <w:gridCol w:w="125"/>
        <w:gridCol w:w="530"/>
        <w:gridCol w:w="60"/>
        <w:gridCol w:w="172"/>
        <w:gridCol w:w="838"/>
        <w:gridCol w:w="60"/>
        <w:gridCol w:w="60"/>
        <w:gridCol w:w="203"/>
        <w:gridCol w:w="987"/>
        <w:gridCol w:w="60"/>
        <w:gridCol w:w="60"/>
        <w:gridCol w:w="188"/>
        <w:gridCol w:w="1576"/>
        <w:gridCol w:w="60"/>
        <w:gridCol w:w="2198"/>
      </w:tblGrid>
      <w:tr>
        <w:trPr/>
        <w:tc>
          <w:tcPr>
            <w:tcW w:w="3028"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Name of Trust</w:t>
            </w:r>
          </w:p>
        </w:tc>
        <w:tc>
          <w:tcPr>
            <w:tcW w:w="125" w:type="dxa"/>
            <w:tcBorders/>
            <w:tcMar>
              <w:bottom w:w="0" w:type="dxa"/>
            </w:tcMar>
            <w:vAlign w:val="bottom"/>
          </w:tcPr>
          <w:p>
            <w:pPr>
              <w:pStyle w:val="TableContents"/>
              <w:bidi w:val="0"/>
              <w:spacing w:before="0" w:after="283"/>
              <w:jc w:val="left"/>
              <w:rPr/>
            </w:pPr>
            <w:r>
              <w:rPr/>
              <w:t> </w:t>
            </w:r>
          </w:p>
        </w:tc>
        <w:tc>
          <w:tcPr>
            <w:tcW w:w="530" w:type="dxa"/>
            <w:tcBorders>
              <w:bottom w:val="single" w:sz="12" w:space="0" w:color="000000"/>
            </w:tcBorders>
            <w:vAlign w:val="bottom"/>
          </w:tcPr>
          <w:p>
            <w:pPr>
              <w:pStyle w:val="TableContents"/>
              <w:bidi w:val="0"/>
              <w:spacing w:before="0" w:after="0"/>
              <w:jc w:val="center"/>
              <w:rPr>
                <w:b/>
                <w:color w:val="000000"/>
              </w:rPr>
            </w:pPr>
            <w:r>
              <w:rPr>
                <w:b/>
                <w:color w:val="000000"/>
              </w:rPr>
              <w:t>Issue</w:t>
            </w:r>
          </w:p>
          <w:p>
            <w:pPr>
              <w:pStyle w:val="TableContents"/>
              <w:bidi w:val="0"/>
              <w:spacing w:before="0" w:after="0"/>
              <w:jc w:val="center"/>
              <w:rPr>
                <w:b/>
                <w:color w:val="000000"/>
              </w:rPr>
            </w:pPr>
            <w:r>
              <w:rPr>
                <w:b/>
                <w:color w:val="000000"/>
              </w:rPr>
              <w:t>Date</w:t>
            </w:r>
          </w:p>
        </w:tc>
        <w:tc>
          <w:tcPr>
            <w:tcW w:w="60" w:type="dxa"/>
            <w:tcBorders/>
            <w:tcMar>
              <w:bottom w:w="0" w:type="dxa"/>
            </w:tcMar>
            <w:vAlign w:val="bottom"/>
          </w:tcPr>
          <w:p>
            <w:pPr>
              <w:pStyle w:val="TableContents"/>
              <w:bidi w:val="0"/>
              <w:spacing w:before="0" w:after="283"/>
              <w:jc w:val="left"/>
              <w:rPr/>
            </w:pPr>
            <w:r>
              <w:rPr/>
              <w:t> </w:t>
            </w:r>
          </w:p>
        </w:tc>
        <w:tc>
          <w:tcPr>
            <w:tcW w:w="101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w:t>
            </w:r>
          </w:p>
          <w:p>
            <w:pPr>
              <w:pStyle w:val="TableContents"/>
              <w:bidi w:val="0"/>
              <w:spacing w:before="0" w:after="0"/>
              <w:jc w:val="center"/>
              <w:rPr>
                <w:b/>
                <w:color w:val="000000"/>
              </w:rPr>
            </w:pPr>
            <w:r>
              <w:rPr>
                <w:b/>
                <w:color w:val="000000"/>
              </w:rPr>
              <w:t>of Trust</w:t>
            </w:r>
          </w:p>
          <w:p>
            <w:pPr>
              <w:pStyle w:val="TableContents"/>
              <w:bidi w:val="0"/>
              <w:spacing w:before="0" w:after="0"/>
              <w:jc w:val="center"/>
              <w:rPr>
                <w:b/>
                <w:color w:val="000000"/>
              </w:rPr>
            </w:pPr>
            <w:r>
              <w:rPr>
                <w:b/>
                <w:color w:val="000000"/>
              </w:rPr>
              <w:t>Preferred</w:t>
            </w:r>
          </w:p>
          <w:p>
            <w:pPr>
              <w:pStyle w:val="TableContents"/>
              <w:bidi w:val="0"/>
              <w:spacing w:before="0" w:after="0"/>
              <w:jc w:val="center"/>
              <w:rPr>
                <w:b/>
                <w:color w:val="000000"/>
              </w:rPr>
            </w:pPr>
            <w:r>
              <w:rPr>
                <w:b/>
                <w:color w:val="000000"/>
              </w:rPr>
              <w:t>Securities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9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Debentures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64" w:type="dxa"/>
            <w:gridSpan w:val="2"/>
            <w:tcBorders>
              <w:bottom w:val="single" w:sz="12" w:space="0" w:color="000000"/>
            </w:tcBorders>
            <w:vAlign w:val="bottom"/>
          </w:tcPr>
          <w:p>
            <w:pPr>
              <w:pStyle w:val="TableContents"/>
              <w:bidi w:val="0"/>
              <w:spacing w:before="0" w:after="0"/>
              <w:jc w:val="center"/>
              <w:rPr>
                <w:b/>
                <w:color w:val="000000"/>
              </w:rPr>
            </w:pPr>
            <w:r>
              <w:rPr>
                <w:b/>
                <w:color w:val="000000"/>
              </w:rPr>
              <w:t>Stated</w:t>
            </w:r>
          </w:p>
          <w:p>
            <w:pPr>
              <w:pStyle w:val="TableContents"/>
              <w:bidi w:val="0"/>
              <w:spacing w:before="0" w:after="0"/>
              <w:jc w:val="center"/>
              <w:rPr>
                <w:b/>
                <w:color w:val="000000"/>
              </w:rPr>
            </w:pPr>
            <w:r>
              <w:rPr>
                <w:b/>
                <w:color w:val="000000"/>
              </w:rPr>
              <w:t>Maturity Date</w:t>
            </w:r>
          </w:p>
          <w:p>
            <w:pPr>
              <w:pStyle w:val="TableContents"/>
              <w:bidi w:val="0"/>
              <w:spacing w:before="0" w:after="0"/>
              <w:jc w:val="center"/>
              <w:rPr>
                <w:b/>
                <w:color w:val="000000"/>
              </w:rPr>
            </w:pPr>
            <w:r>
              <w:rPr>
                <w:b/>
                <w:color w:val="000000"/>
              </w:rPr>
              <w:t>of 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Debentures(1)</w:t>
            </w:r>
          </w:p>
        </w:tc>
        <w:tc>
          <w:tcPr>
            <w:tcW w:w="60" w:type="dxa"/>
            <w:tcBorders/>
            <w:tcMar>
              <w:bottom w:w="0" w:type="dxa"/>
            </w:tcMar>
            <w:vAlign w:val="bottom"/>
          </w:tcPr>
          <w:p>
            <w:pPr>
              <w:pStyle w:val="TableContents"/>
              <w:bidi w:val="0"/>
              <w:spacing w:before="0" w:after="283"/>
              <w:jc w:val="left"/>
              <w:rPr/>
            </w:pPr>
            <w:r>
              <w:rPr/>
              <w:t> </w:t>
            </w:r>
          </w:p>
        </w:tc>
        <w:tc>
          <w:tcPr>
            <w:tcW w:w="2198" w:type="dxa"/>
            <w:tcBorders>
              <w:bottom w:val="single" w:sz="12" w:space="0" w:color="000000"/>
            </w:tcBorders>
            <w:vAlign w:val="bottom"/>
          </w:tcPr>
          <w:p>
            <w:pPr>
              <w:pStyle w:val="TableContents"/>
              <w:bidi w:val="0"/>
              <w:spacing w:before="0" w:after="0"/>
              <w:jc w:val="center"/>
              <w:rPr>
                <w:b/>
                <w:color w:val="000000"/>
              </w:rPr>
            </w:pPr>
            <w:r>
              <w:rPr>
                <w:b/>
                <w:color w:val="000000"/>
              </w:rPr>
              <w:t>Interest Rate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Debentures(2)(3)</w:t>
            </w:r>
          </w:p>
        </w:tc>
      </w:tr>
      <w:tr>
        <w:trPr/>
        <w:tc>
          <w:tcPr>
            <w:tcW w:w="3153" w:type="dxa"/>
            <w:gridSpan w:val="2"/>
            <w:tcBorders/>
            <w:tcMar>
              <w:bottom w:w="0" w:type="dxa"/>
            </w:tcMar>
            <w:vAlign w:val="bottom"/>
          </w:tcPr>
          <w:p>
            <w:pPr>
              <w:pStyle w:val="TableContents"/>
              <w:bidi w:val="0"/>
              <w:spacing w:before="0" w:after="283"/>
              <w:jc w:val="left"/>
              <w:rPr/>
            </w:pPr>
            <w:r>
              <w:rPr/>
              <w:t> </w:t>
            </w:r>
          </w:p>
        </w:tc>
        <w:tc>
          <w:tcPr>
            <w:tcW w:w="7052" w:type="dxa"/>
            <w:gridSpan w:val="14"/>
            <w:tcBorders/>
            <w:tcMar>
              <w:bottom w:w="0" w:type="dxa"/>
            </w:tcMar>
            <w:vAlign w:val="bottom"/>
          </w:tcPr>
          <w:p>
            <w:pPr>
              <w:pStyle w:val="TableContents"/>
              <w:bidi w:val="0"/>
              <w:spacing w:before="0" w:after="0"/>
              <w:jc w:val="center"/>
              <w:rPr>
                <w:b/>
                <w:color w:val="000000"/>
              </w:rPr>
            </w:pPr>
            <w:r>
              <w:rPr>
                <w:b/>
                <w:color w:val="000000"/>
              </w:rPr>
              <w:t>(Dollars in thousands)</w:t>
            </w:r>
          </w:p>
        </w:tc>
      </w:tr>
      <w:tr>
        <w:trPr/>
        <w:tc>
          <w:tcPr>
            <w:tcW w:w="3153" w:type="dxa"/>
            <w:gridSpan w:val="2"/>
            <w:tcBorders/>
            <w:shd w:fill="CCEEFF" w:val="clear"/>
            <w:tcMar>
              <w:bottom w:w="0" w:type="dxa"/>
            </w:tcMar>
            <w:vAlign w:val="center"/>
          </w:tcPr>
          <w:p>
            <w:pPr>
              <w:pStyle w:val="TableContents"/>
              <w:bidi w:val="0"/>
              <w:spacing w:before="0" w:after="0"/>
              <w:jc w:val="left"/>
              <w:rPr>
                <w:color w:val="000000"/>
              </w:rPr>
            </w:pPr>
            <w:r>
              <w:rPr>
                <w:color w:val="000000"/>
              </w:rPr>
              <w:t>South Plains Financial Capital Trust III</w:t>
            </w:r>
          </w:p>
        </w:tc>
        <w:tc>
          <w:tcPr>
            <w:tcW w:w="530" w:type="dxa"/>
            <w:tcBorders/>
            <w:shd w:fill="CCEEFF" w:val="clear"/>
            <w:tcMar>
              <w:bottom w:w="0" w:type="dxa"/>
            </w:tcMar>
            <w:vAlign w:val="center"/>
          </w:tcPr>
          <w:p>
            <w:pPr>
              <w:pStyle w:val="TableContents"/>
              <w:bidi w:val="0"/>
              <w:spacing w:before="0" w:after="0"/>
              <w:jc w:val="center"/>
              <w:rPr>
                <w:color w:val="000000"/>
              </w:rPr>
            </w:pPr>
            <w:r>
              <w:rPr>
                <w:color w:val="000000"/>
              </w:rPr>
              <w:t>2004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7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8" w:type="dxa"/>
            <w:tcBorders/>
            <w:shd w:fill="CCEEFF" w:val="clear"/>
            <w:tcMar>
              <w:bottom w:w="0" w:type="dxa"/>
            </w:tcMar>
            <w:vAlign w:val="bottom"/>
          </w:tcPr>
          <w:p>
            <w:pPr>
              <w:pStyle w:val="TableContents"/>
              <w:bidi w:val="0"/>
              <w:spacing w:before="0" w:after="0"/>
              <w:jc w:val="right"/>
              <w:rPr>
                <w:color w:val="000000"/>
              </w:rPr>
            </w:pPr>
            <w:r>
              <w:rPr>
                <w:color w:val="000000"/>
              </w:rPr>
              <w:t>10,000</w:t>
            </w:r>
          </w:p>
        </w:tc>
        <w:tc>
          <w:tcPr>
            <w:tcW w:w="60" w:type="dxa"/>
            <w:tcBorders/>
            <w:shd w:fill="CCEEFF" w:val="clear"/>
            <w:tcMar>
              <w:bottom w:w="0" w:type="dxa"/>
            </w:tcMar>
            <w:vAlign w:val="bottom"/>
          </w:tcPr>
          <w:p>
            <w:pPr>
              <w:pStyle w:val="TableContents"/>
              <w:bidi w:val="0"/>
              <w:spacing w:before="0" w:after="283"/>
              <w:jc w:val="left"/>
              <w:rPr/>
            </w:pPr>
            <w:r>
              <w:rPr/>
            </w:r>
          </w:p>
        </w:tc>
        <w:tc>
          <w:tcPr>
            <w:tcW w:w="60" w:type="dxa"/>
            <w:tcBorders/>
            <w:shd w:fill="CCEEFF" w:val="clear"/>
            <w:tcMar>
              <w:bottom w:w="0" w:type="dxa"/>
            </w:tcMar>
            <w:vAlign w:val="bottom"/>
          </w:tcPr>
          <w:p>
            <w:pPr>
              <w:pStyle w:val="TableContents"/>
              <w:bidi w:val="0"/>
              <w:spacing w:before="0" w:after="283"/>
              <w:jc w:val="left"/>
              <w:rPr/>
            </w:pPr>
            <w:r>
              <w:rPr/>
            </w:r>
          </w:p>
        </w:tc>
        <w:tc>
          <w:tcPr>
            <w:tcW w:w="20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87" w:type="dxa"/>
            <w:tcBorders/>
            <w:shd w:fill="CCEEFF" w:val="clear"/>
            <w:tcMar>
              <w:bottom w:w="0" w:type="dxa"/>
            </w:tcMar>
            <w:vAlign w:val="bottom"/>
          </w:tcPr>
          <w:p>
            <w:pPr>
              <w:pStyle w:val="TableContents"/>
              <w:bidi w:val="0"/>
              <w:spacing w:before="0" w:after="0"/>
              <w:jc w:val="right"/>
              <w:rPr>
                <w:color w:val="000000"/>
              </w:rPr>
            </w:pPr>
            <w:r>
              <w:rPr>
                <w:color w:val="000000"/>
              </w:rPr>
              <w:t>10,310</w:t>
            </w:r>
          </w:p>
        </w:tc>
        <w:tc>
          <w:tcPr>
            <w:tcW w:w="60" w:type="dxa"/>
            <w:tcBorders/>
            <w:shd w:fill="CCEEFF" w:val="clear"/>
            <w:tcMar>
              <w:bottom w:w="0" w:type="dxa"/>
            </w:tcMar>
            <w:vAlign w:val="bottom"/>
          </w:tcPr>
          <w:p>
            <w:pPr>
              <w:pStyle w:val="TableContents"/>
              <w:bidi w:val="0"/>
              <w:spacing w:before="0" w:after="283"/>
              <w:jc w:val="left"/>
              <w:rPr/>
            </w:pPr>
            <w:r>
              <w:rPr/>
            </w:r>
          </w:p>
        </w:tc>
        <w:tc>
          <w:tcPr>
            <w:tcW w:w="60" w:type="dxa"/>
            <w:tcBorders/>
            <w:shd w:fill="CCEEFF" w:val="clear"/>
            <w:tcMar>
              <w:bottom w:w="0" w:type="dxa"/>
            </w:tcMar>
            <w:vAlign w:val="bottom"/>
          </w:tcPr>
          <w:p>
            <w:pPr>
              <w:pStyle w:val="TableContents"/>
              <w:bidi w:val="0"/>
              <w:spacing w:before="0" w:after="283"/>
              <w:jc w:val="left"/>
              <w:rPr/>
            </w:pPr>
            <w:r>
              <w:rPr/>
            </w:r>
          </w:p>
        </w:tc>
        <w:tc>
          <w:tcPr>
            <w:tcW w:w="188" w:type="dxa"/>
            <w:tcBorders/>
            <w:shd w:fill="CCEEFF" w:val="clear"/>
            <w:tcMar>
              <w:bottom w:w="0" w:type="dxa"/>
            </w:tcMar>
            <w:vAlign w:val="bottom"/>
          </w:tcPr>
          <w:p>
            <w:pPr>
              <w:pStyle w:val="TableContents"/>
              <w:bidi w:val="0"/>
              <w:spacing w:before="0" w:after="283"/>
              <w:jc w:val="left"/>
              <w:rPr/>
            </w:pPr>
            <w:r>
              <w:rPr/>
            </w:r>
          </w:p>
        </w:tc>
        <w:tc>
          <w:tcPr>
            <w:tcW w:w="1576" w:type="dxa"/>
            <w:tcBorders/>
            <w:shd w:fill="CCEEFF" w:val="clear"/>
            <w:tcMar>
              <w:bottom w:w="0" w:type="dxa"/>
            </w:tcMar>
            <w:vAlign w:val="bottom"/>
          </w:tcPr>
          <w:p>
            <w:pPr>
              <w:pStyle w:val="TableContents"/>
              <w:bidi w:val="0"/>
              <w:spacing w:before="0" w:after="0"/>
              <w:jc w:val="right"/>
              <w:rPr>
                <w:color w:val="000000"/>
              </w:rPr>
            </w:pPr>
            <w:r>
              <w:rPr>
                <w:color w:val="000000"/>
              </w:rPr>
              <w:t>2034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98" w:type="dxa"/>
            <w:tcBorders/>
            <w:shd w:fill="CCEEFF" w:val="clear"/>
            <w:tcMar>
              <w:bottom w:w="0" w:type="dxa"/>
            </w:tcMar>
            <w:vAlign w:val="bottom"/>
          </w:tcPr>
          <w:p>
            <w:pPr>
              <w:pStyle w:val="TableContents"/>
              <w:bidi w:val="0"/>
              <w:spacing w:before="0" w:after="0"/>
              <w:jc w:val="left"/>
              <w:rPr>
                <w:color w:val="000000"/>
              </w:rPr>
            </w:pPr>
            <w:r>
              <w:rPr>
                <w:color w:val="000000"/>
              </w:rPr>
              <w:t xml:space="preserve">3-mo. CME Term </w:t>
            </w:r>
          </w:p>
          <w:p>
            <w:pPr>
              <w:pStyle w:val="TableContents"/>
              <w:bidi w:val="0"/>
              <w:spacing w:before="0" w:after="0"/>
              <w:jc w:val="left"/>
              <w:rPr>
                <w:color w:val="000000"/>
              </w:rPr>
            </w:pPr>
            <w:r>
              <w:rPr>
                <w:color w:val="000000"/>
              </w:rPr>
              <w:t xml:space="preserve">SOFR + 291 bps; 8.32% </w:t>
            </w:r>
          </w:p>
        </w:tc>
      </w:tr>
      <w:tr>
        <w:trPr/>
        <w:tc>
          <w:tcPr>
            <w:tcW w:w="3153" w:type="dxa"/>
            <w:gridSpan w:val="2"/>
            <w:tcBorders/>
            <w:tcMar>
              <w:bottom w:w="0" w:type="dxa"/>
            </w:tcMar>
            <w:vAlign w:val="center"/>
          </w:tcPr>
          <w:p>
            <w:pPr>
              <w:pStyle w:val="TableContents"/>
              <w:bidi w:val="0"/>
              <w:spacing w:before="0" w:after="0"/>
              <w:jc w:val="left"/>
              <w:rPr>
                <w:color w:val="000000"/>
              </w:rPr>
            </w:pPr>
            <w:r>
              <w:rPr>
                <w:color w:val="000000"/>
              </w:rPr>
              <w:t>South Plains Financial Capital Trust IV</w:t>
            </w:r>
          </w:p>
        </w:tc>
        <w:tc>
          <w:tcPr>
            <w:tcW w:w="530" w:type="dxa"/>
            <w:tcBorders/>
            <w:tcMar>
              <w:bottom w:w="0" w:type="dxa"/>
            </w:tcMar>
            <w:vAlign w:val="center"/>
          </w:tcPr>
          <w:p>
            <w:pPr>
              <w:pStyle w:val="TableContents"/>
              <w:bidi w:val="0"/>
              <w:spacing w:before="0" w:after="0"/>
              <w:jc w:val="center"/>
              <w:rPr>
                <w:color w:val="000000"/>
              </w:rPr>
            </w:pPr>
            <w:r>
              <w:rPr>
                <w:color w:val="000000"/>
              </w:rPr>
              <w:t>2005</w:t>
            </w:r>
          </w:p>
        </w:tc>
        <w:tc>
          <w:tcPr>
            <w:tcW w:w="60" w:type="dxa"/>
            <w:tcBorders/>
            <w:tcMar>
              <w:bottom w:w="0" w:type="dxa"/>
            </w:tcMar>
            <w:vAlign w:val="bottom"/>
          </w:tcPr>
          <w:p>
            <w:pPr>
              <w:pStyle w:val="TableContents"/>
              <w:bidi w:val="0"/>
              <w:spacing w:before="0" w:after="283"/>
              <w:jc w:val="left"/>
              <w:rPr/>
            </w:pPr>
            <w:r>
              <w:rPr/>
              <w:t> </w:t>
            </w:r>
          </w:p>
        </w:tc>
        <w:tc>
          <w:tcPr>
            <w:tcW w:w="172" w:type="dxa"/>
            <w:tcBorders/>
            <w:tcMar>
              <w:bottom w:w="0" w:type="dxa"/>
            </w:tcMar>
            <w:vAlign w:val="bottom"/>
          </w:tcPr>
          <w:p>
            <w:pPr>
              <w:pStyle w:val="TableContents"/>
              <w:bidi w:val="0"/>
              <w:spacing w:before="0" w:after="283"/>
              <w:jc w:val="left"/>
              <w:rPr/>
            </w:pPr>
            <w:r>
              <w:rPr/>
              <w:t> </w:t>
            </w:r>
          </w:p>
        </w:tc>
        <w:tc>
          <w:tcPr>
            <w:tcW w:w="838" w:type="dxa"/>
            <w:tcBorders/>
            <w:tcMar>
              <w:bottom w:w="0" w:type="dxa"/>
            </w:tcMar>
            <w:vAlign w:val="bottom"/>
          </w:tcPr>
          <w:p>
            <w:pPr>
              <w:pStyle w:val="TableContents"/>
              <w:bidi w:val="0"/>
              <w:spacing w:before="0" w:after="0"/>
              <w:jc w:val="right"/>
              <w:rPr>
                <w:color w:val="000000"/>
              </w:rPr>
            </w:pPr>
            <w:r>
              <w:rPr>
                <w:color w:val="000000"/>
              </w:rPr>
              <w:t>20,000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3" w:type="dxa"/>
            <w:tcBorders/>
            <w:tcMar>
              <w:bottom w:w="0" w:type="dxa"/>
            </w:tcMar>
            <w:vAlign w:val="bottom"/>
          </w:tcPr>
          <w:p>
            <w:pPr>
              <w:pStyle w:val="TableContents"/>
              <w:bidi w:val="0"/>
              <w:spacing w:before="0" w:after="283"/>
              <w:jc w:val="left"/>
              <w:rPr/>
            </w:pPr>
            <w:r>
              <w:rPr/>
              <w:t> </w:t>
            </w:r>
          </w:p>
        </w:tc>
        <w:tc>
          <w:tcPr>
            <w:tcW w:w="987" w:type="dxa"/>
            <w:tcBorders/>
            <w:tcMar>
              <w:bottom w:w="0" w:type="dxa"/>
            </w:tcMar>
            <w:vAlign w:val="bottom"/>
          </w:tcPr>
          <w:p>
            <w:pPr>
              <w:pStyle w:val="TableContents"/>
              <w:bidi w:val="0"/>
              <w:spacing w:before="0" w:after="0"/>
              <w:jc w:val="right"/>
              <w:rPr>
                <w:color w:val="000000"/>
              </w:rPr>
            </w:pPr>
            <w:r>
              <w:rPr>
                <w:color w:val="000000"/>
              </w:rPr>
              <w:t>20,619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8" w:type="dxa"/>
            <w:tcBorders/>
            <w:tcMar>
              <w:bottom w:w="0" w:type="dxa"/>
            </w:tcMar>
            <w:vAlign w:val="bottom"/>
          </w:tcPr>
          <w:p>
            <w:pPr>
              <w:pStyle w:val="TableContents"/>
              <w:bidi w:val="0"/>
              <w:spacing w:before="0" w:after="283"/>
              <w:jc w:val="left"/>
              <w:rPr/>
            </w:pPr>
            <w:r>
              <w:rPr/>
              <w:t> </w:t>
            </w:r>
          </w:p>
        </w:tc>
        <w:tc>
          <w:tcPr>
            <w:tcW w:w="1576" w:type="dxa"/>
            <w:tcBorders/>
            <w:tcMar>
              <w:bottom w:w="0" w:type="dxa"/>
            </w:tcMar>
            <w:vAlign w:val="bottom"/>
          </w:tcPr>
          <w:p>
            <w:pPr>
              <w:pStyle w:val="TableContents"/>
              <w:bidi w:val="0"/>
              <w:spacing w:before="0" w:after="0"/>
              <w:jc w:val="right"/>
              <w:rPr>
                <w:color w:val="000000"/>
              </w:rPr>
            </w:pPr>
            <w:r>
              <w:rPr>
                <w:color w:val="000000"/>
              </w:rPr>
              <w:t>2035</w:t>
            </w:r>
          </w:p>
        </w:tc>
        <w:tc>
          <w:tcPr>
            <w:tcW w:w="60" w:type="dxa"/>
            <w:tcBorders/>
            <w:tcMar>
              <w:bottom w:w="0" w:type="dxa"/>
            </w:tcMar>
            <w:vAlign w:val="bottom"/>
          </w:tcPr>
          <w:p>
            <w:pPr>
              <w:pStyle w:val="TableContents"/>
              <w:bidi w:val="0"/>
              <w:spacing w:before="0" w:after="283"/>
              <w:jc w:val="left"/>
              <w:rPr/>
            </w:pPr>
            <w:r>
              <w:rPr/>
              <w:t> </w:t>
            </w:r>
          </w:p>
        </w:tc>
        <w:tc>
          <w:tcPr>
            <w:tcW w:w="2198" w:type="dxa"/>
            <w:tcBorders/>
            <w:tcMar>
              <w:bottom w:w="0" w:type="dxa"/>
            </w:tcMar>
            <w:vAlign w:val="bottom"/>
          </w:tcPr>
          <w:p>
            <w:pPr>
              <w:pStyle w:val="TableContents"/>
              <w:bidi w:val="0"/>
              <w:spacing w:before="0" w:after="0"/>
              <w:jc w:val="left"/>
              <w:rPr>
                <w:color w:val="000000"/>
              </w:rPr>
            </w:pPr>
            <w:r>
              <w:rPr>
                <w:color w:val="000000"/>
              </w:rPr>
              <w:t xml:space="preserve">3-mo. CME Term </w:t>
            </w:r>
          </w:p>
          <w:p>
            <w:pPr>
              <w:pStyle w:val="TableContents"/>
              <w:bidi w:val="0"/>
              <w:spacing w:before="0" w:after="0"/>
              <w:jc w:val="left"/>
              <w:rPr>
                <w:color w:val="000000"/>
              </w:rPr>
            </w:pPr>
            <w:r>
              <w:rPr>
                <w:color w:val="000000"/>
              </w:rPr>
              <w:t>SOFR + 165 bps; 7.04%</w:t>
            </w:r>
          </w:p>
        </w:tc>
      </w:tr>
      <w:tr>
        <w:trPr/>
        <w:tc>
          <w:tcPr>
            <w:tcW w:w="3153" w:type="dxa"/>
            <w:gridSpan w:val="2"/>
            <w:tcBorders/>
            <w:shd w:fill="CCEEFF" w:val="clear"/>
            <w:tcMar>
              <w:bottom w:w="0" w:type="dxa"/>
            </w:tcMar>
            <w:vAlign w:val="center"/>
          </w:tcPr>
          <w:p>
            <w:pPr>
              <w:pStyle w:val="TableContents"/>
              <w:bidi w:val="0"/>
              <w:spacing w:before="0" w:after="0"/>
              <w:jc w:val="left"/>
              <w:rPr>
                <w:color w:val="000000"/>
              </w:rPr>
            </w:pPr>
            <w:r>
              <w:rPr>
                <w:color w:val="000000"/>
              </w:rPr>
              <w:t>South Plains Financial Capital Trust V</w:t>
            </w:r>
          </w:p>
        </w:tc>
        <w:tc>
          <w:tcPr>
            <w:tcW w:w="530" w:type="dxa"/>
            <w:tcBorders/>
            <w:shd w:fill="CCEEFF" w:val="clear"/>
            <w:tcMar>
              <w:bottom w:w="0" w:type="dxa"/>
            </w:tcMar>
            <w:vAlign w:val="center"/>
          </w:tcPr>
          <w:p>
            <w:pPr>
              <w:pStyle w:val="TableContents"/>
              <w:bidi w:val="0"/>
              <w:spacing w:before="0" w:after="0"/>
              <w:jc w:val="center"/>
              <w:rPr>
                <w:color w:val="000000"/>
              </w:rPr>
            </w:pPr>
            <w:r>
              <w:rPr>
                <w:color w:val="000000"/>
              </w:rPr>
              <w:t>2007</w:t>
            </w:r>
          </w:p>
        </w:tc>
        <w:tc>
          <w:tcPr>
            <w:tcW w:w="60" w:type="dxa"/>
            <w:tcBorders/>
            <w:shd w:fill="CCEEFF" w:val="clear"/>
            <w:tcMar>
              <w:bottom w:w="0" w:type="dxa"/>
            </w:tcMar>
            <w:vAlign w:val="bottom"/>
          </w:tcPr>
          <w:p>
            <w:pPr>
              <w:pStyle w:val="TableContents"/>
              <w:bidi w:val="0"/>
              <w:spacing w:before="0" w:after="283"/>
              <w:jc w:val="left"/>
              <w:rPr/>
            </w:pPr>
            <w:r>
              <w:rPr/>
              <w:t> </w:t>
            </w:r>
          </w:p>
        </w:tc>
        <w:tc>
          <w:tcPr>
            <w:tcW w:w="172" w:type="dxa"/>
            <w:tcBorders>
              <w:bottom w:val="single" w:sz="12" w:space="0" w:color="000000"/>
            </w:tcBorders>
            <w:shd w:fill="CCEEFF" w:val="clear"/>
            <w:vAlign w:val="bottom"/>
          </w:tcPr>
          <w:p>
            <w:pPr>
              <w:pStyle w:val="TableContents"/>
              <w:bidi w:val="0"/>
              <w:spacing w:before="0" w:after="283"/>
              <w:jc w:val="left"/>
              <w:rPr/>
            </w:pPr>
            <w:r>
              <w:rPr/>
              <w:t> </w:t>
            </w:r>
          </w:p>
        </w:tc>
        <w:tc>
          <w:tcPr>
            <w:tcW w:w="838"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15,000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3" w:type="dxa"/>
            <w:tcBorders>
              <w:bottom w:val="single" w:sz="12" w:space="0" w:color="000000"/>
            </w:tcBorders>
            <w:shd w:fill="CCEEFF" w:val="clear"/>
            <w:vAlign w:val="bottom"/>
          </w:tcPr>
          <w:p>
            <w:pPr>
              <w:pStyle w:val="TableContents"/>
              <w:bidi w:val="0"/>
              <w:spacing w:before="0" w:after="283"/>
              <w:jc w:val="left"/>
              <w:rPr/>
            </w:pPr>
            <w:r>
              <w:rPr/>
              <w:t> </w:t>
            </w:r>
          </w:p>
        </w:tc>
        <w:tc>
          <w:tcPr>
            <w:tcW w:w="987"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15,464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8" w:type="dxa"/>
            <w:tcBorders/>
            <w:shd w:fill="CCEEFF" w:val="clear"/>
            <w:tcMar>
              <w:bottom w:w="0" w:type="dxa"/>
            </w:tcMar>
            <w:vAlign w:val="bottom"/>
          </w:tcPr>
          <w:p>
            <w:pPr>
              <w:pStyle w:val="TableContents"/>
              <w:bidi w:val="0"/>
              <w:spacing w:before="0" w:after="283"/>
              <w:jc w:val="left"/>
              <w:rPr/>
            </w:pPr>
            <w:r>
              <w:rPr/>
              <w:t> </w:t>
            </w:r>
          </w:p>
        </w:tc>
        <w:tc>
          <w:tcPr>
            <w:tcW w:w="1576" w:type="dxa"/>
            <w:tcBorders/>
            <w:shd w:fill="CCEEFF" w:val="clear"/>
            <w:tcMar>
              <w:bottom w:w="0" w:type="dxa"/>
            </w:tcMar>
            <w:vAlign w:val="bottom"/>
          </w:tcPr>
          <w:p>
            <w:pPr>
              <w:pStyle w:val="TableContents"/>
              <w:bidi w:val="0"/>
              <w:spacing w:before="0" w:after="0"/>
              <w:jc w:val="right"/>
              <w:rPr>
                <w:color w:val="000000"/>
              </w:rPr>
            </w:pPr>
            <w:r>
              <w:rPr>
                <w:color w:val="000000"/>
              </w:rPr>
              <w:t>2037</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98" w:type="dxa"/>
            <w:tcBorders/>
            <w:shd w:fill="CCEEFF" w:val="clear"/>
            <w:tcMar>
              <w:bottom w:w="0" w:type="dxa"/>
            </w:tcMar>
            <w:vAlign w:val="bottom"/>
          </w:tcPr>
          <w:p>
            <w:pPr>
              <w:pStyle w:val="TableContents"/>
              <w:bidi w:val="0"/>
              <w:spacing w:before="0" w:after="0"/>
              <w:jc w:val="left"/>
              <w:rPr>
                <w:color w:val="000000"/>
              </w:rPr>
            </w:pPr>
            <w:r>
              <w:rPr>
                <w:color w:val="000000"/>
              </w:rPr>
              <w:t xml:space="preserve">3-mo. CME Term </w:t>
            </w:r>
          </w:p>
          <w:p>
            <w:pPr>
              <w:pStyle w:val="TableContents"/>
              <w:bidi w:val="0"/>
              <w:spacing w:before="0" w:after="0"/>
              <w:jc w:val="left"/>
              <w:rPr>
                <w:color w:val="000000"/>
              </w:rPr>
            </w:pPr>
            <w:r>
              <w:rPr>
                <w:color w:val="000000"/>
              </w:rPr>
              <w:t>SOFR + 176 bps; 7.15%</w:t>
            </w:r>
          </w:p>
        </w:tc>
      </w:tr>
      <w:tr>
        <w:trPr/>
        <w:tc>
          <w:tcPr>
            <w:tcW w:w="3153" w:type="dxa"/>
            <w:gridSpan w:val="2"/>
            <w:tcBorders/>
            <w:tcMar>
              <w:bottom w:w="0" w:type="dxa"/>
            </w:tcMar>
            <w:vAlign w:val="bottom"/>
          </w:tcPr>
          <w:p>
            <w:pPr>
              <w:pStyle w:val="TableContents"/>
              <w:bidi w:val="0"/>
              <w:spacing w:before="0" w:after="0"/>
              <w:ind w:left="144" w:right="0" w:hanging="144"/>
              <w:jc w:val="left"/>
              <w:rPr>
                <w:color w:val="000000"/>
              </w:rPr>
            </w:pPr>
            <w:r>
              <w:rPr>
                <w:color w:val="000000"/>
              </w:rPr>
              <w:t>Total</w:t>
            </w:r>
          </w:p>
        </w:tc>
        <w:tc>
          <w:tcPr>
            <w:tcW w:w="53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72"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838" w:type="dxa"/>
            <w:tcBorders>
              <w:bottom w:val="double" w:sz="8" w:space="0" w:color="000000"/>
            </w:tcBorders>
            <w:vAlign w:val="bottom"/>
          </w:tcPr>
          <w:p>
            <w:pPr>
              <w:pStyle w:val="TableContents"/>
              <w:bidi w:val="0"/>
              <w:spacing w:before="0" w:after="0"/>
              <w:jc w:val="right"/>
              <w:rPr>
                <w:color w:val="000000"/>
              </w:rPr>
            </w:pPr>
            <w:r>
              <w:rPr>
                <w:color w:val="000000"/>
              </w:rPr>
              <w:t>45,000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3"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987" w:type="dxa"/>
            <w:tcBorders>
              <w:bottom w:val="double" w:sz="8" w:space="0" w:color="000000"/>
            </w:tcBorders>
            <w:vAlign w:val="bottom"/>
          </w:tcPr>
          <w:p>
            <w:pPr>
              <w:pStyle w:val="TableContents"/>
              <w:bidi w:val="0"/>
              <w:spacing w:before="0" w:after="0"/>
              <w:jc w:val="right"/>
              <w:rPr>
                <w:color w:val="000000"/>
              </w:rPr>
            </w:pPr>
            <w:r>
              <w:rPr>
                <w:color w:val="000000"/>
              </w:rPr>
              <w:t>46,393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8" w:type="dxa"/>
            <w:tcBorders/>
            <w:tcMar>
              <w:bottom w:w="0" w:type="dxa"/>
            </w:tcMar>
            <w:vAlign w:val="bottom"/>
          </w:tcPr>
          <w:p>
            <w:pPr>
              <w:pStyle w:val="TableContents"/>
              <w:bidi w:val="0"/>
              <w:spacing w:before="0" w:after="283"/>
              <w:jc w:val="left"/>
              <w:rPr/>
            </w:pPr>
            <w:r>
              <w:rPr/>
              <w:t> </w:t>
            </w:r>
          </w:p>
        </w:tc>
        <w:tc>
          <w:tcPr>
            <w:tcW w:w="1576"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2198"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4480" w:type="dxa"/>
        <w:jc w:val="left"/>
        <w:tblInd w:w="0" w:type="dxa"/>
        <w:tblLayout w:type="fixed"/>
        <w:tblCellMar>
          <w:top w:w="0" w:type="dxa"/>
          <w:left w:w="0" w:type="dxa"/>
          <w:bottom w:w="0" w:type="dxa"/>
          <w:right w:w="0" w:type="dxa"/>
        </w:tblCellMar>
      </w:tblPr>
      <w:tblGrid>
        <w:gridCol w:w="305"/>
        <w:gridCol w:w="4175"/>
      </w:tblGrid>
      <w:tr>
        <w:trPr/>
        <w:tc>
          <w:tcPr>
            <w:tcW w:w="305" w:type="dxa"/>
            <w:tcBorders/>
            <w:vAlign w:val="center"/>
          </w:tcPr>
          <w:p>
            <w:pPr>
              <w:pStyle w:val="TableContents"/>
              <w:bidi w:val="0"/>
              <w:spacing w:before="0" w:after="283"/>
              <w:jc w:val="left"/>
              <w:rPr>
                <w:color w:val="000000"/>
              </w:rPr>
            </w:pPr>
            <w:r>
              <w:rPr>
                <w:color w:val="000000"/>
              </w:rPr>
              <w:t>(1)</w:t>
            </w:r>
          </w:p>
        </w:tc>
        <w:tc>
          <w:tcPr>
            <w:tcW w:w="4175" w:type="dxa"/>
            <w:tcBorders/>
            <w:vAlign w:val="center"/>
          </w:tcPr>
          <w:p>
            <w:pPr>
              <w:pStyle w:val="TableContents"/>
              <w:bidi w:val="0"/>
              <w:spacing w:before="0" w:after="0"/>
              <w:jc w:val="both"/>
              <w:rPr>
                <w:color w:val="000000"/>
              </w:rPr>
            </w:pPr>
            <w:r>
              <w:rPr>
                <w:color w:val="000000"/>
              </w:rPr>
              <w:t>May be redeemed at the Company’s option.</w:t>
            </w:r>
          </w:p>
        </w:tc>
      </w:tr>
    </w:tbl>
    <w:tbl>
      <w:tblPr>
        <w:tblW w:w="5620" w:type="dxa"/>
        <w:jc w:val="left"/>
        <w:tblInd w:w="0" w:type="dxa"/>
        <w:tblLayout w:type="fixed"/>
        <w:tblCellMar>
          <w:top w:w="0" w:type="dxa"/>
          <w:left w:w="0" w:type="dxa"/>
          <w:bottom w:w="0" w:type="dxa"/>
          <w:right w:w="0" w:type="dxa"/>
        </w:tblCellMar>
      </w:tblPr>
      <w:tblGrid>
        <w:gridCol w:w="305"/>
        <w:gridCol w:w="5315"/>
      </w:tblGrid>
      <w:tr>
        <w:trPr/>
        <w:tc>
          <w:tcPr>
            <w:tcW w:w="305" w:type="dxa"/>
            <w:tcBorders/>
            <w:vAlign w:val="center"/>
          </w:tcPr>
          <w:p>
            <w:pPr>
              <w:pStyle w:val="TableContents"/>
              <w:bidi w:val="0"/>
              <w:spacing w:before="0" w:after="283"/>
              <w:jc w:val="left"/>
              <w:rPr>
                <w:color w:val="000000"/>
              </w:rPr>
            </w:pPr>
            <w:r>
              <w:rPr>
                <w:color w:val="000000"/>
              </w:rPr>
              <w:t>(2)</w:t>
            </w:r>
          </w:p>
        </w:tc>
        <w:tc>
          <w:tcPr>
            <w:tcW w:w="5315" w:type="dxa"/>
            <w:tcBorders/>
            <w:vAlign w:val="center"/>
          </w:tcPr>
          <w:p>
            <w:pPr>
              <w:pStyle w:val="TableContents"/>
              <w:bidi w:val="0"/>
              <w:spacing w:before="0" w:after="0"/>
              <w:jc w:val="both"/>
              <w:rPr>
                <w:color w:val="000000"/>
              </w:rPr>
            </w:pPr>
            <w:r>
              <w:rPr>
                <w:color w:val="000000"/>
              </w:rPr>
              <w:t>Interest payable quarterly with principal due at maturity.</w:t>
            </w:r>
          </w:p>
        </w:tc>
      </w:tr>
    </w:tbl>
    <w:tbl>
      <w:tblPr>
        <w:tblW w:w="5410" w:type="dxa"/>
        <w:jc w:val="left"/>
        <w:tblInd w:w="0" w:type="dxa"/>
        <w:tblLayout w:type="fixed"/>
        <w:tblCellMar>
          <w:top w:w="0" w:type="dxa"/>
          <w:left w:w="0" w:type="dxa"/>
          <w:bottom w:w="0" w:type="dxa"/>
          <w:right w:w="0" w:type="dxa"/>
        </w:tblCellMar>
      </w:tblPr>
      <w:tblGrid>
        <w:gridCol w:w="305"/>
        <w:gridCol w:w="5105"/>
      </w:tblGrid>
      <w:tr>
        <w:trPr/>
        <w:tc>
          <w:tcPr>
            <w:tcW w:w="305" w:type="dxa"/>
            <w:tcBorders/>
            <w:vAlign w:val="center"/>
          </w:tcPr>
          <w:p>
            <w:pPr>
              <w:pStyle w:val="TableContents"/>
              <w:bidi w:val="0"/>
              <w:spacing w:before="0" w:after="283"/>
              <w:jc w:val="left"/>
              <w:rPr>
                <w:color w:val="000000"/>
              </w:rPr>
            </w:pPr>
            <w:r>
              <w:rPr>
                <w:color w:val="000000"/>
              </w:rPr>
              <w:t>(3)</w:t>
            </w:r>
          </w:p>
        </w:tc>
        <w:tc>
          <w:tcPr>
            <w:tcW w:w="5105" w:type="dxa"/>
            <w:tcBorders/>
            <w:vAlign w:val="center"/>
          </w:tcPr>
          <w:p>
            <w:pPr>
              <w:pStyle w:val="TableContents"/>
              <w:bidi w:val="0"/>
              <w:spacing w:before="0" w:after="0"/>
              <w:jc w:val="both"/>
              <w:rPr>
                <w:color w:val="000000"/>
              </w:rPr>
            </w:pPr>
            <w:r>
              <w:rPr>
                <w:color w:val="000000"/>
              </w:rPr>
              <w:t>Rate as of last reset date, prior to December 31, 2023.</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Liquidity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FRB discount window. We had available borrowing capacity of up to approximately $1.83 billion through the FHLB, the FRB’s discount window, and access to the BTFP at December 31, 2023, which includes the unused line with the FHLB of $1.10 billion and the unused line with the FRB of $595.4 million. We have not pledged any securities for the BTFP but have approximately $134 million of available securities that can be used as collateral. Additionally, we have uncollateralized lines with multiple banks totaling $140 million at December 31, 2023. These lines are not guaranteed and we are not placing reliance on them.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stockholders’ equity increased to $407.1 million as of December 31, 2023, compared to $357.0 million as of December 31, 2022. The increase from December 31, 2022 was primarily the result of $62.7 million in net earnings and a decrease in the accumulated other comprehensive loss of $13.4 million, partially offset by repurchases of common stock of $17.8 million, and by $8.7 million in dividends paid for the year ended December 31,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2023, both we and the Bank met all the capital adequacy requirements to which we and the Bank were subject. At December 31, 2023, we and the Bank were “well capitalized” under the regulatory framework for prompt corrective action. Management believes that no conditions or events have occurred since December 31, 2023 that would materially adversely change such capital classifications. From time to time, we may need to raise additional capital to support our and the Bank’s further growth and to maintain our “well capitalized” status.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also summarizes the capital requirements applicable to us and the Bank in order to be considered “well-capitalized” from a regulatory perspective, as well as our and the Bank’s capital ratios as of the dates indicated.</w:t>
      </w:r>
    </w:p>
    <w:p>
      <w:pPr>
        <w:pStyle w:val="TextBody"/>
        <w:bidi w:val="0"/>
        <w:spacing w:before="0" w:after="0"/>
        <w:jc w:val="left"/>
        <w:rPr/>
      </w:pPr>
      <w:r>
        <w:rPr/>
      </w:r>
    </w:p>
    <w:tbl>
      <w:tblPr>
        <w:tblW w:w="9907" w:type="dxa"/>
        <w:jc w:val="left"/>
        <w:tblInd w:w="0" w:type="dxa"/>
        <w:tblLayout w:type="fixed"/>
        <w:tblCellMar>
          <w:top w:w="0" w:type="dxa"/>
          <w:left w:w="0" w:type="dxa"/>
          <w:bottom w:w="0" w:type="dxa"/>
          <w:right w:w="0" w:type="dxa"/>
        </w:tblCellMar>
      </w:tblPr>
      <w:tblGrid>
        <w:gridCol w:w="3680"/>
        <w:gridCol w:w="60"/>
        <w:gridCol w:w="140"/>
        <w:gridCol w:w="800"/>
        <w:gridCol w:w="60"/>
        <w:gridCol w:w="60"/>
        <w:gridCol w:w="60"/>
        <w:gridCol w:w="560"/>
        <w:gridCol w:w="215"/>
        <w:gridCol w:w="60"/>
        <w:gridCol w:w="157"/>
        <w:gridCol w:w="902"/>
        <w:gridCol w:w="67"/>
        <w:gridCol w:w="67"/>
        <w:gridCol w:w="67"/>
        <w:gridCol w:w="631"/>
        <w:gridCol w:w="215"/>
        <w:gridCol w:w="60"/>
        <w:gridCol w:w="152"/>
        <w:gridCol w:w="873"/>
        <w:gridCol w:w="65"/>
        <w:gridCol w:w="65"/>
        <w:gridCol w:w="65"/>
        <w:gridCol w:w="611"/>
        <w:gridCol w:w="215"/>
      </w:tblGrid>
      <w:tr>
        <w:trPr/>
        <w:tc>
          <w:tcPr>
            <w:tcW w:w="3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Actual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Minimum Capital </w:t>
            </w:r>
          </w:p>
          <w:p>
            <w:pPr>
              <w:pStyle w:val="TableContents"/>
              <w:bidi w:val="0"/>
              <w:spacing w:before="0" w:after="0"/>
              <w:jc w:val="center"/>
              <w:rPr>
                <w:b/>
                <w:color w:val="000000"/>
              </w:rPr>
            </w:pPr>
            <w:r>
              <w:rPr>
                <w:b/>
                <w:color w:val="000000"/>
              </w:rPr>
              <w:t>Requirement with</w:t>
            </w:r>
          </w:p>
          <w:p>
            <w:pPr>
              <w:pStyle w:val="TableContents"/>
              <w:bidi w:val="0"/>
              <w:spacing w:before="0" w:after="0"/>
              <w:jc w:val="center"/>
              <w:rPr>
                <w:b/>
                <w:color w:val="000000"/>
              </w:rPr>
            </w:pPr>
            <w:r>
              <w:rPr>
                <w:b/>
                <w:color w:val="000000"/>
              </w:rPr>
              <w:t>Capital Buffer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Minimum</w:t>
            </w:r>
          </w:p>
          <w:p>
            <w:pPr>
              <w:pStyle w:val="TableContents"/>
              <w:bidi w:val="0"/>
              <w:spacing w:before="0" w:after="0"/>
              <w:jc w:val="center"/>
              <w:rPr>
                <w:b/>
                <w:color w:val="000000"/>
              </w:rPr>
            </w:pPr>
            <w:r>
              <w:rPr>
                <w:b/>
                <w:color w:val="000000"/>
              </w:rPr>
              <w:t>To be Considered</w:t>
            </w:r>
          </w:p>
          <w:p>
            <w:pPr>
              <w:pStyle w:val="TableContents"/>
              <w:bidi w:val="0"/>
              <w:spacing w:before="0" w:after="0"/>
              <w:jc w:val="center"/>
              <w:rPr>
                <w:b/>
                <w:color w:val="000000"/>
              </w:rPr>
            </w:pPr>
            <w:r>
              <w:rPr>
                <w:b/>
                <w:color w:val="000000"/>
              </w:rPr>
              <w:t>Well Capitalized</w:t>
            </w:r>
          </w:p>
        </w:tc>
        <w:tc>
          <w:tcPr>
            <w:tcW w:w="215"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r>
      <w:tr>
        <w:trPr/>
        <w:tc>
          <w:tcPr>
            <w:tcW w:w="36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2" w:type="dxa"/>
            <w:gridSpan w:val="22"/>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3680"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b/>
                <w:color w:val="000000"/>
              </w:rPr>
              <w:t>As of December 31, 2023</w:t>
            </w:r>
            <w:r>
              <w:rPr>
                <w:color w:val="000000"/>
              </w:rPr>
              <w:t>:</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8"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144" w:right="0" w:hanging="144"/>
              <w:jc w:val="left"/>
              <w:rPr>
                <w:color w:val="000000"/>
              </w:rPr>
            </w:pPr>
            <w:r>
              <w:rPr>
                <w:color w:val="000000"/>
              </w:rPr>
              <w:t>Total capital (to risk-weighted assets)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8"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589,565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16.74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902" w:type="dxa"/>
            <w:tcBorders/>
            <w:shd w:fill="CCEEFF" w:val="clear"/>
            <w:vAlign w:val="bottom"/>
          </w:tcPr>
          <w:p>
            <w:pPr>
              <w:pStyle w:val="TableContents"/>
              <w:bidi w:val="0"/>
              <w:spacing w:before="0" w:after="0"/>
              <w:jc w:val="right"/>
              <w:rPr>
                <w:color w:val="000000"/>
              </w:rPr>
            </w:pPr>
            <w:r>
              <w:rPr>
                <w:color w:val="000000"/>
              </w:rPr>
              <w:t>369,753</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10.50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N/A</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N/A</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Bank</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494,353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14.04</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369,635</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10.50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color w:val="000000"/>
              </w:rPr>
            </w:pPr>
            <w:r>
              <w:rPr>
                <w:color w:val="000000"/>
              </w:rPr>
              <w:t>$</w:t>
            </w:r>
          </w:p>
        </w:tc>
        <w:tc>
          <w:tcPr>
            <w:tcW w:w="873" w:type="dxa"/>
            <w:tcBorders/>
            <w:vAlign w:val="bottom"/>
          </w:tcPr>
          <w:p>
            <w:pPr>
              <w:pStyle w:val="TableContents"/>
              <w:bidi w:val="0"/>
              <w:spacing w:before="0" w:after="0"/>
              <w:jc w:val="right"/>
              <w:rPr>
                <w:color w:val="000000"/>
              </w:rPr>
            </w:pPr>
            <w:r>
              <w:rPr>
                <w:color w:val="000000"/>
              </w:rPr>
              <w:t>352,033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Tier 1 capital (to risk-weighted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Consolidated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482,044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13.69</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299,324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8.50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color w:val="000000"/>
              </w:rPr>
            </w:pPr>
            <w:r>
              <w:rPr>
                <w:color w:val="000000"/>
              </w:rPr>
              <w:t>N/A</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450,607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12.80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color w:val="000000"/>
              </w:rPr>
            </w:pPr>
            <w:r>
              <w:rPr>
                <w:color w:val="000000"/>
              </w:rPr>
              <w:t>299,228</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8.50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281,627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8.00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680" w:type="dxa"/>
            <w:tcBorders/>
            <w:vAlign w:val="bottom"/>
          </w:tcPr>
          <w:p>
            <w:pPr>
              <w:pStyle w:val="TableContents"/>
              <w:bidi w:val="0"/>
              <w:spacing w:before="0" w:after="0"/>
              <w:ind w:left="144" w:right="0" w:hanging="144"/>
              <w:jc w:val="left"/>
              <w:rPr>
                <w:color w:val="000000"/>
              </w:rPr>
            </w:pPr>
            <w:r>
              <w:rPr>
                <w:color w:val="000000"/>
              </w:rPr>
              <w:t>CET 1 capital (to risk-weighted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437,044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12.41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color w:val="000000"/>
              </w:rPr>
            </w:pPr>
            <w:r>
              <w:rPr>
                <w:color w:val="000000"/>
              </w:rPr>
              <w:t>246,502</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7.00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N/A</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N/A</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Bank</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450,607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12.80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246,423</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7.00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color w:val="000000"/>
              </w:rPr>
            </w:pPr>
            <w:r>
              <w:rPr>
                <w:color w:val="000000"/>
              </w:rPr>
              <w:t>228,822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6.50</w:t>
            </w:r>
          </w:p>
        </w:tc>
        <w:tc>
          <w:tcPr>
            <w:tcW w:w="215" w:type="dxa"/>
            <w:tcBorders/>
            <w:vAlign w:val="bottom"/>
          </w:tcPr>
          <w:p>
            <w:pPr>
              <w:pStyle w:val="TableContents"/>
              <w:bidi w:val="0"/>
              <w:spacing w:before="0" w:after="0"/>
              <w:jc w:val="left"/>
              <w:rPr>
                <w:color w:val="000000"/>
              </w:rPr>
            </w:pPr>
            <w:r>
              <w:rPr>
                <w:color w:val="000000"/>
              </w:rPr>
              <w:t>%</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Tier 1 capital (to average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Consolidated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482,044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11.33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171,037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4.00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color w:val="000000"/>
              </w:rPr>
            </w:pPr>
            <w:r>
              <w:rPr>
                <w:color w:val="000000"/>
              </w:rPr>
              <w:t>N/A</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450,607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10.60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color w:val="000000"/>
              </w:rPr>
            </w:pPr>
            <w:r>
              <w:rPr>
                <w:color w:val="000000"/>
              </w:rPr>
              <w:t>170,945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4.00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212,594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5.00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9907" w:type="dxa"/>
        <w:jc w:val="left"/>
        <w:tblInd w:w="0" w:type="dxa"/>
        <w:tblLayout w:type="fixed"/>
        <w:tblCellMar>
          <w:top w:w="0" w:type="dxa"/>
          <w:left w:w="0" w:type="dxa"/>
          <w:bottom w:w="0" w:type="dxa"/>
          <w:right w:w="0" w:type="dxa"/>
        </w:tblCellMar>
      </w:tblPr>
      <w:tblGrid>
        <w:gridCol w:w="3680"/>
        <w:gridCol w:w="60"/>
        <w:gridCol w:w="140"/>
        <w:gridCol w:w="800"/>
        <w:gridCol w:w="60"/>
        <w:gridCol w:w="60"/>
        <w:gridCol w:w="60"/>
        <w:gridCol w:w="560"/>
        <w:gridCol w:w="215"/>
        <w:gridCol w:w="60"/>
        <w:gridCol w:w="157"/>
        <w:gridCol w:w="902"/>
        <w:gridCol w:w="67"/>
        <w:gridCol w:w="67"/>
        <w:gridCol w:w="67"/>
        <w:gridCol w:w="631"/>
        <w:gridCol w:w="215"/>
        <w:gridCol w:w="60"/>
        <w:gridCol w:w="152"/>
        <w:gridCol w:w="873"/>
        <w:gridCol w:w="65"/>
        <w:gridCol w:w="65"/>
        <w:gridCol w:w="65"/>
        <w:gridCol w:w="611"/>
        <w:gridCol w:w="215"/>
      </w:tblGrid>
      <w:tr>
        <w:trPr/>
        <w:tc>
          <w:tcPr>
            <w:tcW w:w="3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Actual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Minimum Capital </w:t>
            </w:r>
          </w:p>
          <w:p>
            <w:pPr>
              <w:pStyle w:val="TableContents"/>
              <w:bidi w:val="0"/>
              <w:spacing w:before="0" w:after="0"/>
              <w:jc w:val="center"/>
              <w:rPr>
                <w:b/>
                <w:color w:val="000000"/>
              </w:rPr>
            </w:pPr>
            <w:r>
              <w:rPr>
                <w:b/>
                <w:color w:val="000000"/>
              </w:rPr>
              <w:t>Requirement with</w:t>
            </w:r>
          </w:p>
          <w:p>
            <w:pPr>
              <w:pStyle w:val="TableContents"/>
              <w:bidi w:val="0"/>
              <w:spacing w:before="0" w:after="0"/>
              <w:jc w:val="center"/>
              <w:rPr>
                <w:b/>
                <w:color w:val="000000"/>
              </w:rPr>
            </w:pPr>
            <w:r>
              <w:rPr>
                <w:b/>
                <w:color w:val="000000"/>
              </w:rPr>
              <w:t>Capital Buffer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Minimum</w:t>
            </w:r>
          </w:p>
          <w:p>
            <w:pPr>
              <w:pStyle w:val="TableContents"/>
              <w:bidi w:val="0"/>
              <w:spacing w:before="0" w:after="0"/>
              <w:jc w:val="center"/>
              <w:rPr>
                <w:b/>
                <w:color w:val="000000"/>
              </w:rPr>
            </w:pPr>
            <w:r>
              <w:rPr>
                <w:b/>
                <w:color w:val="000000"/>
              </w:rPr>
              <w:t>To be Considered</w:t>
            </w:r>
          </w:p>
          <w:p>
            <w:pPr>
              <w:pStyle w:val="TableContents"/>
              <w:bidi w:val="0"/>
              <w:spacing w:before="0" w:after="0"/>
              <w:jc w:val="center"/>
              <w:rPr>
                <w:b/>
                <w:color w:val="000000"/>
              </w:rPr>
            </w:pPr>
            <w:r>
              <w:rPr>
                <w:b/>
                <w:color w:val="000000"/>
              </w:rPr>
              <w:t>Well Capitalized</w:t>
            </w:r>
          </w:p>
        </w:tc>
        <w:tc>
          <w:tcPr>
            <w:tcW w:w="215"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r>
      <w:tr>
        <w:trPr/>
        <w:tc>
          <w:tcPr>
            <w:tcW w:w="36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2" w:type="dxa"/>
            <w:gridSpan w:val="22"/>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3680"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b/>
                <w:color w:val="000000"/>
              </w:rPr>
              <w:t>As of December 31, 2022</w:t>
            </w:r>
            <w:r>
              <w:rPr>
                <w:color w:val="000000"/>
              </w:rPr>
              <w:t>:</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8"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144" w:right="0" w:hanging="144"/>
              <w:jc w:val="left"/>
              <w:rPr>
                <w:color w:val="000000"/>
              </w:rPr>
            </w:pPr>
            <w:r>
              <w:rPr>
                <w:color w:val="000000"/>
              </w:rPr>
              <w:t>Total capital (to risk-weighted assets)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98"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559,094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16.58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0"/>
              <w:jc w:val="left"/>
              <w:rPr>
                <w:color w:val="000000"/>
              </w:rPr>
            </w:pPr>
            <w:r>
              <w:rPr>
                <w:color w:val="000000"/>
              </w:rPr>
              <w:t>$</w:t>
            </w:r>
          </w:p>
        </w:tc>
        <w:tc>
          <w:tcPr>
            <w:tcW w:w="902" w:type="dxa"/>
            <w:tcBorders/>
            <w:shd w:fill="CCEEFF" w:val="clear"/>
            <w:vAlign w:val="bottom"/>
          </w:tcPr>
          <w:p>
            <w:pPr>
              <w:pStyle w:val="TableContents"/>
              <w:bidi w:val="0"/>
              <w:spacing w:before="0" w:after="0"/>
              <w:jc w:val="right"/>
              <w:rPr>
                <w:color w:val="000000"/>
              </w:rPr>
            </w:pPr>
            <w:r>
              <w:rPr>
                <w:color w:val="000000"/>
              </w:rPr>
              <w:t>354,045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10.50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N/A</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N/A</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Bank</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454,427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13.48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353,967</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10.50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color w:val="000000"/>
              </w:rPr>
            </w:pPr>
            <w:r>
              <w:rPr>
                <w:color w:val="000000"/>
              </w:rPr>
              <w:t>$</w:t>
            </w:r>
          </w:p>
        </w:tc>
        <w:tc>
          <w:tcPr>
            <w:tcW w:w="873" w:type="dxa"/>
            <w:tcBorders/>
            <w:vAlign w:val="bottom"/>
          </w:tcPr>
          <w:p>
            <w:pPr>
              <w:pStyle w:val="TableContents"/>
              <w:bidi w:val="0"/>
              <w:spacing w:before="0" w:after="0"/>
              <w:jc w:val="right"/>
              <w:rPr>
                <w:color w:val="000000"/>
              </w:rPr>
            </w:pPr>
            <w:r>
              <w:rPr>
                <w:color w:val="000000"/>
              </w:rPr>
              <w:t>337,112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Tier 1 capital (to risk-weighted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Consolidated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13.15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286,608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8.50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color w:val="000000"/>
              </w:rPr>
            </w:pPr>
            <w:r>
              <w:rPr>
                <w:color w:val="000000"/>
              </w:rPr>
              <w:t>N/A</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12.30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color w:val="000000"/>
              </w:rPr>
            </w:pPr>
            <w:r>
              <w:rPr>
                <w:color w:val="000000"/>
              </w:rPr>
              <w:t>286,545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8.50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269,689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8.00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3680" w:type="dxa"/>
            <w:tcBorders/>
            <w:vAlign w:val="bottom"/>
          </w:tcPr>
          <w:p>
            <w:pPr>
              <w:pStyle w:val="TableContents"/>
              <w:bidi w:val="0"/>
              <w:spacing w:before="0" w:after="0"/>
              <w:ind w:left="144" w:right="0" w:hanging="144"/>
              <w:jc w:val="left"/>
              <w:rPr>
                <w:color w:val="000000"/>
              </w:rPr>
            </w:pPr>
            <w:r>
              <w:rPr>
                <w:color w:val="000000"/>
              </w:rPr>
              <w:t>CET 1 capital (to risk-weighted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Consolidated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398,265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11.81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color w:val="000000"/>
              </w:rPr>
            </w:pPr>
            <w:r>
              <w:rPr>
                <w:color w:val="000000"/>
              </w:rPr>
              <w:t>236,030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7.00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N/A</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N/A</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Bank</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414,559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12.30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235,978</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7.00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color w:val="000000"/>
              </w:rPr>
            </w:pPr>
            <w:r>
              <w:rPr>
                <w:color w:val="000000"/>
              </w:rPr>
              <w:t>219,122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6.50</w:t>
            </w:r>
          </w:p>
        </w:tc>
        <w:tc>
          <w:tcPr>
            <w:tcW w:w="215" w:type="dxa"/>
            <w:tcBorders/>
            <w:vAlign w:val="bottom"/>
          </w:tcPr>
          <w:p>
            <w:pPr>
              <w:pStyle w:val="TableContents"/>
              <w:bidi w:val="0"/>
              <w:spacing w:before="0" w:after="0"/>
              <w:jc w:val="left"/>
              <w:rPr>
                <w:color w:val="000000"/>
              </w:rPr>
            </w:pPr>
            <w:r>
              <w:rPr>
                <w:color w:val="000000"/>
              </w:rPr>
              <w:t>%</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Tier 1 capital (to average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324" w:right="0" w:hanging="144"/>
              <w:jc w:val="left"/>
              <w:rPr>
                <w:color w:val="000000"/>
              </w:rPr>
            </w:pPr>
            <w:r>
              <w:rPr>
                <w:color w:val="000000"/>
              </w:rPr>
              <w:t>Consolidated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11.03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color w:val="000000"/>
              </w:rPr>
            </w:pPr>
            <w:r>
              <w:rPr>
                <w:color w:val="000000"/>
              </w:rPr>
              <w:t>161,662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0"/>
              <w:jc w:val="right"/>
              <w:rPr>
                <w:color w:val="000000"/>
              </w:rPr>
            </w:pPr>
            <w:r>
              <w:rPr>
                <w:color w:val="000000"/>
              </w:rPr>
              <w:t>4.00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0"/>
              <w:jc w:val="right"/>
              <w:rPr>
                <w:color w:val="000000"/>
              </w:rPr>
            </w:pPr>
            <w:r>
              <w:rPr>
                <w:color w:val="000000"/>
              </w:rPr>
              <w:t>N/A</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324" w:right="0" w:hanging="144"/>
              <w:jc w:val="left"/>
              <w:rPr>
                <w:color w:val="000000"/>
              </w:rPr>
            </w:pPr>
            <w:r>
              <w:rPr>
                <w:color w:val="000000"/>
              </w:rPr>
              <w:t>Bank</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10.32</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color w:val="000000"/>
              </w:rPr>
            </w:pPr>
            <w:r>
              <w:rPr>
                <w:color w:val="000000"/>
              </w:rPr>
              <w:t>161,574</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0"/>
              <w:jc w:val="right"/>
              <w:rPr>
                <w:color w:val="000000"/>
              </w:rPr>
            </w:pPr>
            <w:r>
              <w:rPr>
                <w:color w:val="000000"/>
              </w:rPr>
              <w:t>4.00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0"/>
              <w:jc w:val="right"/>
              <w:rPr>
                <w:color w:val="000000"/>
              </w:rPr>
            </w:pPr>
            <w:r>
              <w:rPr>
                <w:color w:val="000000"/>
              </w:rPr>
              <w:t>200,774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color w:val="000000"/>
              </w:rPr>
            </w:pPr>
            <w:r>
              <w:rPr>
                <w:color w:val="000000"/>
              </w:rPr>
              <w:t>5.00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Community Bank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Treasury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repurchased stock in accordance with its stock repurchase programs during 2023 and 2022. In 2023, we repurchased 685,638 shares of common stock for a total of $17.8 million. In 2022, we repurchased 859,802 shares of common stock for a total of $22.7 million See Part II, Item 5, “Market for Registrant’s Common Equity, Related Stockholder Matters, and Issuer Purchases of Equity Securities”, of this Report for further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Interest Rate Sensitivity and Market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manage our exposure to interest rates by structuring our balance sheet in the ordinary course of business. Based upon the nature of our operations, we are not subject to foreign exchange or commodity price risk. We do not own any trading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simulated change in net interest income over a 12-month horizon as of the dates indicated:</w:t>
      </w:r>
    </w:p>
    <w:p>
      <w:pPr>
        <w:pStyle w:val="TextBody"/>
        <w:bidi w:val="0"/>
        <w:spacing w:before="0" w:after="0"/>
        <w:jc w:val="left"/>
        <w:rPr/>
      </w:pPr>
      <w:r>
        <w:rPr/>
      </w:r>
    </w:p>
    <w:tbl>
      <w:tblPr>
        <w:tblW w:w="8455" w:type="dxa"/>
        <w:jc w:val="left"/>
        <w:tblInd w:w="0" w:type="dxa"/>
        <w:tblLayout w:type="fixed"/>
        <w:tblCellMar>
          <w:top w:w="0" w:type="dxa"/>
          <w:left w:w="0" w:type="dxa"/>
          <w:bottom w:w="0" w:type="dxa"/>
          <w:right w:w="0" w:type="dxa"/>
        </w:tblCellMar>
      </w:tblPr>
      <w:tblGrid>
        <w:gridCol w:w="3965"/>
        <w:gridCol w:w="60"/>
        <w:gridCol w:w="60"/>
        <w:gridCol w:w="174"/>
        <w:gridCol w:w="1855"/>
        <w:gridCol w:w="133"/>
        <w:gridCol w:w="84"/>
        <w:gridCol w:w="211"/>
        <w:gridCol w:w="1818"/>
        <w:gridCol w:w="95"/>
      </w:tblGrid>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w:t>
            </w:r>
          </w:p>
        </w:tc>
        <w:tc>
          <w:tcPr>
            <w:tcW w:w="9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r>
      <w:tr>
        <w:trPr/>
        <w:tc>
          <w:tcPr>
            <w:tcW w:w="3965"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Change in Interest Rates (Basis Points)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9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color w:val="000000"/>
              </w:rPr>
            </w:pPr>
            <w:r>
              <w:rPr>
                <w:color w:val="000000"/>
              </w:rPr>
              <w:t>+300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0"/>
              <w:jc w:val="right"/>
              <w:rPr>
                <w:color w:val="000000"/>
              </w:rPr>
            </w:pPr>
            <w:r>
              <w:rPr>
                <w:color w:val="000000"/>
              </w:rPr>
              <w:t>(10.02</w:t>
            </w:r>
          </w:p>
        </w:tc>
        <w:tc>
          <w:tcPr>
            <w:tcW w:w="133" w:type="dxa"/>
            <w:tcBorders/>
            <w:shd w:fill="CCEEFF" w:val="clear"/>
            <w:vAlign w:val="bottom"/>
          </w:tcPr>
          <w:p>
            <w:pPr>
              <w:pStyle w:val="TableContents"/>
              <w:bidi w:val="0"/>
              <w:spacing w:before="0" w:after="0"/>
              <w:jc w:val="left"/>
              <w:rPr>
                <w:color w:val="000000"/>
              </w:rPr>
            </w:pPr>
            <w:r>
              <w:rPr>
                <w:color w:val="000000"/>
              </w:rPr>
              <w:t>)</w:t>
            </w:r>
          </w:p>
        </w:tc>
        <w:tc>
          <w:tcPr>
            <w:tcW w:w="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(1.50</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3965" w:type="dxa"/>
            <w:tcBorders/>
            <w:vAlign w:val="bottom"/>
          </w:tcPr>
          <w:p>
            <w:pPr>
              <w:pStyle w:val="TableContents"/>
              <w:bidi w:val="0"/>
              <w:spacing w:before="0" w:after="0"/>
              <w:jc w:val="left"/>
              <w:rPr>
                <w:color w:val="000000"/>
              </w:rPr>
            </w:pPr>
            <w:r>
              <w:rPr>
                <w:color w:val="000000"/>
              </w:rPr>
              <w:t>+200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0"/>
              <w:jc w:val="right"/>
              <w:rPr>
                <w:color w:val="000000"/>
              </w:rPr>
            </w:pPr>
            <w:r>
              <w:rPr>
                <w:color w:val="000000"/>
              </w:rPr>
              <w:t>(6.59</w:t>
            </w:r>
          </w:p>
        </w:tc>
        <w:tc>
          <w:tcPr>
            <w:tcW w:w="133" w:type="dxa"/>
            <w:tcBorders/>
            <w:vAlign w:val="bottom"/>
          </w:tcPr>
          <w:p>
            <w:pPr>
              <w:pStyle w:val="TableContents"/>
              <w:bidi w:val="0"/>
              <w:spacing w:before="0" w:after="0"/>
              <w:jc w:val="left"/>
              <w:rPr>
                <w:color w:val="000000"/>
              </w:rPr>
            </w:pPr>
            <w:r>
              <w:rPr>
                <w:color w:val="000000"/>
              </w:rPr>
              <w:t>)</w:t>
            </w:r>
          </w:p>
        </w:tc>
        <w:tc>
          <w:tcPr>
            <w:tcW w:w="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color w:val="000000"/>
              </w:rPr>
            </w:pPr>
            <w:r>
              <w:rPr>
                <w:color w:val="000000"/>
              </w:rPr>
              <w:t>(0.96</w:t>
            </w:r>
          </w:p>
        </w:tc>
        <w:tc>
          <w:tcPr>
            <w:tcW w:w="95" w:type="dxa"/>
            <w:tcBorders/>
            <w:vAlign w:val="bottom"/>
          </w:tcPr>
          <w:p>
            <w:pPr>
              <w:pStyle w:val="TableContents"/>
              <w:bidi w:val="0"/>
              <w:spacing w:before="0" w:after="0"/>
              <w:jc w:val="left"/>
              <w:rPr>
                <w:color w:val="000000"/>
              </w:rPr>
            </w:pPr>
            <w:r>
              <w:rPr>
                <w:color w:val="000000"/>
              </w:rPr>
              <w:t>)</w:t>
            </w:r>
          </w:p>
        </w:tc>
      </w:tr>
      <w:tr>
        <w:trPr/>
        <w:tc>
          <w:tcPr>
            <w:tcW w:w="3965" w:type="dxa"/>
            <w:tcBorders/>
            <w:shd w:fill="CCEEFF" w:val="clear"/>
            <w:vAlign w:val="bottom"/>
          </w:tcPr>
          <w:p>
            <w:pPr>
              <w:pStyle w:val="TableContents"/>
              <w:bidi w:val="0"/>
              <w:spacing w:before="0" w:after="0"/>
              <w:jc w:val="left"/>
              <w:rPr>
                <w:color w:val="000000"/>
              </w:rPr>
            </w:pPr>
            <w:r>
              <w:rPr>
                <w:color w:val="00000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0"/>
              <w:jc w:val="right"/>
              <w:rPr>
                <w:color w:val="000000"/>
              </w:rPr>
            </w:pPr>
            <w:r>
              <w:rPr>
                <w:color w:val="000000"/>
              </w:rPr>
              <w:t>(3.21</w:t>
            </w:r>
          </w:p>
        </w:tc>
        <w:tc>
          <w:tcPr>
            <w:tcW w:w="133" w:type="dxa"/>
            <w:tcBorders/>
            <w:shd w:fill="CCEEFF" w:val="clear"/>
            <w:vAlign w:val="bottom"/>
          </w:tcPr>
          <w:p>
            <w:pPr>
              <w:pStyle w:val="TableContents"/>
              <w:bidi w:val="0"/>
              <w:spacing w:before="0" w:after="0"/>
              <w:jc w:val="left"/>
              <w:rPr>
                <w:color w:val="000000"/>
              </w:rPr>
            </w:pPr>
            <w:r>
              <w:rPr>
                <w:color w:val="000000"/>
              </w:rPr>
              <w:t>)</w:t>
            </w:r>
          </w:p>
        </w:tc>
        <w:tc>
          <w:tcPr>
            <w:tcW w:w="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(0.61</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3965" w:type="dxa"/>
            <w:tcBorders/>
            <w:vAlign w:val="bottom"/>
          </w:tcPr>
          <w:p>
            <w:pPr>
              <w:pStyle w:val="TableContents"/>
              <w:bidi w:val="0"/>
              <w:spacing w:before="0" w:after="0"/>
              <w:jc w:val="left"/>
              <w:rPr>
                <w:color w:val="000000"/>
              </w:rPr>
            </w:pPr>
            <w:r>
              <w:rPr>
                <w:color w:val="000000"/>
              </w:rPr>
              <w:t>-100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0"/>
              <w:jc w:val="right"/>
              <w:rPr>
                <w:color w:val="000000"/>
              </w:rPr>
            </w:pPr>
            <w:r>
              <w:rPr>
                <w:color w:val="000000"/>
              </w:rPr>
              <w:t>3.35</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color w:val="000000"/>
              </w:rPr>
            </w:pPr>
            <w:r>
              <w:rPr>
                <w:color w:val="000000"/>
              </w:rPr>
              <w:t>(1.50</w:t>
            </w:r>
          </w:p>
        </w:tc>
        <w:tc>
          <w:tcPr>
            <w:tcW w:w="95" w:type="dxa"/>
            <w:tcBorders/>
            <w:vAlign w:val="bottom"/>
          </w:tcPr>
          <w:p>
            <w:pPr>
              <w:pStyle w:val="TableContents"/>
              <w:bidi w:val="0"/>
              <w:spacing w:before="0" w:after="0"/>
              <w:jc w:val="left"/>
              <w:rPr>
                <w:color w:val="000000"/>
              </w:rPr>
            </w:pPr>
            <w:r>
              <w:rPr>
                <w:color w:val="000000"/>
              </w:rPr>
              <w:t>)</w:t>
            </w:r>
          </w:p>
        </w:tc>
      </w:tr>
      <w:tr>
        <w:trPr/>
        <w:tc>
          <w:tcPr>
            <w:tcW w:w="3965" w:type="dxa"/>
            <w:tcBorders/>
            <w:shd w:fill="CCEEFF" w:val="clear"/>
            <w:vAlign w:val="bottom"/>
          </w:tcPr>
          <w:p>
            <w:pPr>
              <w:pStyle w:val="TableContents"/>
              <w:bidi w:val="0"/>
              <w:spacing w:before="0" w:after="0"/>
              <w:jc w:val="left"/>
              <w:rPr>
                <w:color w:val="000000"/>
              </w:rPr>
            </w:pPr>
            <w:r>
              <w:rPr>
                <w:color w:val="000000"/>
              </w:rPr>
              <w:t>-200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0"/>
              <w:jc w:val="right"/>
              <w:rPr>
                <w:color w:val="000000"/>
              </w:rPr>
            </w:pPr>
            <w:r>
              <w:rPr>
                <w:color w:val="000000"/>
              </w:rPr>
              <w:t>6.86</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(2.81</w:t>
            </w:r>
          </w:p>
        </w:tc>
        <w:tc>
          <w:tcPr>
            <w:tcW w:w="9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Impact of Inflation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7, “Management’s Discussion and Analysis of Financial Condition and Results of Operations” of this Report under the heading “Interest Rate Sensitivity and Market Risk.”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Book Value Per Common Share</w:t>
      </w:r>
      <w:r>
        <w:rPr>
          <w:rFonts w:ascii="Times New Roman" w:hAnsi="Times New Roman"/>
          <w:color w:val="000000"/>
          <w:sz w:val="20"/>
          <w:shd w:fill="FFFFFF" w:val="clear"/>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Common Equity to Tangible Assets</w:t>
      </w:r>
      <w:r>
        <w:rPr>
          <w:rFonts w:ascii="Times New Roman" w:hAnsi="Times New Roman"/>
          <w:color w:val="000000"/>
          <w:sz w:val="20"/>
          <w:shd w:fill="FFFFFF" w:val="clear"/>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bidi w:val="0"/>
        <w:spacing w:before="0" w:after="0"/>
        <w:jc w:val="both"/>
        <w:rPr/>
      </w:pPr>
      <w:r>
        <w:rPr/>
      </w:r>
    </w:p>
    <w:tbl>
      <w:tblPr>
        <w:tblW w:w="8585" w:type="dxa"/>
        <w:jc w:val="left"/>
        <w:tblInd w:w="0" w:type="dxa"/>
        <w:tblLayout w:type="fixed"/>
        <w:tblCellMar>
          <w:top w:w="0" w:type="dxa"/>
          <w:left w:w="0" w:type="dxa"/>
          <w:bottom w:w="0" w:type="dxa"/>
          <w:right w:w="0" w:type="dxa"/>
        </w:tblCellMar>
      </w:tblPr>
      <w:tblGrid>
        <w:gridCol w:w="4040"/>
        <w:gridCol w:w="60"/>
        <w:gridCol w:w="140"/>
        <w:gridCol w:w="1100"/>
        <w:gridCol w:w="215"/>
        <w:gridCol w:w="60"/>
        <w:gridCol w:w="140"/>
        <w:gridCol w:w="1100"/>
        <w:gridCol w:w="215"/>
        <w:gridCol w:w="60"/>
        <w:gridCol w:w="140"/>
        <w:gridCol w:w="1100"/>
        <w:gridCol w:w="215"/>
      </w:tblGrid>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tc>
        <w:tc>
          <w:tcPr>
            <w:tcW w:w="21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ind w:left="0" w:right="0" w:hanging="140"/>
              <w:jc w:val="center"/>
              <w:rPr>
                <w:b/>
                <w:color w:val="000000"/>
              </w:rPr>
            </w:pPr>
            <w:r>
              <w:rPr>
                <w:b/>
                <w:color w:val="000000"/>
              </w:rPr>
              <w:t>2021</w:t>
            </w:r>
          </w:p>
        </w:tc>
        <w:tc>
          <w:tcPr>
            <w:tcW w:w="21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0" w:type="dxa"/>
            <w:gridSpan w:val="10"/>
            <w:tcBorders/>
            <w:vAlign w:val="bottom"/>
          </w:tcPr>
          <w:p>
            <w:pPr>
              <w:pStyle w:val="TableContents"/>
              <w:bidi w:val="0"/>
              <w:spacing w:before="0" w:after="0"/>
              <w:ind w:left="0" w:right="0" w:hanging="14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color w:val="000000"/>
              </w:rPr>
            </w:pPr>
            <w:r>
              <w:rPr>
                <w:color w:val="000000"/>
              </w:rPr>
              <w:t>Total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407,114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357,014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407,427</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(21,744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(23,857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(25,403</w:t>
            </w:r>
          </w:p>
        </w:tc>
        <w:tc>
          <w:tcPr>
            <w:tcW w:w="215" w:type="dxa"/>
            <w:tcBorders/>
            <w:vAlign w:val="bottom"/>
          </w:tcPr>
          <w:p>
            <w:pPr>
              <w:pStyle w:val="TableContents"/>
              <w:bidi w:val="0"/>
              <w:spacing w:before="0" w:after="0"/>
              <w:jc w:val="left"/>
              <w:rPr>
                <w:color w:val="000000"/>
              </w:rPr>
            </w:pPr>
            <w:r>
              <w:rPr>
                <w:color w:val="000000"/>
              </w:rPr>
              <w:t>)</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Tangible common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$ 385,370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333,157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382,024</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color w:val="000000"/>
              </w:rPr>
            </w:pPr>
            <w:r>
              <w:rPr>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4,204,793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3,944,063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3,901,855</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(21,744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(23,857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(25,403</w:t>
            </w:r>
          </w:p>
        </w:tc>
        <w:tc>
          <w:tcPr>
            <w:tcW w:w="215" w:type="dxa"/>
            <w:tcBorders/>
            <w:vAlign w:val="bottom"/>
          </w:tcPr>
          <w:p>
            <w:pPr>
              <w:pStyle w:val="TableContents"/>
              <w:bidi w:val="0"/>
              <w:spacing w:before="0" w:after="0"/>
              <w:jc w:val="left"/>
              <w:rPr>
                <w:color w:val="000000"/>
              </w:rPr>
            </w:pPr>
            <w:r>
              <w:rPr>
                <w:color w:val="000000"/>
              </w:rPr>
              <w:t>)</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Tangible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4,183,049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3,920,206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3,876,452</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24" w:right="0" w:hanging="144"/>
              <w:jc w:val="left"/>
              <w:rPr>
                <w:color w:val="000000"/>
              </w:rPr>
            </w:pPr>
            <w:r>
              <w:rPr>
                <w:color w:val="000000"/>
              </w:rPr>
              <w:t>Shares outstanding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16,417,099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17,027,197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17,760,243</w:t>
            </w:r>
          </w:p>
        </w:tc>
        <w:tc>
          <w:tcPr>
            <w:tcW w:w="21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Total stockholders’ equity to 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9.68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9.05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10.44</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040" w:type="dxa"/>
            <w:tcBorders/>
            <w:vAlign w:val="bottom"/>
          </w:tcPr>
          <w:p>
            <w:pPr>
              <w:pStyle w:val="TableContents"/>
              <w:bidi w:val="0"/>
              <w:spacing w:before="0" w:after="0"/>
              <w:ind w:left="324" w:right="0" w:hanging="144"/>
              <w:jc w:val="left"/>
              <w:rPr>
                <w:color w:val="000000"/>
              </w:rPr>
            </w:pPr>
            <w:r>
              <w:rPr>
                <w:color w:val="000000"/>
              </w:rPr>
              <w:t>Tangible common equity to tangible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9.21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8.50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9.85</w:t>
            </w:r>
          </w:p>
        </w:tc>
        <w:tc>
          <w:tcPr>
            <w:tcW w:w="215" w:type="dxa"/>
            <w:tcBorders/>
            <w:vAlign w:val="bottom"/>
          </w:tcPr>
          <w:p>
            <w:pPr>
              <w:pStyle w:val="TableContents"/>
              <w:bidi w:val="0"/>
              <w:spacing w:before="0" w:after="0"/>
              <w:jc w:val="left"/>
              <w:rPr>
                <w:color w:val="000000"/>
              </w:rPr>
            </w:pPr>
            <w:r>
              <w:rPr>
                <w:color w:val="000000"/>
              </w:rPr>
              <w:t>%</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Book value per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24.80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20.97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22.94</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24" w:right="0" w:hanging="144"/>
              <w:jc w:val="left"/>
              <w:rPr>
                <w:color w:val="000000"/>
              </w:rPr>
            </w:pPr>
            <w:r>
              <w:rPr>
                <w:color w:val="000000"/>
              </w:rPr>
              <w:t>Tangible book value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1100" w:type="dxa"/>
            <w:tcBorders/>
            <w:vAlign w:val="bottom"/>
          </w:tcPr>
          <w:p>
            <w:pPr>
              <w:pStyle w:val="TableContents"/>
              <w:bidi w:val="0"/>
              <w:spacing w:before="0" w:after="0"/>
              <w:jc w:val="right"/>
              <w:rPr/>
            </w:pPr>
            <w:r>
              <w:rPr/>
              <w:t>23.47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1100" w:type="dxa"/>
            <w:tcBorders/>
            <w:vAlign w:val="bottom"/>
          </w:tcPr>
          <w:p>
            <w:pPr>
              <w:pStyle w:val="TableContents"/>
              <w:bidi w:val="0"/>
              <w:spacing w:before="0" w:after="0"/>
              <w:jc w:val="right"/>
              <w:rPr/>
            </w:pPr>
            <w:r>
              <w:rPr/>
              <w:t>19.57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1100" w:type="dxa"/>
            <w:tcBorders/>
            <w:vAlign w:val="bottom"/>
          </w:tcPr>
          <w:p>
            <w:pPr>
              <w:pStyle w:val="TableContents"/>
              <w:bidi w:val="0"/>
              <w:spacing w:before="0" w:after="0"/>
              <w:jc w:val="right"/>
              <w:rPr/>
            </w:pPr>
            <w:r>
              <w:rPr/>
              <w:t>21.51</w:t>
            </w:r>
          </w:p>
        </w:tc>
        <w:tc>
          <w:tcPr>
            <w:tcW w:w="21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Securities.</w:t>
      </w:r>
      <w:r>
        <w:rPr>
          <w:rFonts w:ascii="Times New Roman" w:hAnsi="Times New Roman"/>
          <w:color w:val="000000"/>
          <w:sz w:val="20"/>
          <w:shd w:fill="FFFFFF" w:val="clear"/>
        </w:rPr>
        <w:t xml:space="preserve"> Investment securities may be classified into trading, held-to-maturity, or available-for-sale portfolios. Securities 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The cost of securities sold is based on the specific identification method.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Loans.</w:t>
      </w:r>
      <w:r>
        <w:rPr>
          <w:rFonts w:ascii="Times New Roman" w:hAnsi="Times New Roman"/>
          <w:color w:val="000000"/>
          <w:sz w:val="20"/>
          <w:shd w:fill="FFFFFF" w:val="clear"/>
        </w:rPr>
        <w:t xml:space="preserve"> Loans that management has the intent and ability to hold for the foreseeable future or until maturity or payoff are 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Allowance for Credit Losses.</w:t>
      </w:r>
      <w:r>
        <w:rPr>
          <w:rFonts w:ascii="Times New Roman" w:hAnsi="Times New Roman"/>
          <w:color w:val="000000"/>
          <w:sz w:val="20"/>
          <w:shd w:fill="FFFFFF" w:val="clear"/>
        </w:rPr>
        <w:t xml:space="preserve">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Loan losses are charged against the allowance when management believes the uncollectibility of a loan balance is confirmed. Subsequent recoveries, if any, are credited to the allowance. The Company’s ACL for loans consists of specific valuation allowances established for probable losses on specifically analyzed loans and collective valuation allowances calculated using comparable and quantifiable information both internal and external about past events, including historical experience, current conditions, and reasonable and supportable forecasts that affect the collectability of the reported amount.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that exhibit characteristics different from their pool characteristics are evaluated on an individual basis. Loans evaluated individually are not included in the collective ACL for loans evaluation.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All non-accrual loans $250 thousand or greater are analyzed for a specific ACL.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the adoption of the CECL model, the ACL for loans was established through a provision for loan losses charged to expense, which represented management’s best estimate of inherent losses that had been incurred within the existing portfolio of loans. In addition, a loan was considered impaired when, based on current information and events, it was probable that the Company would be unable to collect the scheduled payments of principal or interest when due according to the contractual terms of the loan agreement. All loans rated substandard or worse and greater than $250 thousand were specifically reviewed to determine if they were impaired. Loans that were determined to be impaired were then evaluated to determine estimated impairment, if any. Impairment was measured on a loan-by-loan basis by either the present value of expected future cash flows discounted at the loan’s effective interest rate, the loan’s obtainable market price, or the fair value of the collateral if the loan was collateral dependent. Loans that were not individually determined to be impaired or were not subject to the specific review of impaired status were subject to the general valuation allowance portion of the ACL.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estimates expected credit losses on off-balance sheet credit exposures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 on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the adoption of ASU 2016-13, declines in the fair value of available-for-sale securities below their cost that were deemed to be other than temporary were reflected in earnings as realized losses. In estimating other-than-temporary impairment losses prior to January 1, 2023, management considered, among other things, (i) the length of time and the extent to which the fair value had been less than cost, (ii) the financial condition and near-term prospects of the issuer and (iii) the intent and our ability to retain our investment in the issuer for a period of time sufficient to allow for any anticipated recovery in fair value.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Loans Held for Sale.</w:t>
      </w:r>
      <w:r>
        <w:rPr>
          <w:rFonts w:ascii="Times New Roman" w:hAnsi="Times New Roman"/>
          <w:color w:val="000000"/>
          <w:sz w:val="20"/>
          <w:shd w:fill="FFFFFF" w:val="clear"/>
        </w:rPr>
        <w:t xml:space="preserve"> Loans held for sale are comprised of residential mortgage loans. Loans that are originated for best efforts 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Mortgage Servicing Rights Asset.</w:t>
      </w:r>
      <w:r>
        <w:rPr>
          <w:rFonts w:ascii="Times New Roman" w:hAnsi="Times New Roman"/>
          <w:color w:val="000000"/>
          <w:sz w:val="20"/>
          <w:shd w:fill="FFFFFF" w:val="clear"/>
        </w:rPr>
        <w:t xml:space="preserve"> When mortgage loans are sold with servicing retained, servicing rights are initially recorded at fair value with the consolidated statement of comprehensive income (loss) effect recorded in net gain on sale of loans. Fair value is based on market prices for comparable mortgage servicing contracts, when available, or alternatively, is based on a valuation model that calculates present value of estimated future servicing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Goodwill and Other Intangible Assets.</w:t>
      </w:r>
      <w:r>
        <w:rPr>
          <w:rFonts w:ascii="Times New Roman" w:hAnsi="Times New Roman"/>
          <w:color w:val="000000"/>
          <w:sz w:val="20"/>
          <w:shd w:fill="FFFFFF" w:val="clear"/>
        </w:rPr>
        <w:t xml:space="preserve">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Recently Issued 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Note 1, Summary of Significant Accounting Policies, in the notes to the consolidated financial statements included elsewhere in this Report regarding the impact of new accounting pronouncements which we have adopted.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Item7A.QuantitativeandQua"/>
      <w:bookmarkStart w:id="22" w:name="Item7A.QuantitativeandQua"/>
      <w:bookmarkEnd w:id="22"/>
    </w:p>
    <w:tbl>
      <w:tblPr>
        <w:tblW w:w="7090" w:type="dxa"/>
        <w:jc w:val="left"/>
        <w:tblInd w:w="0" w:type="dxa"/>
        <w:tblLayout w:type="fixed"/>
        <w:tblCellMar>
          <w:top w:w="0" w:type="dxa"/>
          <w:left w:w="0" w:type="dxa"/>
          <w:bottom w:w="0" w:type="dxa"/>
          <w:right w:w="0" w:type="dxa"/>
        </w:tblCellMar>
      </w:tblPr>
      <w:tblGrid>
        <w:gridCol w:w="920"/>
        <w:gridCol w:w="6170"/>
      </w:tblGrid>
      <w:tr>
        <w:trPr/>
        <w:tc>
          <w:tcPr>
            <w:tcW w:w="920" w:type="dxa"/>
            <w:tcBorders/>
            <w:vAlign w:val="center"/>
          </w:tcPr>
          <w:p>
            <w:pPr>
              <w:pStyle w:val="TableContents"/>
              <w:bidi w:val="0"/>
              <w:spacing w:before="0" w:after="283"/>
              <w:jc w:val="left"/>
              <w:rPr>
                <w:b/>
              </w:rPr>
            </w:pPr>
            <w:r>
              <w:rPr>
                <w:b/>
              </w:rPr>
              <w:t>Item 7A.</w:t>
            </w:r>
          </w:p>
        </w:tc>
        <w:tc>
          <w:tcPr>
            <w:tcW w:w="617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“Item 7. Management’s Discussion and Analysis of Financial Condition and Results of Operations – Interest Rate Sensitivity and Market Risk” of this Report for discussion on how the Company manages market risk.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3" w:name="Item8.FinancialStatements"/>
      <w:bookmarkStart w:id="24" w:name="Item8.FinancialStatements"/>
      <w:bookmarkEnd w:id="24"/>
    </w:p>
    <w:tbl>
      <w:tblPr>
        <w:tblW w:w="5515" w:type="dxa"/>
        <w:jc w:val="left"/>
        <w:tblInd w:w="0" w:type="dxa"/>
        <w:tblLayout w:type="fixed"/>
        <w:tblCellMar>
          <w:top w:w="0" w:type="dxa"/>
          <w:left w:w="0" w:type="dxa"/>
          <w:bottom w:w="0" w:type="dxa"/>
          <w:right w:w="0" w:type="dxa"/>
        </w:tblCellMar>
      </w:tblPr>
      <w:tblGrid>
        <w:gridCol w:w="740"/>
        <w:gridCol w:w="4775"/>
      </w:tblGrid>
      <w:tr>
        <w:trPr/>
        <w:tc>
          <w:tcPr>
            <w:tcW w:w="740" w:type="dxa"/>
            <w:tcBorders/>
            <w:vAlign w:val="center"/>
          </w:tcPr>
          <w:p>
            <w:pPr>
              <w:pStyle w:val="TableContents"/>
              <w:bidi w:val="0"/>
              <w:spacing w:before="0" w:after="283"/>
              <w:jc w:val="left"/>
              <w:rPr>
                <w:b/>
                <w:color w:val="000000"/>
              </w:rPr>
            </w:pPr>
            <w:r>
              <w:rPr>
                <w:b/>
                <w:color w:val="000000"/>
              </w:rPr>
              <w:t>Item 8.</w:t>
            </w:r>
          </w:p>
        </w:tc>
        <w:tc>
          <w:tcPr>
            <w:tcW w:w="4775" w:type="dxa"/>
            <w:tcBorders/>
            <w:vAlign w:val="center"/>
          </w:tcPr>
          <w:p>
            <w:pPr>
              <w:pStyle w:val="TableContents"/>
              <w:bidi w:val="0"/>
              <w:spacing w:before="0" w:after="0"/>
              <w:jc w:val="left"/>
              <w:rPr>
                <w:b/>
                <w:color w:val="000000"/>
              </w:rPr>
            </w:pPr>
            <w:r>
              <w:rPr>
                <w:b/>
                <w:color w:val="000000"/>
              </w:rPr>
              <w:t>Financial Statements and Supplementary Data</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FINANCIAL STATEMENTS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Years Ended December 31, 2023 and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TABLE OF CONTENTS</w:t>
      </w:r>
    </w:p>
    <w:p>
      <w:pPr>
        <w:pStyle w:val="TextBody"/>
        <w:bidi w:val="0"/>
        <w:spacing w:before="0" w:after="0"/>
        <w:jc w:val="left"/>
        <w:rPr>
          <w:rFonts w:ascii="Times New Roman" w:hAnsi="Times New Roman"/>
          <w:sz w:val="20"/>
        </w:rPr>
      </w:pPr>
      <w:r>
        <w:rPr>
          <w:rFonts w:ascii="Times New Roman" w:hAnsi="Times New Roman"/>
          <w:sz w:val="20"/>
        </w:rPr>
      </w:r>
    </w:p>
    <w:tbl>
      <w:tblPr>
        <w:tblW w:w="7929" w:type="dxa"/>
        <w:jc w:val="left"/>
        <w:tblInd w:w="0" w:type="dxa"/>
        <w:tblLayout w:type="fixed"/>
        <w:tblCellMar>
          <w:top w:w="0" w:type="dxa"/>
          <w:left w:w="0" w:type="dxa"/>
          <w:bottom w:w="0" w:type="dxa"/>
          <w:right w:w="0" w:type="dxa"/>
        </w:tblCellMar>
      </w:tblPr>
      <w:tblGrid>
        <w:gridCol w:w="76"/>
        <w:gridCol w:w="7368"/>
        <w:gridCol w:w="485"/>
      </w:tblGrid>
      <w:tr>
        <w:trPr/>
        <w:tc>
          <w:tcPr>
            <w:tcW w:w="76" w:type="dxa"/>
            <w:tcBorders/>
            <w:vAlign w:val="center"/>
          </w:tcPr>
          <w:p>
            <w:pPr>
              <w:pStyle w:val="TableContents"/>
              <w:bidi w:val="0"/>
              <w:spacing w:before="0" w:after="283"/>
              <w:jc w:val="left"/>
              <w:rPr/>
            </w:pPr>
            <w:r>
              <w:rPr/>
              <w:t> </w:t>
            </w:r>
          </w:p>
        </w:tc>
        <w:tc>
          <w:tcPr>
            <w:tcW w:w="7368"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Page</w:t>
            </w:r>
          </w:p>
        </w:tc>
      </w:tr>
      <w:tr>
        <w:trPr/>
        <w:tc>
          <w:tcPr>
            <w:tcW w:w="76" w:type="dxa"/>
            <w:tcBorders/>
            <w:vAlign w:val="center"/>
          </w:tcPr>
          <w:p>
            <w:pPr>
              <w:pStyle w:val="TableContents"/>
              <w:bidi w:val="0"/>
              <w:spacing w:before="0" w:after="283"/>
              <w:jc w:val="left"/>
              <w:rPr/>
            </w:pPr>
            <w:r>
              <w:rPr/>
            </w:r>
          </w:p>
        </w:tc>
        <w:tc>
          <w:tcPr>
            <w:tcW w:w="736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7444" w:type="dxa"/>
            <w:gridSpan w:val="2"/>
            <w:tcBorders/>
            <w:shd w:fill="CCEEFF" w:val="clear"/>
            <w:vAlign w:val="center"/>
          </w:tcPr>
          <w:p>
            <w:pPr>
              <w:pStyle w:val="TableContents"/>
              <w:bidi w:val="0"/>
              <w:spacing w:before="0" w:after="283"/>
              <w:jc w:val="left"/>
              <w:rPr/>
            </w:pPr>
            <w:r>
              <w:rPr/>
              <w:t>Report of Independent Registered Public Accounting Firm (PCAOB ID #686)</w:t>
            </w:r>
          </w:p>
        </w:tc>
        <w:tc>
          <w:tcPr>
            <w:tcW w:w="485" w:type="dxa"/>
            <w:tcBorders/>
            <w:shd w:fill="CCEEFF" w:val="clear"/>
            <w:vAlign w:val="center"/>
          </w:tcPr>
          <w:p>
            <w:pPr>
              <w:pStyle w:val="TableContents"/>
              <w:bidi w:val="0"/>
              <w:spacing w:before="0" w:after="283"/>
              <w:jc w:val="center"/>
              <w:rPr/>
            </w:pPr>
            <w:r>
              <w:rPr/>
              <w:t>1</w:t>
            </w:r>
          </w:p>
        </w:tc>
      </w:tr>
      <w:tr>
        <w:trPr/>
        <w:tc>
          <w:tcPr>
            <w:tcW w:w="744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Report of Independent Registered Public Accounting Firm (PCAOB ID #410)</w:t>
            </w:r>
          </w:p>
        </w:tc>
        <w:tc>
          <w:tcPr>
            <w:tcW w:w="485" w:type="dxa"/>
            <w:tcBorders/>
            <w:vAlign w:val="center"/>
          </w:tcPr>
          <w:p>
            <w:pPr>
              <w:pStyle w:val="TableContents"/>
              <w:bidi w:val="0"/>
              <w:spacing w:before="0" w:after="283"/>
              <w:jc w:val="center"/>
              <w:rPr/>
            </w:pPr>
            <w:r>
              <w:rPr/>
              <w:t>2</w:t>
            </w:r>
          </w:p>
        </w:tc>
      </w:tr>
      <w:tr>
        <w:trPr/>
        <w:tc>
          <w:tcPr>
            <w:tcW w:w="76" w:type="dxa"/>
            <w:tcBorders/>
            <w:shd w:fill="CCEEFF" w:val="clear"/>
            <w:vAlign w:val="center"/>
          </w:tcPr>
          <w:p>
            <w:pPr>
              <w:pStyle w:val="TableContents"/>
              <w:bidi w:val="0"/>
              <w:spacing w:before="0" w:after="283"/>
              <w:jc w:val="left"/>
              <w:rPr/>
            </w:pPr>
            <w:r>
              <w:rPr/>
              <w:t> </w:t>
            </w:r>
          </w:p>
        </w:tc>
        <w:tc>
          <w:tcPr>
            <w:tcW w:w="736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r>
      <w:tr>
        <w:trPr/>
        <w:tc>
          <w:tcPr>
            <w:tcW w:w="7444" w:type="dxa"/>
            <w:gridSpan w:val="2"/>
            <w:tcBorders/>
            <w:vAlign w:val="center"/>
          </w:tcPr>
          <w:p>
            <w:pPr>
              <w:pStyle w:val="TableContents"/>
              <w:bidi w:val="0"/>
              <w:spacing w:before="0" w:after="0"/>
              <w:jc w:val="left"/>
              <w:rPr>
                <w:color w:val="000000"/>
              </w:rPr>
            </w:pPr>
            <w:r>
              <w:rPr>
                <w:color w:val="000000"/>
              </w:rPr>
              <w:t>Consolidated Financial Statements:</w:t>
            </w:r>
          </w:p>
        </w:tc>
        <w:tc>
          <w:tcPr>
            <w:tcW w:w="485" w:type="dxa"/>
            <w:tcBorders/>
            <w:vAlign w:val="center"/>
          </w:tcPr>
          <w:p>
            <w:pPr>
              <w:pStyle w:val="TableContents"/>
              <w:bidi w:val="0"/>
              <w:spacing w:before="0" w:after="283"/>
              <w:jc w:val="center"/>
              <w:rPr/>
            </w:pPr>
            <w:r>
              <w:rPr/>
              <w:t> </w:t>
            </w:r>
          </w:p>
        </w:tc>
      </w:tr>
      <w:tr>
        <w:trPr/>
        <w:tc>
          <w:tcPr>
            <w:tcW w:w="76" w:type="dxa"/>
            <w:tcBorders/>
            <w:shd w:fill="CCEEFF" w:val="clear"/>
            <w:vAlign w:val="center"/>
          </w:tcPr>
          <w:p>
            <w:pPr>
              <w:pStyle w:val="TableContents"/>
              <w:bidi w:val="0"/>
              <w:spacing w:before="0" w:after="283"/>
              <w:jc w:val="left"/>
              <w:rPr/>
            </w:pPr>
            <w:r>
              <w:rPr/>
            </w:r>
          </w:p>
        </w:tc>
        <w:tc>
          <w:tcPr>
            <w:tcW w:w="736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4"/>
                <w:szCs w:val="4"/>
              </w:rPr>
            </w:pPr>
            <w:r>
              <w:rPr>
                <w:sz w:val="4"/>
                <w:szCs w:val="4"/>
              </w:rPr>
            </w:r>
          </w:p>
        </w:tc>
      </w:tr>
      <w:tr>
        <w:trPr/>
        <w:tc>
          <w:tcPr>
            <w:tcW w:w="76" w:type="dxa"/>
            <w:tcBorders/>
            <w:vAlign w:val="center"/>
          </w:tcPr>
          <w:p>
            <w:pPr>
              <w:pStyle w:val="TableContents"/>
              <w:bidi w:val="0"/>
              <w:spacing w:before="0" w:after="283"/>
              <w:jc w:val="left"/>
              <w:rPr/>
            </w:pPr>
            <w:r>
              <w:rPr/>
              <w:t> </w:t>
            </w:r>
          </w:p>
        </w:tc>
        <w:tc>
          <w:tcPr>
            <w:tcW w:w="7368" w:type="dxa"/>
            <w:tcBorders/>
            <w:vAlign w:val="center"/>
          </w:tcPr>
          <w:p>
            <w:pPr>
              <w:pStyle w:val="TableContents"/>
              <w:bidi w:val="0"/>
              <w:spacing w:before="0" w:after="0"/>
              <w:jc w:val="left"/>
              <w:rPr>
                <w:color w:val="000000"/>
              </w:rPr>
            </w:pPr>
            <w:r>
              <w:rPr>
                <w:color w:val="000000"/>
              </w:rPr>
              <w:t>Consolidated Balance Sheets</w:t>
            </w:r>
          </w:p>
        </w:tc>
        <w:tc>
          <w:tcPr>
            <w:tcW w:w="485" w:type="dxa"/>
            <w:tcBorders/>
            <w:vAlign w:val="center"/>
          </w:tcPr>
          <w:p>
            <w:pPr>
              <w:pStyle w:val="TableContents"/>
              <w:bidi w:val="0"/>
              <w:spacing w:before="0" w:after="283"/>
              <w:jc w:val="center"/>
              <w:rPr/>
            </w:pPr>
            <w:r>
              <w:rPr/>
              <w:t>4</w:t>
            </w:r>
          </w:p>
        </w:tc>
      </w:tr>
      <w:tr>
        <w:trPr/>
        <w:tc>
          <w:tcPr>
            <w:tcW w:w="76" w:type="dxa"/>
            <w:tcBorders/>
            <w:shd w:fill="CCEEFF" w:val="clear"/>
            <w:vAlign w:val="center"/>
          </w:tcPr>
          <w:p>
            <w:pPr>
              <w:pStyle w:val="TableContents"/>
              <w:bidi w:val="0"/>
              <w:spacing w:before="0" w:after="283"/>
              <w:jc w:val="left"/>
              <w:rPr/>
            </w:pPr>
            <w:r>
              <w:rPr/>
              <w:t> </w:t>
            </w:r>
          </w:p>
        </w:tc>
        <w:tc>
          <w:tcPr>
            <w:tcW w:w="7368" w:type="dxa"/>
            <w:tcBorders/>
            <w:shd w:fill="CCEEFF" w:val="clear"/>
            <w:vAlign w:val="center"/>
          </w:tcPr>
          <w:p>
            <w:pPr>
              <w:pStyle w:val="TableContents"/>
              <w:bidi w:val="0"/>
              <w:spacing w:before="0" w:after="0"/>
              <w:jc w:val="left"/>
              <w:rPr>
                <w:color w:val="000000"/>
              </w:rPr>
            </w:pPr>
            <w:r>
              <w:rPr>
                <w:color w:val="000000"/>
              </w:rPr>
              <w:t>Consolidated Statements of Comprehensive Income (Loss)</w:t>
            </w:r>
          </w:p>
        </w:tc>
        <w:tc>
          <w:tcPr>
            <w:tcW w:w="485" w:type="dxa"/>
            <w:tcBorders/>
            <w:shd w:fill="CCEEFF" w:val="clear"/>
            <w:vAlign w:val="center"/>
          </w:tcPr>
          <w:p>
            <w:pPr>
              <w:pStyle w:val="TableContents"/>
              <w:bidi w:val="0"/>
              <w:spacing w:before="0" w:after="283"/>
              <w:jc w:val="center"/>
              <w:rPr/>
            </w:pPr>
            <w:r>
              <w:rPr/>
              <w:t>5</w:t>
            </w:r>
          </w:p>
        </w:tc>
      </w:tr>
      <w:tr>
        <w:trPr/>
        <w:tc>
          <w:tcPr>
            <w:tcW w:w="76" w:type="dxa"/>
            <w:tcBorders/>
            <w:vAlign w:val="center"/>
          </w:tcPr>
          <w:p>
            <w:pPr>
              <w:pStyle w:val="TableContents"/>
              <w:bidi w:val="0"/>
              <w:spacing w:before="0" w:after="283"/>
              <w:jc w:val="left"/>
              <w:rPr/>
            </w:pPr>
            <w:r>
              <w:rPr/>
              <w:t> </w:t>
            </w:r>
          </w:p>
        </w:tc>
        <w:tc>
          <w:tcPr>
            <w:tcW w:w="7368" w:type="dxa"/>
            <w:tcBorders/>
            <w:vAlign w:val="center"/>
          </w:tcPr>
          <w:p>
            <w:pPr>
              <w:pStyle w:val="TableContents"/>
              <w:bidi w:val="0"/>
              <w:spacing w:before="0" w:after="0"/>
              <w:jc w:val="left"/>
              <w:rPr>
                <w:color w:val="000000"/>
              </w:rPr>
            </w:pPr>
            <w:r>
              <w:rPr>
                <w:color w:val="000000"/>
              </w:rPr>
              <w:t>Consolidated Statements of Changes in Stockholders’ Equity</w:t>
            </w:r>
          </w:p>
        </w:tc>
        <w:tc>
          <w:tcPr>
            <w:tcW w:w="485" w:type="dxa"/>
            <w:tcBorders/>
            <w:vAlign w:val="center"/>
          </w:tcPr>
          <w:p>
            <w:pPr>
              <w:pStyle w:val="TableContents"/>
              <w:bidi w:val="0"/>
              <w:spacing w:before="0" w:after="283"/>
              <w:jc w:val="center"/>
              <w:rPr/>
            </w:pPr>
            <w:r>
              <w:rPr/>
              <w:t>7</w:t>
            </w:r>
          </w:p>
        </w:tc>
      </w:tr>
      <w:tr>
        <w:trPr/>
        <w:tc>
          <w:tcPr>
            <w:tcW w:w="76" w:type="dxa"/>
            <w:tcBorders/>
            <w:shd w:fill="CCEEFF" w:val="clear"/>
            <w:vAlign w:val="center"/>
          </w:tcPr>
          <w:p>
            <w:pPr>
              <w:pStyle w:val="TableContents"/>
              <w:bidi w:val="0"/>
              <w:spacing w:before="0" w:after="283"/>
              <w:jc w:val="left"/>
              <w:rPr/>
            </w:pPr>
            <w:r>
              <w:rPr/>
              <w:t> </w:t>
            </w:r>
          </w:p>
        </w:tc>
        <w:tc>
          <w:tcPr>
            <w:tcW w:w="7368" w:type="dxa"/>
            <w:tcBorders/>
            <w:shd w:fill="CCEEFF" w:val="clear"/>
            <w:vAlign w:val="center"/>
          </w:tcPr>
          <w:p>
            <w:pPr>
              <w:pStyle w:val="TableContents"/>
              <w:bidi w:val="0"/>
              <w:spacing w:before="0" w:after="0"/>
              <w:jc w:val="left"/>
              <w:rPr>
                <w:color w:val="000000"/>
              </w:rPr>
            </w:pPr>
            <w:r>
              <w:rPr>
                <w:color w:val="000000"/>
              </w:rPr>
              <w:t>Consolidated Statements of Cash Flows</w:t>
            </w:r>
          </w:p>
        </w:tc>
        <w:tc>
          <w:tcPr>
            <w:tcW w:w="485" w:type="dxa"/>
            <w:tcBorders/>
            <w:shd w:fill="CCEEFF" w:val="clear"/>
            <w:vAlign w:val="center"/>
          </w:tcPr>
          <w:p>
            <w:pPr>
              <w:pStyle w:val="TableContents"/>
              <w:bidi w:val="0"/>
              <w:spacing w:before="0" w:after="283"/>
              <w:jc w:val="center"/>
              <w:rPr/>
            </w:pPr>
            <w:r>
              <w:rPr/>
              <w:t>8</w:t>
            </w:r>
          </w:p>
        </w:tc>
      </w:tr>
      <w:tr>
        <w:trPr/>
        <w:tc>
          <w:tcPr>
            <w:tcW w:w="76" w:type="dxa"/>
            <w:tcBorders/>
            <w:vAlign w:val="center"/>
          </w:tcPr>
          <w:p>
            <w:pPr>
              <w:pStyle w:val="TableContents"/>
              <w:bidi w:val="0"/>
              <w:spacing w:before="0" w:after="283"/>
              <w:jc w:val="left"/>
              <w:rPr/>
            </w:pPr>
            <w:r>
              <w:rPr/>
              <w:t> </w:t>
            </w:r>
          </w:p>
        </w:tc>
        <w:tc>
          <w:tcPr>
            <w:tcW w:w="7368" w:type="dxa"/>
            <w:tcBorders/>
            <w:vAlign w:val="center"/>
          </w:tcPr>
          <w:p>
            <w:pPr>
              <w:pStyle w:val="TableContents"/>
              <w:bidi w:val="0"/>
              <w:spacing w:before="0" w:after="0"/>
              <w:jc w:val="left"/>
              <w:rPr>
                <w:color w:val="000000"/>
              </w:rPr>
            </w:pPr>
            <w:r>
              <w:rPr>
                <w:color w:val="000000"/>
              </w:rPr>
              <w:t>Notes to Consolidated Financial Statements</w:t>
            </w:r>
          </w:p>
        </w:tc>
        <w:tc>
          <w:tcPr>
            <w:tcW w:w="485" w:type="dxa"/>
            <w:tcBorders/>
            <w:vAlign w:val="center"/>
          </w:tcPr>
          <w:p>
            <w:pPr>
              <w:pStyle w:val="TableContents"/>
              <w:bidi w:val="0"/>
              <w:spacing w:before="0" w:after="283"/>
              <w:jc w:val="center"/>
              <w:rPr/>
            </w:pPr>
            <w:r>
              <w:rPr/>
              <w:t>10</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Report of Independent Registered Public Accounting Firm</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Shareholders, Board of Directors, and Audit Committee</w:t>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South Plains Financial, Inc.</w:t>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Lubbock, Texas</w:t>
      </w:r>
    </w:p>
    <w:p>
      <w:pPr>
        <w:pStyle w:val="TextBody"/>
        <w:widowControl/>
        <w:bidi w:val="0"/>
        <w:spacing w:before="0" w:after="0"/>
        <w:jc w:val="both"/>
        <w:rPr>
          <w:rFonts w:ascii="Times New Roman" w:hAnsi="Times New Roman"/>
          <w:b w:val="false"/>
          <w:color w:val="000000"/>
          <w:sz w:val="20"/>
        </w:rPr>
      </w:pPr>
      <w:r>
        <w:rPr>
          <w:rFonts w:ascii="Times New Roman" w:hAnsi="Times New Roman"/>
          <w:b w:val="false"/>
          <w:color w:val="000000"/>
          <w:sz w:val="20"/>
        </w:rPr>
      </w:r>
    </w:p>
    <w:p>
      <w:pPr>
        <w:pStyle w:val="TextBody"/>
        <w:widowControl/>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Opinion on the Consolidated Financial Statements</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audited the accompanying consolidated balance sheets of South Plains Financial, Inc. and Subsidiaries (the "Company") as of December 31, 2023 and 2022, and the related consolidated statements of comprehensive income (loss), changes in stockholders’ equity, and cash flows for each of the years in the two-year period ended December 31, 2023, and the related notes (collectively referred to as the “financial statements”). In our opinion, the consolidated financial statements referred to above present fairly, in all material respects, the financial position of the Company as of December 31, 2023 and 2022, and the results of its operations and its cash flows for each of the years in the two-year period ended December 31, 2023, in conformity with accounting principles generally accepted in the United States of America.</w:t>
      </w:r>
    </w:p>
    <w:p>
      <w:pPr>
        <w:pStyle w:val="TextBody"/>
        <w:widowControl/>
        <w:bidi w:val="0"/>
        <w:spacing w:before="0" w:after="0"/>
        <w:jc w:val="left"/>
        <w:rPr>
          <w:sz w:val="20"/>
        </w:rPr>
      </w:pPr>
      <w:r>
        <w:rPr>
          <w:sz w:val="20"/>
        </w:rPr>
      </w:r>
    </w:p>
    <w:p>
      <w:pPr>
        <w:pStyle w:val="TextBody"/>
        <w:widowControl/>
        <w:bidi w:val="0"/>
        <w:spacing w:before="0" w:after="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Change in Accounting Principle</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discussed in Notes 1 and 3 to the financial statements, the Company changed its method of accounting for the allowance for credit losses effective January 1, 2023, due to the adoption of Accounting Standards Codification Topic 326.</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Basis for Opinion</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These financial statements are the responsibility of the Company’s management. Our responsibility is to express an opinion on the Company’s financial statements based on our audits.</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pStyle w:val="TextBody"/>
        <w:widowControl/>
        <w:bidi w:val="0"/>
        <w:spacing w:before="0" w:after="0"/>
        <w:jc w:val="left"/>
        <w:rPr>
          <w:caps w:val="false"/>
          <w:smallCaps w:val="false"/>
          <w:color w:val="000000"/>
          <w:spacing w:val="0"/>
          <w:shd w:fill="FFFFFF" w:val="clear"/>
        </w:rPr>
      </w:pPr>
      <w:r>
        <w:rPr>
          <w:caps w:val="false"/>
          <w:smallCaps w:val="false"/>
          <w:color w:val="000000"/>
          <w:spacing w:val="0"/>
          <w:shd w:fill="FFFFFF" w:val="clear"/>
        </w:rPr>
        <w:t> </w:t>
      </w:r>
    </w:p>
    <w:p>
      <w:pPr>
        <w:pStyle w:val="TextBody"/>
        <w:widowControl/>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pStyle w:val="TextBody"/>
        <w:widowControl/>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 xml:space="preserve">/s/ </w:t>
      </w:r>
      <w:r>
        <w:rPr>
          <w:rFonts w:ascii="Times New Roman" w:hAnsi="Times New Roman"/>
          <w:b/>
          <w:color w:val="000000"/>
          <w:sz w:val="20"/>
          <w:shd w:fill="FFFFFF" w:val="clear"/>
        </w:rPr>
        <w:t>FORVIS, LLP</w:t>
      </w:r>
    </w:p>
    <w:p>
      <w:pPr>
        <w:pStyle w:val="TextBody"/>
        <w:bidi w:val="0"/>
        <w:spacing w:before="0" w:after="0"/>
        <w:jc w:val="left"/>
        <w:rPr>
          <w:b/>
        </w:rPr>
      </w:pPr>
      <w:r>
        <w:rPr>
          <w:b/>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served as the Company's auditor since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Houston, Texas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March 15, 2024</w:t>
      </w:r>
    </w:p>
    <w:p>
      <w:pPr>
        <w:pStyle w:val="TextBody"/>
        <w:bidi w:val="0"/>
        <w:spacing w:before="0" w:after="0"/>
        <w:jc w:val="left"/>
        <w:rPr>
          <w:b/>
        </w:rPr>
      </w:pPr>
      <w:r>
        <w:rPr>
          <w:b/>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 of Directors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South Plains Financial, Inc.</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Lubbock, Texas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Opinion on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audited the accompanying consolidated balance sheets of South Plains Financial, Inc. and Subsidiaries (the “Company”) as of December 31, 2021 and 2020, and the related consolidated statements of comprehensive income, changes in stockholders’ equity, and cash flows for each of the three years in the period ended December 31, 2021, and the related notes to the consolidated financial statements (collectively referred to as the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Basis for Opinion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 WEAVER AND TIDWELL, L.L.P.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served as South Plains Financial, Inc.’s auditor from 2018 to 2021.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Fort Worth, Texas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March 7, 2022</w:t>
      </w:r>
    </w:p>
    <w:p>
      <w:pPr>
        <w:pStyle w:val="TextBody"/>
        <w:bidi w:val="0"/>
        <w:spacing w:before="0" w:after="0"/>
        <w:jc w:val="left"/>
        <w:rPr>
          <w:b/>
        </w:rPr>
      </w:pPr>
      <w:r>
        <w:rPr>
          <w:b/>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BALANCE SHEETS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7475"/>
        <w:gridCol w:w="60"/>
        <w:gridCol w:w="140"/>
        <w:gridCol w:w="980"/>
        <w:gridCol w:w="95"/>
        <w:gridCol w:w="60"/>
        <w:gridCol w:w="140"/>
        <w:gridCol w:w="980"/>
        <w:gridCol w:w="275"/>
      </w:tblGrid>
      <w:tr>
        <w:trPr/>
        <w:tc>
          <w:tcPr>
            <w:tcW w:w="7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275" w:type="dxa"/>
            <w:tcBorders/>
            <w:vAlign w:val="bottom"/>
          </w:tcPr>
          <w:p>
            <w:pPr>
              <w:pStyle w:val="TableContents"/>
              <w:bidi w:val="0"/>
              <w:spacing w:before="0" w:after="283"/>
              <w:ind w:left="180" w:right="0" w:hanging="180"/>
              <w:jc w:val="left"/>
              <w:rPr/>
            </w:pPr>
            <w:r>
              <w:rPr/>
              <w:t> </w:t>
            </w:r>
          </w:p>
        </w:tc>
      </w:tr>
      <w:tr>
        <w:trPr/>
        <w:tc>
          <w:tcPr>
            <w:tcW w:w="7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75"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u w:val="single"/>
              </w:rPr>
            </w:pPr>
            <w:r>
              <w:rPr>
                <w:color w:val="000000"/>
                <w:u w:val="single"/>
              </w:rPr>
              <w:t>ASSETS</w:t>
            </w:r>
          </w:p>
        </w:tc>
        <w:tc>
          <w:tcPr>
            <w:tcW w:w="60" w:type="dxa"/>
            <w:tcBorders/>
            <w:vAlign w:val="bottom"/>
          </w:tcPr>
          <w:p>
            <w:pPr>
              <w:pStyle w:val="TableContents"/>
              <w:bidi w:val="0"/>
              <w:spacing w:before="0" w:after="283"/>
              <w:jc w:val="left"/>
              <w:rPr/>
            </w:pPr>
            <w:r>
              <w:rPr/>
              <w:t> </w:t>
            </w:r>
          </w:p>
        </w:tc>
        <w:tc>
          <w:tcPr>
            <w:tcW w:w="2395" w:type="dxa"/>
            <w:gridSpan w:val="6"/>
            <w:tcBorders/>
            <w:vAlign w:val="bottom"/>
          </w:tcPr>
          <w:p>
            <w:pPr>
              <w:pStyle w:val="TableContents"/>
              <w:bidi w:val="0"/>
              <w:spacing w:before="0" w:after="0"/>
              <w:jc w:val="center"/>
              <w:rPr>
                <w:b/>
                <w:color w:val="000000"/>
              </w:rPr>
            </w:pPr>
            <w:r>
              <w:rPr>
                <w:b/>
                <w:color w:val="000000"/>
              </w:rPr>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Cash and due from banks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62,821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61,613</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rPr>
            </w:pPr>
            <w:r>
              <w:rPr>
                <w:color w:val="000000"/>
              </w:rPr>
              <w:t>Interest-bearing deposits in banks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267,337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173,270</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360" w:right="0" w:hanging="180"/>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330,158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234,883</w:t>
            </w:r>
          </w:p>
        </w:tc>
        <w:tc>
          <w:tcPr>
            <w:tcW w:w="275" w:type="dxa"/>
            <w:tcBorders/>
            <w:shd w:fill="CCEEFF" w:val="clear"/>
            <w:vAlign w:val="bottom"/>
          </w:tcPr>
          <w:p>
            <w:pPr>
              <w:pStyle w:val="TableContents"/>
              <w:bidi w:val="0"/>
              <w:spacing w:before="0" w:after="283"/>
              <w:ind w:left="180" w:right="0" w:hanging="180"/>
              <w:jc w:val="left"/>
              <w:rPr/>
            </w:pPr>
            <w:r>
              <w:rPr/>
              <w:t> </w:t>
            </w:r>
          </w:p>
        </w:tc>
      </w:tr>
      <w:tr>
        <w:trPr/>
        <w:tc>
          <w:tcPr>
            <w:tcW w:w="7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Securities available for sale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622,762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701,711</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0"/>
              <w:jc w:val="left"/>
              <w:rPr>
                <w:color w:val="000000"/>
              </w:rPr>
            </w:pPr>
            <w:r>
              <w:rPr>
                <w:color w:val="000000"/>
              </w:rPr>
              <w:t xml:space="preserve">Loans held for sale </w:t>
            </w:r>
            <w:r>
              <w:rPr>
                <w:rFonts w:ascii="Times New Roman" w:hAnsi="Times New Roman"/>
                <w:b w:val="false"/>
                <w:i w:val="false"/>
                <w:caps w:val="false"/>
                <w:smallCaps w:val="false"/>
                <w:color w:val="000000"/>
                <w:spacing w:val="0"/>
                <w:sz w:val="20"/>
              </w:rPr>
              <w:t>($6,615 and $10,038 at fair value at December 31, 2023 and 2022, respectively)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14,499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30,403</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Loans held for investment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3,014,153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2,748,081</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0"/>
              <w:jc w:val="left"/>
              <w:rPr>
                <w:color w:val="000000"/>
              </w:rPr>
            </w:pPr>
            <w:r>
              <w:rPr>
                <w:color w:val="000000"/>
              </w:rPr>
              <w:t xml:space="preserve">Allowance for credit losses on loans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(42,356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(39,288</w:t>
            </w:r>
          </w:p>
        </w:tc>
        <w:tc>
          <w:tcPr>
            <w:tcW w:w="275" w:type="dxa"/>
            <w:tcBorders/>
            <w:vAlign w:val="bottom"/>
          </w:tcPr>
          <w:p>
            <w:pPr>
              <w:pStyle w:val="TableContents"/>
              <w:bidi w:val="0"/>
              <w:spacing w:before="0" w:after="0"/>
              <w:ind w:left="0" w:right="0" w:firstLine="180"/>
              <w:jc w:val="left"/>
              <w:rPr>
                <w:color w:val="000000"/>
              </w:rPr>
            </w:pPr>
            <w:r>
              <w:rPr>
                <w:color w:val="000000"/>
              </w:rPr>
              <w:t>)</w:t>
            </w:r>
          </w:p>
        </w:tc>
      </w:tr>
      <w:tr>
        <w:trPr/>
        <w:tc>
          <w:tcPr>
            <w:tcW w:w="7475" w:type="dxa"/>
            <w:tcBorders/>
            <w:shd w:fill="CCEEFF" w:val="clear"/>
            <w:vAlign w:val="bottom"/>
          </w:tcPr>
          <w:p>
            <w:pPr>
              <w:pStyle w:val="TableContents"/>
              <w:bidi w:val="0"/>
              <w:spacing w:before="0" w:after="283"/>
              <w:jc w:val="left"/>
              <w:rPr/>
            </w:pPr>
            <w:r>
              <w:rPr/>
              <w:t>Loans held for investment,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2,971,797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2,708,793</w:t>
            </w:r>
          </w:p>
        </w:tc>
        <w:tc>
          <w:tcPr>
            <w:tcW w:w="275" w:type="dxa"/>
            <w:tcBorders/>
            <w:shd w:fill="CCEEFF" w:val="clear"/>
            <w:vAlign w:val="bottom"/>
          </w:tcPr>
          <w:p>
            <w:pPr>
              <w:pStyle w:val="TableContents"/>
              <w:bidi w:val="0"/>
              <w:spacing w:before="0" w:after="283"/>
              <w:ind w:left="0" w:right="0" w:firstLine="180"/>
              <w:jc w:val="left"/>
              <w:rPr/>
            </w:pPr>
            <w:r>
              <w:rPr/>
              <w:t> </w:t>
            </w:r>
          </w:p>
        </w:tc>
      </w:tr>
      <w:tr>
        <w:trPr/>
        <w:tc>
          <w:tcPr>
            <w:tcW w:w="7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Accrued interest receivable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20,881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16,432</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rPr>
            </w:pPr>
            <w:r>
              <w:rPr>
                <w:color w:val="000000"/>
              </w:rPr>
              <w:t>Premises and equipment, net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55,070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56,337</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Bank-owned life insurance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74,504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73,174</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rPr>
            </w:pPr>
            <w:r>
              <w:rPr>
                <w:color w:val="000000"/>
              </w:rPr>
              <w:t>Goodwill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19,315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19,508</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Intangible assets,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2,429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4,349</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44" w:right="0" w:hanging="144"/>
              <w:jc w:val="left"/>
              <w:rPr>
                <w:color w:val="000000"/>
              </w:rPr>
            </w:pPr>
            <w:r>
              <w:rPr>
                <w:color w:val="000000"/>
              </w:rPr>
              <w:t>Mortgage servicing rights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26,569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27,474</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Deferred tax asset,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19,413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22,818</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rPr>
            </w:pPr>
            <w:r>
              <w:rPr>
                <w:color w:val="000000"/>
              </w:rPr>
              <w:t>Other assets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47,396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48,181</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540" w:right="0" w:hanging="180"/>
              <w:jc w:val="left"/>
              <w:rPr>
                <w:color w:val="000000"/>
              </w:rPr>
            </w:pPr>
            <w:r>
              <w:rPr>
                <w:color w:val="000000"/>
              </w:rPr>
              <w:t>Total assets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4,204,793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3,944,063</w:t>
            </w:r>
          </w:p>
        </w:tc>
        <w:tc>
          <w:tcPr>
            <w:tcW w:w="275" w:type="dxa"/>
            <w:tcBorders/>
            <w:shd w:fill="CCEEFF" w:val="clear"/>
            <w:vAlign w:val="bottom"/>
          </w:tcPr>
          <w:p>
            <w:pPr>
              <w:pStyle w:val="TableContents"/>
              <w:bidi w:val="0"/>
              <w:spacing w:before="0" w:after="283"/>
              <w:ind w:left="180" w:right="0" w:hanging="180"/>
              <w:jc w:val="left"/>
              <w:rPr/>
            </w:pPr>
            <w:r>
              <w:rPr/>
              <w:t> </w:t>
            </w:r>
          </w:p>
        </w:tc>
      </w:tr>
      <w:tr>
        <w:trPr/>
        <w:tc>
          <w:tcPr>
            <w:tcW w:w="7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u w:val="single"/>
              </w:rPr>
            </w:pPr>
            <w:r>
              <w:rPr>
                <w:color w:val="000000"/>
                <w:u w:val="single"/>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ind w:left="180" w:right="0" w:hanging="180"/>
              <w:jc w:val="left"/>
              <w:rPr/>
            </w:pPr>
            <w:r>
              <w:rPr/>
              <w:t> </w:t>
            </w:r>
          </w:p>
        </w:tc>
      </w:tr>
      <w:tr>
        <w:trPr/>
        <w:tc>
          <w:tcPr>
            <w:tcW w:w="74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Deposits: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360" w:right="0" w:hanging="180"/>
              <w:jc w:val="left"/>
              <w:rPr>
                <w:color w:val="000000"/>
              </w:rPr>
            </w:pPr>
            <w:r>
              <w:rPr>
                <w:color w:val="000000"/>
              </w:rPr>
              <w:t>Noninterest-bearing</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974,201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1,150,488</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360" w:right="0" w:hanging="180"/>
              <w:jc w:val="left"/>
              <w:rPr>
                <w:color w:val="000000"/>
              </w:rPr>
            </w:pPr>
            <w:r>
              <w:rPr>
                <w:color w:val="000000"/>
              </w:rPr>
              <w:t>Interest-bearing</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2,651,952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2,255,942</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540" w:right="0" w:hanging="180"/>
              <w:jc w:val="left"/>
              <w:rPr>
                <w:color w:val="000000"/>
              </w:rPr>
            </w:pPr>
            <w:r>
              <w:rPr>
                <w:color w:val="000000"/>
              </w:rPr>
              <w:t>Total deposits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3,626,153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3,406,430</w:t>
            </w:r>
          </w:p>
        </w:tc>
        <w:tc>
          <w:tcPr>
            <w:tcW w:w="275" w:type="dxa"/>
            <w:tcBorders/>
            <w:vAlign w:val="bottom"/>
          </w:tcPr>
          <w:p>
            <w:pPr>
              <w:pStyle w:val="TableContents"/>
              <w:bidi w:val="0"/>
              <w:spacing w:before="0" w:after="283"/>
              <w:ind w:left="180" w:right="0" w:hanging="180"/>
              <w:jc w:val="left"/>
              <w:rPr/>
            </w:pPr>
            <w:r>
              <w:rPr/>
              <w:t> </w:t>
            </w:r>
          </w:p>
        </w:tc>
      </w:tr>
      <w:tr>
        <w:trPr/>
        <w:tc>
          <w:tcPr>
            <w:tcW w:w="74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rPr>
            </w:pPr>
            <w:r>
              <w:rPr>
                <w:color w:val="000000"/>
              </w:rPr>
              <w:t>Accrued expenses and other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61,358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58,265</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180" w:right="0" w:hanging="180"/>
              <w:jc w:val="left"/>
              <w:rPr>
                <w:color w:val="000000"/>
              </w:rPr>
            </w:pPr>
            <w:r>
              <w:rPr>
                <w:color w:val="000000"/>
              </w:rPr>
              <w:t>Subordinated debt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63,775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75,961</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rPr>
            </w:pPr>
            <w:r>
              <w:rPr>
                <w:color w:val="000000"/>
              </w:rPr>
              <w:t>Junior subordinated deferrable interest debentures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46,393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46,393</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540" w:right="0" w:hanging="180"/>
              <w:jc w:val="left"/>
              <w:rPr>
                <w:color w:val="000000"/>
              </w:rPr>
            </w:pPr>
            <w:r>
              <w:rPr>
                <w:color w:val="000000"/>
              </w:rPr>
              <w:t>Total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3,797,679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3,587,049</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180" w:right="0" w:hanging="180"/>
              <w:jc w:val="left"/>
              <w:rPr>
                <w:color w:val="000000"/>
              </w:rPr>
            </w:pPr>
            <w:r>
              <w:rPr>
                <w:color w:val="000000"/>
              </w:rPr>
              <w:t>Stockholders’ equity:</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360" w:right="0" w:hanging="0"/>
              <w:jc w:val="left"/>
              <w:rPr>
                <w:color w:val="000000"/>
              </w:rPr>
            </w:pPr>
            <w:r>
              <w:rPr>
                <w:color w:val="000000"/>
              </w:rPr>
              <w:t>Common stock, $1 par value, 30,000,000 shares authorized; 16,417,099 issued in 2023 and 17,027,197 issued in 2022</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16,417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17,027</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360" w:right="0" w:hanging="180"/>
              <w:jc w:val="left"/>
              <w:rPr>
                <w:color w:val="000000"/>
              </w:rPr>
            </w:pPr>
            <w:r>
              <w:rPr>
                <w:color w:val="000000"/>
              </w:rPr>
              <w:t>Additional paid-in capital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97,107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112,834</w:t>
            </w:r>
          </w:p>
        </w:tc>
        <w:tc>
          <w:tcPr>
            <w:tcW w:w="275" w:type="dxa"/>
            <w:tcBorders/>
            <w:vAlign w:val="bottom"/>
          </w:tcPr>
          <w:p>
            <w:pPr>
              <w:pStyle w:val="TableContents"/>
              <w:bidi w:val="0"/>
              <w:spacing w:before="0" w:after="283"/>
              <w:jc w:val="left"/>
              <w:rPr/>
            </w:pPr>
            <w:r>
              <w:rPr/>
              <w:t> </w:t>
            </w:r>
          </w:p>
        </w:tc>
      </w:tr>
      <w:tr>
        <w:trPr/>
        <w:tc>
          <w:tcPr>
            <w:tcW w:w="7475" w:type="dxa"/>
            <w:tcBorders/>
            <w:shd w:fill="CCEEFF" w:val="clear"/>
            <w:vAlign w:val="bottom"/>
          </w:tcPr>
          <w:p>
            <w:pPr>
              <w:pStyle w:val="TableContents"/>
              <w:bidi w:val="0"/>
              <w:spacing w:before="0" w:after="0"/>
              <w:ind w:left="360" w:right="0" w:hanging="180"/>
              <w:jc w:val="left"/>
              <w:rPr>
                <w:color w:val="000000"/>
              </w:rPr>
            </w:pPr>
            <w:r>
              <w:rPr>
                <w:color w:val="000000"/>
              </w:rPr>
              <w:t>Retained earnings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345,264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292,261</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360" w:right="0" w:hanging="180"/>
              <w:jc w:val="left"/>
              <w:rPr>
                <w:color w:val="000000"/>
              </w:rPr>
            </w:pPr>
            <w:r>
              <w:rPr>
                <w:color w:val="000000"/>
              </w:rPr>
              <w:t>Accumulated other comprehensive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(51,674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(65,108</w:t>
            </w:r>
          </w:p>
        </w:tc>
        <w:tc>
          <w:tcPr>
            <w:tcW w:w="275" w:type="dxa"/>
            <w:tcBorders/>
            <w:vAlign w:val="bottom"/>
          </w:tcPr>
          <w:p>
            <w:pPr>
              <w:pStyle w:val="TableContents"/>
              <w:bidi w:val="0"/>
              <w:spacing w:before="0" w:after="0"/>
              <w:jc w:val="left"/>
              <w:rPr>
                <w:color w:val="000000"/>
              </w:rPr>
            </w:pPr>
            <w:r>
              <w:rPr>
                <w:color w:val="000000"/>
              </w:rPr>
              <w:t>)</w:t>
            </w:r>
          </w:p>
        </w:tc>
      </w:tr>
      <w:tr>
        <w:trPr/>
        <w:tc>
          <w:tcPr>
            <w:tcW w:w="7475" w:type="dxa"/>
            <w:tcBorders/>
            <w:shd w:fill="CCEEFF" w:val="clear"/>
            <w:vAlign w:val="bottom"/>
          </w:tcPr>
          <w:p>
            <w:pPr>
              <w:pStyle w:val="TableContents"/>
              <w:bidi w:val="0"/>
              <w:spacing w:before="0" w:after="0"/>
              <w:ind w:left="540" w:right="0" w:hanging="180"/>
              <w:jc w:val="left"/>
              <w:rPr>
                <w:color w:val="000000"/>
              </w:rPr>
            </w:pPr>
            <w:r>
              <w:rPr>
                <w:color w:val="000000"/>
              </w:rPr>
              <w:t>Total stockholders’ equity</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407,114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357,014</w:t>
            </w:r>
          </w:p>
        </w:tc>
        <w:tc>
          <w:tcPr>
            <w:tcW w:w="275"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0"/>
              <w:ind w:left="540" w:right="0" w:hanging="180"/>
              <w:jc w:val="left"/>
              <w:rPr>
                <w:color w:val="000000"/>
              </w:rPr>
            </w:pPr>
            <w:r>
              <w:rPr>
                <w:color w:val="000000"/>
              </w:rPr>
              <w:t>Total liabilities and stockholders’ equity</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4,204,793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3,944,063</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COMPREHENSIVE INCOME (LOSS)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r>
    </w:p>
    <w:p>
      <w:pPr>
        <w:pStyle w:val="TextBody"/>
        <w:bidi w:val="0"/>
        <w:spacing w:before="0" w:after="0"/>
        <w:jc w:val="left"/>
        <w:rPr>
          <w:rFonts w:ascii="Times New Roman" w:hAnsi="Times New Roman"/>
          <w:sz w:val="20"/>
        </w:rPr>
      </w:pPr>
      <w:r>
        <w:rPr>
          <w:rFonts w:ascii="Times New Roman" w:hAnsi="Times New Roman"/>
          <w:sz w:val="20"/>
        </w:rPr>
      </w:r>
    </w:p>
    <w:tbl>
      <w:tblPr>
        <w:tblW w:w="8755" w:type="dxa"/>
        <w:jc w:val="left"/>
        <w:tblInd w:w="0" w:type="dxa"/>
        <w:tblLayout w:type="fixed"/>
        <w:tblCellMar>
          <w:top w:w="0" w:type="dxa"/>
          <w:left w:w="0" w:type="dxa"/>
          <w:bottom w:w="0" w:type="dxa"/>
          <w:right w:w="0" w:type="dxa"/>
        </w:tblCellMar>
      </w:tblPr>
      <w:tblGrid>
        <w:gridCol w:w="5360"/>
        <w:gridCol w:w="60"/>
        <w:gridCol w:w="140"/>
        <w:gridCol w:w="800"/>
        <w:gridCol w:w="60"/>
        <w:gridCol w:w="60"/>
        <w:gridCol w:w="140"/>
        <w:gridCol w:w="800"/>
        <w:gridCol w:w="95"/>
        <w:gridCol w:w="60"/>
        <w:gridCol w:w="140"/>
        <w:gridCol w:w="800"/>
        <w:gridCol w:w="240"/>
      </w:tblGrid>
      <w:tr>
        <w:trPr/>
        <w:tc>
          <w:tcPr>
            <w:tcW w:w="5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40"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240"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180"/>
              <w:jc w:val="left"/>
              <w:rPr>
                <w:color w:val="000000"/>
              </w:rPr>
            </w:pPr>
            <w:r>
              <w:rPr>
                <w:color w:val="000000"/>
              </w:rPr>
              <w:t>Interest income:</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Loans, including fees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176,598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137,954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120,540</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540" w:right="0" w:hanging="180"/>
              <w:jc w:val="left"/>
              <w:rPr>
                <w:color w:val="000000"/>
              </w:rPr>
            </w:pPr>
            <w:r>
              <w:rPr>
                <w:color w:val="000000"/>
              </w:rPr>
              <w:t>Taxable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21,590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15,010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9,445</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540" w:right="0" w:hanging="180"/>
              <w:jc w:val="left"/>
              <w:rPr>
                <w:color w:val="000000"/>
              </w:rPr>
            </w:pPr>
            <w:r>
              <w:rPr>
                <w:color w:val="000000"/>
              </w:rPr>
              <w:t>Non taxable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4,529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4,639</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Federal funds sold and interest-bearing deposits in banks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412</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720" w:right="0" w:hanging="180"/>
              <w:jc w:val="left"/>
              <w:rPr>
                <w:color w:val="000000"/>
              </w:rPr>
            </w:pPr>
            <w:r>
              <w:rPr>
                <w:color w:val="000000"/>
              </w:rPr>
              <w:t>Total interest income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161,168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135,036</w:t>
            </w:r>
          </w:p>
        </w:tc>
        <w:tc>
          <w:tcPr>
            <w:tcW w:w="240" w:type="dxa"/>
            <w:tcBorders/>
            <w:vAlign w:val="bottom"/>
          </w:tcPr>
          <w:p>
            <w:pPr>
              <w:pStyle w:val="TableContents"/>
              <w:bidi w:val="0"/>
              <w:spacing w:before="0" w:after="283"/>
              <w:ind w:left="180" w:right="0" w:hanging="180"/>
              <w:jc w:val="left"/>
              <w:rPr/>
            </w:pPr>
            <w:r>
              <w:rPr/>
              <w:t> </w:t>
            </w:r>
          </w:p>
        </w:tc>
      </w:tr>
      <w:tr>
        <w:trPr/>
        <w:tc>
          <w:tcPr>
            <w:tcW w:w="53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180"/>
              <w:jc w:val="left"/>
              <w:rPr>
                <w:color w:val="000000"/>
              </w:rPr>
            </w:pPr>
            <w:r>
              <w:rPr>
                <w:color w:val="000000"/>
              </w:rPr>
              <w:t>Interest expense: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Deposits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64,987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17,002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8,293</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Notes payable &amp; other borrowings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Subordinated debt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4,050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4,056</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880</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720" w:right="0" w:hanging="180"/>
              <w:jc w:val="left"/>
              <w:rPr>
                <w:color w:val="000000"/>
              </w:rPr>
            </w:pPr>
            <w:r>
              <w:rPr>
                <w:color w:val="000000"/>
              </w:rPr>
              <w:t>Total interest expense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72,286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22,692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13,272</w:t>
            </w:r>
          </w:p>
        </w:tc>
        <w:tc>
          <w:tcPr>
            <w:tcW w:w="240" w:type="dxa"/>
            <w:tcBorders/>
            <w:shd w:fill="CCEEFF" w:val="clear"/>
            <w:vAlign w:val="bottom"/>
          </w:tcPr>
          <w:p>
            <w:pPr>
              <w:pStyle w:val="TableContents"/>
              <w:bidi w:val="0"/>
              <w:spacing w:before="0" w:after="283"/>
              <w:ind w:left="180" w:right="0" w:hanging="180"/>
              <w:jc w:val="left"/>
              <w:rPr/>
            </w:pPr>
            <w:r>
              <w:rPr/>
              <w:t> </w:t>
            </w:r>
          </w:p>
        </w:tc>
      </w:tr>
      <w:tr>
        <w:trPr/>
        <w:tc>
          <w:tcPr>
            <w:tcW w:w="5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180"/>
              <w:jc w:val="left"/>
              <w:rPr>
                <w:color w:val="000000"/>
              </w:rPr>
            </w:pPr>
            <w:r>
              <w:rPr>
                <w:color w:val="000000"/>
              </w:rPr>
              <w:t>Net interest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139,747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138,476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121,764</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180"/>
              <w:jc w:val="left"/>
              <w:rPr>
                <w:color w:val="000000"/>
              </w:rPr>
            </w:pPr>
            <w:r>
              <w:rPr>
                <w:color w:val="000000"/>
              </w:rPr>
              <w:t>Provision for credit losses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(2,619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(1,918</w:t>
            </w:r>
          </w:p>
        </w:tc>
        <w:tc>
          <w:tcPr>
            <w:tcW w:w="240" w:type="dxa"/>
            <w:tcBorders/>
            <w:vAlign w:val="bottom"/>
          </w:tcPr>
          <w:p>
            <w:pPr>
              <w:pStyle w:val="TableContents"/>
              <w:bidi w:val="0"/>
              <w:spacing w:before="0" w:after="283"/>
              <w:jc w:val="left"/>
              <w:rPr/>
            </w:pPr>
            <w:r>
              <w:rPr/>
              <w:t>)</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Net interest income, after provision for credit losses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135,137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141,095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123,682</w:t>
            </w:r>
          </w:p>
        </w:tc>
        <w:tc>
          <w:tcPr>
            <w:tcW w:w="240" w:type="dxa"/>
            <w:tcBorders/>
            <w:shd w:fill="CCEEFF" w:val="clear"/>
            <w:vAlign w:val="bottom"/>
          </w:tcPr>
          <w:p>
            <w:pPr>
              <w:pStyle w:val="TableContents"/>
              <w:bidi w:val="0"/>
              <w:spacing w:before="0" w:after="283"/>
              <w:ind w:left="180" w:right="0" w:hanging="180"/>
              <w:jc w:val="left"/>
              <w:rPr/>
            </w:pPr>
            <w:r>
              <w:rPr/>
              <w:t> </w:t>
            </w:r>
          </w:p>
        </w:tc>
      </w:tr>
      <w:tr>
        <w:trPr/>
        <w:tc>
          <w:tcPr>
            <w:tcW w:w="5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180"/>
              <w:jc w:val="left"/>
              <w:rPr>
                <w:color w:val="000000"/>
              </w:rPr>
            </w:pPr>
            <w:r>
              <w:rPr>
                <w:color w:val="000000"/>
              </w:rPr>
              <w:t>Noninterest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Service charges on deposit accounts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6,829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6,963</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Income from insurance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10,826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8,314</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Net gain on sales of loans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11,027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20,764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51,184</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Bank card services and interchange fees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12,946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12,239</w:t>
            </w:r>
          </w:p>
        </w:tc>
        <w:tc>
          <w:tcPr>
            <w:tcW w:w="240" w:type="dxa"/>
            <w:tcBorders/>
            <w:shd w:fill="CCEEFF" w:val="clear"/>
            <w:vAlign w:val="bottom"/>
          </w:tcPr>
          <w:p>
            <w:pPr>
              <w:pStyle w:val="TableContents"/>
              <w:bidi w:val="0"/>
              <w:spacing w:before="0" w:after="283"/>
              <w:ind w:left="0" w:right="0" w:firstLine="180"/>
              <w:jc w:val="left"/>
              <w:rPr/>
            </w:pPr>
            <w:r>
              <w:rPr/>
              <w:t> </w:t>
            </w:r>
          </w:p>
        </w:tc>
      </w:tr>
      <w:tr>
        <w:trPr/>
        <w:tc>
          <w:tcPr>
            <w:tcW w:w="5360" w:type="dxa"/>
            <w:tcBorders/>
            <w:vAlign w:val="bottom"/>
          </w:tcPr>
          <w:p>
            <w:pPr>
              <w:pStyle w:val="TableContents"/>
              <w:bidi w:val="0"/>
              <w:spacing w:before="0" w:after="283"/>
              <w:jc w:val="left"/>
              <w:rPr/>
            </w:pPr>
            <w:r>
              <w:rPr/>
              <w:t>Other mortgage banking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10,606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8,542</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Investment commissions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1,698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1,825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1,934</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Fiduciary fees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2,433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2,390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2,917</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pPr>
            <w:r>
              <w:rPr/>
              <w:t xml:space="preserve">Gain on sale of subsidiary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5,376</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540" w:right="0" w:hanging="180"/>
              <w:jc w:val="left"/>
              <w:rPr>
                <w:color w:val="000000"/>
              </w:rPr>
            </w:pPr>
            <w:r>
              <w:rPr>
                <w:color w:val="000000"/>
              </w:rPr>
              <w:t>Total noninterest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76,145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97,469</w:t>
            </w:r>
          </w:p>
        </w:tc>
        <w:tc>
          <w:tcPr>
            <w:tcW w:w="240" w:type="dxa"/>
            <w:tcBorders/>
            <w:shd w:fill="CCEEFF" w:val="clear"/>
            <w:vAlign w:val="bottom"/>
          </w:tcPr>
          <w:p>
            <w:pPr>
              <w:pStyle w:val="TableContents"/>
              <w:bidi w:val="0"/>
              <w:spacing w:before="0" w:after="283"/>
              <w:ind w:left="180" w:right="0" w:hanging="180"/>
              <w:jc w:val="left"/>
              <w:rPr/>
            </w:pPr>
            <w:r>
              <w:rPr/>
              <w:t> </w:t>
            </w:r>
          </w:p>
        </w:tc>
      </w:tr>
      <w:tr>
        <w:trPr/>
        <w:tc>
          <w:tcPr>
            <w:tcW w:w="5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180"/>
              <w:jc w:val="left"/>
              <w:rPr>
                <w:color w:val="000000"/>
              </w:rPr>
            </w:pPr>
            <w:r>
              <w:rPr>
                <w:color w:val="000000"/>
              </w:rPr>
              <w:t>Noninterest expense: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Salaries and employee benefits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79,377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86,323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93,360</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Occupancy and equipment,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16,102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15,987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14,560</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Professional services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6,433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9,740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6,752</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Marketing and development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3,453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3,614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3,225</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IT and data services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3,780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4,007</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Bank card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5,376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4,995</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Appraisal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1,087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1,747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3,248</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pPr>
            <w:r>
              <w:rPr/>
              <w:t xml:space="preserve">Realized loss on sale of securities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17,522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17,883</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540" w:right="0" w:hanging="180"/>
              <w:jc w:val="left"/>
              <w:rPr>
                <w:color w:val="000000"/>
              </w:rPr>
            </w:pPr>
            <w:r>
              <w:rPr>
                <w:color w:val="000000"/>
              </w:rPr>
              <w:t>Total noninterest expense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134,946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144,089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148,030</w:t>
            </w:r>
          </w:p>
        </w:tc>
        <w:tc>
          <w:tcPr>
            <w:tcW w:w="240" w:type="dxa"/>
            <w:tcBorders/>
            <w:shd w:fill="CCEEFF" w:val="clear"/>
            <w:vAlign w:val="bottom"/>
          </w:tcPr>
          <w:p>
            <w:pPr>
              <w:pStyle w:val="TableContents"/>
              <w:bidi w:val="0"/>
              <w:spacing w:before="0" w:after="283"/>
              <w:ind w:left="180" w:right="0" w:hanging="180"/>
              <w:jc w:val="left"/>
              <w:rPr/>
            </w:pPr>
            <w:r>
              <w:rPr/>
              <w:t> </w:t>
            </w:r>
          </w:p>
        </w:tc>
      </w:tr>
      <w:tr>
        <w:trPr/>
        <w:tc>
          <w:tcPr>
            <w:tcW w:w="5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180"/>
              <w:jc w:val="left"/>
              <w:rPr>
                <w:color w:val="000000"/>
              </w:rPr>
            </w:pPr>
            <w:r>
              <w:rPr>
                <w:color w:val="000000"/>
              </w:rPr>
              <w:t>Income before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79,417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73,151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73,121</w:t>
            </w:r>
          </w:p>
        </w:tc>
        <w:tc>
          <w:tcPr>
            <w:tcW w:w="240"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180"/>
              <w:jc w:val="left"/>
              <w:rPr>
                <w:color w:val="000000"/>
              </w:rPr>
            </w:pPr>
            <w:r>
              <w:rPr>
                <w:color w:val="000000"/>
              </w:rPr>
              <w:t>Income tax expense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14,507</w:t>
            </w:r>
          </w:p>
        </w:tc>
        <w:tc>
          <w:tcPr>
            <w:tcW w:w="240"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540" w:right="0" w:hanging="180"/>
              <w:jc w:val="left"/>
              <w:rPr>
                <w:color w:val="000000"/>
              </w:rPr>
            </w:pPr>
            <w:r>
              <w:rPr>
                <w:color w:val="000000"/>
              </w:rPr>
              <w:t>Net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58,240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58,614</w:t>
            </w:r>
          </w:p>
        </w:tc>
        <w:tc>
          <w:tcPr>
            <w:tcW w:w="24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COMPREHENSIVE INCOME (LOSS) (CONTINUED)</w:t>
      </w:r>
    </w:p>
    <w:p>
      <w:pPr>
        <w:pStyle w:val="TextBody"/>
        <w:bidi w:val="0"/>
        <w:spacing w:before="0" w:after="0"/>
        <w:ind w:left="180" w:right="0" w:hanging="18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8765" w:type="dxa"/>
        <w:jc w:val="left"/>
        <w:tblInd w:w="0" w:type="dxa"/>
        <w:tblLayout w:type="fixed"/>
        <w:tblCellMar>
          <w:top w:w="0" w:type="dxa"/>
          <w:left w:w="0" w:type="dxa"/>
          <w:bottom w:w="0" w:type="dxa"/>
          <w:right w:w="0" w:type="dxa"/>
        </w:tblCellMar>
      </w:tblPr>
      <w:tblGrid>
        <w:gridCol w:w="5570"/>
        <w:gridCol w:w="60"/>
        <w:gridCol w:w="140"/>
        <w:gridCol w:w="680"/>
        <w:gridCol w:w="95"/>
        <w:gridCol w:w="60"/>
        <w:gridCol w:w="140"/>
        <w:gridCol w:w="875"/>
        <w:gridCol w:w="95"/>
        <w:gridCol w:w="60"/>
        <w:gridCol w:w="140"/>
        <w:gridCol w:w="755"/>
        <w:gridCol w:w="95"/>
      </w:tblGrid>
      <w:tr>
        <w:trPr/>
        <w:tc>
          <w:tcPr>
            <w:tcW w:w="5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95" w:type="dxa"/>
            <w:tcBorders/>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95" w:type="dxa"/>
            <w:tcBorders/>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0"/>
              <w:ind w:left="180" w:right="0" w:hanging="180"/>
              <w:jc w:val="left"/>
              <w:rPr>
                <w:color w:val="000000"/>
              </w:rPr>
            </w:pPr>
            <w:r>
              <w:rPr>
                <w:color w:val="000000"/>
              </w:rPr>
              <w:t>Earnings per share: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360" w:right="0" w:hanging="180"/>
              <w:jc w:val="left"/>
              <w:rPr>
                <w:color w:val="000000"/>
              </w:rPr>
            </w:pPr>
            <w:r>
              <w:rPr>
                <w:color w:val="000000"/>
              </w:rPr>
              <w:t>Basic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3.73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3.35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3.26</w:t>
            </w:r>
          </w:p>
        </w:tc>
        <w:tc>
          <w:tcPr>
            <w:tcW w:w="95" w:type="dxa"/>
            <w:tcBorders/>
            <w:shd w:fill="CCEEFF" w:val="clear"/>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0"/>
              <w:ind w:left="360" w:right="0" w:hanging="180"/>
              <w:jc w:val="left"/>
              <w:rPr>
                <w:color w:val="000000"/>
              </w:rPr>
            </w:pPr>
            <w:r>
              <w:rPr>
                <w:color w:val="000000"/>
              </w:rPr>
              <w:t>Diluted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3.62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75" w:type="dxa"/>
            <w:tcBorders/>
            <w:vAlign w:val="bottom"/>
          </w:tcPr>
          <w:p>
            <w:pPr>
              <w:pStyle w:val="TableContents"/>
              <w:bidi w:val="0"/>
              <w:spacing w:before="0" w:after="0"/>
              <w:jc w:val="right"/>
              <w:rPr>
                <w:color w:val="000000"/>
              </w:rPr>
            </w:pPr>
            <w:r>
              <w:rPr>
                <w:color w:val="000000"/>
              </w:rPr>
              <w:t>3.23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3.17</w:t>
            </w:r>
          </w:p>
        </w:tc>
        <w:tc>
          <w:tcPr>
            <w:tcW w:w="95" w:type="dxa"/>
            <w:tcBorders/>
            <w:vAlign w:val="bottom"/>
          </w:tcPr>
          <w:p>
            <w:pPr>
              <w:pStyle w:val="TableContents"/>
              <w:bidi w:val="0"/>
              <w:spacing w:before="0" w:after="283"/>
              <w:ind w:left="180" w:right="0" w:hanging="180"/>
              <w:jc w:val="left"/>
              <w:rPr/>
            </w:pPr>
            <w:r>
              <w:rPr/>
              <w:t> </w:t>
            </w:r>
          </w:p>
        </w:tc>
      </w:tr>
      <w:tr>
        <w:trPr/>
        <w:tc>
          <w:tcPr>
            <w:tcW w:w="55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0"/>
              <w:ind w:left="180" w:right="0" w:hanging="180"/>
              <w:jc w:val="left"/>
              <w:rPr>
                <w:color w:val="000000"/>
              </w:rPr>
            </w:pPr>
            <w:r>
              <w:rPr>
                <w:color w:val="000000"/>
              </w:rPr>
              <w:t>Net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62,745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75" w:type="dxa"/>
            <w:tcBorders/>
            <w:vAlign w:val="bottom"/>
          </w:tcPr>
          <w:p>
            <w:pPr>
              <w:pStyle w:val="TableContents"/>
              <w:bidi w:val="0"/>
              <w:spacing w:before="0" w:after="0"/>
              <w:jc w:val="right"/>
              <w:rPr>
                <w:color w:val="000000"/>
              </w:rPr>
            </w:pPr>
            <w:r>
              <w:rPr>
                <w:color w:val="000000"/>
              </w:rPr>
              <w:t>58,240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58,614</w:t>
            </w:r>
          </w:p>
        </w:tc>
        <w:tc>
          <w:tcPr>
            <w:tcW w:w="9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80" w:right="0" w:hanging="180"/>
              <w:jc w:val="left"/>
              <w:rPr>
                <w:color w:val="000000"/>
              </w:rPr>
            </w:pPr>
            <w:r>
              <w:rPr>
                <w:color w:val="000000"/>
              </w:rPr>
              <w:t>Other comprehensive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0"/>
              <w:ind w:left="360" w:right="0" w:hanging="180"/>
              <w:jc w:val="left"/>
              <w:rPr>
                <w:color w:val="000000"/>
              </w:rPr>
            </w:pPr>
            <w:r>
              <w:rPr>
                <w:color w:val="000000"/>
              </w:rPr>
              <w:t>Unrealized gains (losses) on securities available for sale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17,282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(114,367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(15,479</w:t>
            </w:r>
          </w:p>
        </w:tc>
        <w:tc>
          <w:tcPr>
            <w:tcW w:w="95" w:type="dxa"/>
            <w:tcBorders/>
            <w:vAlign w:val="bottom"/>
          </w:tcPr>
          <w:p>
            <w:pPr>
              <w:pStyle w:val="TableContents"/>
              <w:bidi w:val="0"/>
              <w:spacing w:before="0" w:after="283"/>
              <w:jc w:val="left"/>
              <w:rPr/>
            </w:pPr>
            <w:r>
              <w:rPr/>
              <w:t>)</w:t>
            </w:r>
          </w:p>
        </w:tc>
      </w:tr>
      <w:tr>
        <w:trPr/>
        <w:tc>
          <w:tcPr>
            <w:tcW w:w="5570" w:type="dxa"/>
            <w:tcBorders/>
            <w:shd w:fill="CCEEFF" w:val="clear"/>
            <w:vAlign w:val="bottom"/>
          </w:tcPr>
          <w:p>
            <w:pPr>
              <w:pStyle w:val="TableContents"/>
              <w:bidi w:val="0"/>
              <w:spacing w:before="0" w:after="0"/>
              <w:ind w:left="360" w:right="0" w:hanging="180"/>
              <w:jc w:val="left"/>
              <w:rPr>
                <w:color w:val="000000"/>
              </w:rPr>
            </w:pPr>
            <w:r>
              <w:rPr>
                <w:color w:val="000000"/>
              </w:rPr>
              <w:t xml:space="preserve">Less: </w:t>
            </w:r>
            <w:r>
              <w:rPr>
                <w:rFonts w:ascii="Times New Roman" w:hAnsi="Times New Roman"/>
                <w:b w:val="false"/>
                <w:i w:val="false"/>
                <w:caps w:val="false"/>
                <w:smallCaps w:val="false"/>
                <w:color w:val="000000"/>
                <w:sz w:val="20"/>
              </w:rPr>
              <w:t>Change in fair value on hedged state and municipal securities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(3,686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14,607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5,812</w:t>
            </w:r>
          </w:p>
        </w:tc>
        <w:tc>
          <w:tcPr>
            <w:tcW w:w="95" w:type="dxa"/>
            <w:tcBorders/>
            <w:shd w:fill="CCEEFF" w:val="clear"/>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0"/>
              <w:ind w:left="360" w:right="0" w:hanging="180"/>
              <w:jc w:val="left"/>
              <w:rPr>
                <w:color w:val="000000"/>
              </w:rPr>
            </w:pPr>
            <w:r>
              <w:rPr>
                <w:color w:val="000000"/>
              </w:rPr>
              <w:t>Reclassification adjustment for loss on sale of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3,409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360" w:right="0" w:hanging="180"/>
              <w:jc w:val="left"/>
              <w:rPr>
                <w:color w:val="000000"/>
              </w:rPr>
            </w:pPr>
            <w:r>
              <w:rPr>
                <w:color w:val="000000"/>
              </w:rPr>
              <w:t>Tax effect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(3,571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20,950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2,030</w:t>
            </w:r>
          </w:p>
        </w:tc>
        <w:tc>
          <w:tcPr>
            <w:tcW w:w="95" w:type="dxa"/>
            <w:tcBorders/>
            <w:shd w:fill="CCEEFF" w:val="clear"/>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0"/>
              <w:ind w:left="540" w:right="0" w:hanging="180"/>
              <w:jc w:val="left"/>
              <w:rPr>
                <w:color w:val="000000"/>
              </w:rPr>
            </w:pPr>
            <w:r>
              <w:rPr>
                <w:color w:val="000000"/>
              </w:rPr>
              <w:t>Other comprehensive income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(78,810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(7,637</w:t>
            </w:r>
          </w:p>
        </w:tc>
        <w:tc>
          <w:tcPr>
            <w:tcW w:w="95" w:type="dxa"/>
            <w:tcBorders/>
            <w:vAlign w:val="bottom"/>
          </w:tcPr>
          <w:p>
            <w:pPr>
              <w:pStyle w:val="TableContents"/>
              <w:bidi w:val="0"/>
              <w:spacing w:before="0" w:after="283"/>
              <w:jc w:val="left"/>
              <w:rPr/>
            </w:pPr>
            <w:r>
              <w:rPr/>
              <w:t>)</w:t>
            </w:r>
          </w:p>
        </w:tc>
      </w:tr>
      <w:tr>
        <w:trPr/>
        <w:tc>
          <w:tcPr>
            <w:tcW w:w="5570" w:type="dxa"/>
            <w:tcBorders/>
            <w:shd w:fill="CCEEFF" w:val="clear"/>
            <w:vAlign w:val="bottom"/>
          </w:tcPr>
          <w:p>
            <w:pPr>
              <w:pStyle w:val="TableContents"/>
              <w:bidi w:val="0"/>
              <w:spacing w:before="0" w:after="0"/>
              <w:ind w:left="720" w:right="0" w:hanging="180"/>
              <w:jc w:val="left"/>
              <w:rPr>
                <w:color w:val="000000"/>
              </w:rPr>
            </w:pPr>
            <w:r>
              <w:rPr>
                <w:color w:val="000000"/>
              </w:rPr>
              <w:t>Comprehensive income (loss)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76,179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(20,570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283"/>
              <w:jc w:val="right"/>
              <w:rPr/>
            </w:pPr>
            <w:r>
              <w:rPr/>
              <w:t>50,977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CHANGES IN STOCKHOLDERS’ EQUITY</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655"/>
        <w:gridCol w:w="60"/>
        <w:gridCol w:w="60"/>
        <w:gridCol w:w="1100"/>
        <w:gridCol w:w="95"/>
        <w:gridCol w:w="60"/>
        <w:gridCol w:w="146"/>
        <w:gridCol w:w="714"/>
        <w:gridCol w:w="95"/>
        <w:gridCol w:w="60"/>
        <w:gridCol w:w="163"/>
        <w:gridCol w:w="937"/>
        <w:gridCol w:w="95"/>
        <w:gridCol w:w="60"/>
        <w:gridCol w:w="141"/>
        <w:gridCol w:w="809"/>
        <w:gridCol w:w="95"/>
        <w:gridCol w:w="60"/>
        <w:gridCol w:w="251"/>
        <w:gridCol w:w="1359"/>
        <w:gridCol w:w="95"/>
        <w:gridCol w:w="60"/>
        <w:gridCol w:w="140"/>
        <w:gridCol w:w="800"/>
        <w:gridCol w:w="95"/>
      </w:tblGrid>
      <w:tr>
        <w:trPr/>
        <w:tc>
          <w:tcPr>
            <w:tcW w:w="2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0"/>
              <w:jc w:val="center"/>
              <w:rPr>
                <w:b/>
                <w:color w:val="000000"/>
              </w:rPr>
            </w:pPr>
            <w:r>
              <w:rPr>
                <w:b/>
                <w:color w:val="000000"/>
              </w:rPr>
              <w:t>Retained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Capital</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Earnings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Income (Loss)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95" w:type="dxa"/>
            <w:tcBorders/>
            <w:vAlign w:val="bottom"/>
          </w:tcPr>
          <w:p>
            <w:pPr>
              <w:pStyle w:val="TableContents"/>
              <w:bidi w:val="0"/>
              <w:spacing w:before="0" w:after="283"/>
              <w:jc w:val="left"/>
              <w:rPr/>
            </w:pPr>
            <w:r>
              <w:rPr/>
              <w:t> </w:t>
            </w:r>
          </w:p>
        </w:tc>
      </w:tr>
      <w:tr>
        <w:trPr/>
        <w:tc>
          <w:tcPr>
            <w:tcW w:w="2655" w:type="dxa"/>
            <w:tcBorders/>
            <w:shd w:fill="CCEEFF" w:val="clear"/>
            <w:vAlign w:val="bottom"/>
          </w:tcPr>
          <w:p>
            <w:pPr>
              <w:pStyle w:val="TableContents"/>
              <w:bidi w:val="0"/>
              <w:spacing w:before="0" w:after="0"/>
              <w:ind w:left="180" w:right="0" w:hanging="180"/>
              <w:jc w:val="left"/>
              <w:rPr>
                <w:color w:val="000000"/>
              </w:rPr>
            </w:pPr>
            <w:r>
              <w:rPr>
                <w:color w:val="000000"/>
              </w:rPr>
              <w:t>Balance at December 31, 2020</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18,076,364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18,076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color w:val="000000"/>
              </w:rPr>
            </w:pPr>
            <w:r>
              <w:rPr>
                <w:color w:val="000000"/>
              </w:rPr>
              <w:t>$</w:t>
            </w:r>
          </w:p>
        </w:tc>
        <w:tc>
          <w:tcPr>
            <w:tcW w:w="937" w:type="dxa"/>
            <w:tcBorders/>
            <w:shd w:fill="CCEEFF" w:val="clear"/>
            <w:vAlign w:val="bottom"/>
          </w:tcPr>
          <w:p>
            <w:pPr>
              <w:pStyle w:val="TableContents"/>
              <w:bidi w:val="0"/>
              <w:spacing w:before="0" w:after="0"/>
              <w:jc w:val="right"/>
              <w:rPr>
                <w:color w:val="000000"/>
              </w:rPr>
            </w:pPr>
            <w:r>
              <w:rPr>
                <w:color w:val="000000"/>
              </w:rPr>
              <w:t>141,112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809" w:type="dxa"/>
            <w:tcBorders/>
            <w:shd w:fill="CCEEFF" w:val="clear"/>
            <w:vAlign w:val="bottom"/>
          </w:tcPr>
          <w:p>
            <w:pPr>
              <w:pStyle w:val="TableContents"/>
              <w:bidi w:val="0"/>
              <w:spacing w:before="0" w:after="0"/>
              <w:jc w:val="right"/>
              <w:rPr>
                <w:color w:val="000000"/>
              </w:rPr>
            </w:pPr>
            <w:r>
              <w:rPr>
                <w:color w:val="000000"/>
              </w:rPr>
              <w:t>189,521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0"/>
              <w:jc w:val="left"/>
              <w:rPr>
                <w:color w:val="000000"/>
              </w:rPr>
            </w:pPr>
            <w:r>
              <w:rPr>
                <w:color w:val="000000"/>
              </w:rPr>
              <w:t>$</w:t>
            </w:r>
          </w:p>
        </w:tc>
        <w:tc>
          <w:tcPr>
            <w:tcW w:w="1359" w:type="dxa"/>
            <w:tcBorders/>
            <w:shd w:fill="CCEEFF" w:val="clear"/>
            <w:vAlign w:val="bottom"/>
          </w:tcPr>
          <w:p>
            <w:pPr>
              <w:pStyle w:val="TableContents"/>
              <w:bidi w:val="0"/>
              <w:spacing w:before="0" w:after="0"/>
              <w:jc w:val="right"/>
              <w:rPr>
                <w:color w:val="000000"/>
              </w:rPr>
            </w:pPr>
            <w:r>
              <w:rPr>
                <w:color w:val="000000"/>
              </w:rPr>
              <w:t>21,339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370,048</w:t>
            </w:r>
          </w:p>
        </w:tc>
        <w:tc>
          <w:tcPr>
            <w:tcW w:w="95" w:type="dxa"/>
            <w:tcBorders/>
            <w:shd w:fill="CCEEFF" w:val="clear"/>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0"/>
              <w:ind w:left="180" w:right="0" w:hanging="180"/>
              <w:jc w:val="left"/>
              <w:rPr>
                <w:color w:val="000000"/>
              </w:rPr>
            </w:pPr>
            <w:r>
              <w:rPr>
                <w:color w:val="00000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color w:val="000000"/>
              </w:rPr>
            </w:pPr>
            <w:r>
              <w:rPr>
                <w:color w:val="000000"/>
              </w:rPr>
              <w:t>58,614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58,614</w:t>
            </w:r>
          </w:p>
        </w:tc>
        <w:tc>
          <w:tcPr>
            <w:tcW w:w="95" w:type="dxa"/>
            <w:tcBorders/>
            <w:vAlign w:val="bottom"/>
          </w:tcPr>
          <w:p>
            <w:pPr>
              <w:pStyle w:val="TableContents"/>
              <w:bidi w:val="0"/>
              <w:spacing w:before="0" w:after="283"/>
              <w:jc w:val="left"/>
              <w:rPr/>
            </w:pPr>
            <w:r>
              <w:rPr/>
              <w:t> </w:t>
            </w:r>
          </w:p>
        </w:tc>
      </w:tr>
      <w:tr>
        <w:trPr/>
        <w:tc>
          <w:tcPr>
            <w:tcW w:w="2655" w:type="dxa"/>
            <w:tcBorders/>
            <w:shd w:fill="CCEEFF" w:val="clear"/>
            <w:vAlign w:val="bottom"/>
          </w:tcPr>
          <w:p>
            <w:pPr>
              <w:pStyle w:val="TableContents"/>
              <w:widowControl/>
              <w:bidi w:val="0"/>
              <w:spacing w:before="0" w:after="0"/>
              <w:ind w:left="180" w:right="0" w:hanging="0"/>
              <w:jc w:val="left"/>
              <w:rPr>
                <w:color w:val="000000"/>
              </w:rPr>
            </w:pPr>
            <w:r>
              <w:rPr>
                <w:rFonts w:ascii="Times New Roman" w:hAnsi="Times New Roman"/>
                <w:b w:val="false"/>
                <w:i w:val="false"/>
                <w:caps w:val="false"/>
                <w:smallCaps w:val="false"/>
                <w:color w:val="000000"/>
                <w:spacing w:val="0"/>
                <w:sz w:val="20"/>
              </w:rPr>
              <w:t>Cash dividends declared</w:t>
            </w:r>
            <w:r>
              <w:rPr>
                <w:color w:val="000000"/>
              </w:rPr>
              <w:t xml:space="preserve"> - $0.30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color w:val="000000"/>
              </w:rPr>
            </w:pPr>
            <w:r>
              <w:rPr>
                <w:color w:val="000000"/>
              </w:rPr>
              <w:t>(5,385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(5,385</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655" w:type="dxa"/>
            <w:tcBorders/>
            <w:vAlign w:val="bottom"/>
          </w:tcPr>
          <w:p>
            <w:pPr>
              <w:pStyle w:val="TableContents"/>
              <w:bidi w:val="0"/>
              <w:spacing w:before="0" w:after="0"/>
              <w:ind w:left="180" w:right="0" w:hanging="180"/>
              <w:jc w:val="left"/>
              <w:rPr>
                <w:color w:val="000000"/>
              </w:rPr>
            </w:pPr>
            <w:r>
              <w:rPr>
                <w:color w:val="000000"/>
              </w:rPr>
              <w:t>Other comprehensive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0"/>
              <w:jc w:val="right"/>
              <w:rPr>
                <w:color w:val="000000"/>
              </w:rPr>
            </w:pPr>
            <w:r>
              <w:rPr>
                <w:color w:val="000000"/>
              </w:rPr>
              <w:t>(7,637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(7,637</w:t>
            </w:r>
          </w:p>
        </w:tc>
        <w:tc>
          <w:tcPr>
            <w:tcW w:w="95" w:type="dxa"/>
            <w:tcBorders/>
            <w:vAlign w:val="bottom"/>
          </w:tcPr>
          <w:p>
            <w:pPr>
              <w:pStyle w:val="TableContents"/>
              <w:bidi w:val="0"/>
              <w:spacing w:before="0" w:after="0"/>
              <w:jc w:val="left"/>
              <w:rPr>
                <w:color w:val="000000"/>
              </w:rPr>
            </w:pPr>
            <w:r>
              <w:rPr>
                <w:color w:val="000000"/>
              </w:rPr>
              <w:t>)</w:t>
            </w:r>
          </w:p>
        </w:tc>
      </w:tr>
      <w:tr>
        <w:trPr/>
        <w:tc>
          <w:tcPr>
            <w:tcW w:w="2655" w:type="dxa"/>
            <w:tcBorders/>
            <w:shd w:fill="CCEEFF" w:val="clear"/>
            <w:vAlign w:val="bottom"/>
          </w:tcPr>
          <w:p>
            <w:pPr>
              <w:pStyle w:val="TableContents"/>
              <w:bidi w:val="0"/>
              <w:spacing w:before="0" w:after="0"/>
              <w:ind w:left="180" w:right="0" w:hanging="0"/>
              <w:jc w:val="left"/>
              <w:rPr>
                <w:color w:val="000000"/>
              </w:rPr>
            </w:pPr>
            <w:r>
              <w:rPr>
                <w:color w:val="000000"/>
              </w:rPr>
              <w:t xml:space="preserve">Issuance of stock related to stock-based awards, net of 82,004 shares for cashless exercise and net of 23,559 shares for taxes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77,408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(702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(625</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655"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Repurchases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(393,529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(393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(8,834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(9,227</w:t>
            </w:r>
          </w:p>
        </w:tc>
        <w:tc>
          <w:tcPr>
            <w:tcW w:w="95" w:type="dxa"/>
            <w:tcBorders/>
            <w:vAlign w:val="bottom"/>
          </w:tcPr>
          <w:p>
            <w:pPr>
              <w:pStyle w:val="TableContents"/>
              <w:bidi w:val="0"/>
              <w:spacing w:before="0" w:after="283"/>
              <w:jc w:val="left"/>
              <w:rPr/>
            </w:pPr>
            <w:r>
              <w:rPr/>
              <w:t>)</w:t>
            </w:r>
          </w:p>
        </w:tc>
      </w:tr>
      <w:tr>
        <w:trPr/>
        <w:tc>
          <w:tcPr>
            <w:tcW w:w="2655" w:type="dxa"/>
            <w:tcBorders/>
            <w:shd w:fill="CCEEFF" w:val="clear"/>
            <w:vAlign w:val="bottom"/>
          </w:tcPr>
          <w:p>
            <w:pPr>
              <w:pStyle w:val="TableContents"/>
              <w:bidi w:val="0"/>
              <w:spacing w:before="0" w:after="0"/>
              <w:ind w:left="180" w:right="0" w:hanging="180"/>
              <w:jc w:val="left"/>
              <w:rPr>
                <w:color w:val="000000"/>
              </w:rPr>
            </w:pPr>
            <w:r>
              <w:rPr>
                <w:color w:val="000000"/>
              </w:rPr>
              <w:t>Stock 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1,639</w:t>
            </w:r>
          </w:p>
        </w:tc>
        <w:tc>
          <w:tcPr>
            <w:tcW w:w="95" w:type="dxa"/>
            <w:tcBorders/>
            <w:shd w:fill="CCEEFF" w:val="clear"/>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0"/>
              <w:ind w:left="180" w:right="0" w:hanging="0"/>
              <w:jc w:val="left"/>
              <w:rPr>
                <w:color w:val="000000"/>
              </w:rPr>
            </w:pPr>
            <w:r>
              <w:rPr>
                <w:color w:val="000000"/>
              </w:rPr>
              <w:t>Balance at December 31, 2021</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17,760,243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17,760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133,215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242,750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13,702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407,427</w:t>
            </w:r>
          </w:p>
        </w:tc>
        <w:tc>
          <w:tcPr>
            <w:tcW w:w="95" w:type="dxa"/>
            <w:tcBorders/>
            <w:vAlign w:val="bottom"/>
          </w:tcPr>
          <w:p>
            <w:pPr>
              <w:pStyle w:val="TableContents"/>
              <w:bidi w:val="0"/>
              <w:spacing w:before="0" w:after="283"/>
              <w:jc w:val="left"/>
              <w:rPr/>
            </w:pPr>
            <w:r>
              <w:rPr/>
              <w:t> </w:t>
            </w:r>
          </w:p>
        </w:tc>
      </w:tr>
      <w:tr>
        <w:trPr/>
        <w:tc>
          <w:tcPr>
            <w:tcW w:w="2655" w:type="dxa"/>
            <w:tcBorders/>
            <w:shd w:fill="CCEEFF" w:val="clear"/>
            <w:vAlign w:val="bottom"/>
          </w:tcPr>
          <w:p>
            <w:pPr>
              <w:pStyle w:val="TableContents"/>
              <w:bidi w:val="0"/>
              <w:spacing w:before="0" w:after="283"/>
              <w:jc w:val="left"/>
              <w:rPr/>
            </w:pPr>
            <w:r>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58,240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58,240</w:t>
            </w:r>
          </w:p>
        </w:tc>
        <w:tc>
          <w:tcPr>
            <w:tcW w:w="95" w:type="dxa"/>
            <w:tcBorders/>
            <w:shd w:fill="CCEEFF" w:val="clear"/>
            <w:vAlign w:val="bottom"/>
          </w:tcPr>
          <w:p>
            <w:pPr>
              <w:pStyle w:val="TableContents"/>
              <w:bidi w:val="0"/>
              <w:spacing w:before="0" w:after="283"/>
              <w:jc w:val="left"/>
              <w:rPr/>
            </w:pPr>
            <w:r>
              <w:rPr/>
              <w:t> </w:t>
            </w:r>
          </w:p>
        </w:tc>
      </w:tr>
      <w:tr>
        <w:trPr/>
        <w:tc>
          <w:tcPr>
            <w:tcW w:w="2655" w:type="dxa"/>
            <w:tcBorders/>
            <w:vAlign w:val="bottom"/>
          </w:tcPr>
          <w:p>
            <w:pPr>
              <w:pStyle w:val="TableContents"/>
              <w:widowControl/>
              <w:bidi w:val="0"/>
              <w:spacing w:before="0" w:after="283"/>
              <w:ind w:left="0" w:right="0" w:hanging="135"/>
              <w:jc w:val="left"/>
              <w:rPr/>
            </w:pPr>
            <w:r>
              <w:rPr>
                <w:rFonts w:ascii="Times New Roman" w:hAnsi="Times New Roman"/>
                <w:b w:val="false"/>
                <w:i w:val="false"/>
                <w:caps w:val="false"/>
                <w:smallCaps w:val="false"/>
                <w:color w:val="000000"/>
                <w:spacing w:val="0"/>
                <w:sz w:val="20"/>
              </w:rPr>
              <w:t>Cash dividends declared</w:t>
            </w:r>
            <w:r>
              <w:rPr/>
              <w:t xml:space="preserve"> - $0.46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(8,012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(8,012</w:t>
            </w:r>
          </w:p>
        </w:tc>
        <w:tc>
          <w:tcPr>
            <w:tcW w:w="95" w:type="dxa"/>
            <w:tcBorders/>
            <w:vAlign w:val="bottom"/>
          </w:tcPr>
          <w:p>
            <w:pPr>
              <w:pStyle w:val="TableContents"/>
              <w:bidi w:val="0"/>
              <w:spacing w:before="0" w:after="283"/>
              <w:jc w:val="left"/>
              <w:rPr/>
            </w:pPr>
            <w:r>
              <w:rPr/>
              <w:t>)</w:t>
            </w:r>
          </w:p>
        </w:tc>
      </w:tr>
      <w:tr>
        <w:trPr/>
        <w:tc>
          <w:tcPr>
            <w:tcW w:w="2655" w:type="dxa"/>
            <w:tcBorders/>
            <w:shd w:fill="CCEEFF" w:val="clear"/>
            <w:vAlign w:val="bottom"/>
          </w:tcPr>
          <w:p>
            <w:pPr>
              <w:pStyle w:val="TableContents"/>
              <w:bidi w:val="0"/>
              <w:spacing w:before="0" w:after="0"/>
              <w:ind w:left="180" w:right="0" w:hanging="180"/>
              <w:jc w:val="left"/>
              <w:rPr/>
            </w:pPr>
            <w:r>
              <w:rPr/>
              <w:t xml:space="preserve">Other comprehensive loss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(78,810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(78,810</w:t>
            </w:r>
          </w:p>
        </w:tc>
        <w:tc>
          <w:tcPr>
            <w:tcW w:w="95" w:type="dxa"/>
            <w:tcBorders/>
            <w:shd w:fill="CCEEFF" w:val="clear"/>
            <w:vAlign w:val="bottom"/>
          </w:tcPr>
          <w:p>
            <w:pPr>
              <w:pStyle w:val="TableContents"/>
              <w:bidi w:val="0"/>
              <w:spacing w:before="0" w:after="283"/>
              <w:jc w:val="left"/>
              <w:rPr/>
            </w:pPr>
            <w:r>
              <w:rPr/>
              <w:t>)</w:t>
            </w:r>
          </w:p>
        </w:tc>
      </w:tr>
      <w:tr>
        <w:trPr/>
        <w:tc>
          <w:tcPr>
            <w:tcW w:w="2655" w:type="dxa"/>
            <w:tcBorders/>
            <w:vAlign w:val="bottom"/>
          </w:tcPr>
          <w:p>
            <w:pPr>
              <w:pStyle w:val="TableContents"/>
              <w:bidi w:val="0"/>
              <w:spacing w:before="0" w:after="0"/>
              <w:ind w:left="180" w:right="0" w:hanging="180"/>
              <w:jc w:val="left"/>
              <w:rPr/>
            </w:pPr>
            <w:r>
              <w:rPr/>
              <w:t>Impact of adoption of Topic 842 related to leases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(717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(717</w:t>
            </w:r>
          </w:p>
        </w:tc>
        <w:tc>
          <w:tcPr>
            <w:tcW w:w="95" w:type="dxa"/>
            <w:tcBorders/>
            <w:vAlign w:val="bottom"/>
          </w:tcPr>
          <w:p>
            <w:pPr>
              <w:pStyle w:val="TableContents"/>
              <w:bidi w:val="0"/>
              <w:spacing w:before="0" w:after="283"/>
              <w:ind w:left="0" w:right="0" w:hanging="180"/>
              <w:jc w:val="left"/>
              <w:rPr/>
            </w:pPr>
            <w:r>
              <w:rPr/>
              <w:t>)</w:t>
            </w:r>
          </w:p>
        </w:tc>
      </w:tr>
      <w:tr>
        <w:trPr/>
        <w:tc>
          <w:tcPr>
            <w:tcW w:w="2655" w:type="dxa"/>
            <w:tcBorders/>
            <w:shd w:fill="CCEEFF" w:val="clear"/>
            <w:vAlign w:val="bottom"/>
          </w:tcPr>
          <w:p>
            <w:pPr>
              <w:pStyle w:val="TableContents"/>
              <w:bidi w:val="0"/>
              <w:spacing w:before="0" w:after="0"/>
              <w:ind w:left="180" w:right="0" w:hanging="0"/>
              <w:jc w:val="left"/>
              <w:rPr/>
            </w:pPr>
            <w:r>
              <w:rPr/>
              <w:t xml:space="preserve">Issuance of stock related to stock-based awards, net of 141,762 shares for cashless exercise and net of 42,386 shares for taxes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126,756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(1,295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(1,168</w:t>
            </w:r>
          </w:p>
        </w:tc>
        <w:tc>
          <w:tcPr>
            <w:tcW w:w="95" w:type="dxa"/>
            <w:tcBorders/>
            <w:shd w:fill="CCEEFF" w:val="clear"/>
            <w:vAlign w:val="bottom"/>
          </w:tcPr>
          <w:p>
            <w:pPr>
              <w:pStyle w:val="TableContents"/>
              <w:bidi w:val="0"/>
              <w:spacing w:before="0" w:after="283"/>
              <w:jc w:val="left"/>
              <w:rPr/>
            </w:pPr>
            <w:r>
              <w:rPr/>
              <w:t>)</w:t>
            </w:r>
          </w:p>
        </w:tc>
      </w:tr>
      <w:tr>
        <w:trPr/>
        <w:tc>
          <w:tcPr>
            <w:tcW w:w="2655" w:type="dxa"/>
            <w:tcBorders/>
            <w:vAlign w:val="bottom"/>
          </w:tcPr>
          <w:p>
            <w:pPr>
              <w:pStyle w:val="TableContents"/>
              <w:bidi w:val="0"/>
              <w:spacing w:before="0" w:after="0"/>
              <w:ind w:left="180" w:right="0" w:hanging="180"/>
              <w:jc w:val="left"/>
              <w:rPr>
                <w:color w:val="000000"/>
              </w:rPr>
            </w:pPr>
            <w:r>
              <w:rPr>
                <w:color w:val="000000"/>
              </w:rPr>
              <w:t>Repurchases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(859,802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(860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(21,839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(22,699</w:t>
            </w:r>
          </w:p>
        </w:tc>
        <w:tc>
          <w:tcPr>
            <w:tcW w:w="95" w:type="dxa"/>
            <w:tcBorders/>
            <w:vAlign w:val="bottom"/>
          </w:tcPr>
          <w:p>
            <w:pPr>
              <w:pStyle w:val="TableContents"/>
              <w:bidi w:val="0"/>
              <w:spacing w:before="0" w:after="0"/>
              <w:ind w:left="0" w:right="0" w:hanging="180"/>
              <w:jc w:val="left"/>
              <w:rPr>
                <w:color w:val="000000"/>
              </w:rPr>
            </w:pPr>
            <w:r>
              <w:rPr>
                <w:color w:val="000000"/>
              </w:rPr>
              <w:t>)</w:t>
            </w:r>
          </w:p>
        </w:tc>
      </w:tr>
      <w:tr>
        <w:trPr/>
        <w:tc>
          <w:tcPr>
            <w:tcW w:w="2655" w:type="dxa"/>
            <w:tcBorders/>
            <w:shd w:fill="CCEEFF" w:val="clear"/>
            <w:vAlign w:val="bottom"/>
          </w:tcPr>
          <w:p>
            <w:pPr>
              <w:pStyle w:val="TableContents"/>
              <w:bidi w:val="0"/>
              <w:spacing w:before="0" w:after="0"/>
              <w:ind w:left="180" w:right="0" w:hanging="180"/>
              <w:jc w:val="left"/>
              <w:rPr/>
            </w:pPr>
            <w:r>
              <w:rPr/>
              <w:t>Stock-based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bottom"/>
          </w:tcPr>
          <w:p>
            <w:pPr>
              <w:pStyle w:val="TableContents"/>
              <w:bidi w:val="0"/>
              <w:spacing w:before="0" w:after="283"/>
              <w:jc w:val="right"/>
              <w:rPr/>
            </w:pPr>
            <w:r>
              <w:rPr/>
              <w:t>2,753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2,753</w:t>
            </w:r>
          </w:p>
        </w:tc>
        <w:tc>
          <w:tcPr>
            <w:tcW w:w="95" w:type="dxa"/>
            <w:tcBorders/>
            <w:shd w:fill="CCEEFF" w:val="clear"/>
            <w:vAlign w:val="bottom"/>
          </w:tcPr>
          <w:p>
            <w:pPr>
              <w:pStyle w:val="TableContents"/>
              <w:bidi w:val="0"/>
              <w:spacing w:before="0" w:after="283"/>
              <w:ind w:left="0" w:right="0" w:hanging="180"/>
              <w:jc w:val="left"/>
              <w:rPr/>
            </w:pPr>
            <w:r>
              <w:rPr/>
              <w:t> </w:t>
            </w:r>
          </w:p>
        </w:tc>
      </w:tr>
      <w:tr>
        <w:trPr/>
        <w:tc>
          <w:tcPr>
            <w:tcW w:w="2655" w:type="dxa"/>
            <w:tcBorders/>
            <w:vAlign w:val="bottom"/>
          </w:tcPr>
          <w:p>
            <w:pPr>
              <w:pStyle w:val="TableContents"/>
              <w:bidi w:val="0"/>
              <w:spacing w:before="0" w:after="0"/>
              <w:ind w:left="180" w:right="0" w:hanging="0"/>
              <w:jc w:val="left"/>
              <w:rPr/>
            </w:pPr>
            <w:r>
              <w:rPr/>
              <w:t>Balance at December 31, 2022</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17,027,197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283"/>
              <w:jc w:val="right"/>
              <w:rPr/>
            </w:pPr>
            <w:r>
              <w:rPr/>
              <w:t>17,027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283"/>
              <w:jc w:val="right"/>
              <w:rPr/>
            </w:pPr>
            <w:r>
              <w:rPr/>
              <w:t>112,834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before="0" w:after="283"/>
              <w:jc w:val="right"/>
              <w:rPr/>
            </w:pPr>
            <w:r>
              <w:rPr/>
              <w:t>292,261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9" w:type="dxa"/>
            <w:tcBorders>
              <w:bottom w:val="single" w:sz="12" w:space="0" w:color="000000"/>
            </w:tcBorders>
            <w:tcMar>
              <w:bottom w:w="28" w:type="dxa"/>
            </w:tcMar>
            <w:vAlign w:val="bottom"/>
          </w:tcPr>
          <w:p>
            <w:pPr>
              <w:pStyle w:val="TableContents"/>
              <w:bidi w:val="0"/>
              <w:spacing w:before="0" w:after="283"/>
              <w:jc w:val="right"/>
              <w:rPr/>
            </w:pPr>
            <w:r>
              <w:rPr/>
              <w:t>(65,108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357,014</w:t>
            </w:r>
          </w:p>
        </w:tc>
        <w:tc>
          <w:tcPr>
            <w:tcW w:w="95" w:type="dxa"/>
            <w:tcBorders/>
            <w:vAlign w:val="bottom"/>
          </w:tcPr>
          <w:p>
            <w:pPr>
              <w:pStyle w:val="TableContents"/>
              <w:bidi w:val="0"/>
              <w:spacing w:before="0" w:after="283"/>
              <w:jc w:val="left"/>
              <w:rPr/>
            </w:pPr>
            <w:r>
              <w:rPr/>
              <w:t> </w:t>
            </w:r>
          </w:p>
        </w:tc>
      </w:tr>
      <w:tr>
        <w:trPr/>
        <w:tc>
          <w:tcPr>
            <w:tcW w:w="2655" w:type="dxa"/>
            <w:tcBorders/>
            <w:shd w:fill="CCEEFF" w:val="clear"/>
            <w:vAlign w:val="bottom"/>
          </w:tcPr>
          <w:p>
            <w:pPr>
              <w:pStyle w:val="TableContents"/>
              <w:bidi w:val="0"/>
              <w:spacing w:before="0" w:after="283"/>
              <w:jc w:val="left"/>
              <w:rPr/>
            </w:pPr>
            <w:r>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62,745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62,745</w:t>
            </w:r>
          </w:p>
        </w:tc>
        <w:tc>
          <w:tcPr>
            <w:tcW w:w="95" w:type="dxa"/>
            <w:tcBorders/>
            <w:shd w:fill="CCEEFF" w:val="clear"/>
            <w:vAlign w:val="bottom"/>
          </w:tcPr>
          <w:p>
            <w:pPr>
              <w:pStyle w:val="TableContents"/>
              <w:bidi w:val="0"/>
              <w:spacing w:before="0" w:after="283"/>
              <w:jc w:val="left"/>
              <w:rPr/>
            </w:pPr>
            <w:r>
              <w:rPr/>
              <w:t> </w:t>
            </w:r>
          </w:p>
        </w:tc>
      </w:tr>
      <w:tr>
        <w:trPr/>
        <w:tc>
          <w:tcPr>
            <w:tcW w:w="2655" w:type="dxa"/>
            <w:tcBorders/>
            <w:vAlign w:val="bottom"/>
          </w:tcPr>
          <w:p>
            <w:pPr>
              <w:pStyle w:val="TableContents"/>
              <w:widowControl/>
              <w:bidi w:val="0"/>
              <w:spacing w:before="0" w:after="0"/>
              <w:ind w:left="180" w:right="0" w:hanging="0"/>
              <w:jc w:val="left"/>
              <w:rPr>
                <w:color w:val="000000"/>
              </w:rPr>
            </w:pPr>
            <w:r>
              <w:rPr>
                <w:rFonts w:ascii="Times New Roman" w:hAnsi="Times New Roman"/>
                <w:b w:val="false"/>
                <w:i w:val="false"/>
                <w:caps w:val="false"/>
                <w:smallCaps w:val="false"/>
                <w:color w:val="000000"/>
                <w:spacing w:val="0"/>
                <w:sz w:val="20"/>
              </w:rPr>
              <w:t>Cash dividends declared</w:t>
            </w:r>
            <w:r>
              <w:rPr>
                <w:color w:val="000000"/>
              </w:rPr>
              <w:t xml:space="preserve"> - $0.52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color w:val="000000"/>
              </w:rPr>
            </w:pPr>
            <w:r>
              <w:rPr>
                <w:color w:val="000000"/>
              </w:rPr>
              <w:t>(8,745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(8,745</w:t>
            </w:r>
          </w:p>
        </w:tc>
        <w:tc>
          <w:tcPr>
            <w:tcW w:w="95" w:type="dxa"/>
            <w:tcBorders/>
            <w:vAlign w:val="bottom"/>
          </w:tcPr>
          <w:p>
            <w:pPr>
              <w:pStyle w:val="TableContents"/>
              <w:bidi w:val="0"/>
              <w:spacing w:before="0" w:after="0"/>
              <w:jc w:val="left"/>
              <w:rPr>
                <w:color w:val="000000"/>
              </w:rPr>
            </w:pPr>
            <w:r>
              <w:rPr>
                <w:color w:val="000000"/>
              </w:rPr>
              <w:t>)</w:t>
            </w:r>
          </w:p>
        </w:tc>
      </w:tr>
      <w:tr>
        <w:trPr/>
        <w:tc>
          <w:tcPr>
            <w:tcW w:w="2655" w:type="dxa"/>
            <w:tcBorders/>
            <w:shd w:fill="CCEEFF" w:val="clear"/>
            <w:vAlign w:val="bottom"/>
          </w:tcPr>
          <w:p>
            <w:pPr>
              <w:pStyle w:val="TableContents"/>
              <w:bidi w:val="0"/>
              <w:spacing w:before="0" w:after="0"/>
              <w:ind w:left="180" w:right="0" w:hanging="180"/>
              <w:jc w:val="left"/>
              <w:rPr>
                <w:color w:val="000000"/>
              </w:rPr>
            </w:pPr>
            <w:r>
              <w:rPr>
                <w:color w:val="000000"/>
              </w:rPr>
              <w:t>Other comprehensive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0"/>
              <w:jc w:val="right"/>
              <w:rPr>
                <w:color w:val="000000"/>
              </w:rPr>
            </w:pPr>
            <w:r>
              <w:rPr>
                <w:color w:val="000000"/>
              </w:rPr>
              <w:t>13,434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13,434</w:t>
            </w:r>
          </w:p>
        </w:tc>
        <w:tc>
          <w:tcPr>
            <w:tcW w:w="95" w:type="dxa"/>
            <w:tcBorders/>
            <w:shd w:fill="CCEEFF" w:val="clear"/>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0"/>
              <w:ind w:left="180" w:right="0" w:hanging="180"/>
              <w:jc w:val="left"/>
              <w:rPr/>
            </w:pPr>
            <w:r>
              <w:rPr/>
              <w:t xml:space="preserve">Impact of adoption of ASU 2016-13 - CECL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(997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(997</w:t>
            </w:r>
          </w:p>
        </w:tc>
        <w:tc>
          <w:tcPr>
            <w:tcW w:w="95" w:type="dxa"/>
            <w:tcBorders/>
            <w:vAlign w:val="bottom"/>
          </w:tcPr>
          <w:p>
            <w:pPr>
              <w:pStyle w:val="TableContents"/>
              <w:bidi w:val="0"/>
              <w:spacing w:before="0" w:after="283"/>
              <w:jc w:val="left"/>
              <w:rPr/>
            </w:pPr>
            <w:r>
              <w:rPr/>
              <w:t>)</w:t>
            </w:r>
          </w:p>
        </w:tc>
      </w:tr>
      <w:tr>
        <w:trPr/>
        <w:tc>
          <w:tcPr>
            <w:tcW w:w="2655" w:type="dxa"/>
            <w:tcBorders/>
            <w:shd w:fill="CCEEFF" w:val="clear"/>
            <w:vAlign w:val="bottom"/>
          </w:tcPr>
          <w:p>
            <w:pPr>
              <w:pStyle w:val="TableContents"/>
              <w:bidi w:val="0"/>
              <w:spacing w:before="0" w:after="0"/>
              <w:ind w:left="180" w:right="0" w:hanging="0"/>
              <w:jc w:val="left"/>
              <w:rPr>
                <w:color w:val="000000"/>
              </w:rPr>
            </w:pPr>
            <w:r>
              <w:rPr>
                <w:color w:val="000000"/>
              </w:rPr>
              <w:t>Issuance of stock related to stock-based awards, net of 52,631 shares for cashless exercise and net of 27,262 shares for taxes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75,540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(807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(731</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2655" w:type="dxa"/>
            <w:tcBorders/>
            <w:vAlign w:val="bottom"/>
          </w:tcPr>
          <w:p>
            <w:pPr>
              <w:pStyle w:val="TableContents"/>
              <w:bidi w:val="0"/>
              <w:spacing w:before="0" w:after="0"/>
              <w:ind w:left="180" w:right="0" w:hanging="180"/>
              <w:jc w:val="left"/>
              <w:rPr>
                <w:color w:val="000000"/>
              </w:rPr>
            </w:pPr>
            <w:r>
              <w:rPr>
                <w:color w:val="000000"/>
              </w:rPr>
              <w:t>Repurchases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(685,638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(686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(17,077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(17,763</w:t>
            </w:r>
          </w:p>
        </w:tc>
        <w:tc>
          <w:tcPr>
            <w:tcW w:w="95" w:type="dxa"/>
            <w:tcBorders/>
            <w:vAlign w:val="bottom"/>
          </w:tcPr>
          <w:p>
            <w:pPr>
              <w:pStyle w:val="TableContents"/>
              <w:bidi w:val="0"/>
              <w:spacing w:before="0" w:after="0"/>
              <w:jc w:val="left"/>
              <w:rPr>
                <w:color w:val="000000"/>
              </w:rPr>
            </w:pPr>
            <w:r>
              <w:rPr>
                <w:color w:val="000000"/>
              </w:rPr>
              <w:t>)</w:t>
            </w:r>
          </w:p>
        </w:tc>
      </w:tr>
      <w:tr>
        <w:trPr/>
        <w:tc>
          <w:tcPr>
            <w:tcW w:w="2655"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2,157</w:t>
            </w:r>
          </w:p>
        </w:tc>
        <w:tc>
          <w:tcPr>
            <w:tcW w:w="95" w:type="dxa"/>
            <w:tcBorders/>
            <w:shd w:fill="CCEEFF" w:val="clear"/>
            <w:vAlign w:val="bottom"/>
          </w:tcPr>
          <w:p>
            <w:pPr>
              <w:pStyle w:val="TableContents"/>
              <w:bidi w:val="0"/>
              <w:spacing w:before="0" w:after="283"/>
              <w:jc w:val="left"/>
              <w:rPr/>
            </w:pPr>
            <w:r>
              <w:rPr/>
              <w:t> </w:t>
            </w:r>
          </w:p>
        </w:tc>
      </w:tr>
      <w:tr>
        <w:trPr/>
        <w:tc>
          <w:tcPr>
            <w:tcW w:w="2655" w:type="dxa"/>
            <w:tcBorders/>
            <w:vAlign w:val="bottom"/>
          </w:tcPr>
          <w:p>
            <w:pPr>
              <w:pStyle w:val="TableContents"/>
              <w:bidi w:val="0"/>
              <w:spacing w:before="0" w:after="0"/>
              <w:ind w:left="180" w:right="0" w:hanging="0"/>
              <w:jc w:val="left"/>
              <w:rPr>
                <w:color w:val="000000"/>
              </w:rPr>
            </w:pPr>
            <w:r>
              <w:rPr>
                <w:color w:val="000000"/>
              </w:rPr>
              <w:t>Balance at December 31, 2023</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16,417,099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16,417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97,107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345,264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5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(51,674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407,114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CONSOLIDATED STATEMENTS OF CASH FLOWS</w:t>
      </w:r>
    </w:p>
    <w:p>
      <w:pPr>
        <w:pStyle w:val="TextBody"/>
        <w:bidi w:val="0"/>
        <w:spacing w:before="0" w:after="0"/>
        <w:ind w:left="360" w:right="0" w:hanging="360"/>
        <w:jc w:val="center"/>
        <w:rPr>
          <w:rFonts w:ascii="Times New Roman" w:hAnsi="Times New Roman"/>
          <w:b/>
          <w:i/>
          <w:color w:val="000000"/>
          <w:sz w:val="20"/>
          <w:shd w:fill="FFFFFF" w:val="clear"/>
        </w:rPr>
      </w:pPr>
      <w:r>
        <w:rPr>
          <w:rFonts w:ascii="Times New Roman" w:hAnsi="Times New Roman"/>
          <w:b/>
          <w:i/>
          <w:color w:val="000000"/>
          <w:sz w:val="20"/>
          <w:shd w:fill="FFFFFF" w:val="clear"/>
        </w:rPr>
        <w:t>(Dollars in thousands, except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515"/>
        <w:gridCol w:w="60"/>
        <w:gridCol w:w="140"/>
        <w:gridCol w:w="875"/>
        <w:gridCol w:w="95"/>
        <w:gridCol w:w="60"/>
        <w:gridCol w:w="140"/>
        <w:gridCol w:w="875"/>
        <w:gridCol w:w="95"/>
        <w:gridCol w:w="60"/>
        <w:gridCol w:w="140"/>
        <w:gridCol w:w="1055"/>
        <w:gridCol w:w="95"/>
      </w:tblGrid>
      <w:tr>
        <w:trPr/>
        <w:tc>
          <w:tcPr>
            <w:tcW w:w="6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95" w:type="dxa"/>
            <w:tcBorders/>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95" w:type="dxa"/>
            <w:tcBorders/>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180" w:right="0" w:hanging="180"/>
              <w:jc w:val="left"/>
              <w:rPr>
                <w:color w:val="000000"/>
              </w:rPr>
            </w:pPr>
            <w:r>
              <w:rPr>
                <w:color w:val="000000"/>
              </w:rPr>
              <w:t>Cash flows from operating activities:</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360" w:right="0" w:hanging="180"/>
              <w:jc w:val="left"/>
              <w:rPr>
                <w:color w:val="000000"/>
              </w:rPr>
            </w:pPr>
            <w:r>
              <w:rPr>
                <w:color w:val="000000"/>
              </w:rPr>
              <w:t>Net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62,745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58,240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58,614</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360" w:right="0" w:hanging="180"/>
              <w:jc w:val="left"/>
              <w:rPr>
                <w:color w:val="000000"/>
              </w:rPr>
            </w:pPr>
            <w:r>
              <w:rPr>
                <w:color w:val="000000"/>
              </w:rPr>
              <w:t>Adjustments to reconcile net income to net cash from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Provision for credit losses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4,610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(2,619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(1,918</w:t>
            </w:r>
          </w:p>
        </w:tc>
        <w:tc>
          <w:tcPr>
            <w:tcW w:w="95" w:type="dxa"/>
            <w:tcBorders/>
            <w:shd w:fill="CCEEFF" w:val="clear"/>
            <w:vAlign w:val="bottom"/>
          </w:tcPr>
          <w:p>
            <w:pPr>
              <w:pStyle w:val="TableContents"/>
              <w:bidi w:val="0"/>
              <w:spacing w:before="0" w:after="283"/>
              <w:jc w:val="left"/>
              <w:rPr/>
            </w:pPr>
            <w:r>
              <w:rPr/>
              <w:t>)</w:t>
            </w:r>
          </w:p>
        </w:tc>
      </w:tr>
      <w:tr>
        <w:trPr/>
        <w:tc>
          <w:tcPr>
            <w:tcW w:w="6515" w:type="dxa"/>
            <w:tcBorders/>
            <w:vAlign w:val="bottom"/>
          </w:tcPr>
          <w:p>
            <w:pPr>
              <w:pStyle w:val="TableContents"/>
              <w:bidi w:val="0"/>
              <w:spacing w:before="0" w:after="0"/>
              <w:ind w:left="540" w:right="0" w:hanging="180"/>
              <w:jc w:val="left"/>
              <w:rPr/>
            </w:pPr>
            <w:r>
              <w:rPr/>
              <w:t xml:space="preserve">Provision for foreclosed asset losses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6,412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6,965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6,436</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widowControl/>
              <w:bidi w:val="0"/>
              <w:spacing w:before="0" w:after="0"/>
              <w:ind w:left="54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Accretion and amortization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3,381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4,072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4,513</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Other gains,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(275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(166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(729</w:t>
            </w:r>
          </w:p>
        </w:tc>
        <w:tc>
          <w:tcPr>
            <w:tcW w:w="95" w:type="dxa"/>
            <w:tcBorders/>
            <w:shd w:fill="CCEEFF" w:val="clear"/>
            <w:vAlign w:val="bottom"/>
          </w:tcPr>
          <w:p>
            <w:pPr>
              <w:pStyle w:val="TableContents"/>
              <w:bidi w:val="0"/>
              <w:spacing w:before="0" w:after="283"/>
              <w:jc w:val="left"/>
              <w:rPr/>
            </w:pPr>
            <w:r>
              <w:rPr/>
              <w:t>)</w:t>
            </w:r>
          </w:p>
        </w:tc>
      </w:tr>
      <w:tr>
        <w:trPr/>
        <w:tc>
          <w:tcPr>
            <w:tcW w:w="6515" w:type="dxa"/>
            <w:tcBorders/>
            <w:vAlign w:val="bottom"/>
          </w:tcPr>
          <w:p>
            <w:pPr>
              <w:pStyle w:val="TableContents"/>
              <w:bidi w:val="0"/>
              <w:spacing w:before="0" w:after="0"/>
              <w:ind w:left="540" w:right="0" w:hanging="180"/>
              <w:jc w:val="left"/>
              <w:rPr/>
            </w:pPr>
            <w:r>
              <w:rPr/>
              <w:t xml:space="preserve">Gain on sale of subsidiary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(33,778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540" w:right="0" w:hanging="180"/>
              <w:jc w:val="left"/>
              <w:rPr/>
            </w:pPr>
            <w:r>
              <w:rPr/>
              <w:t xml:space="preserve">Loss on sale of securities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Net gain on sales of loans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(11,027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(20,764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(51,184</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Proceeds from sales of loans held for sale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347,583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662,294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1,513,961</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Loans originated for sale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(322,122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(598,495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(1,437,003</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widowControl/>
              <w:bidi w:val="0"/>
              <w:spacing w:before="0" w:after="283"/>
              <w:ind w:left="0" w:right="0" w:hanging="135"/>
              <w:jc w:val="left"/>
              <w:rPr/>
            </w:pPr>
            <w:r>
              <w:rPr/>
              <w:t xml:space="preserve">       </w:t>
            </w:r>
            <w:r>
              <w:rPr>
                <w:rFonts w:ascii="Times New Roman;Times;serif" w:hAnsi="Times New Roman;Times;serif"/>
                <w:b w:val="false"/>
                <w:i w:val="false"/>
                <w:caps w:val="false"/>
                <w:smallCaps w:val="false"/>
                <w:color w:val="000000"/>
                <w:spacing w:val="0"/>
                <w:sz w:val="20"/>
              </w:rPr>
              <w:t xml:space="preserve">Deferred income tax expense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1,453</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Earnings on bank-owned life insurance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(1,330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(1,196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(1,247</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Stock-based compensation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2,157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2,753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1,639</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Change in valuation of mortgage servicing rights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2,375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(4,705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(1,455</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Net change in: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720" w:right="0" w:hanging="180"/>
              <w:jc w:val="left"/>
              <w:rPr>
                <w:color w:val="000000"/>
              </w:rPr>
            </w:pPr>
            <w:r>
              <w:rPr>
                <w:color w:val="000000"/>
              </w:rPr>
              <w:t>Accrued interest receivable and other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(8,502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(1,067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3,382</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720" w:right="0" w:hanging="180"/>
              <w:jc w:val="left"/>
              <w:rPr>
                <w:color w:val="000000"/>
              </w:rPr>
            </w:pPr>
            <w:r>
              <w:rPr>
                <w:color w:val="00000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16,919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(191</w:t>
            </w:r>
          </w:p>
        </w:tc>
        <w:tc>
          <w:tcPr>
            <w:tcW w:w="95" w:type="dxa"/>
            <w:tcBorders/>
            <w:shd w:fill="CCEEFF" w:val="clear"/>
            <w:vAlign w:val="bottom"/>
          </w:tcPr>
          <w:p>
            <w:pPr>
              <w:pStyle w:val="TableContents"/>
              <w:bidi w:val="0"/>
              <w:spacing w:before="0" w:after="283"/>
              <w:jc w:val="left"/>
              <w:rPr/>
            </w:pPr>
            <w:r>
              <w:rPr/>
              <w:t>)</w:t>
            </w:r>
          </w:p>
        </w:tc>
      </w:tr>
      <w:tr>
        <w:trPr/>
        <w:tc>
          <w:tcPr>
            <w:tcW w:w="6515" w:type="dxa"/>
            <w:tcBorders/>
            <w:vAlign w:val="bottom"/>
          </w:tcPr>
          <w:p>
            <w:pPr>
              <w:pStyle w:val="TableContents"/>
              <w:bidi w:val="0"/>
              <w:spacing w:before="0" w:after="0"/>
              <w:ind w:left="900" w:right="0" w:hanging="180"/>
              <w:jc w:val="left"/>
              <w:rPr>
                <w:color w:val="000000"/>
              </w:rPr>
            </w:pPr>
            <w:r>
              <w:rPr>
                <w:color w:val="000000"/>
              </w:rPr>
              <w:t>Net cash provided by operating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58,539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123,590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96,271</w:t>
            </w:r>
          </w:p>
        </w:tc>
        <w:tc>
          <w:tcPr>
            <w:tcW w:w="95" w:type="dxa"/>
            <w:tcBorders/>
            <w:vAlign w:val="bottom"/>
          </w:tcPr>
          <w:p>
            <w:pPr>
              <w:pStyle w:val="TableContents"/>
              <w:bidi w:val="0"/>
              <w:spacing w:before="0" w:after="283"/>
              <w:ind w:left="180" w:right="0" w:hanging="180"/>
              <w:jc w:val="left"/>
              <w:rPr/>
            </w:pPr>
            <w:r>
              <w:rPr/>
              <w:t> </w:t>
            </w:r>
          </w:p>
        </w:tc>
      </w:tr>
      <w:tr>
        <w:trPr/>
        <w:tc>
          <w:tcPr>
            <w:tcW w:w="65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180" w:right="0" w:hanging="180"/>
              <w:jc w:val="left"/>
              <w:rPr>
                <w:color w:val="000000"/>
              </w:rPr>
            </w:pPr>
            <w:r>
              <w:rPr>
                <w:color w:val="000000"/>
              </w:rPr>
              <w:t>Cash flows from investing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360" w:right="0" w:hanging="180"/>
              <w:jc w:val="left"/>
              <w:rPr>
                <w:color w:val="000000"/>
              </w:rPr>
            </w:pPr>
            <w:r>
              <w:rPr>
                <w:color w:val="000000"/>
              </w:rPr>
              <w:t>Activity in securities available for sale: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Purchases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(199,898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(176,713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(61,548</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Sales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52,828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Maturities, prepayments, and calls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240,106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81,253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120,325</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360" w:right="0" w:hanging="180"/>
              <w:jc w:val="left"/>
              <w:rPr>
                <w:color w:val="000000"/>
              </w:rPr>
            </w:pPr>
            <w:r>
              <w:rPr>
                <w:color w:val="000000"/>
              </w:rPr>
              <w:t>Loan originations and principal collections,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(270,196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(311,459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(218,458</w:t>
            </w:r>
          </w:p>
        </w:tc>
        <w:tc>
          <w:tcPr>
            <w:tcW w:w="95" w:type="dxa"/>
            <w:tcBorders/>
            <w:shd w:fill="CCEEFF" w:val="clear"/>
            <w:vAlign w:val="bottom"/>
          </w:tcPr>
          <w:p>
            <w:pPr>
              <w:pStyle w:val="TableContents"/>
              <w:bidi w:val="0"/>
              <w:spacing w:before="0" w:after="283"/>
              <w:jc w:val="left"/>
              <w:rPr/>
            </w:pPr>
            <w:r>
              <w:rPr/>
              <w:t>)</w:t>
            </w:r>
          </w:p>
        </w:tc>
      </w:tr>
      <w:tr>
        <w:trPr/>
        <w:tc>
          <w:tcPr>
            <w:tcW w:w="6515" w:type="dxa"/>
            <w:tcBorders/>
            <w:vAlign w:val="bottom"/>
          </w:tcPr>
          <w:p>
            <w:pPr>
              <w:pStyle w:val="TableContents"/>
              <w:bidi w:val="0"/>
              <w:spacing w:before="0" w:after="0"/>
              <w:ind w:left="360" w:right="0" w:hanging="180"/>
              <w:jc w:val="left"/>
              <w:rPr>
                <w:color w:val="000000"/>
              </w:rPr>
            </w:pPr>
            <w:r>
              <w:rPr>
                <w:color w:val="000000"/>
              </w:rPr>
              <w:t>Purchases of premises and equipment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(4,681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(4,469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(2,920</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360" w:right="0" w:hanging="180"/>
              <w:jc w:val="left"/>
              <w:rPr>
                <w:color w:val="000000"/>
              </w:rPr>
            </w:pPr>
            <w:r>
              <w:rPr>
                <w:color w:val="000000"/>
              </w:rPr>
              <w:t>Proceeds from sales of premises and equipment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968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480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1,458</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360" w:right="0" w:hanging="180"/>
              <w:jc w:val="left"/>
              <w:rPr/>
            </w:pPr>
            <w:r>
              <w:rPr/>
              <w:t xml:space="preserve">Proceeds from sale of subsidiary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36,080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360" w:right="0" w:hanging="180"/>
              <w:jc w:val="left"/>
              <w:rPr>
                <w:color w:val="000000"/>
              </w:rPr>
            </w:pPr>
            <w:r>
              <w:rPr>
                <w:color w:val="000000"/>
              </w:rPr>
              <w:t>Proceeds from sales of foreclosed assets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1,302</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720" w:right="0" w:hanging="180"/>
              <w:jc w:val="left"/>
              <w:rPr>
                <w:color w:val="000000"/>
              </w:rPr>
            </w:pPr>
            <w:r>
              <w:rPr>
                <w:color w:val="000000"/>
              </w:rPr>
              <w:t>Net cash used in investing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(143,376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(408,857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(159,841</w:t>
            </w:r>
          </w:p>
        </w:tc>
        <w:tc>
          <w:tcPr>
            <w:tcW w:w="95" w:type="dxa"/>
            <w:tcBorders/>
            <w:vAlign w:val="bottom"/>
          </w:tcPr>
          <w:p>
            <w:pPr>
              <w:pStyle w:val="TableContents"/>
              <w:bidi w:val="0"/>
              <w:spacing w:before="0" w:after="283"/>
              <w:ind w:left="180" w:right="0" w:hanging="180"/>
              <w:jc w:val="left"/>
              <w:rPr/>
            </w:pPr>
            <w:r>
              <w:rPr/>
              <w:t>)</w:t>
            </w:r>
          </w:p>
        </w:tc>
      </w:tr>
      <w:tr>
        <w:trPr/>
        <w:tc>
          <w:tcPr>
            <w:tcW w:w="65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180" w:right="0" w:hanging="180"/>
              <w:jc w:val="left"/>
              <w:rPr>
                <w:color w:val="000000"/>
              </w:rPr>
            </w:pPr>
            <w:r>
              <w:rPr>
                <w:color w:val="000000"/>
              </w:rPr>
              <w:t>Cash flows from financing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Net change in deposits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219,723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65,208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366,871</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Net change in short-term borrowings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(26,550</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Payments to tax authorities for stock-based compensation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(731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color w:val="000000"/>
              </w:rPr>
            </w:pPr>
            <w:r>
              <w:rPr>
                <w:color w:val="000000"/>
              </w:rPr>
              <w:t>(1,168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(625</w:t>
            </w:r>
          </w:p>
        </w:tc>
        <w:tc>
          <w:tcPr>
            <w:tcW w:w="95" w:type="dxa"/>
            <w:tcBorders/>
            <w:shd w:fill="CCEEFF" w:val="clear"/>
            <w:vAlign w:val="bottom"/>
          </w:tcPr>
          <w:p>
            <w:pPr>
              <w:pStyle w:val="TableContents"/>
              <w:bidi w:val="0"/>
              <w:spacing w:before="0" w:after="283"/>
              <w:jc w:val="left"/>
              <w:rPr/>
            </w:pPr>
            <w:r>
              <w:rPr/>
              <w:t>)</w:t>
            </w:r>
          </w:p>
        </w:tc>
      </w:tr>
      <w:tr>
        <w:trPr/>
        <w:tc>
          <w:tcPr>
            <w:tcW w:w="6515" w:type="dxa"/>
            <w:tcBorders/>
            <w:vAlign w:val="bottom"/>
          </w:tcPr>
          <w:p>
            <w:pPr>
              <w:pStyle w:val="TableContents"/>
              <w:bidi w:val="0"/>
              <w:spacing w:before="0" w:after="0"/>
              <w:ind w:left="540" w:right="0" w:hanging="180"/>
              <w:jc w:val="left"/>
              <w:rPr>
                <w:color w:val="000000"/>
              </w:rPr>
            </w:pPr>
            <w:r>
              <w:rPr>
                <w:color w:val="000000"/>
              </w:rPr>
              <w:t>Payments made on notes payable and other borrowings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(75,000</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540" w:right="0" w:hanging="180"/>
              <w:jc w:val="left"/>
              <w:rPr/>
            </w:pPr>
            <w:r>
              <w:rPr/>
              <w:t xml:space="preserve">Payments made on subordinated debt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(12,372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540" w:right="0" w:hanging="180"/>
              <w:jc w:val="left"/>
              <w:rPr>
                <w:color w:val="000000"/>
              </w:rPr>
            </w:pPr>
            <w:r>
              <w:rPr>
                <w:color w:val="000000"/>
              </w:rPr>
              <w:t>Cash dividends paid on common stock</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(8,745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(8,012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(5,385</w:t>
            </w:r>
          </w:p>
        </w:tc>
        <w:tc>
          <w:tcPr>
            <w:tcW w:w="95" w:type="dxa"/>
            <w:tcBorders/>
            <w:vAlign w:val="bottom"/>
          </w:tcPr>
          <w:p>
            <w:pPr>
              <w:pStyle w:val="TableContents"/>
              <w:bidi w:val="0"/>
              <w:spacing w:before="0" w:after="283"/>
              <w:jc w:val="left"/>
              <w:rPr/>
            </w:pPr>
            <w:r>
              <w:rPr/>
              <w:t>)</w:t>
            </w:r>
          </w:p>
        </w:tc>
      </w:tr>
      <w:tr>
        <w:trPr/>
        <w:tc>
          <w:tcPr>
            <w:tcW w:w="6515" w:type="dxa"/>
            <w:tcBorders/>
            <w:shd w:fill="CCEEFF" w:val="clear"/>
            <w:vAlign w:val="bottom"/>
          </w:tcPr>
          <w:p>
            <w:pPr>
              <w:pStyle w:val="TableContents"/>
              <w:bidi w:val="0"/>
              <w:spacing w:before="0" w:after="0"/>
              <w:ind w:left="540" w:right="0" w:hanging="180"/>
              <w:jc w:val="left"/>
              <w:rPr>
                <w:color w:val="000000"/>
              </w:rPr>
            </w:pPr>
            <w:r>
              <w:rPr>
                <w:color w:val="000000"/>
              </w:rPr>
              <w:t>Payments to repurchase common stock</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(17,763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(22,699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(9,227</w:t>
            </w:r>
          </w:p>
        </w:tc>
        <w:tc>
          <w:tcPr>
            <w:tcW w:w="95" w:type="dxa"/>
            <w:tcBorders/>
            <w:shd w:fill="CCEEFF" w:val="clear"/>
            <w:vAlign w:val="bottom"/>
          </w:tcPr>
          <w:p>
            <w:pPr>
              <w:pStyle w:val="TableContents"/>
              <w:bidi w:val="0"/>
              <w:spacing w:before="0" w:after="283"/>
              <w:jc w:val="left"/>
              <w:rPr/>
            </w:pPr>
            <w:r>
              <w:rPr/>
              <w:t>)</w:t>
            </w:r>
          </w:p>
        </w:tc>
      </w:tr>
      <w:tr>
        <w:trPr/>
        <w:tc>
          <w:tcPr>
            <w:tcW w:w="6515" w:type="dxa"/>
            <w:tcBorders/>
            <w:vAlign w:val="bottom"/>
          </w:tcPr>
          <w:p>
            <w:pPr>
              <w:pStyle w:val="TableContents"/>
              <w:bidi w:val="0"/>
              <w:spacing w:before="0" w:after="0"/>
              <w:ind w:left="720" w:right="0" w:hanging="180"/>
              <w:jc w:val="left"/>
              <w:rPr>
                <w:color w:val="000000"/>
              </w:rPr>
            </w:pPr>
            <w:r>
              <w:rPr>
                <w:color w:val="000000"/>
              </w:rPr>
              <w:t>Net cash provided by financing activities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180,112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33,329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250,084</w:t>
            </w:r>
          </w:p>
        </w:tc>
        <w:tc>
          <w:tcPr>
            <w:tcW w:w="95" w:type="dxa"/>
            <w:tcBorders/>
            <w:vAlign w:val="bottom"/>
          </w:tcPr>
          <w:p>
            <w:pPr>
              <w:pStyle w:val="TableContents"/>
              <w:bidi w:val="0"/>
              <w:spacing w:before="0" w:after="283"/>
              <w:ind w:left="180" w:right="0" w:hanging="180"/>
              <w:jc w:val="left"/>
              <w:rPr/>
            </w:pPr>
            <w:r>
              <w:rPr/>
              <w:t> </w:t>
            </w:r>
          </w:p>
        </w:tc>
      </w:tr>
      <w:tr>
        <w:trPr/>
        <w:tc>
          <w:tcPr>
            <w:tcW w:w="65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180" w:right="0" w:hanging="180"/>
              <w:jc w:val="left"/>
              <w:rPr>
                <w:color w:val="000000"/>
              </w:rPr>
            </w:pPr>
            <w:r>
              <w:rPr>
                <w:color w:val="000000"/>
              </w:rPr>
              <w:t>Net change in cash and cash equivalents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75" w:type="dxa"/>
            <w:tcBorders/>
            <w:vAlign w:val="bottom"/>
          </w:tcPr>
          <w:p>
            <w:pPr>
              <w:pStyle w:val="TableContents"/>
              <w:bidi w:val="0"/>
              <w:spacing w:before="0" w:after="0"/>
              <w:jc w:val="right"/>
              <w:rPr>
                <w:color w:val="000000"/>
              </w:rPr>
            </w:pPr>
            <w:r>
              <w:rPr>
                <w:color w:val="000000"/>
              </w:rPr>
              <w:t>95,275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75" w:type="dxa"/>
            <w:tcBorders/>
            <w:vAlign w:val="bottom"/>
          </w:tcPr>
          <w:p>
            <w:pPr>
              <w:pStyle w:val="TableContents"/>
              <w:bidi w:val="0"/>
              <w:spacing w:before="0" w:after="0"/>
              <w:jc w:val="right"/>
              <w:rPr>
                <w:color w:val="000000"/>
              </w:rPr>
            </w:pPr>
            <w:r>
              <w:rPr>
                <w:color w:val="000000"/>
              </w:rPr>
              <w:t>(251,938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186,514</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180" w:right="0" w:hanging="180"/>
              <w:jc w:val="left"/>
              <w:rPr>
                <w:color w:val="000000"/>
              </w:rPr>
            </w:pPr>
            <w:r>
              <w:rPr>
                <w:color w:val="000000"/>
              </w:rPr>
              <w:t>Beginning cash and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234,883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486,821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300,307</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jc w:val="left"/>
              <w:rPr>
                <w:color w:val="000000"/>
              </w:rPr>
            </w:pPr>
            <w:r>
              <w:rPr>
                <w:color w:val="000000"/>
              </w:rPr>
              <w:t>Ending cash and cash equivalents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330,158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234,883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1055" w:type="dxa"/>
            <w:tcBorders>
              <w:bottom w:val="double" w:sz="8" w:space="0" w:color="000000"/>
            </w:tcBorders>
            <w:tcMar>
              <w:bottom w:w="28" w:type="dxa"/>
            </w:tcMar>
            <w:vAlign w:val="bottom"/>
          </w:tcPr>
          <w:p>
            <w:pPr>
              <w:pStyle w:val="TableContents"/>
              <w:bidi w:val="0"/>
              <w:spacing w:before="0" w:after="283"/>
              <w:jc w:val="right"/>
              <w:rPr/>
            </w:pPr>
            <w:r>
              <w:rPr/>
              <w:t>486,821</w:t>
            </w:r>
          </w:p>
        </w:tc>
        <w:tc>
          <w:tcPr>
            <w:tcW w:w="95" w:type="dxa"/>
            <w:tcBorders/>
            <w:vAlign w:val="bottom"/>
          </w:tcPr>
          <w:p>
            <w:pPr>
              <w:pStyle w:val="TableContents"/>
              <w:bidi w:val="0"/>
              <w:spacing w:before="0" w:after="283"/>
              <w:ind w:left="180" w:right="0" w:hanging="180"/>
              <w:jc w:val="left"/>
              <w:rPr/>
            </w:pPr>
            <w:r>
              <w:rPr/>
              <w:t> </w:t>
            </w:r>
          </w:p>
        </w:tc>
      </w:tr>
      <w:tr>
        <w:trPr/>
        <w:tc>
          <w:tcPr>
            <w:tcW w:w="65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180" w:right="0" w:hanging="180"/>
              <w:jc w:val="left"/>
              <w:rPr>
                <w:color w:val="000000"/>
              </w:rPr>
            </w:pPr>
            <w:r>
              <w:rPr>
                <w:color w:val="000000"/>
              </w:rPr>
              <w:t>Supplemental disclosures of cash flow information: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360" w:right="0" w:hanging="180"/>
              <w:jc w:val="left"/>
              <w:rPr>
                <w:color w:val="000000"/>
              </w:rPr>
            </w:pPr>
            <w:r>
              <w:rPr>
                <w:color w:val="000000"/>
              </w:rPr>
              <w:t>Interest paid on deposits and borrowed funds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70,065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21,770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055" w:type="dxa"/>
            <w:tcBorders/>
            <w:shd w:fill="CCEEFF" w:val="clear"/>
            <w:vAlign w:val="bottom"/>
          </w:tcPr>
          <w:p>
            <w:pPr>
              <w:pStyle w:val="TableContents"/>
              <w:bidi w:val="0"/>
              <w:spacing w:before="0" w:after="283"/>
              <w:jc w:val="right"/>
              <w:rPr/>
            </w:pPr>
            <w:r>
              <w:rPr/>
              <w:t>13,471</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360" w:right="0" w:hanging="180"/>
              <w:jc w:val="left"/>
              <w:rPr>
                <w:color w:val="000000"/>
              </w:rPr>
            </w:pPr>
            <w:r>
              <w:rPr>
                <w:color w:val="000000"/>
              </w:rPr>
              <w:t>Income taxes paid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19,388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13,835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12,400</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180" w:right="0" w:hanging="180"/>
              <w:jc w:val="left"/>
              <w:rPr>
                <w:color w:val="000000"/>
              </w:rPr>
            </w:pPr>
            <w:r>
              <w:rPr>
                <w:color w:val="000000"/>
              </w:rPr>
              <w:t>Supplemental schedule of noncash activities: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360" w:right="0" w:hanging="180"/>
              <w:jc w:val="left"/>
              <w:rPr>
                <w:color w:val="000000"/>
              </w:rPr>
            </w:pPr>
            <w:r>
              <w:rPr>
                <w:color w:val="000000"/>
              </w:rPr>
              <w:t>Loans transferred to foreclosed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2,130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764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927</w:t>
            </w:r>
          </w:p>
        </w:tc>
        <w:tc>
          <w:tcPr>
            <w:tcW w:w="95" w:type="dxa"/>
            <w:tcBorders/>
            <w:vAlign w:val="bottom"/>
          </w:tcPr>
          <w:p>
            <w:pPr>
              <w:pStyle w:val="TableContents"/>
              <w:bidi w:val="0"/>
              <w:spacing w:before="0" w:after="283"/>
              <w:jc w:val="left"/>
              <w:rPr/>
            </w:pPr>
            <w:r>
              <w:rPr/>
              <w:t> </w:t>
            </w:r>
          </w:p>
        </w:tc>
      </w:tr>
      <w:tr>
        <w:trPr/>
        <w:tc>
          <w:tcPr>
            <w:tcW w:w="6515" w:type="dxa"/>
            <w:tcBorders/>
            <w:shd w:fill="CCEEFF" w:val="clear"/>
            <w:vAlign w:val="bottom"/>
          </w:tcPr>
          <w:p>
            <w:pPr>
              <w:pStyle w:val="TableContents"/>
              <w:bidi w:val="0"/>
              <w:spacing w:before="0" w:after="0"/>
              <w:ind w:left="360" w:right="0" w:hanging="180"/>
              <w:jc w:val="left"/>
              <w:rPr/>
            </w:pPr>
            <w:r>
              <w:rPr/>
              <w:t xml:space="preserve">Premises and equipment transferred to foreclosed assets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515" w:type="dxa"/>
            <w:tcBorders/>
            <w:vAlign w:val="bottom"/>
          </w:tcPr>
          <w:p>
            <w:pPr>
              <w:pStyle w:val="TableContents"/>
              <w:bidi w:val="0"/>
              <w:spacing w:before="0" w:after="0"/>
              <w:ind w:left="360" w:right="0" w:hanging="180"/>
              <w:jc w:val="left"/>
              <w:rPr>
                <w:color w:val="000000"/>
              </w:rPr>
            </w:pPr>
            <w:r>
              <w:rPr>
                <w:color w:val="000000"/>
              </w:rPr>
              <w:t>Additions to mortgage servicing rights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3,069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9,196</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SOUTH PLAINS FINANCIAL, INC. AND SUBSIDIARIES</w:t>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NOTES TO CONSOLIDATED FINANCIAL STATEMENTS</w:t>
      </w:r>
    </w:p>
    <w:p>
      <w:pPr>
        <w:pStyle w:val="TextBody"/>
        <w:bidi w:val="0"/>
        <w:spacing w:before="0" w:after="0"/>
        <w:jc w:val="center"/>
        <w:rPr>
          <w:rFonts w:ascii="Times New Roman" w:hAnsi="Times New Roman"/>
          <w:i/>
          <w:sz w:val="20"/>
        </w:rPr>
      </w:pPr>
      <w:r>
        <w:rPr>
          <w:rFonts w:ascii="Times New Roman" w:hAnsi="Times New Roman"/>
          <w:i/>
          <w:sz w:val="20"/>
        </w:rPr>
      </w:r>
    </w:p>
    <w:tbl>
      <w:tblPr>
        <w:tblW w:w="5095" w:type="dxa"/>
        <w:jc w:val="left"/>
        <w:tblInd w:w="0" w:type="dxa"/>
        <w:tblLayout w:type="fixed"/>
        <w:tblCellMar>
          <w:top w:w="0" w:type="dxa"/>
          <w:left w:w="0" w:type="dxa"/>
          <w:bottom w:w="0" w:type="dxa"/>
          <w:right w:w="0" w:type="dxa"/>
        </w:tblCellMar>
      </w:tblPr>
      <w:tblGrid>
        <w:gridCol w:w="185"/>
        <w:gridCol w:w="4910"/>
      </w:tblGrid>
      <w:tr>
        <w:trPr/>
        <w:tc>
          <w:tcPr>
            <w:tcW w:w="185" w:type="dxa"/>
            <w:tcBorders/>
            <w:vAlign w:val="center"/>
          </w:tcPr>
          <w:p>
            <w:pPr>
              <w:pStyle w:val="TableContents"/>
              <w:bidi w:val="0"/>
              <w:spacing w:before="0" w:after="0"/>
              <w:jc w:val="both"/>
              <w:rPr>
                <w:rFonts w:ascii="Times New Roman" w:hAnsi="Times New Roman"/>
                <w:i/>
                <w:sz w:val="20"/>
              </w:rPr>
            </w:pPr>
            <w:r>
              <w:rPr>
                <w:rFonts w:ascii="Times New Roman" w:hAnsi="Times New Roman"/>
                <w:b/>
                <w:i/>
                <w:sz w:val="20"/>
              </w:rPr>
              <w:t>1</w:t>
            </w:r>
            <w:r>
              <w:rPr>
                <w:rFonts w:ascii="Times New Roman" w:hAnsi="Times New Roman"/>
                <w:i/>
                <w:sz w:val="20"/>
              </w:rPr>
              <w:t>.</w:t>
            </w:r>
          </w:p>
        </w:tc>
        <w:tc>
          <w:tcPr>
            <w:tcW w:w="4910" w:type="dxa"/>
            <w:tcBorders/>
            <w:vAlign w:val="center"/>
          </w:tcPr>
          <w:p>
            <w:pPr>
              <w:pStyle w:val="TableContents"/>
              <w:bidi w:val="0"/>
              <w:spacing w:before="0" w:after="0"/>
              <w:jc w:val="both"/>
              <w:rPr>
                <w:rFonts w:ascii="Times New Roman" w:hAnsi="Times New Roman"/>
                <w:b/>
                <w:i/>
                <w:color w:val="000000"/>
                <w:sz w:val="20"/>
              </w:rPr>
            </w:pPr>
            <w:r>
              <w:rPr>
                <w:rFonts w:ascii="Times New Roman" w:hAnsi="Times New Roman"/>
                <w:b/>
                <w:i/>
                <w:color w:val="000000"/>
                <w:sz w:val="20"/>
              </w:rPr>
              <w:t>SUMMARY OF SIGNIFICANT ACCOUNTING POLICIES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Nature of Operations</w:t>
      </w:r>
      <w:r>
        <w:rPr>
          <w:rFonts w:ascii="Times New Roman" w:hAnsi="Times New Roman"/>
          <w:color w:val="000000"/>
          <w:sz w:val="20"/>
          <w:shd w:fill="FFFFFF" w:val="clear"/>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insurance, investment, trust, and mortgage services. The following were subsidiaries of SPFI as of December 31, 2023:</w:t>
      </w:r>
    </w:p>
    <w:p>
      <w:pPr>
        <w:pStyle w:val="TextBody"/>
        <w:bidi w:val="0"/>
        <w:spacing w:before="0" w:after="0"/>
        <w:jc w:val="both"/>
        <w:rPr>
          <w:rFonts w:ascii="Times New Roman" w:hAnsi="Times New Roman"/>
          <w:sz w:val="20"/>
        </w:rPr>
      </w:pPr>
      <w:r>
        <w:rPr>
          <w:rFonts w:ascii="Times New Roman" w:hAnsi="Times New Roman"/>
          <w:sz w:val="20"/>
        </w:rPr>
      </w:r>
    </w:p>
    <w:tbl>
      <w:tblPr>
        <w:tblW w:w="7330" w:type="dxa"/>
        <w:jc w:val="left"/>
        <w:tblInd w:w="0" w:type="dxa"/>
        <w:tblLayout w:type="fixed"/>
        <w:tblCellMar>
          <w:top w:w="0" w:type="dxa"/>
          <w:left w:w="0" w:type="dxa"/>
          <w:bottom w:w="0" w:type="dxa"/>
          <w:right w:w="0" w:type="dxa"/>
        </w:tblCellMar>
      </w:tblPr>
      <w:tblGrid>
        <w:gridCol w:w="5195"/>
        <w:gridCol w:w="2135"/>
      </w:tblGrid>
      <w:tr>
        <w:trPr/>
        <w:tc>
          <w:tcPr>
            <w:tcW w:w="5195" w:type="dxa"/>
            <w:tcBorders/>
            <w:vAlign w:val="center"/>
          </w:tcPr>
          <w:p>
            <w:pPr>
              <w:pStyle w:val="TableContents"/>
              <w:bidi w:val="0"/>
              <w:spacing w:before="0" w:after="0"/>
              <w:jc w:val="left"/>
              <w:rPr>
                <w:color w:val="000000"/>
              </w:rPr>
            </w:pPr>
            <w:r>
              <w:rPr>
                <w:color w:val="000000"/>
              </w:rPr>
              <w:t>Wholly-Owned, Consolidated Subsidiaries:</w:t>
            </w:r>
          </w:p>
        </w:tc>
        <w:tc>
          <w:tcPr>
            <w:tcW w:w="213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0"/>
              <w:jc w:val="left"/>
              <w:rPr>
                <w:color w:val="000000"/>
              </w:rPr>
            </w:pPr>
            <w:r>
              <w:rPr>
                <w:color w:val="000000"/>
              </w:rPr>
              <w:t>City Bank</w:t>
            </w:r>
          </w:p>
        </w:tc>
        <w:tc>
          <w:tcPr>
            <w:tcW w:w="2135" w:type="dxa"/>
            <w:tcBorders/>
            <w:shd w:fill="CCEEFF" w:val="clear"/>
            <w:vAlign w:val="center"/>
          </w:tcPr>
          <w:p>
            <w:pPr>
              <w:pStyle w:val="TableContents"/>
              <w:bidi w:val="0"/>
              <w:spacing w:before="0" w:after="0"/>
              <w:jc w:val="left"/>
              <w:rPr>
                <w:color w:val="000000"/>
              </w:rPr>
            </w:pPr>
            <w:r>
              <w:rPr>
                <w:color w:val="000000"/>
              </w:rPr>
              <w:t>Bank subsidiary</w:t>
            </w:r>
          </w:p>
        </w:tc>
      </w:tr>
      <w:tr>
        <w:trPr/>
        <w:tc>
          <w:tcPr>
            <w:tcW w:w="5195" w:type="dxa"/>
            <w:tcBorders/>
            <w:vAlign w:val="center"/>
          </w:tcPr>
          <w:p>
            <w:pPr>
              <w:pStyle w:val="TableContents"/>
              <w:bidi w:val="0"/>
              <w:spacing w:before="0" w:after="0"/>
              <w:ind w:left="180" w:right="0" w:hanging="0"/>
              <w:jc w:val="left"/>
              <w:rPr>
                <w:color w:val="000000"/>
              </w:rPr>
            </w:pPr>
            <w:r>
              <w:rPr>
                <w:color w:val="000000"/>
              </w:rPr>
              <w:t>Ruidoso Retail, Inc.</w:t>
            </w:r>
          </w:p>
        </w:tc>
        <w:tc>
          <w:tcPr>
            <w:tcW w:w="2135" w:type="dxa"/>
            <w:tcBorders/>
            <w:vAlign w:val="center"/>
          </w:tcPr>
          <w:p>
            <w:pPr>
              <w:pStyle w:val="TableContents"/>
              <w:bidi w:val="0"/>
              <w:spacing w:before="0" w:after="0"/>
              <w:jc w:val="left"/>
              <w:rPr>
                <w:color w:val="000000"/>
              </w:rPr>
            </w:pPr>
            <w:r>
              <w:rPr>
                <w:color w:val="000000"/>
              </w:rPr>
              <w:t>Non-bank subsidiary</w:t>
            </w:r>
          </w:p>
        </w:tc>
      </w:tr>
      <w:tr>
        <w:trPr/>
        <w:tc>
          <w:tcPr>
            <w:tcW w:w="5195" w:type="dxa"/>
            <w:tcBorders/>
            <w:shd w:fill="CCEEFF" w:val="clear"/>
            <w:vAlign w:val="center"/>
          </w:tcPr>
          <w:p>
            <w:pPr>
              <w:pStyle w:val="TableContents"/>
              <w:bidi w:val="0"/>
              <w:spacing w:before="0" w:after="0"/>
              <w:ind w:left="180" w:right="0" w:hanging="0"/>
              <w:jc w:val="left"/>
              <w:rPr>
                <w:color w:val="000000"/>
              </w:rPr>
            </w:pPr>
            <w:r>
              <w:rPr>
                <w:color w:val="000000"/>
              </w:rPr>
              <w:t>CB Provence, LLC</w:t>
            </w:r>
          </w:p>
        </w:tc>
        <w:tc>
          <w:tcPr>
            <w:tcW w:w="2135" w:type="dxa"/>
            <w:tcBorders/>
            <w:shd w:fill="CCEEFF" w:val="clear"/>
            <w:vAlign w:val="center"/>
          </w:tcPr>
          <w:p>
            <w:pPr>
              <w:pStyle w:val="TableContents"/>
              <w:bidi w:val="0"/>
              <w:spacing w:before="0" w:after="0"/>
              <w:jc w:val="left"/>
              <w:rPr>
                <w:color w:val="000000"/>
              </w:rPr>
            </w:pPr>
            <w:r>
              <w:rPr>
                <w:color w:val="000000"/>
              </w:rPr>
              <w:t>Non-bank subsidiary</w:t>
            </w:r>
          </w:p>
        </w:tc>
      </w:tr>
      <w:tr>
        <w:trPr/>
        <w:tc>
          <w:tcPr>
            <w:tcW w:w="5195" w:type="dxa"/>
            <w:tcBorders/>
            <w:vAlign w:val="center"/>
          </w:tcPr>
          <w:p>
            <w:pPr>
              <w:pStyle w:val="TableContents"/>
              <w:bidi w:val="0"/>
              <w:spacing w:before="0" w:after="0"/>
              <w:ind w:left="180" w:right="0" w:hanging="0"/>
              <w:jc w:val="left"/>
              <w:rPr>
                <w:color w:val="000000"/>
              </w:rPr>
            </w:pPr>
            <w:r>
              <w:rPr>
                <w:color w:val="000000"/>
              </w:rPr>
              <w:t>CBT Brushy Creek, LLC</w:t>
            </w:r>
          </w:p>
        </w:tc>
        <w:tc>
          <w:tcPr>
            <w:tcW w:w="2135" w:type="dxa"/>
            <w:tcBorders/>
            <w:vAlign w:val="center"/>
          </w:tcPr>
          <w:p>
            <w:pPr>
              <w:pStyle w:val="TableContents"/>
              <w:bidi w:val="0"/>
              <w:spacing w:before="0" w:after="0"/>
              <w:jc w:val="left"/>
              <w:rPr>
                <w:color w:val="000000"/>
              </w:rPr>
            </w:pPr>
            <w:r>
              <w:rPr>
                <w:color w:val="000000"/>
              </w:rPr>
              <w:t>Non-bank subsidiary</w:t>
            </w:r>
          </w:p>
        </w:tc>
      </w:tr>
      <w:tr>
        <w:trPr/>
        <w:tc>
          <w:tcPr>
            <w:tcW w:w="5195" w:type="dxa"/>
            <w:tcBorders/>
            <w:shd w:fill="CCEEFF" w:val="clear"/>
            <w:vAlign w:val="center"/>
          </w:tcPr>
          <w:p>
            <w:pPr>
              <w:pStyle w:val="TableContents"/>
              <w:bidi w:val="0"/>
              <w:spacing w:before="0" w:after="0"/>
              <w:ind w:left="180" w:right="0" w:hanging="0"/>
              <w:jc w:val="left"/>
              <w:rPr>
                <w:color w:val="000000"/>
              </w:rPr>
            </w:pPr>
            <w:r>
              <w:rPr>
                <w:color w:val="000000"/>
              </w:rPr>
              <w:t>CBT Properties, LLC</w:t>
            </w:r>
          </w:p>
        </w:tc>
        <w:tc>
          <w:tcPr>
            <w:tcW w:w="2135" w:type="dxa"/>
            <w:tcBorders/>
            <w:shd w:fill="CCEEFF" w:val="clear"/>
            <w:vAlign w:val="center"/>
          </w:tcPr>
          <w:p>
            <w:pPr>
              <w:pStyle w:val="TableContents"/>
              <w:bidi w:val="0"/>
              <w:spacing w:before="0" w:after="0"/>
              <w:jc w:val="left"/>
              <w:rPr>
                <w:color w:val="000000"/>
              </w:rPr>
            </w:pPr>
            <w:r>
              <w:rPr>
                <w:color w:val="000000"/>
              </w:rPr>
              <w:t>Non-bank subsidiary</w:t>
            </w:r>
          </w:p>
        </w:tc>
      </w:tr>
      <w:tr>
        <w:trPr/>
        <w:tc>
          <w:tcPr>
            <w:tcW w:w="5195" w:type="dxa"/>
            <w:tcBorders/>
            <w:vAlign w:val="center"/>
          </w:tcPr>
          <w:p>
            <w:pPr>
              <w:pStyle w:val="TableContents"/>
              <w:bidi w:val="0"/>
              <w:spacing w:before="0" w:after="0"/>
              <w:jc w:val="left"/>
              <w:rPr>
                <w:color w:val="000000"/>
              </w:rPr>
            </w:pPr>
            <w:r>
              <w:rPr>
                <w:color w:val="000000"/>
              </w:rPr>
              <w:t>Wholly-Owned, Equity Method Subsidiaries:</w:t>
            </w:r>
          </w:p>
        </w:tc>
        <w:tc>
          <w:tcPr>
            <w:tcW w:w="213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180" w:right="0" w:hanging="0"/>
              <w:jc w:val="left"/>
              <w:rPr>
                <w:color w:val="000000"/>
              </w:rPr>
            </w:pPr>
            <w:r>
              <w:rPr>
                <w:color w:val="000000"/>
              </w:rPr>
              <w:t>South Plains Financial Capital Trusts (“SPFCT”) III-V</w:t>
            </w:r>
          </w:p>
        </w:tc>
        <w:tc>
          <w:tcPr>
            <w:tcW w:w="2135" w:type="dxa"/>
            <w:tcBorders/>
            <w:shd w:fill="CCEEFF" w:val="clear"/>
            <w:vAlign w:val="center"/>
          </w:tcPr>
          <w:p>
            <w:pPr>
              <w:pStyle w:val="TableContents"/>
              <w:bidi w:val="0"/>
              <w:spacing w:before="0" w:after="0"/>
              <w:jc w:val="left"/>
              <w:rPr>
                <w:color w:val="000000"/>
              </w:rPr>
            </w:pPr>
            <w:r>
              <w:rPr>
                <w:color w:val="000000"/>
              </w:rPr>
              <w:t>Non-bank subsidiaries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2023, SPFI entered into a Securities Purchase Agreement (“Agreement”) with Alliant Insurance Services, Inc. (“Alliant”), providing for the sale of Windmark Insurance Agency, Inc. (“Windmark”), City Bank’s wholly-owned subsidiary,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This transaction did not meet the criteria for discontinued operations reporting.</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Basis of Presentation and Consolidation</w:t>
      </w:r>
      <w:r>
        <w:rPr>
          <w:rFonts w:ascii="Times New Roman" w:hAnsi="Times New Roman"/>
          <w:color w:val="000000"/>
          <w:sz w:val="20"/>
          <w:shd w:fill="FFFFFF" w:val="clear"/>
        </w:rPr>
        <w:t xml:space="preserve"> – The consolidated financial statements include the accounts of SPFI and its wholly-owned consolidated subsidiaries (collectively referred to as the “Company”) identified above. All significant intercompany balances and transactions have been eliminated in consolidation.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Company’s </w:t>
      </w:r>
      <w:r>
        <w:rPr>
          <w:rFonts w:ascii="Times New Roman" w:hAnsi="Times New Roman"/>
          <w:b w:val="false"/>
          <w:i w:val="false"/>
          <w:caps w:val="false"/>
          <w:smallCaps w:val="false"/>
          <w:color w:val="000000"/>
          <w:spacing w:val="0"/>
          <w:sz w:val="20"/>
          <w:shd w:fill="FFFFFF" w:val="clear"/>
        </w:rPr>
        <w:t>consolidated financial statements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xml:space="preserve">are prepared and presented in accordance with generally accepted accounting principles (“GAAP”) in the U.S. </w:t>
      </w:r>
      <w:r>
        <w:rPr>
          <w:rFonts w:ascii="Times New Roman" w:hAnsi="Times New Roman"/>
          <w:b w:val="false"/>
          <w:i/>
          <w:caps w:val="false"/>
          <w:smallCaps w:val="false"/>
          <w:color w:val="000000"/>
          <w:sz w:val="20"/>
          <w:shd w:fill="FFFFFF" w:val="clear"/>
        </w:rPr>
        <w:t>Financial Accounting Standards Board (“FASB”) Accounting Standards Codification (“ASC”)</w:t>
      </w:r>
      <w:r>
        <w:rPr>
          <w:rFonts w:ascii="Times New Roman" w:hAnsi="Times New Roman"/>
          <w:b w:val="false"/>
          <w:i w:val="false"/>
          <w:caps w:val="false"/>
          <w:smallCaps w:val="false"/>
          <w:color w:val="000000"/>
          <w:sz w:val="20"/>
          <w:shd w:fill="FFFFFF" w:val="clear"/>
        </w:rPr>
        <w:t xml:space="preserve"> constitutes GAAP for nongovernmental entities.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Use of Estimates</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z w:val="20"/>
          <w:shd w:fill="FFFFFF" w:val="clear"/>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w:t>
      </w:r>
      <w:r>
        <w:rPr>
          <w:rFonts w:ascii="Times New Roman" w:hAnsi="Times New Roman"/>
          <w:b w:val="false"/>
          <w:i w:val="false"/>
          <w:caps w:val="false"/>
          <w:smallCaps w:val="false"/>
          <w:color w:val="000000"/>
          <w:spacing w:val="0"/>
          <w:sz w:val="20"/>
          <w:shd w:fill="FFFFFF" w:val="clear"/>
        </w:rPr>
        <w:t xml:space="preserve">assumptions used in stock-based compensation, derivatives, mortgage servicing rights, </w:t>
      </w:r>
      <w:r>
        <w:rPr>
          <w:rFonts w:ascii="Times New Roman" w:hAnsi="Times New Roman"/>
          <w:b w:val="false"/>
          <w:i w:val="false"/>
          <w:caps w:val="false"/>
          <w:smallCaps w:val="false"/>
          <w:color w:val="000000"/>
          <w:sz w:val="20"/>
          <w:shd w:fill="FFFFFF" w:val="clear"/>
        </w:rPr>
        <w:t>and fair values of financial instruments can also involve significant management estimates.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 w:hAnsi="Times New Roman"/>
          <w:i/>
          <w:color w:val="000000"/>
          <w:sz w:val="20"/>
          <w:u w:val="single"/>
          <w:shd w:fill="FFFFFF" w:val="clear"/>
        </w:rPr>
        <w:t>Accounting Changes and Recent Accounting Pronouncements</w:t>
      </w:r>
      <w:r>
        <w:rPr>
          <w:rFonts w:ascii="Times New Roman;Times;serif" w:hAnsi="Times New Roman;Times;serif"/>
          <w:color w:val="000000"/>
          <w:sz w:val="20"/>
          <w:shd w:fill="FFFFFF" w:val="clear"/>
        </w:rPr>
        <w:t xml:space="preserve"> – </w:t>
      </w:r>
      <w:r>
        <w:rPr>
          <w:rFonts w:ascii="Times New Roman" w:hAnsi="Times New Roman"/>
          <w:color w:val="000000"/>
          <w:sz w:val="20"/>
          <w:shd w:fill="FFFFFF" w:val="clear"/>
        </w:rPr>
        <w:t>Updates to the FASB ASC are prescribed in Accounting Standards Updates (“ASUs”), which are not authoritative until incorporated into the ASC.</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Times;serif" w:hAnsi="Times New Roman;Times;serif"/>
          <w:color w:val="000000"/>
          <w:sz w:val="20"/>
          <w:shd w:fill="FFFFFF" w:val="clear"/>
        </w:rPr>
      </w:pPr>
      <w:r>
        <w:rPr>
          <w:rFonts w:ascii="Times New Roman" w:hAnsi="Times New Roman"/>
          <w:i/>
          <w:color w:val="000000"/>
          <w:sz w:val="20"/>
          <w:shd w:fill="FFFFFF" w:val="clear"/>
        </w:rPr>
        <w:t>ASU 2016-13 Financial Instruments - Credit Losses (Topic 326).</w:t>
      </w:r>
      <w:r>
        <w:rPr>
          <w:rFonts w:ascii="Times New Roman;Times;serif" w:hAnsi="Times New Roman;Times;serif"/>
          <w:color w:val="000000"/>
          <w:sz w:val="20"/>
          <w:shd w:fill="FFFFFF" w:val="clear"/>
        </w:rPr>
        <w:t xml:space="preserve"> </w:t>
      </w:r>
      <w:r>
        <w:rPr>
          <w:rFonts w:ascii="Times New Roman" w:hAnsi="Times New Roman"/>
          <w:color w:val="000000"/>
          <w:sz w:val="20"/>
          <w:shd w:fill="FFFFFF" w:val="clear"/>
        </w:rPr>
        <w:t>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and held to maturity debt securities. The CECL model also applies to off-balance sheet credit exposures not accounted for as insurance (loan commitments, standby letters of credit, financial guarantees, and other similar instruments) and net investments in sales type and direct financing leases recognized by a lessor in accordance with Topic 842 on leases. In addition, Topic 326 made changes to the accounting for securities available for sale. One such change is to require credit losses to be presented as an allowance rather than as a write-down on securities available for sale management does not intend to sell or believes that it is more likely than not they will be required to sell. The Company adopted the CECL model effective January 1, 2023 using the modified retrospective approach. As a result, the Company recognized a one-time, after tax cumulative effect adjustment of $997 thousand that reduced retained earnings, increased the ACL for loans by approximately $100 thousand and increased the ACL for off-balance sheet credit exposures by approximately $1.2 million.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made the following policy elections related to the adoption of the CECL model. First, accrued interest will be written off against interest income when financial assets are placed into nonaccrual status. Therefore, accrued interest will be excluded from the amortized cost basis for purposes of calculating the ACL. Accrued interest receivable is presented in a separate line item in the Consolidated Balance Sheets. Second, the fair value of collateral practical expedient has been elected on certain loans in determining the ACL, for which the repayment is expected to be provided substantially through the operation or sale of the collateral when the borrower is experiencing financial difficulty.</w:t>
      </w:r>
    </w:p>
    <w:p>
      <w:pPr>
        <w:pStyle w:val="TextBody"/>
        <w:bidi w:val="0"/>
        <w:spacing w:before="0" w:after="0"/>
        <w:jc w:val="both"/>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impact on the ACL resulting from the adoption of the CECL model is shown below.</w:t>
      </w:r>
    </w:p>
    <w:p>
      <w:pPr>
        <w:pStyle w:val="TextBody"/>
        <w:bidi w:val="0"/>
        <w:spacing w:before="0" w:after="0"/>
        <w:jc w:val="both"/>
        <w:rPr/>
      </w:pPr>
      <w:r>
        <w:rPr/>
      </w:r>
    </w:p>
    <w:tbl>
      <w:tblPr>
        <w:tblW w:w="8364" w:type="dxa"/>
        <w:jc w:val="left"/>
        <w:tblInd w:w="0" w:type="dxa"/>
        <w:tblLayout w:type="fixed"/>
        <w:tblCellMar>
          <w:top w:w="0" w:type="dxa"/>
          <w:left w:w="0" w:type="dxa"/>
          <w:bottom w:w="0" w:type="dxa"/>
          <w:right w:w="0" w:type="dxa"/>
        </w:tblCellMar>
      </w:tblPr>
      <w:tblGrid>
        <w:gridCol w:w="4760"/>
        <w:gridCol w:w="60"/>
        <w:gridCol w:w="202"/>
        <w:gridCol w:w="958"/>
        <w:gridCol w:w="60"/>
        <w:gridCol w:w="60"/>
        <w:gridCol w:w="154"/>
        <w:gridCol w:w="675"/>
        <w:gridCol w:w="80"/>
        <w:gridCol w:w="60"/>
        <w:gridCol w:w="213"/>
        <w:gridCol w:w="1007"/>
        <w:gridCol w:w="75"/>
      </w:tblGrid>
      <w:tr>
        <w:trPr/>
        <w:tc>
          <w:tcPr>
            <w:tcW w:w="47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(Dollars in thousands)</w:t>
            </w:r>
          </w:p>
        </w:tc>
        <w:tc>
          <w:tcPr>
            <w:tcW w:w="60" w:type="dxa"/>
            <w:tcBorders/>
            <w:vAlign w:val="bottom"/>
          </w:tcPr>
          <w:p>
            <w:pPr>
              <w:pStyle w:val="TableContents"/>
              <w:bidi w:val="0"/>
              <w:spacing w:before="0" w:after="283"/>
              <w:jc w:val="left"/>
              <w:rPr/>
            </w:pPr>
            <w:r>
              <w:rPr/>
              <w:t> </w:t>
            </w:r>
          </w:p>
        </w:tc>
        <w:tc>
          <w:tcPr>
            <w:tcW w:w="3469"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January 1, 2023</w:t>
            </w:r>
          </w:p>
        </w:tc>
        <w:tc>
          <w:tcPr>
            <w:tcW w:w="7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Pre-Adoption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Impact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Adoption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Post-Adoption</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13,856</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Commercial – specialized</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3,458</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(2,574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6,641</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Consumer:</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7,894</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Auto loans</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3,594</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consumer</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Construction</w:t>
            </w:r>
          </w:p>
        </w:tc>
        <w:tc>
          <w:tcPr>
            <w:tcW w:w="60" w:type="dxa"/>
            <w:tcBorders/>
            <w:vAlign w:val="bottom"/>
          </w:tcPr>
          <w:p>
            <w:pPr>
              <w:pStyle w:val="TableContents"/>
              <w:bidi w:val="0"/>
              <w:spacing w:before="0" w:after="283"/>
              <w:jc w:val="righ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2,806</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 allowance for credit losses on loans</w:t>
            </w:r>
          </w:p>
        </w:tc>
        <w:tc>
          <w:tcPr>
            <w:tcW w:w="60" w:type="dxa"/>
            <w:tcBorders/>
            <w:vAlign w:val="bottom"/>
          </w:tcPr>
          <w:p>
            <w:pPr>
              <w:pStyle w:val="TableContents"/>
              <w:bidi w:val="0"/>
              <w:spacing w:before="0" w:after="283"/>
              <w:jc w:val="righ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39,390</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Allowance for credit losses for off-balance sheet exposures</w:t>
            </w:r>
          </w:p>
        </w:tc>
        <w:tc>
          <w:tcPr>
            <w:tcW w:w="60" w:type="dxa"/>
            <w:tcBorders/>
            <w:vAlign w:val="bottom"/>
          </w:tcPr>
          <w:p>
            <w:pPr>
              <w:pStyle w:val="TableContents"/>
              <w:bidi w:val="0"/>
              <w:spacing w:before="0" w:after="283"/>
              <w:jc w:val="righ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ASU 2022-02 Financial Instruments - Credit Losses (Topic 326): Troubled Debt Restructurings and Vintage Disclosures.</w:t>
      </w:r>
      <w:r>
        <w:rPr>
          <w:rFonts w:ascii="Times New Roman;Times;serif" w:hAnsi="Times New Roman;Times;serif"/>
          <w:color w:val="000000"/>
          <w:sz w:val="20"/>
          <w:shd w:fill="FFFFFF" w:val="clear"/>
        </w:rPr>
        <w:t xml:space="preserve"> This ASU eliminates guidance for troubled debt restructurings by creditors and enhances disclosure requirements for certain loan modifications by creditors for borrowers experiencing financial distress. This ASU defines types of modifications as principal forgiveness, interest rate reduction, other than insignificant payment delays, or a term extension. In addition, the ASU requires disclosure of current-period gross charge-offs, by year of origination, in the vintage disclosure. The Company adopted the provisions of ASU 2022-02 as of January 1, 2023 on a prospective basis. The adoption of this amendment did not have a material impact on the consolidated financial statements.</w:t>
      </w:r>
    </w:p>
    <w:p>
      <w:pPr>
        <w:pStyle w:val="TextBody"/>
        <w:bidi w:val="0"/>
        <w:spacing w:before="0" w:after="0"/>
        <w:jc w:val="both"/>
        <w:rPr>
          <w:i/>
        </w:rPr>
      </w:pPr>
      <w:r>
        <w:rPr>
          <w:i/>
        </w:rPr>
      </w:r>
    </w:p>
    <w:p>
      <w:pPr>
        <w:pStyle w:val="TextBody"/>
        <w:bidi w:val="0"/>
        <w:spacing w:before="0" w:after="0"/>
        <w:jc w:val="both"/>
        <w:rPr>
          <w:rFonts w:ascii="Times New Roman;Times;serif" w:hAnsi="Times New Roman;Times;serif"/>
          <w:color w:val="000000"/>
          <w:sz w:val="20"/>
          <w:shd w:fill="FFFFFF" w:val="clear"/>
        </w:rPr>
      </w:pPr>
      <w:r>
        <w:rPr>
          <w:rFonts w:ascii="Times New Roman" w:hAnsi="Times New Roman"/>
          <w:b w:val="false"/>
          <w:i/>
          <w:caps w:val="false"/>
          <w:smallCaps w:val="false"/>
          <w:color w:val="000000"/>
          <w:sz w:val="20"/>
          <w:shd w:fill="FFFFFF" w:val="clear"/>
        </w:rPr>
        <w:t>ASU 2019-12,</w:t>
      </w:r>
      <w:r>
        <w:rPr>
          <w:rFonts w:ascii="Times New Roman;Times;serif" w:hAnsi="Times New Roman;Times;serif"/>
          <w:caps w:val="false"/>
          <w:smallCaps w:val="false"/>
          <w:color w:val="000000"/>
          <w:sz w:val="20"/>
          <w:shd w:fill="FFFFFF" w:val="clear"/>
        </w:rPr>
        <w:t> </w:t>
      </w:r>
      <w:r>
        <w:rPr>
          <w:rFonts w:ascii="Times New Roman" w:hAnsi="Times New Roman"/>
          <w:b w:val="false"/>
          <w:i/>
          <w:caps w:val="false"/>
          <w:smallCaps w:val="false"/>
          <w:color w:val="000000"/>
          <w:sz w:val="20"/>
          <w:shd w:fill="FFFFFF" w:val="clear"/>
        </w:rPr>
        <w:t>Income Taxes, Simplifying the Accounting for Income Taxes (Topic 740).</w:t>
      </w:r>
      <w:r>
        <w:rPr>
          <w:rFonts w:ascii="Times New Roman" w:hAnsi="Times New Roman"/>
          <w:b w:val="false"/>
          <w:i w:val="false"/>
          <w:caps w:val="false"/>
          <w:smallCaps w:val="false"/>
          <w:color w:val="000000"/>
          <w:sz w:val="20"/>
          <w:shd w:fill="FFFFFF" w:val="clear"/>
        </w:rPr>
        <w:t xml:space="preserve"> In December 2019, the FASB issued ASU 2019-12 to simplify the 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2022-06, Reference Rate Reform (Topic 848): Deferral of the Sunset Date of Topic 848</w:t>
      </w:r>
      <w:r>
        <w:rPr>
          <w:rFonts w:ascii="Times New Roman" w:hAnsi="Times New Roman"/>
          <w:color w:val="000000"/>
          <w:sz w:val="20"/>
          <w:shd w:fill="FFFFFF" w:val="clear"/>
        </w:rPr>
        <w:t>. ASU 2022-06 extended the period of time preparers can utilize the reference rate reform relief guidance provided by ASU 2020-04 and ASU 2021-01. ASU 2022-06, which was effective upon issuance, deferred the sunset date of this prior guidance from December 31, 2022 to December 31, 2024, after which entities will no longer be permitted to apply the relief guidance in Topic 848. The adoption of ASU 2022-06 did not significantly impact the financial statements and the Company has fully transitioned all products tied to LIBOR.</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 xml:space="preserve">ASU 2023-06, Disclosure Improvements: Codification Amendments in Response to the SEC’s Disclosure Update and Simplification Initiative. </w:t>
      </w:r>
      <w:r>
        <w:rPr>
          <w:rFonts w:ascii="Times New Roman;Times;serif" w:hAnsi="Times New Roman;Times;serif"/>
          <w:color w:val="000000"/>
          <w:sz w:val="20"/>
          <w:shd w:fill="FFFFFF" w:val="clear"/>
        </w:rPr>
        <w:t>The amendments in this Update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results of operations or financial position.</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 xml:space="preserve">ASU 2023-07, Segment Reporting (Topic 280): Improvements to Reportable Segment Disclosures. </w:t>
      </w:r>
      <w:r>
        <w:rPr>
          <w:rFonts w:ascii="Times New Roman;Times;serif" w:hAnsi="Times New Roman;Times;serif"/>
          <w:color w:val="000000"/>
          <w:sz w:val="20"/>
          <w:shd w:fill="FFFFFF" w:val="clear"/>
        </w:rPr>
        <w:t>The amendments in this Update require public entities to disclose information about reportable segments’ significant expenses on an interim and annual basis. This update is effective for fiscal years beginning after December 15, 2023, and interim periods within fiscal years beginning after December 15, 2024. The adoption of ASU 2023-07 is not expected to have a material effect on the Company’s financial statements.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i/>
          <w:color w:val="000000"/>
          <w:sz w:val="20"/>
          <w:shd w:fill="FFFFFF" w:val="clear"/>
        </w:rPr>
        <w:t xml:space="preserve">ASU 2023-09, Income Taxes (Topic 740): Improvements to Income Tax Disclosures. </w:t>
      </w:r>
      <w:r>
        <w:rPr>
          <w:rFonts w:ascii="Times New Roman;Times;serif" w:hAnsi="Times New Roman;Times;serif"/>
          <w:color w:val="000000"/>
          <w:sz w:val="20"/>
          <w:shd w:fill="FFFFFF" w:val="clear"/>
        </w:rPr>
        <w:t>The amendments in this Update are intended to improve the transparency of 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update is effective for fiscal years beginning after December 15, 2024. The adoption of ASU 2023-09 is not expected to have a material effect on the Company’s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Concentration of Credit Risk</w:t>
      </w:r>
      <w:r>
        <w:rPr>
          <w:rFonts w:ascii="Times New Roman" w:hAnsi="Times New Roman"/>
          <w:color w:val="000000"/>
          <w:sz w:val="20"/>
          <w:shd w:fill="FFFFFF" w:val="clear"/>
        </w:rPr>
        <w:t xml:space="preserve"> – The bank subsidiary is primarily involved in real estate, commercial, agricultural, and consumer 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Comprehensive Income (Loss)</w:t>
      </w:r>
      <w:r>
        <w:rPr>
          <w:rFonts w:ascii="Times New Roman" w:hAnsi="Times New Roman"/>
          <w:caps w:val="false"/>
          <w:smallCaps w:val="false"/>
          <w:color w:val="000000"/>
          <w:sz w:val="20"/>
          <w:shd w:fill="FFFFFF" w:val="clear"/>
        </w:rPr>
        <w:t xml:space="preserve"> – </w:t>
      </w:r>
      <w:r>
        <w:rPr>
          <w:rFonts w:ascii="Times New Roman" w:hAnsi="Times New Roman"/>
          <w:b w:val="false"/>
          <w:i w:val="false"/>
          <w:caps w:val="false"/>
          <w:smallCaps w:val="false"/>
          <w:color w:val="000000"/>
          <w:sz w:val="20"/>
          <w:shd w:fill="FFFFFF" w:val="clear"/>
        </w:rPr>
        <w:t>C</w:t>
      </w:r>
      <w:r>
        <w:rPr>
          <w:rFonts w:ascii="Times New Roman" w:hAnsi="Times New Roman"/>
          <w:b w:val="false"/>
          <w:caps w:val="false"/>
          <w:smallCaps w:val="false"/>
          <w:color w:val="000000"/>
          <w:sz w:val="20"/>
          <w:shd w:fill="FFFFFF" w:val="clear"/>
        </w:rPr>
        <w:t>o</w:t>
      </w:r>
      <w:r>
        <w:rPr>
          <w:rFonts w:ascii="Times New Roman" w:hAnsi="Times New Roman"/>
          <w:color w:val="000000"/>
          <w:sz w:val="20"/>
          <w:shd w:fill="FFFFFF" w:val="clear"/>
        </w:rPr>
        <w:t>mprehensive income (loss) is comprised of net income or loss and other comprehensive income or loss (“OCI”). Relevant examples of OCI items are unrealized holding gains and losses on securities available for sale and net gains and losses on fair value hedges.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Cash and Cash Equivalents</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pacing w:val="0"/>
          <w:sz w:val="20"/>
          <w:shd w:fill="FFFFFF" w:val="clear"/>
        </w:rPr>
        <w:t>The Company includes all cash on hand, balances due from other banks, and federal funds sold, all of which have original maturities within three months, as cash and cash equivalents in the accompanying consolidated financial statements. On March 15, 2020, the Federal Reserve Bank announced that it had reduced regulatory reserve requirements to zero percent effective on March 26, 2020; therefore, no cash is required to be maintained to satisfy regulatory reserve requirements.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Securities</w:t>
      </w:r>
      <w:r>
        <w:rPr>
          <w:rFonts w:ascii="Times New Roman" w:hAnsi="Times New Roman"/>
          <w:color w:val="000000"/>
          <w:sz w:val="20"/>
          <w:shd w:fill="FFFFFF" w:val="clear"/>
        </w:rPr>
        <w:t xml:space="preserve"> – Investment securities may be classified into trading, held to maturity (“HTM”) or available for sale (“AFS”) 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carried at fair value with unrealized gains and losses reported as a component</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xml:space="preserve">of OCI, net of tax. </w:t>
      </w:r>
      <w:r>
        <w:rPr>
          <w:rFonts w:ascii="Times New Roman" w:hAnsi="Times New Roman"/>
          <w:color w:val="000000"/>
          <w:sz w:val="20"/>
          <w:shd w:fill="FFFFFF" w:val="clear"/>
        </w:rPr>
        <w:t xml:space="preserve">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w:t>
      </w:r>
      <w:r>
        <w:rPr>
          <w:rFonts w:ascii="Times New Roman" w:hAnsi="Times New Roman"/>
          <w:b w:val="false"/>
          <w:i w:val="false"/>
          <w:caps w:val="false"/>
          <w:smallCaps w:val="false"/>
          <w:color w:val="000000"/>
          <w:sz w:val="20"/>
          <w:shd w:fill="FFFFFF" w:val="clear"/>
        </w:rPr>
        <w:t>Gains and losses on sales are recorded on the trade date, are derived from the amortized cost of the security sold and are determined using the specific identification method. A security is placed on nonaccrual status if principal or interest has been in default for a period of 90 days or more, or if full payment of principal and interest is not expected. The Company has made a policy election to exclude accrued interest receivable from the amortized cost basis of AFS securities and report the accrued interest in accrued interest receivable in the Consolidated Balance Sheets. Interest accrued but not received for a security placed on nonaccrual status is reversed against interest income.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ACL (AFS Securities)</w:t>
      </w:r>
      <w:r>
        <w:rPr>
          <w:rFonts w:ascii="Times New Roman" w:hAnsi="Times New Roman"/>
          <w:caps w:val="false"/>
          <w:smallCaps w:val="false"/>
          <w:color w:val="000000"/>
          <w:sz w:val="20"/>
          <w:shd w:fill="FFFFFF" w:val="clear"/>
        </w:rPr>
        <w:t xml:space="preserve"> – </w:t>
      </w:r>
      <w:r>
        <w:rPr>
          <w:rFonts w:ascii="Times New Roman" w:hAnsi="Times New Roman"/>
          <w:b w:val="false"/>
          <w:i w:val="false"/>
          <w:caps w:val="false"/>
          <w:smallCaps w:val="false"/>
          <w:color w:val="000000"/>
          <w:sz w:val="20"/>
          <w:shd w:fill="FFFFFF" w:val="clear"/>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OCI.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the adoption of ASU 2016-13, declines in the fair value of available-for-sale securities below their cost that were deemed to be other than temporary were reflected in earnings as realized losses. In estimating other-than-temporary impairment losses prior to January 1, 2023, management considered, among other things, (i) the length of time and the extent to which the fair value had been less than cost, (ii) the financial condition and near-term prospects of the issuer and (iii) the intent and our ability to retain our investment in the issuer for a period of time sufficient to allow for any anticipated recovery in fair value.</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Nonmarketable Equity Securities</w:t>
      </w:r>
      <w:r>
        <w:rPr>
          <w:rFonts w:ascii="Times New Roman" w:hAnsi="Times New Roman"/>
          <w:i/>
          <w:color w:val="000000"/>
          <w:sz w:val="20"/>
          <w:shd w:fill="FFFFFF" w:val="clear"/>
        </w:rPr>
        <w:t> </w:t>
      </w:r>
      <w:r>
        <w:rPr>
          <w:rFonts w:ascii="Times New Roman" w:hAnsi="Times New Roman"/>
          <w:color w:val="000000"/>
          <w:sz w:val="20"/>
          <w:shd w:fill="FFFFFF" w:val="clear"/>
        </w:rPr>
        <w:t>– Securities with limited marketability, such as stock in the Federal Home Loan Bank of Dallas (“FHLB”), are carried at cost and are reported in other assets. The Company monitors its investment in FHLB stock for impairment through a review of recent financial results of the FHLB including reviewing the capital adequacy and liquidity position. The Company has not identified any indicators of impairment of FHLB stock.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Small Business Investment Company (“SBIC”) investments are equity interests in limited partnerships. The SBIC investments do not have readily determinable fair values and are recorded under the equity method of accounting at cost minus impairment, if any, plus or minus adjustments to the cost basis. Adjustments to the cost basis occur as a result of capital contributions, distributions, the Company’s share of earnings, or changes in the value of the Company’s equity position. The Company’s share of earnings is included in noninterest income with a one-quarter lag period.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Loans</w:t>
      </w:r>
      <w:r>
        <w:rPr>
          <w:rFonts w:ascii="Times New Roman" w:hAnsi="Times New Roman"/>
          <w:color w:val="000000"/>
          <w:sz w:val="20"/>
          <w:shd w:fill="FFFFFF" w:val="clear"/>
        </w:rPr>
        <w:t xml:space="preserve"> – Loans that management has the intent and ability to hold for the foreseeable future or until maturity or payoff are reported at their amortized cost. Amortized cost is the outstanding unpaid principal balances, net of any unearned income, charge-offs, unamortized deferred fees and costs on originated loans, and unamortized premiums or discounts on purchased loans. </w:t>
      </w:r>
      <w:r>
        <w:rPr>
          <w:rFonts w:ascii="Times New Roman" w:hAnsi="Times New Roman"/>
          <w:b w:val="false"/>
          <w:i w:val="false"/>
          <w:caps w:val="false"/>
          <w:smallCaps w:val="false"/>
          <w:color w:val="000000"/>
          <w:sz w:val="20"/>
          <w:shd w:fill="FFFFFF" w:val="clear"/>
        </w:rPr>
        <w:t xml:space="preserve">The Company has made a policy election to exclude accrued interest from the amortized cost basis of loans and report accrued interest separately from the related loan balance in accrued interest receivable on the Consolidated Balance Sheets. Accrued interest receivable is excluded from the estimate of credit losses. </w:t>
      </w:r>
      <w:r>
        <w:rPr>
          <w:rFonts w:ascii="Times New Roman" w:hAnsi="Times New Roman"/>
          <w:color w:val="000000"/>
          <w:sz w:val="20"/>
          <w:shd w:fill="FFFFFF" w:val="clear"/>
        </w:rPr>
        <w:t>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ACL (Loans)</w:t>
      </w:r>
      <w:r>
        <w:rPr>
          <w:rFonts w:ascii="Times New Roman" w:hAnsi="Times New Roman"/>
          <w:color w:val="000000"/>
          <w:sz w:val="20"/>
          <w:shd w:fill="FFFFFF" w:val="clear"/>
        </w:rPr>
        <w:t xml:space="preserve"> – The ACL is a valuation account established by management as an estimate to cover expected credit losses through a provision for credit losses charged to earnings. Credit losses on loans are charged against the allowance when management believes the uncollectibility of a loan balance is confirmed. Subsequent recoveries, if any, are credited to the allowance. </w:t>
      </w:r>
      <w:r>
        <w:rPr>
          <w:rFonts w:ascii="Times New Roman" w:hAnsi="Times New Roman"/>
          <w:b w:val="false"/>
          <w:i w:val="false"/>
          <w:caps w:val="false"/>
          <w:smallCaps w:val="false"/>
          <w:color w:val="000000"/>
          <w:sz w:val="20"/>
          <w:shd w:fill="FFFFFF" w:val="clear"/>
        </w:rPr>
        <w:t>Expected losses are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ACL is evaluated on a quarterly basis by management. The Company applied a dual credit risk rating (“DCRR”) methodology that estimates each loan’s probability of default and loss given default to calculate the expected credit loss to non-analyzed loans at January 1 and December 31, 2023. The DCRR process quantifies the expected credit loss at the loan level for the entire loan portfolio. Loan grades are assigned by a customized scorecard that risk rates each loan based on multiple probability of default and loss given default elements to measure the credit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its one-year through the cycle estimate of expected credit loss to a life of loan measurement that reflects current conditions and reasonable and supportable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one to two years. The Company has developed regression models to project net charge-off rates based on macroeconomic variables (“MEVs”), typically a one-year forecast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life of loan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management uses available information to recognize credit losses on loans, further reductions in the carrying amounts of loans may be necessary based on various factors. In addition, regulatory agencies, as an integral part of their examination process, periodically review the estimated credit losses on loans. Such agencies may require the bank subsidiary to recognize additional credit losses based on their judgments about information available to them at the time of their examination. Because of these factors, it is reasonably possible that the estimated credit losses on loans may change materially in the near term. However, the amount of the change that is reasonably possible cannot be estimated.</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Loans that exhibit characteristics different from their pool characteristics are evaluated on an individual basis. Loans evaluated individually are not included in the collective ACL evaluation. When management determines that foreclosure is probable, or if certain of these loans are considered to be collateral dependent with the borrower experiencing financial difficulty, the Company elects the fair value of collateral practical expedient, whereby the allowance is calculated as the amount by which the amortized cost exceeds the fair value of collateral, less estimated costs to sell.</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the adoption of ASU 2016-13, the allowance for credit losses on loans was a contra-asset valuation account established through a provision for loan losses charged to expense, which represented management’s best estimate of inherent losses that had been incurred within the existing portfolio of loans. The allowance for credit losses on loans included allowance allocations calculated in accordance with ASC Topic 310, “Receivables” and allowance allocations calculated in accordance with ASC Topic 450, “Contingencies.”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olor w:val="000000"/>
          <w:sz w:val="20"/>
          <w:u w:val="single"/>
          <w:shd w:fill="FFFFFF" w:val="clear"/>
        </w:rPr>
        <w:t>ACL (Off-Balance Sheet Credit Exposures)</w:t>
      </w:r>
      <w:r>
        <w:rPr>
          <w:rFonts w:ascii="Times New Roman" w:hAnsi="Times New Roman"/>
          <w:color w:val="000000"/>
          <w:sz w:val="20"/>
          <w:shd w:fill="FFFFFF" w:val="clear"/>
        </w:rPr>
        <w:t xml:space="preserve"> – The Company estimates expected credit losses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The likelihood of funding is based on utilization rates, which are determined based on a two-year rolling average of historical usage. Expected loss rates for all pass rated loans are used to determine the ACL for off-balance sheet credit exposures. The ACL for off-balance sheet credit exposures is included in accrued expenses and other liabilities on the Consolidated Balance Sheets.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Acquired Loans</w:t>
      </w:r>
      <w:r>
        <w:rPr>
          <w:rFonts w:ascii="Times New Roman" w:hAnsi="Times New Roman"/>
          <w:i/>
          <w:color w:val="000000"/>
          <w:sz w:val="20"/>
          <w:shd w:fill="FFFFFF" w:val="clear"/>
        </w:rPr>
        <w:t> </w:t>
      </w:r>
      <w:r>
        <w:rPr>
          <w:rFonts w:ascii="Times New Roman" w:hAnsi="Times New Roman"/>
          <w:color w:val="000000"/>
          <w:sz w:val="20"/>
          <w:shd w:fill="FFFFFF" w:val="clear"/>
        </w:rPr>
        <w:t xml:space="preserve">– Loans that the Company acquires in connection with business combinations are recorded at fair value with no carryover of the acquired entity’s related ACL. The fair value of the acquired loans involves estimating the amount and timing of principal and interest cash flows expected to be collected on the loans and discounting those cash flows at a market rate of interest, </w:t>
      </w:r>
      <w:r>
        <w:rPr>
          <w:rFonts w:ascii="Times New Roman" w:hAnsi="Times New Roman"/>
          <w:b w:val="false"/>
          <w:i w:val="false"/>
          <w:caps w:val="false"/>
          <w:smallCaps w:val="false"/>
          <w:color w:val="000000"/>
          <w:sz w:val="20"/>
          <w:shd w:fill="FFFFFF" w:val="clear"/>
        </w:rPr>
        <w:t>adjusted for estimated prepayments and credit losses. In accordance with Topic 326, the fair value adjustment is recorded as premium or discount to the unpaid principal balance of each acquired loan. In addition, the Company also records an ACL on each acquired loan.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Any acquired loans the Company determines have evidence of a more than insignificant deterioration in credit quality since origination, are considered to be purchase credit deteriorated (“PCD”) loans. The Company evaluates acquired loans for deterioration in credit quality based on any of, but not limited to, the following:  (i) non-accrual status; (ii) risk rating, (iii) watchlist credits; and (iv) delinquency status. An ACL is determined using the same methodology as other individually evaluated loans. The sum of the PCD loan’s purchase price and ACL becomes its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Mortgage Servicing Rights</w:t>
      </w:r>
      <w:r>
        <w:rPr>
          <w:rFonts w:ascii="Times New Roman" w:hAnsi="Times New Roman"/>
          <w:color w:val="000000"/>
          <w:sz w:val="20"/>
          <w:shd w:fill="FFFFFF" w:val="clear"/>
        </w:rPr>
        <w:t xml:space="preserve"> – When mortgage loans are sold with servicing retained, servicing rights are initially recorded at fair value with the 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fair value measurement method, the Company measures servicing</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rights at fair value at each reporting date and reports changes in the fair value of servicing rights in earnings in the period in which the changes occur, and are included with Other mortgage banking income in the consolidated financial statements.</w:t>
      </w:r>
      <w:r>
        <w:rPr>
          <w:rFonts w:ascii="Times New Roman" w:hAnsi="Times New Roman"/>
          <w:color w:val="000000"/>
          <w:sz w:val="20"/>
          <w:shd w:fill="FFFFFF" w:val="clear"/>
        </w:rPr>
        <w:t xml:space="preserve"> The fair value of servicing rights are subject to significant fluctuations as a result of changes in estimated and actual prepayment speeds and default rates and losses.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Servicing fee income, which is reported in the </w:t>
      </w:r>
      <w:r>
        <w:rPr>
          <w:rFonts w:ascii="Times New Roman" w:hAnsi="Times New Roman"/>
          <w:b w:val="false"/>
          <w:i w:val="false"/>
          <w:caps w:val="false"/>
          <w:smallCaps w:val="false"/>
          <w:color w:val="000000"/>
          <w:sz w:val="20"/>
          <w:shd w:fill="FFFFFF" w:val="clear"/>
        </w:rPr>
        <w:t>consolidated financial statements</w:t>
      </w:r>
      <w:r>
        <w:rPr>
          <w:rFonts w:ascii="Times New Roman" w:hAnsi="Times New Roman"/>
          <w:color w:val="000000"/>
          <w:sz w:val="20"/>
          <w:shd w:fill="FFFFFF" w:val="clear"/>
        </w:rPr>
        <w:t xml:space="preserve"> as </w:t>
      </w:r>
      <w:r>
        <w:rPr>
          <w:rFonts w:ascii="Times New Roman" w:hAnsi="Times New Roman"/>
          <w:b w:val="false"/>
          <w:i w:val="false"/>
          <w:caps w:val="false"/>
          <w:smallCaps w:val="false"/>
          <w:color w:val="000000"/>
          <w:sz w:val="20"/>
          <w:shd w:fill="FFFFFF" w:val="clear"/>
        </w:rPr>
        <w:t>Other mortgage banking income</w:t>
      </w:r>
      <w:r>
        <w:rPr>
          <w:rFonts w:ascii="Times New Roman" w:hAnsi="Times New Roman"/>
          <w:color w:val="000000"/>
          <w:sz w:val="20"/>
          <w:shd w:fill="FFFFFF" w:val="clear"/>
        </w:rPr>
        <w:t>, is recorded for fees earned for servicing loans. The fees are based on a contractual percentage of the outstanding principal or a fixed amount per loan and recorded when income is earned. Servicing income was $4.2 million, $4.1 million, and $3.1 million for the years ended December 31, 2023, 2022, and 2021,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Transfers of Financial Assets</w:t>
      </w:r>
      <w:r>
        <w:rPr>
          <w:rFonts w:ascii="Times New Roman" w:hAnsi="Times New Roman"/>
          <w:color w:val="000000"/>
          <w:sz w:val="20"/>
          <w:shd w:fill="FFFFFF" w:val="clear"/>
        </w:rPr>
        <w:t xml:space="preserve"> – Transfers of financial assets are accounted for as sales, when control over the assets has been 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Loans Held for Sale</w:t>
      </w:r>
      <w:r>
        <w:rPr>
          <w:rFonts w:ascii="Times New Roman" w:hAnsi="Times New Roman"/>
          <w:color w:val="000000"/>
          <w:sz w:val="20"/>
          <w:shd w:fill="FFFFFF" w:val="clear"/>
        </w:rPr>
        <w:t xml:space="preserve"> – Loans held for sale are comprised of residential mortgage loans. Loans that are originated for best efforts delivery are carried at the lower of aggregate cost or fair value as determined by aggregate outstanding commitments from investors or current investor yield requirements. All other loans held for sale are carried at fair value </w:t>
      </w:r>
      <w:r>
        <w:rPr>
          <w:rFonts w:ascii="Times New Roman" w:hAnsi="Times New Roman"/>
          <w:b w:val="false"/>
          <w:i w:val="false"/>
          <w:caps w:val="false"/>
          <w:smallCaps w:val="false"/>
          <w:color w:val="000000"/>
          <w:spacing w:val="0"/>
          <w:sz w:val="20"/>
          <w:shd w:fill="FFFFFF" w:val="clear"/>
        </w:rPr>
        <w:t>under the fair value option</w:t>
      </w:r>
      <w:r>
        <w:rPr>
          <w:rFonts w:ascii="Times New Roman" w:hAnsi="Times New Roman"/>
          <w:color w:val="000000"/>
          <w:sz w:val="20"/>
          <w:shd w:fill="FFFFFF" w:val="clear"/>
        </w:rPr>
        <w:t>. Loans sold are typically subject to certain indemnification provisions with the investor; management does not believe these provisions will have any significant consequences.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Premises and Equipment</w:t>
      </w:r>
      <w:r>
        <w:rPr>
          <w:rFonts w:ascii="Times New Roman" w:hAnsi="Times New Roman"/>
          <w:color w:val="000000"/>
          <w:sz w:val="20"/>
          <w:shd w:fill="FFFFFF" w:val="clear"/>
        </w:rPr>
        <w:t xml:space="preserve"> – Land is carried at cost. Buildings and equipment are carried at cost, less accumulated depreciation computed on the straight-line method. Buildings and improvements are depreciated on a useful life up to 40 years. Furniture and equipment are depreciated on a useful life between 3 to 10 years.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Foreclosed Assets</w:t>
      </w:r>
      <w:r>
        <w:rPr>
          <w:rFonts w:ascii="Times New Roman" w:hAnsi="Times New Roman"/>
          <w:color w:val="000000"/>
          <w:sz w:val="20"/>
          <w:shd w:fill="FFFFFF" w:val="clear"/>
        </w:rPr>
        <w:t xml:space="preserve"> – Assets acquired through, or in lieu of, loan foreclosure or repossession are held for sale and are initially 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Bank-Owned Life Insurance</w:t>
      </w:r>
      <w:r>
        <w:rPr>
          <w:rFonts w:ascii="Times New Roman" w:hAnsi="Times New Roman"/>
          <w:i/>
          <w:color w:val="000000"/>
          <w:sz w:val="20"/>
          <w:shd w:fill="FFFFFF" w:val="clear"/>
        </w:rPr>
        <w:t> </w:t>
      </w:r>
      <w:r>
        <w:rPr>
          <w:rFonts w:ascii="Times New Roman" w:hAnsi="Times New Roman"/>
          <w:color w:val="000000"/>
          <w:sz w:val="20"/>
          <w:shd w:fill="FFFFFF" w:val="clear"/>
        </w:rPr>
        <w:t>– The bank subsidiary has purchased life insurance policies on various officers and also is the beneficiary. These policies are issued by third party insurance companies. Assets are carried at the cash surrender value and changes in the cash surrender values are recognized in other noninterest income in the accompanyi</w:t>
      </w:r>
      <w:r>
        <w:rPr>
          <w:rFonts w:ascii="Times New Roman" w:hAnsi="Times New Roman"/>
          <w:b w:val="false"/>
          <w:i w:val="false"/>
          <w:caps w:val="false"/>
          <w:smallCaps w:val="false"/>
          <w:color w:val="000000"/>
          <w:sz w:val="20"/>
          <w:shd w:fill="FFFFFF" w:val="clear"/>
        </w:rPr>
        <w:t xml:space="preserve">ng </w:t>
      </w:r>
      <w:r>
        <w:rPr>
          <w:rFonts w:ascii="Times New Roman" w:hAnsi="Times New Roman"/>
          <w:b w:val="false"/>
          <w:i w:val="false"/>
          <w:caps w:val="false"/>
          <w:smallCaps w:val="false"/>
          <w:color w:val="000000"/>
          <w:spacing w:val="0"/>
          <w:sz w:val="20"/>
          <w:shd w:fill="FFFFFF" w:val="clear"/>
        </w:rPr>
        <w:t>consolidated financial statements</w:t>
      </w:r>
      <w:r>
        <w:rPr>
          <w:rFonts w:ascii="Times New Roman" w:hAnsi="Times New Roman"/>
          <w:b w:val="false"/>
          <w:i w:val="false"/>
          <w:caps w:val="false"/>
          <w:smallCaps w:val="false"/>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Goodwill and Other Intangible Assets</w:t>
      </w:r>
      <w:r>
        <w:rPr>
          <w:rFonts w:ascii="Times New Roman" w:hAnsi="Times New Roman"/>
          <w:i/>
          <w:color w:val="000000"/>
          <w:sz w:val="20"/>
          <w:shd w:fill="FFFFFF" w:val="clear"/>
        </w:rPr>
        <w:t> </w:t>
      </w:r>
      <w:r>
        <w:rPr>
          <w:rFonts w:ascii="Times New Roman" w:hAnsi="Times New Roman"/>
          <w:color w:val="000000"/>
          <w:sz w:val="20"/>
          <w:shd w:fill="FFFFFF" w:val="clear"/>
        </w:rPr>
        <w:t>–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impairment recorded for the years ended December 31, 2023, 2022 and 2021,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Mortgage Banking Derivatives</w:t>
      </w:r>
      <w:r>
        <w:rPr>
          <w:rFonts w:ascii="Times New Roman" w:hAnsi="Times New Roman"/>
          <w:color w:val="000000"/>
          <w:sz w:val="20"/>
          <w:shd w:fill="FFFFFF" w:val="clear"/>
        </w:rPr>
        <w:t xml:space="preserve"> – Commitments to fund mortgage loans (interest rate locks) to be sold into the secondary market, 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 These mortgage banking derivatives are not designated in hedge relationships.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rate on the loan is locked.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order to hedge the change in interest rates resulting from all other mortgage commitments to fund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rate on the loan is locked. Changes in the fair values of these derivatives are included in net gain on sales of loans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in the</w:t>
      </w:r>
      <w:r>
        <w:rPr>
          <w:rFonts w:ascii="Times New Roman" w:hAnsi="Times New Roman"/>
          <w:b w:val="false"/>
          <w:i w:val="false"/>
          <w:caps w:val="false"/>
          <w:smallCaps w:val="false"/>
          <w:color w:val="000000"/>
          <w:spacing w:val="0"/>
          <w:sz w:val="20"/>
          <w:shd w:fill="FFFFFF" w:val="clear"/>
        </w:rPr>
        <w:t xml:space="preserve"> consolidated financial statements</w:t>
      </w:r>
      <w:r>
        <w:rPr>
          <w:rFonts w:ascii="Times New Roman" w:hAnsi="Times New Roman"/>
          <w:b w:val="false"/>
          <w:i w:val="false"/>
          <w:caps w:val="false"/>
          <w:smallCaps w:val="false"/>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Derivatives</w:t>
      </w:r>
      <w:r>
        <w:rPr>
          <w:rFonts w:ascii="Times New Roman" w:hAnsi="Times New Roman"/>
          <w:color w:val="000000"/>
          <w:sz w:val="20"/>
          <w:shd w:fill="FFFFFF" w:val="clear"/>
        </w:rPr>
        <w:t xml:space="preserve"> – At the inception of a derivative contract, the Company designates the derivative as one of three types based on the 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OCI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OCI are amortized into earnings over the same periods which the hedged transactions will affect earnings.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Leases</w:t>
      </w:r>
      <w:r>
        <w:rPr>
          <w:rFonts w:ascii="Times New Roman" w:hAnsi="Times New Roman"/>
          <w:caps w:val="false"/>
          <w:smallCaps w:val="false"/>
          <w:color w:val="000000"/>
          <w:sz w:val="20"/>
          <w:shd w:fill="FFFFFF" w:val="clear"/>
        </w:rPr>
        <w:t xml:space="preserve"> – </w:t>
      </w:r>
      <w:r>
        <w:rPr>
          <w:rFonts w:ascii="Times New Roman" w:hAnsi="Times New Roman"/>
          <w:b w:val="false"/>
          <w:i w:val="false"/>
          <w:caps w:val="false"/>
          <w:smallCaps w:val="false"/>
          <w:color w:val="000000"/>
          <w:sz w:val="20"/>
          <w:shd w:fill="FFFFFF" w:val="clear"/>
        </w:rPr>
        <w:t>During the second quarter of 2022, the Company adopted Accounting Standards Update (“ASU”) No. 2016-02 — Leases (Topic 842), effective as of January 1, 2022, using the alternative transition method under the option to apply the lease standard at its effective date without adjusting the prior period comparative financial statements. The Company elected the package of practical expedients to not reassess: (i) whether any existing contracts are or contain a lease, (ii) the lease classification of any existing leases, and (iii) initial direct costs related to existing leases. The Company also elected to apply additional practical expedients to include both the lease and nonlease components of all leases as a single component and account for it as a lease and to use hindsight for leases existing at the adoption date. The Company recorded a $9.4 million right-of-use (“ROU”) asset, offset by a $10.3 million lease liability, and a $717 thousand, net of tax, cumulative effect adjustment that reduced retained earnings.</w:t>
      </w:r>
    </w:p>
    <w:p>
      <w:pPr>
        <w:pStyle w:val="TextBody"/>
        <w:bidi w:val="0"/>
        <w:spacing w:before="0" w:after="0"/>
        <w:jc w:val="both"/>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determines if an arrangement is a lease at inception. Operating leases with a term of greater than one year are included in other assets and other liabilities on the Company’s Consolidated Balance Sheets. Finance leases, if any, are included in premises and equipment and other liabilities on the Company’s Consolidated Balance Sheets. The Company has lease agreements with lease and nonlease components, which are generally accounted for as a single lease component. The Company has made an accounting policy election not to recognize short-term lease assets and liabilities (less than a 12-month term) or equipment leases (deemed not significant) on its Consolidated Balance Sheets; instead, the Company recognizes the lease expense for these leases on a straight-line basis over the life of the lease.</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ROU assets represent the Company’s right to use an underlying asset for the lease term and lease liabilities represent its obligation to make lease payments arising from the lease. Operating lease ROU assets and liabilities are recognized on the lease commencement date based on the present value of lease payments over the lease term. As most of the Company’s leases do not provide an implicit rate, the Company uses an estimated incremental collateralized borrowing rate at lease inception, on a collateralized basis, over a similar term, when determining the present value of lease payments.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No significant judgments or assumptions were involved in developing the estimated operating lease liabilities as the Company’s operating lease liabilities largely represent the future rental expenses associated with operating leases, and the incremental borrowing rates are based on publicly available interest rates. The operating lease ROU asset also includes any lease payments made and excludes lease incentives. The Company’s lease terms may include options to extend or terminate the lease. These options to extend or terminate are assessed on a lease-by-lease basis, and the ROU assets and lease liabilities are adjusted when it is reasonably certain that an option will be exercised. Rental expense for lease payments is recognized on a straight-line basis over the lease term and is included in occupancy and equipment, net within our Consolidated Statements of Comprehensive Income (Loss).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caps w:val="false"/>
          <w:smallCaps w:val="false"/>
          <w:color w:val="000000"/>
          <w:spacing w:val="0"/>
          <w:sz w:val="20"/>
          <w:u w:val="single"/>
          <w:shd w:fill="FFFFFF" w:val="clear"/>
        </w:rPr>
        <w:t>Revenue Recognition</w:t>
      </w:r>
      <w:r>
        <w:rPr>
          <w:rFonts w:ascii="Times New Roman" w:hAnsi="Times New Roman"/>
          <w:b w:val="false"/>
          <w:i w:val="false"/>
          <w:caps w:val="false"/>
          <w:smallCaps w:val="false"/>
          <w:color w:val="000000"/>
          <w:spacing w:val="0"/>
          <w:sz w:val="20"/>
          <w:shd w:fill="FFFFFF" w:val="clear"/>
        </w:rPr>
        <w:t xml:space="preserve"> – The majority of the Company’s revenues come from interest income and other sources, including loans, securities and derivatives, that are outside the scope of Topic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other real estate owned (“OREO”). Substantially all of the Company’s revenue is generated from contracts with customers. Noninterest income streams within the scope of Topic 606 are discussed below.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Service Charges on Deposit Accounts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Bank Card Services and Interchange Fees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Investment Commissions and Fiduciary Trust Fees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certain trust customers have contracted with the Company to provide trust dissolution services, which are based on a unitary management fee treated as a single performance obligation. The Company’s performance obligation is satisfied over time 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 based measure of progress towards the Company’s complete satisfaction of the performance obligation at the end of each respective reporting period, with the unearned amount based on progress measure being included in deferred contract liability. This variable consideration and the amount of revenue recognized is evaluated quarterly until the Company has entirely fulfilled its performance obligation, at which time the remaining unearned revenue is recognized.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Gains/Losses on Sales of OREO</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Contract Balances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2023 and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Contract Acquisition Costs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Insurance Activities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revenue from insurance activities ceased subsequent to the sale of Windmark. The primary source of revenues for insurance activities were commissions from underwriting enterprises, based on a percentage of premiums paid by clients. These commissions and fees revenues were substantially recognized at a point in time on the effective date of the associated policies when control of the policy transferred to the client. Commissions were fixed at the contract effective date and generally were based on a percentage of premiums for insurance coverage. Commissions depended upon a large number of factors, including the type of risk being placed, the particular underwriting enterprise’s demand, the expected loss experience of the particular risk of coverage, and historical benchmarks surrounding the level of effort necessary for us to place and service the insurance contract.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Stock-Based Compensation</w:t>
      </w:r>
      <w:r>
        <w:rPr>
          <w:rFonts w:ascii="Times New Roman" w:hAnsi="Times New Roman"/>
          <w:i/>
          <w:color w:val="000000"/>
          <w:sz w:val="20"/>
          <w:shd w:fill="FFFFFF" w:val="clear"/>
        </w:rPr>
        <w:t> </w:t>
      </w:r>
      <w:r>
        <w:rPr>
          <w:rFonts w:ascii="Times New Roman" w:hAnsi="Times New Roman"/>
          <w:color w:val="000000"/>
          <w:sz w:val="20"/>
          <w:shd w:fill="FFFFFF" w:val="clear"/>
        </w:rPr>
        <w:t>– The Company sponsors an equity incentive plan under which options to acquire shares of the Company’s common stock may 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Advertising</w:t>
      </w:r>
      <w:r>
        <w:rPr>
          <w:rFonts w:ascii="Times New Roman" w:hAnsi="Times New Roman"/>
          <w:color w:val="000000"/>
          <w:sz w:val="20"/>
          <w:shd w:fill="FFFFFF" w:val="clear"/>
        </w:rPr>
        <w:t xml:space="preserve"> – Advertising costs are recognized when incurred. Advertising costs during 2023, 2022, and 2021 were approximately $2.9 million, $3.1 million, and $2.6 million,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Income Taxes</w:t>
      </w:r>
      <w:r>
        <w:rPr>
          <w:rFonts w:ascii="Times New Roman" w:hAnsi="Times New Roman"/>
          <w:color w:val="000000"/>
          <w:sz w:val="20"/>
          <w:shd w:fill="FFFFFF" w:val="clear"/>
        </w:rPr>
        <w:t xml:space="preserve"> – The Company files a consolidated federal income tax return including the results of its wholly owned subsidiary, the Bank. The Company estimates income taxes payable based on the amount it expects to owe. Income tax expense is the total of the current year income tax due or refundable and the change in deferred tax assets and liabilities (excluding deferred tax assets and liabilities related to components of OCI).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State of Texas franchise tax is an income tax for financial reporting purposes under GAAP and the Company and its subsidiaries are subject to the modified tax as a combined group.</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Earnings per Share</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z w:val="20"/>
          <w:shd w:fill="FFFFFF" w:val="clear"/>
        </w:rPr>
        <w:t>Basic earnings per share is net income divided by the weighted average number of common shares outstanding during the period.</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z w:val="20"/>
          <w:shd w:fill="FFFFFF" w:val="clear"/>
        </w:rPr>
        <w:t>Diluted 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Fair Values of Financial Instruments</w:t>
      </w:r>
      <w:r>
        <w:rPr>
          <w:rFonts w:ascii="Times New Roman" w:hAnsi="Times New Roman"/>
          <w:color w:val="000000"/>
          <w:sz w:val="20"/>
          <w:shd w:fill="FFFFFF" w:val="clear"/>
        </w:rPr>
        <w:t xml:space="preserve"> – Fair values of financial instruments are estimated using relevant market information and other assumptions, as more fully described in Note 21. Fair value estimates involve uncertainties and matters of significant judgment. Changes in assumptions or in market conditions could significantly affect estimates.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Trust Assets</w:t>
      </w:r>
      <w:r>
        <w:rPr>
          <w:rFonts w:ascii="Times New Roman" w:hAnsi="Times New Roman"/>
          <w:color w:val="000000"/>
          <w:sz w:val="20"/>
          <w:shd w:fill="FFFFFF" w:val="clear"/>
        </w:rPr>
        <w:t xml:space="preserve"> – Custodial assets of City Bank’s trust department, other than cash on deposit at City Bank, if any, are not included in the accompanying consolidated financial statements because they are not assets of City Bank.</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Segment Information</w:t>
      </w:r>
      <w:r>
        <w:rPr>
          <w:rFonts w:ascii="Times New Roman" w:hAnsi="Times New Roman"/>
          <w:color w:val="000000"/>
          <w:sz w:val="20"/>
          <w:shd w:fill="FFFFFF" w:val="clear"/>
        </w:rPr>
        <w:t xml:space="preserve"> – The Company previously identified two operating segments: banking and insurance. The accounting policies for each of the segments were the same as those described in the summary of significant accounting policies. Effective January 1, 2023, operations and financial performance of the insurance segment were being performed and evaluated on a Company-wide basis based on not being significant to the operating results of the Company. Furthermore, the insurance segment was sold on April 1, 2023. As a result, segment reporting disclosures have been removed.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caps w:val="false"/>
          <w:smallCaps w:val="false"/>
          <w:color w:val="000000"/>
          <w:spacing w:val="0"/>
          <w:sz w:val="20"/>
          <w:u w:val="single"/>
          <w:shd w:fill="FFFFFF" w:val="clear"/>
        </w:rPr>
        <w:t>Subsequent Events</w:t>
      </w:r>
      <w:r>
        <w:rPr>
          <w:rFonts w:ascii="Times New Roman" w:hAnsi="Times New Roman"/>
          <w:b w:val="false"/>
          <w:i w:val="false"/>
          <w:caps w:val="false"/>
          <w:smallCaps w:val="false"/>
          <w:color w:val="000000"/>
          <w:spacing w:val="0"/>
          <w:sz w:val="20"/>
          <w:shd w:fill="FFFFFF" w:val="clear"/>
        </w:rPr>
        <w:t xml:space="preserve"> – </w:t>
      </w:r>
      <w:r>
        <w:rPr>
          <w:rFonts w:ascii="Times New Roman" w:hAnsi="Times New Roman"/>
          <w:b w:val="false"/>
          <w:i w:val="false"/>
          <w:caps w:val="false"/>
          <w:smallCaps w:val="false"/>
          <w:color w:val="000000"/>
          <w:spacing w:val="0"/>
          <w:sz w:val="20"/>
          <w:shd w:fill="FFFFFF" w:val="clear"/>
        </w:rPr>
        <w:t>The</w:t>
      </w:r>
      <w:r>
        <w:rPr>
          <w:rFonts w:ascii="Times New Roman" w:hAnsi="Times New Roman"/>
          <w:b w:val="false"/>
          <w:i w:val="false"/>
          <w:caps w:val="false"/>
          <w:smallCaps w:val="false"/>
          <w:color w:val="000000"/>
          <w:spacing w:val="0"/>
          <w:sz w:val="20"/>
          <w:shd w:fill="FFFFFF" w:val="clear"/>
        </w:rPr>
        <w:t xml:space="preserve"> Company has evaluated subsequent events from December 31, 2023 through the time the consolidated financial statements were filed with the SEC.</w:t>
      </w:r>
    </w:p>
    <w:p>
      <w:pPr>
        <w:pStyle w:val="TextBody"/>
        <w:bidi w:val="0"/>
        <w:spacing w:before="0" w:after="0"/>
        <w:jc w:val="both"/>
        <w:rPr/>
      </w:pPr>
      <w:r>
        <w:rPr/>
      </w:r>
    </w:p>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0"/>
              <w:jc w:val="left"/>
              <w:rPr>
                <w:b/>
                <w:i/>
                <w:color w:val="000000"/>
              </w:rPr>
            </w:pPr>
            <w:r>
              <w:rPr>
                <w:b/>
                <w:i/>
                <w:color w:val="000000"/>
              </w:rPr>
              <w:t>2.</w:t>
            </w:r>
          </w:p>
        </w:tc>
        <w:tc>
          <w:tcPr>
            <w:tcW w:w="1475" w:type="dxa"/>
            <w:tcBorders/>
            <w:vAlign w:val="center"/>
          </w:tcPr>
          <w:p>
            <w:pPr>
              <w:pStyle w:val="TableContents"/>
              <w:bidi w:val="0"/>
              <w:spacing w:before="0" w:after="0"/>
              <w:ind w:left="720" w:right="0" w:hanging="720"/>
              <w:jc w:val="left"/>
              <w:rPr>
                <w:b/>
                <w:i/>
                <w:color w:val="000000"/>
              </w:rPr>
            </w:pPr>
            <w:r>
              <w:rPr>
                <w:b/>
                <w:i/>
                <w:color w:val="000000"/>
              </w:rPr>
              <w:t>SECURITIES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amortized cost, related gross unrealized gains and losses, allowance for credit losses, and estimated fair value of securities available for sale at year-end follows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4185"/>
        <w:gridCol w:w="60"/>
        <w:gridCol w:w="163"/>
        <w:gridCol w:w="937"/>
        <w:gridCol w:w="60"/>
        <w:gridCol w:w="60"/>
        <w:gridCol w:w="395"/>
        <w:gridCol w:w="735"/>
        <w:gridCol w:w="60"/>
        <w:gridCol w:w="60"/>
        <w:gridCol w:w="176"/>
        <w:gridCol w:w="954"/>
        <w:gridCol w:w="95"/>
        <w:gridCol w:w="60"/>
        <w:gridCol w:w="379"/>
        <w:gridCol w:w="706"/>
        <w:gridCol w:w="60"/>
        <w:gridCol w:w="60"/>
        <w:gridCol w:w="140"/>
        <w:gridCol w:w="800"/>
        <w:gridCol w:w="60"/>
      </w:tblGrid>
      <w:tr>
        <w:trPr/>
        <w:tc>
          <w:tcPr>
            <w:tcW w:w="4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Allowance</w:t>
            </w:r>
          </w:p>
          <w:p>
            <w:pPr>
              <w:pStyle w:val="TableContents"/>
              <w:bidi w:val="0"/>
              <w:spacing w:before="0" w:after="0"/>
              <w:jc w:val="center"/>
              <w:rPr>
                <w:b/>
              </w:rPr>
            </w:pPr>
            <w:r>
              <w:rPr>
                <w:b/>
              </w:rPr>
              <w:t>for Credit</w:t>
            </w:r>
          </w:p>
          <w:p>
            <w:pPr>
              <w:pStyle w:val="TableContents"/>
              <w:bidi w:val="0"/>
              <w:spacing w:before="0" w:after="0"/>
              <w:jc w:val="center"/>
              <w:rPr>
                <w:b/>
              </w:rPr>
            </w:pPr>
            <w:r>
              <w:rPr>
                <w:b/>
              </w:rPr>
              <w:t>Losses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r>
      <w:tr>
        <w:trPr/>
        <w:tc>
          <w:tcPr>
            <w:tcW w:w="4185" w:type="dxa"/>
            <w:tcBorders/>
            <w:vAlign w:val="bottom"/>
          </w:tcPr>
          <w:p>
            <w:pPr>
              <w:pStyle w:val="TableContents"/>
              <w:bidi w:val="0"/>
              <w:spacing w:before="0" w:after="0"/>
              <w:ind w:left="180" w:right="0" w:hanging="0"/>
              <w:jc w:val="left"/>
              <w:rPr>
                <w:color w:val="000000"/>
                <w:u w:val="single"/>
              </w:rPr>
            </w:pPr>
            <w:r>
              <w:rPr>
                <w:b/>
                <w:color w:val="000000"/>
                <w:u w:val="single"/>
              </w:rPr>
              <w:t>December 31</w:t>
            </w:r>
            <w:r>
              <w:rPr>
                <w:color w:val="000000"/>
                <w:u w:val="single"/>
              </w:rPr>
              <w:t xml:space="preserve">, </w:t>
            </w:r>
            <w:r>
              <w:rPr>
                <w:b/>
                <w:color w:val="000000"/>
                <w:u w:val="single"/>
              </w:rPr>
              <w:t>2023</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185" w:type="dxa"/>
            <w:tcBorders/>
            <w:vAlign w:val="bottom"/>
          </w:tcPr>
          <w:p>
            <w:pPr>
              <w:pStyle w:val="TableContents"/>
              <w:bidi w:val="0"/>
              <w:spacing w:before="0" w:after="0"/>
              <w:ind w:left="180" w:right="0" w:hanging="180"/>
              <w:jc w:val="left"/>
              <w:rPr>
                <w:color w:val="000000"/>
              </w:rPr>
            </w:pPr>
            <w:r>
              <w:rPr>
                <w:color w:val="000000"/>
              </w:rPr>
              <w:t>Available for sale:</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185" w:type="dxa"/>
            <w:tcBorders/>
            <w:shd w:fill="CCEEFF" w:val="clear"/>
            <w:vAlign w:val="bottom"/>
          </w:tcPr>
          <w:p>
            <w:pPr>
              <w:pStyle w:val="TableContents"/>
              <w:bidi w:val="0"/>
              <w:spacing w:before="0" w:after="0"/>
              <w:ind w:left="360" w:right="0" w:hanging="180"/>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color w:val="000000"/>
              </w:rPr>
            </w:pPr>
            <w:r>
              <w:rPr>
                <w:color w:val="000000"/>
              </w:rPr>
              <w:t>$</w:t>
            </w:r>
          </w:p>
        </w:tc>
        <w:tc>
          <w:tcPr>
            <w:tcW w:w="937" w:type="dxa"/>
            <w:tcBorders/>
            <w:shd w:fill="CCEEFF" w:val="clear"/>
            <w:vAlign w:val="bottom"/>
          </w:tcPr>
          <w:p>
            <w:pPr>
              <w:pStyle w:val="TableContents"/>
              <w:bidi w:val="0"/>
              <w:spacing w:before="0" w:after="0"/>
              <w:jc w:val="right"/>
              <w:rPr>
                <w:color w:val="000000"/>
              </w:rPr>
            </w:pPr>
            <w:r>
              <w:rPr>
                <w:color w:val="000000"/>
              </w:rPr>
              <w:t>202,814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0"/>
              <w:jc w:val="left"/>
              <w:rPr>
                <w:color w:val="000000"/>
              </w:rPr>
            </w:pPr>
            <w:r>
              <w:rPr>
                <w:color w:val="000000"/>
              </w:rPr>
              <w:t>$</w:t>
            </w:r>
          </w:p>
        </w:tc>
        <w:tc>
          <w:tcPr>
            <w:tcW w:w="735" w:type="dxa"/>
            <w:tcBorders/>
            <w:shd w:fill="CCEEFF" w:val="clear"/>
            <w:vAlign w:val="bottom"/>
          </w:tcPr>
          <w:p>
            <w:pPr>
              <w:pStyle w:val="TableContents"/>
              <w:bidi w:val="0"/>
              <w:spacing w:before="0" w:after="0"/>
              <w:jc w:val="right"/>
              <w:rPr>
                <w:color w:val="000000"/>
              </w:rPr>
            </w:pPr>
            <w:r>
              <w:rPr>
                <w:color w:val="00000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(22,241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37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180,575</w:t>
            </w:r>
          </w:p>
        </w:tc>
        <w:tc>
          <w:tcPr>
            <w:tcW w:w="60" w:type="dxa"/>
            <w:tcBorders/>
            <w:shd w:fill="CCEEFF" w:val="clear"/>
            <w:vAlign w:val="bottom"/>
          </w:tcPr>
          <w:p>
            <w:pPr>
              <w:pStyle w:val="TableContents"/>
              <w:bidi w:val="0"/>
              <w:spacing w:before="0" w:after="283"/>
              <w:jc w:val="left"/>
              <w:rPr/>
            </w:pPr>
            <w:r>
              <w:rPr/>
              <w:t> </w:t>
            </w:r>
          </w:p>
        </w:tc>
      </w:tr>
      <w:tr>
        <w:trPr/>
        <w:tc>
          <w:tcPr>
            <w:tcW w:w="4185" w:type="dxa"/>
            <w:tcBorders/>
            <w:vAlign w:val="bottom"/>
          </w:tcPr>
          <w:p>
            <w:pPr>
              <w:pStyle w:val="TableContents"/>
              <w:bidi w:val="0"/>
              <w:spacing w:before="0" w:after="0"/>
              <w:ind w:left="360" w:right="0" w:hanging="180"/>
              <w:jc w:val="left"/>
              <w:rPr/>
            </w:pPr>
            <w:r>
              <w:rPr/>
              <w:t>Residential mortgage-backed securities</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351,251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(50,547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37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300,704</w:t>
            </w:r>
          </w:p>
        </w:tc>
        <w:tc>
          <w:tcPr>
            <w:tcW w:w="60" w:type="dxa"/>
            <w:tcBorders/>
            <w:vAlign w:val="bottom"/>
          </w:tcPr>
          <w:p>
            <w:pPr>
              <w:pStyle w:val="TableContents"/>
              <w:bidi w:val="0"/>
              <w:spacing w:before="0" w:after="283"/>
              <w:jc w:val="left"/>
              <w:rPr/>
            </w:pPr>
            <w:r>
              <w:rPr/>
              <w:t> </w:t>
            </w:r>
          </w:p>
        </w:tc>
      </w:tr>
      <w:tr>
        <w:trPr/>
        <w:tc>
          <w:tcPr>
            <w:tcW w:w="4185" w:type="dxa"/>
            <w:tcBorders/>
            <w:shd w:fill="CCEEFF" w:val="clear"/>
            <w:vAlign w:val="bottom"/>
          </w:tcPr>
          <w:p>
            <w:pPr>
              <w:pStyle w:val="TableContents"/>
              <w:bidi w:val="0"/>
              <w:spacing w:before="0" w:after="0"/>
              <w:ind w:left="360" w:right="0" w:hanging="180"/>
              <w:jc w:val="left"/>
              <w:rPr/>
            </w:pPr>
            <w:r>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47,898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(6,150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37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41,748</w:t>
            </w:r>
          </w:p>
        </w:tc>
        <w:tc>
          <w:tcPr>
            <w:tcW w:w="60" w:type="dxa"/>
            <w:tcBorders/>
            <w:shd w:fill="CCEEFF" w:val="clear"/>
            <w:vAlign w:val="bottom"/>
          </w:tcPr>
          <w:p>
            <w:pPr>
              <w:pStyle w:val="TableContents"/>
              <w:bidi w:val="0"/>
              <w:spacing w:before="0" w:after="283"/>
              <w:jc w:val="left"/>
              <w:rPr/>
            </w:pPr>
            <w:r>
              <w:rPr/>
              <w:t> </w:t>
            </w:r>
          </w:p>
        </w:tc>
      </w:tr>
      <w:tr>
        <w:trPr/>
        <w:tc>
          <w:tcPr>
            <w:tcW w:w="4185" w:type="dxa"/>
            <w:tcBorders/>
            <w:vAlign w:val="bottom"/>
          </w:tcPr>
          <w:p>
            <w:pPr>
              <w:pStyle w:val="TableContents"/>
              <w:bidi w:val="0"/>
              <w:spacing w:before="0" w:after="0"/>
              <w:ind w:left="360" w:right="0" w:hanging="180"/>
              <w:jc w:val="left"/>
              <w:rPr>
                <w:color w:val="000000"/>
              </w:rPr>
            </w:pPr>
            <w:r>
              <w:rPr>
                <w:color w:val="000000"/>
              </w:rPr>
              <w:t>Commercial collateralized mortgage obligations</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72,391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(461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37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71,930</w:t>
            </w:r>
          </w:p>
        </w:tc>
        <w:tc>
          <w:tcPr>
            <w:tcW w:w="60" w:type="dxa"/>
            <w:tcBorders/>
            <w:vAlign w:val="bottom"/>
          </w:tcPr>
          <w:p>
            <w:pPr>
              <w:pStyle w:val="TableContents"/>
              <w:bidi w:val="0"/>
              <w:spacing w:before="0" w:after="283"/>
              <w:jc w:val="left"/>
              <w:rPr/>
            </w:pPr>
            <w:r>
              <w:rPr/>
              <w:t> </w:t>
            </w:r>
          </w:p>
        </w:tc>
      </w:tr>
      <w:tr>
        <w:trPr/>
        <w:tc>
          <w:tcPr>
            <w:tcW w:w="4185" w:type="dxa"/>
            <w:tcBorders/>
            <w:shd w:fill="CCEEFF" w:val="clear"/>
            <w:vAlign w:val="bottom"/>
          </w:tcPr>
          <w:p>
            <w:pPr>
              <w:pStyle w:val="TableContents"/>
              <w:bidi w:val="0"/>
              <w:spacing w:before="0" w:after="0"/>
              <w:ind w:left="360" w:right="0" w:hanging="180"/>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18,476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(1,436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37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17,040</w:t>
            </w:r>
          </w:p>
        </w:tc>
        <w:tc>
          <w:tcPr>
            <w:tcW w:w="60" w:type="dxa"/>
            <w:tcBorders/>
            <w:shd w:fill="CCEEFF" w:val="clear"/>
            <w:vAlign w:val="bottom"/>
          </w:tcPr>
          <w:p>
            <w:pPr>
              <w:pStyle w:val="TableContents"/>
              <w:bidi w:val="0"/>
              <w:spacing w:before="0" w:after="283"/>
              <w:jc w:val="left"/>
              <w:rPr/>
            </w:pPr>
            <w:r>
              <w:rPr/>
              <w:t> </w:t>
            </w:r>
          </w:p>
        </w:tc>
      </w:tr>
      <w:tr>
        <w:trPr/>
        <w:tc>
          <w:tcPr>
            <w:tcW w:w="4185" w:type="dxa"/>
            <w:tcBorders/>
            <w:vAlign w:val="bottom"/>
          </w:tcPr>
          <w:p>
            <w:pPr>
              <w:pStyle w:val="TableContents"/>
              <w:bidi w:val="0"/>
              <w:spacing w:before="0" w:after="0"/>
              <w:ind w:left="360" w:right="0" w:hanging="180"/>
              <w:jc w:val="left"/>
              <w:rPr>
                <w:color w:val="000000"/>
              </w:rPr>
            </w:pPr>
            <w:r>
              <w:rPr>
                <w:color w:val="000000"/>
              </w:rPr>
              <w:t>Other securities</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(1,235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379"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10,765</w:t>
            </w:r>
          </w:p>
        </w:tc>
        <w:tc>
          <w:tcPr>
            <w:tcW w:w="60" w:type="dxa"/>
            <w:tcBorders/>
            <w:vAlign w:val="bottom"/>
          </w:tcPr>
          <w:p>
            <w:pPr>
              <w:pStyle w:val="TableContents"/>
              <w:bidi w:val="0"/>
              <w:spacing w:before="0" w:after="283"/>
              <w:ind w:left="180" w:right="0" w:hanging="180"/>
              <w:jc w:val="left"/>
              <w:rPr/>
            </w:pPr>
            <w:r>
              <w:rPr/>
              <w:t> </w:t>
            </w:r>
          </w:p>
        </w:tc>
      </w:tr>
      <w:tr>
        <w:trPr/>
        <w:tc>
          <w:tcPr>
            <w:tcW w:w="4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704,830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(82,070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37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06"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622,762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35" w:type="dxa"/>
        <w:jc w:val="left"/>
        <w:tblInd w:w="0" w:type="dxa"/>
        <w:tblLayout w:type="fixed"/>
        <w:tblCellMar>
          <w:top w:w="0" w:type="dxa"/>
          <w:left w:w="0" w:type="dxa"/>
          <w:bottom w:w="0" w:type="dxa"/>
          <w:right w:w="0" w:type="dxa"/>
        </w:tblCellMar>
      </w:tblPr>
      <w:tblGrid>
        <w:gridCol w:w="4520"/>
        <w:gridCol w:w="60"/>
        <w:gridCol w:w="163"/>
        <w:gridCol w:w="937"/>
        <w:gridCol w:w="60"/>
        <w:gridCol w:w="60"/>
        <w:gridCol w:w="395"/>
        <w:gridCol w:w="735"/>
        <w:gridCol w:w="60"/>
        <w:gridCol w:w="60"/>
        <w:gridCol w:w="155"/>
        <w:gridCol w:w="975"/>
        <w:gridCol w:w="95"/>
        <w:gridCol w:w="60"/>
        <w:gridCol w:w="140"/>
        <w:gridCol w:w="800"/>
        <w:gridCol w:w="60"/>
      </w:tblGrid>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180" w:right="0" w:hanging="0"/>
              <w:jc w:val="left"/>
              <w:rPr>
                <w:b/>
                <w:color w:val="000000"/>
                <w:u w:val="single"/>
              </w:rPr>
            </w:pPr>
            <w:r>
              <w:rPr>
                <w:b/>
                <w:color w:val="000000"/>
                <w:u w:val="single"/>
              </w:rPr>
              <w:t>December 31, 2022</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180" w:right="0" w:hanging="180"/>
              <w:jc w:val="left"/>
              <w:rPr>
                <w:color w:val="000000"/>
              </w:rPr>
            </w:pPr>
            <w:r>
              <w:rPr>
                <w:color w:val="000000"/>
              </w:rPr>
              <w:t>Available for sale:</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540" w:right="0" w:hanging="360"/>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color w:val="000000"/>
              </w:rPr>
            </w:pPr>
            <w:r>
              <w:rPr>
                <w:color w:val="000000"/>
              </w:rPr>
              <w:t>$</w:t>
            </w:r>
          </w:p>
        </w:tc>
        <w:tc>
          <w:tcPr>
            <w:tcW w:w="937" w:type="dxa"/>
            <w:tcBorders/>
            <w:shd w:fill="CCEEFF" w:val="clear"/>
            <w:vAlign w:val="bottom"/>
          </w:tcPr>
          <w:p>
            <w:pPr>
              <w:pStyle w:val="TableContents"/>
              <w:bidi w:val="0"/>
              <w:spacing w:before="0" w:after="0"/>
              <w:jc w:val="right"/>
              <w:rPr>
                <w:color w:val="000000"/>
              </w:rPr>
            </w:pPr>
            <w:r>
              <w:rPr>
                <w:color w:val="000000"/>
              </w:rPr>
              <w:t>259,429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0"/>
              <w:jc w:val="left"/>
              <w:rPr>
                <w:color w:val="000000"/>
              </w:rPr>
            </w:pPr>
            <w:r>
              <w:rPr>
                <w:color w:val="000000"/>
              </w:rPr>
              <w:t>$</w:t>
            </w:r>
          </w:p>
        </w:tc>
        <w:tc>
          <w:tcPr>
            <w:tcW w:w="735" w:type="dxa"/>
            <w:tcBorders/>
            <w:shd w:fill="CCEEFF" w:val="clear"/>
            <w:vAlign w:val="bottom"/>
          </w:tcPr>
          <w:p>
            <w:pPr>
              <w:pStyle w:val="TableContents"/>
              <w:bidi w:val="0"/>
              <w:spacing w:before="0" w:after="0"/>
              <w:jc w:val="right"/>
              <w:rPr>
                <w:color w:val="000000"/>
              </w:rPr>
            </w:pPr>
            <w:r>
              <w:rPr>
                <w:color w:val="00000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color w:val="000000"/>
              </w:rPr>
            </w:pPr>
            <w:r>
              <w:rPr>
                <w:color w:val="000000"/>
              </w:rPr>
              <w:t>$</w:t>
            </w:r>
          </w:p>
        </w:tc>
        <w:tc>
          <w:tcPr>
            <w:tcW w:w="975" w:type="dxa"/>
            <w:tcBorders/>
            <w:shd w:fill="CCEEFF" w:val="clear"/>
            <w:vAlign w:val="bottom"/>
          </w:tcPr>
          <w:p>
            <w:pPr>
              <w:pStyle w:val="TableContents"/>
              <w:bidi w:val="0"/>
              <w:spacing w:before="0" w:after="0"/>
              <w:jc w:val="right"/>
              <w:rPr>
                <w:color w:val="000000"/>
              </w:rPr>
            </w:pPr>
            <w:r>
              <w:rPr>
                <w:color w:val="000000"/>
              </w:rPr>
              <w:t>(34,401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225,055</w:t>
            </w:r>
          </w:p>
        </w:tc>
        <w:tc>
          <w:tcPr>
            <w:tcW w:w="60"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540" w:right="0" w:hanging="360"/>
              <w:jc w:val="left"/>
              <w:rPr>
                <w:color w:val="000000"/>
              </w:rPr>
            </w:pPr>
            <w:r>
              <w:rPr>
                <w:color w:val="000000"/>
              </w:rPr>
              <w:t>Residential mortgage-backed securities</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386,783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(57,938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328,845</w:t>
            </w:r>
          </w:p>
        </w:tc>
        <w:tc>
          <w:tcPr>
            <w:tcW w:w="60"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540" w:right="0" w:hanging="360"/>
              <w:jc w:val="left"/>
              <w:rPr/>
            </w:pPr>
            <w:r>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(7,194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41,967</w:t>
            </w:r>
          </w:p>
        </w:tc>
        <w:tc>
          <w:tcPr>
            <w:tcW w:w="60"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540" w:right="0" w:hanging="360"/>
              <w:jc w:val="left"/>
              <w:rPr>
                <w:color w:val="000000"/>
              </w:rPr>
            </w:pPr>
            <w:r>
              <w:rPr>
                <w:color w:val="000000"/>
              </w:rPr>
              <w:t>Commercial collateralized mortgage obligations</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76,189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(551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75,638</w:t>
            </w:r>
          </w:p>
        </w:tc>
        <w:tc>
          <w:tcPr>
            <w:tcW w:w="60"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540" w:right="0" w:hanging="360"/>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20,907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0"/>
              <w:jc w:val="right"/>
              <w:rPr>
                <w:color w:val="000000"/>
              </w:rPr>
            </w:pPr>
            <w:r>
              <w:rPr>
                <w:color w:val="000000"/>
              </w:rPr>
              <w:t>(1,813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19,094</w:t>
            </w:r>
          </w:p>
        </w:tc>
        <w:tc>
          <w:tcPr>
            <w:tcW w:w="60"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540" w:right="0" w:hanging="360"/>
              <w:jc w:val="left"/>
              <w:rPr/>
            </w:pPr>
            <w:r>
              <w:rPr/>
              <w:t>Other securities</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975" w:type="dxa"/>
            <w:tcBorders>
              <w:bottom w:val="single" w:sz="12" w:space="0" w:color="000000"/>
            </w:tcBorders>
            <w:tcMar>
              <w:bottom w:w="28" w:type="dxa"/>
            </w:tcMar>
            <w:vAlign w:val="bottom"/>
          </w:tcPr>
          <w:p>
            <w:pPr>
              <w:pStyle w:val="TableContents"/>
              <w:bidi w:val="0"/>
              <w:spacing w:before="0" w:after="283"/>
              <w:jc w:val="right"/>
              <w:rPr/>
            </w:pPr>
            <w:r>
              <w:rPr/>
              <w:t>(888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11,112</w:t>
            </w:r>
          </w:p>
        </w:tc>
        <w:tc>
          <w:tcPr>
            <w:tcW w:w="60"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804,469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7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(102,785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701,711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amortized cost and fair value of securities at December 31, 2023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pStyle w:val="TextBody"/>
        <w:bidi w:val="0"/>
        <w:spacing w:before="0" w:after="0"/>
        <w:jc w:val="left"/>
        <w:rPr>
          <w:rFonts w:ascii="Times New Roman" w:hAnsi="Times New Roman"/>
          <w:sz w:val="20"/>
        </w:rPr>
      </w:pPr>
      <w:r>
        <w:rPr>
          <w:rFonts w:ascii="Times New Roman" w:hAnsi="Times New Roman"/>
          <w:sz w:val="20"/>
        </w:rPr>
      </w:r>
    </w:p>
    <w:tbl>
      <w:tblPr>
        <w:tblW w:w="5180" w:type="dxa"/>
        <w:jc w:val="left"/>
        <w:tblInd w:w="0" w:type="dxa"/>
        <w:tblLayout w:type="fixed"/>
        <w:tblCellMar>
          <w:top w:w="0" w:type="dxa"/>
          <w:left w:w="0" w:type="dxa"/>
          <w:bottom w:w="0" w:type="dxa"/>
          <w:right w:w="0" w:type="dxa"/>
        </w:tblCellMar>
      </w:tblPr>
      <w:tblGrid>
        <w:gridCol w:w="2900"/>
        <w:gridCol w:w="60"/>
        <w:gridCol w:w="163"/>
        <w:gridCol w:w="937"/>
        <w:gridCol w:w="60"/>
        <w:gridCol w:w="60"/>
        <w:gridCol w:w="140"/>
        <w:gridCol w:w="800"/>
        <w:gridCol w:w="60"/>
      </w:tblGrid>
      <w:tr>
        <w:trPr/>
        <w:tc>
          <w:tcPr>
            <w:tcW w:w="2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Available for Sale</w:t>
            </w:r>
          </w:p>
        </w:tc>
        <w:tc>
          <w:tcPr>
            <w:tcW w:w="60" w:type="dxa"/>
            <w:tcBorders/>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color w:val="000000"/>
              </w:rPr>
            </w:pPr>
            <w:r>
              <w:rPr>
                <w:color w:val="000000"/>
              </w:rPr>
              <w:t>Within 1 year</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color w:val="000000"/>
              </w:rPr>
            </w:pPr>
            <w:r>
              <w:rPr>
                <w:color w:val="000000"/>
              </w:rPr>
              <w:t>$</w:t>
            </w:r>
          </w:p>
        </w:tc>
        <w:tc>
          <w:tcPr>
            <w:tcW w:w="937" w:type="dxa"/>
            <w:tcBorders/>
            <w:shd w:fill="CCEEFF" w:val="clear"/>
            <w:vAlign w:val="bottom"/>
          </w:tcPr>
          <w:p>
            <w:pPr>
              <w:pStyle w:val="TableContents"/>
              <w:bidi w:val="0"/>
              <w:spacing w:before="0" w:after="0"/>
              <w:jc w:val="right"/>
              <w:rPr>
                <w:color w:val="000000"/>
              </w:rPr>
            </w:pPr>
            <w:r>
              <w:rPr>
                <w:color w:val="000000"/>
              </w:rPr>
              <w:t>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735</w:t>
            </w:r>
          </w:p>
        </w:tc>
        <w:tc>
          <w:tcPr>
            <w:tcW w:w="60"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color w:val="000000"/>
              </w:rPr>
            </w:pPr>
            <w:r>
              <w:rPr>
                <w:color w:val="000000"/>
              </w:rPr>
              <w:t>After 1 year through 5 years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6,112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5,940</w:t>
            </w:r>
          </w:p>
        </w:tc>
        <w:tc>
          <w:tcPr>
            <w:tcW w:w="6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color w:val="000000"/>
              </w:rPr>
            </w:pPr>
            <w:r>
              <w:rPr>
                <w:color w:val="000000"/>
              </w:rPr>
              <w:t>After 5 years through 10 years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16,897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15,640</w:t>
            </w:r>
          </w:p>
        </w:tc>
        <w:tc>
          <w:tcPr>
            <w:tcW w:w="60"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color w:val="000000"/>
              </w:rPr>
            </w:pPr>
            <w:r>
              <w:rPr>
                <w:color w:val="000000"/>
              </w:rPr>
              <w:t>After 10 years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color w:val="000000"/>
              </w:rPr>
            </w:pPr>
            <w:r>
              <w:rPr>
                <w:color w:val="000000"/>
              </w:rPr>
              <w:t>191,070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169,024</w:t>
            </w:r>
          </w:p>
        </w:tc>
        <w:tc>
          <w:tcPr>
            <w:tcW w:w="6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color w:val="000000"/>
              </w:rPr>
            </w:pPr>
            <w:r>
              <w:rPr>
                <w:color w:val="000000"/>
              </w:rPr>
              <w:t>Declining-balance securities</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490,016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431,423</w:t>
            </w:r>
          </w:p>
        </w:tc>
        <w:tc>
          <w:tcPr>
            <w:tcW w:w="60"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704,830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622,762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2023 and 2022, there were no holdings of securities of any one issuer, other than the U.S. government, its agencies, or its sponsored enterprises, in an amount greater than 10% of stockholders’ equity.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with a carrying value of approximately $438.9 million and $464.1 million at December 31, 2023 and 2022, respectively, were pledged to collateralize public deposits and for other purposes as required or permitted by law.</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sold $56.2 million of available for sale securities in the second quarter of 2023. This resulted in realized losses on sale of $3.4 million.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segregates securities with unrealized losses at year-end, by the duration they have been in a loss position for which an allowance for credit losses has not been recorded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167"/>
        <w:gridCol w:w="60"/>
        <w:gridCol w:w="190"/>
        <w:gridCol w:w="760"/>
        <w:gridCol w:w="81"/>
        <w:gridCol w:w="81"/>
        <w:gridCol w:w="304"/>
        <w:gridCol w:w="826"/>
        <w:gridCol w:w="60"/>
        <w:gridCol w:w="60"/>
        <w:gridCol w:w="144"/>
        <w:gridCol w:w="830"/>
        <w:gridCol w:w="61"/>
        <w:gridCol w:w="61"/>
        <w:gridCol w:w="192"/>
        <w:gridCol w:w="938"/>
        <w:gridCol w:w="60"/>
        <w:gridCol w:w="60"/>
        <w:gridCol w:w="140"/>
        <w:gridCol w:w="800"/>
        <w:gridCol w:w="60"/>
        <w:gridCol w:w="60"/>
        <w:gridCol w:w="192"/>
        <w:gridCol w:w="938"/>
        <w:gridCol w:w="80"/>
      </w:tblGrid>
      <w:tr>
        <w:trPr/>
        <w:tc>
          <w:tcPr>
            <w:tcW w:w="3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12 Months or More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80" w:type="dxa"/>
            <w:tcBorders/>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80" w:type="dxa"/>
            <w:tcBorders/>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0"/>
              <w:ind w:left="144" w:right="0" w:hanging="0"/>
              <w:jc w:val="left"/>
              <w:rPr>
                <w:b/>
                <w:color w:val="000000"/>
                <w:u w:val="single"/>
              </w:rPr>
            </w:pPr>
            <w:r>
              <w:rPr>
                <w:b/>
                <w:color w:val="000000"/>
                <w:u w:val="single"/>
              </w:rPr>
              <w:t>December 31, 2023</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167" w:type="dxa"/>
            <w:tcBorders/>
            <w:shd w:fill="CCEEFF" w:val="clear"/>
            <w:vAlign w:val="bottom"/>
          </w:tcPr>
          <w:p>
            <w:pPr>
              <w:pStyle w:val="TableContents"/>
              <w:bidi w:val="0"/>
              <w:spacing w:before="0" w:after="0"/>
              <w:ind w:left="180" w:right="0" w:hanging="180"/>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0"/>
              <w:jc w:val="right"/>
              <w:rPr>
                <w:color w:val="000000"/>
              </w:rPr>
            </w:pPr>
            <w:r>
              <w:rPr>
                <w:color w:val="000000"/>
              </w:rPr>
              <w:t>207</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0"/>
              <w:jc w:val="right"/>
              <w:rPr>
                <w:color w:val="000000"/>
              </w:rPr>
            </w:pPr>
            <w:r>
              <w:rPr>
                <w:color w:val="000000"/>
              </w:rPr>
              <w:t>177,908</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0"/>
              <w:jc w:val="right"/>
              <w:rPr>
                <w:color w:val="000000"/>
              </w:rPr>
            </w:pPr>
            <w:r>
              <w:rPr>
                <w:color w:val="000000"/>
              </w:rPr>
              <w:t>22,241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0"/>
              <w:jc w:val="right"/>
              <w:rPr>
                <w:color w:val="000000"/>
              </w:rPr>
            </w:pPr>
            <w:r>
              <w:rPr>
                <w:color w:val="000000"/>
              </w:rPr>
              <w:t>178,115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0"/>
              <w:jc w:val="right"/>
              <w:rPr>
                <w:color w:val="000000"/>
              </w:rPr>
            </w:pPr>
            <w:r>
              <w:rPr>
                <w:color w:val="000000"/>
              </w:rPr>
              <w:t>22,241</w:t>
            </w:r>
          </w:p>
        </w:tc>
        <w:tc>
          <w:tcPr>
            <w:tcW w:w="80" w:type="dxa"/>
            <w:tcBorders/>
            <w:shd w:fill="CCEEFF" w:val="clear"/>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0"/>
              <w:ind w:left="180" w:right="0" w:hanging="180"/>
              <w:jc w:val="left"/>
              <w:rPr>
                <w:color w:val="000000"/>
              </w:rPr>
            </w:pPr>
            <w:r>
              <w:rPr>
                <w:color w:val="000000"/>
              </w:rPr>
              <w:t>Mortgage-backed securities - residential</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color w:val="000000"/>
              </w:rPr>
            </w:pPr>
            <w:r>
              <w:rPr>
                <w:color w:val="000000"/>
              </w:rPr>
              <w:t>9</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300,695</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50,547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300,704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50,547</w:t>
            </w:r>
          </w:p>
        </w:tc>
        <w:tc>
          <w:tcPr>
            <w:tcW w:w="80" w:type="dxa"/>
            <w:tcBorders/>
            <w:vAlign w:val="bottom"/>
          </w:tcPr>
          <w:p>
            <w:pPr>
              <w:pStyle w:val="TableContents"/>
              <w:bidi w:val="0"/>
              <w:spacing w:before="0" w:after="283"/>
              <w:jc w:val="left"/>
              <w:rPr/>
            </w:pPr>
            <w:r>
              <w:rPr/>
              <w:t> </w:t>
            </w:r>
          </w:p>
        </w:tc>
      </w:tr>
      <w:tr>
        <w:trPr/>
        <w:tc>
          <w:tcPr>
            <w:tcW w:w="3167" w:type="dxa"/>
            <w:tcBorders/>
            <w:shd w:fill="CCEEFF" w:val="clear"/>
            <w:vAlign w:val="bottom"/>
          </w:tcPr>
          <w:p>
            <w:pPr>
              <w:pStyle w:val="TableContents"/>
              <w:bidi w:val="0"/>
              <w:spacing w:before="0" w:after="0"/>
              <w:ind w:left="180" w:right="0" w:hanging="180"/>
              <w:jc w:val="left"/>
              <w:rPr/>
            </w:pPr>
            <w:r>
              <w:rPr/>
              <w:t>Mortgage-backed securities - commercial</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41,748</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6,150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41,748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6,150</w:t>
            </w:r>
          </w:p>
        </w:tc>
        <w:tc>
          <w:tcPr>
            <w:tcW w:w="80" w:type="dxa"/>
            <w:tcBorders/>
            <w:shd w:fill="CCEEFF" w:val="clear"/>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0"/>
              <w:ind w:left="180" w:right="0" w:hanging="180"/>
              <w:jc w:val="left"/>
              <w:rPr>
                <w:color w:val="000000"/>
              </w:rPr>
            </w:pPr>
            <w:r>
              <w:rPr>
                <w:color w:val="000000"/>
              </w:rPr>
              <w:t>Collateralized mortgage obligations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color w:val="000000"/>
              </w:rPr>
            </w:pPr>
            <w:r>
              <w:rPr>
                <w:color w:val="000000"/>
              </w:rPr>
              <w:t>—</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71,930</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71,930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461</w:t>
            </w:r>
          </w:p>
        </w:tc>
        <w:tc>
          <w:tcPr>
            <w:tcW w:w="80" w:type="dxa"/>
            <w:tcBorders/>
            <w:vAlign w:val="bottom"/>
          </w:tcPr>
          <w:p>
            <w:pPr>
              <w:pStyle w:val="TableContents"/>
              <w:bidi w:val="0"/>
              <w:spacing w:before="0" w:after="283"/>
              <w:jc w:val="left"/>
              <w:rPr/>
            </w:pPr>
            <w:r>
              <w:rPr/>
              <w:t> </w:t>
            </w:r>
          </w:p>
        </w:tc>
      </w:tr>
      <w:tr>
        <w:trPr/>
        <w:tc>
          <w:tcPr>
            <w:tcW w:w="3167" w:type="dxa"/>
            <w:tcBorders/>
            <w:shd w:fill="CCEEFF" w:val="clear"/>
            <w:vAlign w:val="bottom"/>
          </w:tcPr>
          <w:p>
            <w:pPr>
              <w:pStyle w:val="TableContents"/>
              <w:bidi w:val="0"/>
              <w:spacing w:before="0" w:after="0"/>
              <w:ind w:left="180" w:right="0" w:hanging="180"/>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color w:val="000000"/>
              </w:rPr>
            </w:pPr>
            <w:r>
              <w:rPr>
                <w:color w:val="000000"/>
              </w:rPr>
              <w:t>—</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17,040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17,040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1,436</w:t>
            </w:r>
          </w:p>
        </w:tc>
        <w:tc>
          <w:tcPr>
            <w:tcW w:w="80" w:type="dxa"/>
            <w:tcBorders/>
            <w:shd w:fill="CCEEFF" w:val="clear"/>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0"/>
              <w:ind w:left="180" w:right="0" w:hanging="180"/>
              <w:jc w:val="left"/>
              <w:rPr>
                <w:color w:val="000000"/>
              </w:rPr>
            </w:pPr>
            <w:r>
              <w:rPr>
                <w:color w:val="000000"/>
              </w:rPr>
              <w:t>Other securities</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3,286</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right"/>
              <w:rPr/>
            </w:pPr>
            <w:r>
              <w:rPr/>
              <w:t> </w:t>
            </w:r>
          </w:p>
        </w:tc>
        <w:tc>
          <w:tcPr>
            <w:tcW w:w="304"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7,479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1,235</w:t>
            </w:r>
          </w:p>
        </w:tc>
        <w:tc>
          <w:tcPr>
            <w:tcW w:w="80" w:type="dxa"/>
            <w:tcBorders/>
            <w:vAlign w:val="bottom"/>
          </w:tcPr>
          <w:p>
            <w:pPr>
              <w:pStyle w:val="TableContents"/>
              <w:bidi w:val="0"/>
              <w:spacing w:before="0" w:after="283"/>
              <w:jc w:val="left"/>
              <w:rPr/>
            </w:pPr>
            <w:r>
              <w:rPr/>
              <w:t> </w:t>
            </w:r>
          </w:p>
        </w:tc>
      </w:tr>
      <w:tr>
        <w:trPr/>
        <w:tc>
          <w:tcPr>
            <w:tcW w:w="3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3,502</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right"/>
              <w:rPr/>
            </w:pPr>
            <w:r>
              <w:rPr/>
              <w:t> </w:t>
            </w:r>
          </w:p>
        </w:tc>
        <w:tc>
          <w:tcPr>
            <w:tcW w:w="30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616,800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81,856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620,302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82,070</w:t>
            </w:r>
          </w:p>
        </w:tc>
        <w:tc>
          <w:tcPr>
            <w:tcW w:w="80" w:type="dxa"/>
            <w:tcBorders/>
            <w:shd w:fill="CCEEFF" w:val="clear"/>
            <w:vAlign w:val="bottom"/>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4070"/>
        <w:gridCol w:w="60"/>
        <w:gridCol w:w="140"/>
        <w:gridCol w:w="800"/>
        <w:gridCol w:w="60"/>
        <w:gridCol w:w="60"/>
        <w:gridCol w:w="140"/>
        <w:gridCol w:w="680"/>
        <w:gridCol w:w="60"/>
        <w:gridCol w:w="60"/>
        <w:gridCol w:w="140"/>
        <w:gridCol w:w="800"/>
        <w:gridCol w:w="60"/>
        <w:gridCol w:w="60"/>
        <w:gridCol w:w="140"/>
        <w:gridCol w:w="680"/>
        <w:gridCol w:w="60"/>
        <w:gridCol w:w="60"/>
        <w:gridCol w:w="140"/>
        <w:gridCol w:w="800"/>
        <w:gridCol w:w="60"/>
        <w:gridCol w:w="60"/>
        <w:gridCol w:w="140"/>
        <w:gridCol w:w="800"/>
        <w:gridCol w:w="75"/>
      </w:tblGrid>
      <w:tr>
        <w:trPr/>
        <w:tc>
          <w:tcPr>
            <w:tcW w:w="4070" w:type="dxa"/>
            <w:tcBorders/>
            <w:vAlign w:val="bottom"/>
          </w:tcPr>
          <w:p>
            <w:pPr>
              <w:pStyle w:val="TableContents"/>
              <w:bidi w:val="0"/>
              <w:spacing w:before="0" w:after="0"/>
              <w:ind w:left="144" w:right="0" w:hanging="144"/>
              <w:jc w:val="left"/>
              <w:rPr>
                <w:color w:val="000000"/>
                <w:u w:val="single"/>
              </w:rPr>
            </w:pPr>
            <w:r>
              <w:rPr>
                <w:color w:val="000000"/>
                <w:u w:val="single"/>
              </w:rPr>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December 31, 2022</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80" w:right="0" w:hanging="180"/>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0"/>
              <w:jc w:val="right"/>
              <w:rPr>
                <w:color w:val="000000"/>
              </w:rPr>
            </w:pPr>
            <w:r>
              <w:rPr>
                <w:color w:val="000000"/>
              </w:rPr>
              <w:t>162,746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0"/>
              <w:jc w:val="right"/>
              <w:rPr>
                <w:color w:val="000000"/>
              </w:rPr>
            </w:pPr>
            <w:r>
              <w:rPr>
                <w:color w:val="000000"/>
              </w:rPr>
              <w:t>23,538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0"/>
              <w:jc w:val="right"/>
              <w:rPr>
                <w:color w:val="000000"/>
              </w:rPr>
            </w:pPr>
            <w:r>
              <w:rPr>
                <w:color w:val="000000"/>
              </w:rPr>
              <w:t>57,675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0"/>
              <w:jc w:val="right"/>
              <w:rPr>
                <w:color w:val="000000"/>
              </w:rPr>
            </w:pPr>
            <w:r>
              <w:rPr>
                <w:color w:val="000000"/>
              </w:rPr>
              <w:t>10,863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0"/>
              <w:jc w:val="right"/>
              <w:rPr>
                <w:color w:val="000000"/>
              </w:rPr>
            </w:pPr>
            <w:r>
              <w:rPr>
                <w:color w:val="000000"/>
              </w:rPr>
              <w:t>220,421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0"/>
              <w:jc w:val="right"/>
              <w:rPr>
                <w:color w:val="000000"/>
              </w:rPr>
            </w:pPr>
            <w:r>
              <w:rPr>
                <w:color w:val="000000"/>
              </w:rPr>
              <w:t>34,401</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80" w:right="0" w:hanging="180"/>
              <w:jc w:val="left"/>
              <w:rPr>
                <w:color w:val="000000"/>
              </w:rPr>
            </w:pPr>
            <w:r>
              <w:rPr>
                <w:color w:val="000000"/>
              </w:rPr>
              <w:t>Mortgage-backed securities - residential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220,752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27,967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108,080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29,971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328,832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57,938</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80" w:right="0" w:hanging="180"/>
              <w:jc w:val="left"/>
              <w:rPr/>
            </w:pPr>
            <w:r>
              <w:rPr/>
              <w:t>Mortgage-backed securities - commercial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7,194</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80" w:right="0" w:hanging="180"/>
              <w:jc w:val="left"/>
              <w:rPr>
                <w:color w:val="000000"/>
              </w:rPr>
            </w:pPr>
            <w:r>
              <w:rPr>
                <w:color w:val="000000"/>
              </w:rPr>
              <w:t>Collateralized mortgage obligations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75,638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551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75,638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551</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80" w:right="0" w:hanging="180"/>
              <w:jc w:val="left"/>
              <w:rPr/>
            </w:pPr>
            <w:r>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1,813</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80" w:right="0" w:hanging="180"/>
              <w:jc w:val="left"/>
              <w:rPr>
                <w:color w:val="000000"/>
              </w:rPr>
            </w:pPr>
            <w:r>
              <w:rPr>
                <w:color w:val="000000"/>
              </w:rPr>
              <w:t>Other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888</w:t>
            </w:r>
          </w:p>
        </w:tc>
        <w:tc>
          <w:tcPr>
            <w:tcW w:w="75" w:type="dxa"/>
            <w:tcBorders/>
            <w:vAlign w:val="bottom"/>
          </w:tcPr>
          <w:p>
            <w:pPr>
              <w:pStyle w:val="TableContents"/>
              <w:bidi w:val="0"/>
              <w:spacing w:before="0" w:after="283"/>
              <w:ind w:left="180" w:right="0" w:hanging="180"/>
              <w:jc w:val="left"/>
              <w:rPr/>
            </w:pPr>
            <w:r>
              <w:rPr/>
              <w:t> </w:t>
            </w:r>
          </w:p>
        </w:tc>
      </w:tr>
      <w:tr>
        <w:trPr/>
        <w:tc>
          <w:tcPr>
            <w:tcW w:w="40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531,308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165,755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40,834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697,063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102,785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144 securities with an unrealized loss at December 31, 2023,</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December 31, 2023,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both"/>
              <w:rPr>
                <w:b/>
                <w:i/>
                <w:color w:val="000000"/>
              </w:rPr>
            </w:pPr>
            <w:r>
              <w:rPr>
                <w:b/>
                <w:i/>
                <w:color w:val="000000"/>
              </w:rPr>
              <w:t>3.</w:t>
            </w:r>
          </w:p>
        </w:tc>
        <w:tc>
          <w:tcPr>
            <w:tcW w:w="3800" w:type="dxa"/>
            <w:tcBorders/>
            <w:vAlign w:val="center"/>
          </w:tcPr>
          <w:p>
            <w:pPr>
              <w:pStyle w:val="TableContents"/>
              <w:bidi w:val="0"/>
              <w:spacing w:before="0" w:after="0"/>
              <w:ind w:left="720" w:right="0" w:hanging="720"/>
              <w:jc w:val="both"/>
              <w:rPr>
                <w:b/>
                <w:i/>
                <w:color w:val="000000"/>
              </w:rPr>
            </w:pPr>
            <w:r>
              <w:rPr>
                <w:b/>
                <w:i/>
                <w:color w:val="000000"/>
              </w:rPr>
              <w:t>LOANS HELD FOR INVESTMENT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 are summarized by category at year-end as follows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6578" w:type="dxa"/>
        <w:jc w:val="left"/>
        <w:tblInd w:w="0" w:type="dxa"/>
        <w:tblLayout w:type="fixed"/>
        <w:tblCellMar>
          <w:top w:w="0" w:type="dxa"/>
          <w:left w:w="0" w:type="dxa"/>
          <w:bottom w:w="0" w:type="dxa"/>
          <w:right w:w="0" w:type="dxa"/>
        </w:tblCellMar>
      </w:tblPr>
      <w:tblGrid>
        <w:gridCol w:w="3440"/>
        <w:gridCol w:w="60"/>
        <w:gridCol w:w="176"/>
        <w:gridCol w:w="1238"/>
        <w:gridCol w:w="95"/>
        <w:gridCol w:w="60"/>
        <w:gridCol w:w="176"/>
        <w:gridCol w:w="1238"/>
        <w:gridCol w:w="95"/>
      </w:tblGrid>
      <w:tr>
        <w:trPr/>
        <w:tc>
          <w:tcPr>
            <w:tcW w:w="3440" w:type="dxa"/>
            <w:tcBorders/>
            <w:vAlign w:val="bottom"/>
          </w:tcPr>
          <w:p>
            <w:pPr>
              <w:pStyle w:val="TableContents"/>
              <w:bidi w:val="0"/>
              <w:spacing w:before="0" w:after="283"/>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br/>
              <w:t>2022</w:t>
            </w:r>
          </w:p>
        </w:tc>
        <w:tc>
          <w:tcPr>
            <w:tcW w:w="9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1238" w:type="dxa"/>
            <w:tcBorders/>
            <w:shd w:fill="CCEEFF" w:val="clear"/>
            <w:vAlign w:val="bottom"/>
          </w:tcPr>
          <w:p>
            <w:pPr>
              <w:pStyle w:val="TableContents"/>
              <w:bidi w:val="0"/>
              <w:spacing w:before="0" w:after="0"/>
              <w:jc w:val="right"/>
              <w:rPr>
                <w:color w:val="000000"/>
              </w:rPr>
            </w:pPr>
            <w:r>
              <w:rPr>
                <w:color w:val="000000"/>
              </w:rPr>
              <w:t>1,081,056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1238" w:type="dxa"/>
            <w:tcBorders/>
            <w:shd w:fill="CCEEFF" w:val="clear"/>
            <w:vAlign w:val="bottom"/>
          </w:tcPr>
          <w:p>
            <w:pPr>
              <w:pStyle w:val="TableContents"/>
              <w:bidi w:val="0"/>
              <w:spacing w:before="0" w:after="0"/>
              <w:jc w:val="right"/>
              <w:rPr>
                <w:color w:val="000000"/>
              </w:rPr>
            </w:pPr>
            <w:r>
              <w:rPr>
                <w:color w:val="000000"/>
              </w:rPr>
              <w:t>919,358</w:t>
            </w:r>
          </w:p>
        </w:tc>
        <w:tc>
          <w:tcPr>
            <w:tcW w:w="9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color w:val="000000"/>
              </w:rPr>
            </w:pPr>
            <w:r>
              <w:rPr>
                <w:color w:val="000000"/>
              </w:rPr>
              <w:t>372,376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color w:val="000000"/>
              </w:rPr>
            </w:pPr>
            <w:r>
              <w:rPr>
                <w:color w:val="000000"/>
              </w:rPr>
              <w:t>327,513</w:t>
            </w:r>
          </w:p>
        </w:tc>
        <w:tc>
          <w:tcPr>
            <w:tcW w:w="9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517,361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484,783</w:t>
            </w:r>
          </w:p>
        </w:tc>
        <w:tc>
          <w:tcPr>
            <w:tcW w:w="9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color w:val="000000"/>
              </w:rPr>
            </w:pPr>
            <w:r>
              <w:rPr>
                <w:color w:val="000000"/>
              </w:rPr>
              <w:t>Consumer:</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534,731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460,124</w:t>
            </w:r>
          </w:p>
        </w:tc>
        <w:tc>
          <w:tcPr>
            <w:tcW w:w="9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360" w:right="0" w:hanging="180"/>
              <w:jc w:val="left"/>
              <w:rPr>
                <w:color w:val="000000"/>
              </w:rPr>
            </w:pPr>
            <w:r>
              <w:rPr>
                <w:color w:val="000000"/>
              </w:rPr>
              <w:t>Auto loans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color w:val="000000"/>
              </w:rPr>
            </w:pPr>
            <w:r>
              <w:rPr>
                <w:color w:val="000000"/>
              </w:rPr>
              <w:t>305,271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color w:val="000000"/>
              </w:rPr>
            </w:pPr>
            <w:r>
              <w:rPr>
                <w:color w:val="000000"/>
              </w:rPr>
              <w:t>321,476</w:t>
            </w:r>
          </w:p>
        </w:tc>
        <w:tc>
          <w:tcPr>
            <w:tcW w:w="9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74,168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81,308</w:t>
            </w:r>
          </w:p>
        </w:tc>
        <w:tc>
          <w:tcPr>
            <w:tcW w:w="9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color w:val="000000"/>
              </w:rPr>
            </w:pPr>
            <w:r>
              <w:rPr>
                <w:color w:val="000000"/>
              </w:rPr>
              <w:t>Construction</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129,190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153,519</w:t>
            </w:r>
          </w:p>
        </w:tc>
        <w:tc>
          <w:tcPr>
            <w:tcW w:w="95" w:type="dxa"/>
            <w:tcBorders/>
            <w:vAlign w:val="bottom"/>
          </w:tcPr>
          <w:p>
            <w:pPr>
              <w:pStyle w:val="TableContents"/>
              <w:bidi w:val="0"/>
              <w:spacing w:before="0" w:after="283"/>
              <w:ind w:left="180" w:right="0" w:hanging="180"/>
              <w:jc w:val="left"/>
              <w:rPr/>
            </w:pPr>
            <w:r>
              <w:rPr/>
              <w:t> </w:t>
            </w:r>
          </w:p>
        </w:tc>
      </w:tr>
      <w:tr>
        <w:trPr/>
        <w:tc>
          <w:tcPr>
            <w:tcW w:w="34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3,014,153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2,748,081</w:t>
            </w:r>
          </w:p>
        </w:tc>
        <w:tc>
          <w:tcPr>
            <w:tcW w:w="9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color w:val="000000"/>
              </w:rPr>
            </w:pPr>
            <w:r>
              <w:rPr>
                <w:color w:val="000000"/>
              </w:rPr>
              <w:t>Allowance for credit losses on loans</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(42,356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(39,288</w:t>
            </w:r>
          </w:p>
        </w:tc>
        <w:tc>
          <w:tcPr>
            <w:tcW w:w="95" w:type="dxa"/>
            <w:tcBorders/>
            <w:vAlign w:val="bottom"/>
          </w:tcPr>
          <w:p>
            <w:pPr>
              <w:pStyle w:val="TableContents"/>
              <w:bidi w:val="0"/>
              <w:spacing w:before="0" w:after="0"/>
              <w:jc w:val="left"/>
              <w:rPr>
                <w:color w:val="000000"/>
              </w:rPr>
            </w:pPr>
            <w:r>
              <w:rPr>
                <w:color w:val="000000"/>
              </w:rPr>
              <w:t>)</w:t>
            </w:r>
          </w:p>
        </w:tc>
      </w:tr>
      <w:tr>
        <w:trPr/>
        <w:tc>
          <w:tcPr>
            <w:tcW w:w="3440" w:type="dxa"/>
            <w:tcBorders/>
            <w:shd w:fill="CCEEFF" w:val="clear"/>
            <w:vAlign w:val="bottom"/>
          </w:tcPr>
          <w:p>
            <w:pPr>
              <w:pStyle w:val="TableContents"/>
              <w:bidi w:val="0"/>
              <w:spacing w:before="0" w:after="0"/>
              <w:ind w:left="180" w:right="0" w:hanging="180"/>
              <w:jc w:val="left"/>
              <w:rPr>
                <w:color w:val="000000"/>
              </w:rPr>
            </w:pPr>
            <w:r>
              <w:rPr>
                <w:color w:val="000000"/>
              </w:rPr>
              <w:t>Loans, net</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2,971,797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2,708,793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Real Estate</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pacing w:val="0"/>
          <w:sz w:val="20"/>
          <w:shd w:fill="FFFFFF" w:val="clear"/>
        </w:rPr>
        <w:t>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u w:val="single"/>
          <w:shd w:fill="FFFFFF" w:val="clear"/>
        </w:rPr>
        <w:t>Commercial – General and Specialized</w:t>
      </w:r>
      <w:r>
        <w:rPr>
          <w:rFonts w:ascii="Times New Roman" w:hAnsi="Times New Roman"/>
          <w:caps w:val="false"/>
          <w:smallCaps w:val="false"/>
          <w:color w:val="000000"/>
          <w:sz w:val="20"/>
          <w:shd w:fill="FFFFFF" w:val="clear"/>
        </w:rPr>
        <w:t xml:space="preserve"> – </w:t>
      </w:r>
      <w:r>
        <w:rPr>
          <w:rFonts w:ascii="Times New Roman" w:hAnsi="Times New Roman"/>
          <w:b w:val="false"/>
          <w:i w:val="false"/>
          <w:caps w:val="false"/>
          <w:smallCaps w:val="false"/>
          <w:color w:val="000000"/>
          <w:sz w:val="20"/>
          <w:shd w:fill="FFFFFF" w:val="clear"/>
        </w:rPr>
        <w:t>Commercial loans are underwritten after evaluating and understanding the 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r>
        <w:rPr>
          <w:rFonts w:ascii="Times New Roman" w:hAnsi="Times New Roman"/>
          <w:color w:val="000000"/>
          <w:sz w:val="20"/>
          <w:shd w:fill="FFFFFF" w:val="clear"/>
        </w:rPr>
        <w:t xml:space="preserve"> </w:t>
      </w:r>
      <w:r>
        <w:rPr>
          <w:rFonts w:ascii="Times New Roman" w:hAnsi="Times New Roman"/>
          <w:b w:val="false"/>
          <w:i w:val="false"/>
          <w:caps w:val="false"/>
          <w:smallCaps w:val="false"/>
          <w:color w:val="000000"/>
          <w:sz w:val="20"/>
          <w:shd w:fill="FFFFFF" w:val="clear"/>
        </w:rPr>
        <w:t>Performance of these loans is subject to operating and cash flow results of the borrower, with risk in the volatility of operating results for particular industries.</w:t>
      </w:r>
    </w:p>
    <w:p>
      <w:pPr>
        <w:pStyle w:val="TextBody"/>
        <w:bidi w:val="0"/>
        <w:spacing w:before="0" w:after="0"/>
        <w:jc w:val="both"/>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Consumer</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pacing w:val="0"/>
          <w:sz w:val="20"/>
          <w:shd w:fill="FFFFFF" w:val="clear"/>
        </w:rPr>
        <w:t xml:space="preserve">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w:t>
      </w:r>
      <w:r>
        <w:rPr>
          <w:rFonts w:ascii="Times New Roman" w:hAnsi="Times New Roman"/>
          <w:b w:val="false"/>
          <w:i w:val="false"/>
          <w:caps w:val="false"/>
          <w:smallCaps w:val="false"/>
          <w:color w:val="000000"/>
          <w:spacing w:val="0"/>
          <w:sz w:val="20"/>
          <w:shd w:fill="FFFFFF" w:val="clear"/>
        </w:rPr>
        <w:t>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i/>
          <w:color w:val="000000"/>
          <w:sz w:val="20"/>
          <w:u w:val="single"/>
          <w:shd w:fill="FFFFFF" w:val="clear"/>
        </w:rPr>
        <w:t>Construction</w:t>
      </w:r>
      <w:r>
        <w:rPr>
          <w:rFonts w:ascii="Times New Roman" w:hAnsi="Times New Roman"/>
          <w:color w:val="000000"/>
          <w:sz w:val="20"/>
          <w:shd w:fill="FFFFFF" w:val="clear"/>
        </w:rPr>
        <w:t>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ACL for loans was $42.4 million at December 31, 2023, compared to $39.3 million at December 31, 2022. The ACL for loans to loans held for investment was 1.41% at December 31, 2023 and 1.43% at December 31,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details the activity in the ACL for the years ended December 31, 2023, 2022, and 2021 (dollars in thousands). Allocation of a portion of the allowance to one category of loans does not preclude its availability to absorb losses in other categories.</w:t>
      </w:r>
    </w:p>
    <w:p>
      <w:pPr>
        <w:pStyle w:val="TextBody"/>
        <w:bidi w:val="0"/>
        <w:spacing w:before="0" w:after="0"/>
        <w:jc w:val="left"/>
        <w:rPr>
          <w:rFonts w:ascii="Times New Roman" w:hAnsi="Times New Roman"/>
          <w:sz w:val="20"/>
        </w:rPr>
      </w:pPr>
      <w:r>
        <w:rPr>
          <w:rFonts w:ascii="Times New Roman" w:hAnsi="Times New Roman"/>
          <w:sz w:val="20"/>
        </w:rPr>
      </w:r>
    </w:p>
    <w:tbl>
      <w:tblPr>
        <w:tblW w:w="9789" w:type="dxa"/>
        <w:jc w:val="left"/>
        <w:tblInd w:w="0" w:type="dxa"/>
        <w:tblLayout w:type="fixed"/>
        <w:tblCellMar>
          <w:top w:w="0" w:type="dxa"/>
          <w:left w:w="0" w:type="dxa"/>
          <w:bottom w:w="0" w:type="dxa"/>
          <w:right w:w="0" w:type="dxa"/>
        </w:tblCellMar>
      </w:tblPr>
      <w:tblGrid>
        <w:gridCol w:w="3155"/>
        <w:gridCol w:w="60"/>
        <w:gridCol w:w="151"/>
        <w:gridCol w:w="739"/>
        <w:gridCol w:w="60"/>
        <w:gridCol w:w="60"/>
        <w:gridCol w:w="179"/>
        <w:gridCol w:w="815"/>
        <w:gridCol w:w="95"/>
        <w:gridCol w:w="60"/>
        <w:gridCol w:w="229"/>
        <w:gridCol w:w="916"/>
        <w:gridCol w:w="80"/>
        <w:gridCol w:w="60"/>
        <w:gridCol w:w="182"/>
        <w:gridCol w:w="828"/>
        <w:gridCol w:w="95"/>
        <w:gridCol w:w="60"/>
        <w:gridCol w:w="255"/>
        <w:gridCol w:w="695"/>
        <w:gridCol w:w="60"/>
        <w:gridCol w:w="60"/>
        <w:gridCol w:w="140"/>
        <w:gridCol w:w="680"/>
        <w:gridCol w:w="75"/>
      </w:tblGrid>
      <w:tr>
        <w:trPr/>
        <w:tc>
          <w:tcPr>
            <w:tcW w:w="31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rPr>
            </w:pPr>
            <w:r>
              <w:rPr>
                <w:b/>
              </w:rPr>
              <w:t>Impact of</w:t>
            </w:r>
          </w:p>
          <w:p>
            <w:pPr>
              <w:pStyle w:val="TableContents"/>
              <w:bidi w:val="0"/>
              <w:spacing w:before="0" w:after="0"/>
              <w:jc w:val="center"/>
              <w:rPr>
                <w:b/>
              </w:rPr>
            </w:pPr>
            <w:r>
              <w:rPr>
                <w:b/>
              </w:rPr>
              <w:t xml:space="preserve">CECL </w:t>
            </w:r>
          </w:p>
          <w:p>
            <w:pPr>
              <w:pStyle w:val="TableContents"/>
              <w:bidi w:val="0"/>
              <w:spacing w:before="0" w:after="0"/>
              <w:jc w:val="center"/>
              <w:rPr>
                <w:b/>
              </w:rPr>
            </w:pPr>
            <w:r>
              <w:rPr>
                <w:b/>
              </w:rPr>
              <w:t>Adoption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Provision for</w:t>
            </w:r>
          </w:p>
          <w:p>
            <w:pPr>
              <w:pStyle w:val="TableContents"/>
              <w:bidi w:val="0"/>
              <w:spacing w:before="0" w:after="0"/>
              <w:jc w:val="center"/>
              <w:rPr>
                <w:rFonts w:ascii="Times New Roman" w:hAnsi="Times New Roman"/>
                <w:b/>
                <w:sz w:val="20"/>
              </w:rPr>
            </w:pPr>
            <w:r>
              <w:rPr>
                <w:rFonts w:ascii="Times New Roman" w:hAnsi="Times New Roman"/>
                <w:b/>
                <w:sz w:val="20"/>
              </w:rPr>
              <w:t>Credit</w:t>
            </w:r>
          </w:p>
          <w:p>
            <w:pPr>
              <w:pStyle w:val="TableContents"/>
              <w:bidi w:val="0"/>
              <w:spacing w:before="0" w:after="0"/>
              <w:jc w:val="center"/>
              <w:rPr>
                <w:rFonts w:ascii="Times New Roman" w:hAnsi="Times New Roman"/>
                <w:b/>
                <w:sz w:val="20"/>
              </w:rPr>
            </w:pPr>
            <w:r>
              <w:rPr>
                <w:rFonts w:ascii="Times New Roman" w:hAnsi="Times New Roman"/>
                <w:b/>
                <w:sz w:val="20"/>
              </w:rPr>
              <w:t xml:space="preserve">Losses </w:t>
            </w:r>
            <w:r>
              <w:rPr>
                <w:rFonts w:ascii="Times New Roman" w:hAnsi="Times New Roman"/>
                <w:b/>
                <w:position w:val="7"/>
                <w:sz w:val="16"/>
                <w:sz w:val="20"/>
              </w:rPr>
              <w:t>(1)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Charge-offs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Recoveries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75" w:type="dxa"/>
            <w:tcBorders/>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u w:val="single"/>
              </w:rPr>
            </w:pPr>
            <w:r>
              <w:rPr>
                <w:rFonts w:ascii="Times New Roman" w:hAnsi="Times New Roman"/>
                <w:sz w:val="20"/>
                <w:u w:val="single"/>
              </w:rPr>
              <w:t>For the year ended December 31, 2023</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4"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827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8"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15,808</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4,020</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(2,574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6,391</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9,177</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(332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3,601</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(235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968</w:t>
            </w:r>
          </w:p>
        </w:tc>
        <w:tc>
          <w:tcPr>
            <w:tcW w:w="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283"/>
              <w:jc w:val="right"/>
              <w:rPr/>
            </w:pPr>
            <w:r>
              <w:rPr/>
              <w:t>683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39" w:type="dxa"/>
            <w:tcBorders>
              <w:bottom w:val="double" w:sz="8" w:space="0" w:color="000000"/>
            </w:tcBorders>
            <w:shd w:fill="CCEEFF" w:val="clear"/>
            <w:tcMar>
              <w:bottom w:w="28" w:type="dxa"/>
            </w:tcMar>
            <w:vAlign w:val="bottom"/>
          </w:tcPr>
          <w:p>
            <w:pPr>
              <w:pStyle w:val="TableContents"/>
              <w:bidi w:val="0"/>
              <w:spacing w:before="0" w:after="283"/>
              <w:jc w:val="right"/>
              <w:rPr/>
            </w:pPr>
            <w:r>
              <w:rPr/>
              <w:t>39,288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15" w:type="dxa"/>
            <w:tcBorders>
              <w:bottom w:val="double" w:sz="8" w:space="0" w:color="000000"/>
            </w:tcBorders>
            <w:shd w:fill="CCEEFF" w:val="clear"/>
            <w:tcMar>
              <w:bottom w:w="28" w:type="dxa"/>
            </w:tcMar>
            <w:vAlign w:val="bottom"/>
          </w:tcPr>
          <w:p>
            <w:pPr>
              <w:pStyle w:val="TableContents"/>
              <w:bidi w:val="0"/>
              <w:spacing w:before="0" w:after="283"/>
              <w:jc w:val="right"/>
              <w:rPr/>
            </w:pPr>
            <w:r>
              <w:rPr/>
              <w:t>102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283"/>
              <w:jc w:val="right"/>
              <w:rPr/>
            </w:pPr>
            <w:r>
              <w:rPr/>
              <w:t>4,960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28" w:type="dxa"/>
            <w:tcBorders>
              <w:bottom w:val="double" w:sz="8" w:space="0" w:color="000000"/>
            </w:tcBorders>
            <w:shd w:fill="CCEEFF" w:val="clear"/>
            <w:tcMar>
              <w:bottom w:w="28" w:type="dxa"/>
            </w:tcMar>
            <w:vAlign w:val="bottom"/>
          </w:tcPr>
          <w:p>
            <w:pPr>
              <w:pStyle w:val="TableContents"/>
              <w:bidi w:val="0"/>
              <w:spacing w:before="0" w:after="283"/>
              <w:jc w:val="right"/>
              <w:rPr/>
            </w:pPr>
            <w:r>
              <w:rPr/>
              <w:t>(2,828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55"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double" w:sz="8" w:space="0" w:color="000000"/>
            </w:tcBorders>
            <w:shd w:fill="CCEEFF" w:val="clear"/>
            <w:tcMar>
              <w:bottom w:w="28" w:type="dxa"/>
            </w:tcMar>
            <w:vAlign w:val="bottom"/>
          </w:tcPr>
          <w:p>
            <w:pPr>
              <w:pStyle w:val="TableContents"/>
              <w:bidi w:val="0"/>
              <w:spacing w:before="0" w:after="283"/>
              <w:jc w:val="right"/>
              <w:rPr/>
            </w:pPr>
            <w:r>
              <w:rPr/>
              <w:t>834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42,356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(1) The $4.6 million provision for credit loss on the consolidated statement of comprehensive income (loss) includes a $5.0 million provision for credit losses on loans and a $(350) thousand provision for off-balance sheet credit exposures for the year ended December 31, 2023.</w:t>
      </w:r>
    </w:p>
    <w:p>
      <w:pPr>
        <w:pStyle w:val="TextBody"/>
        <w:bidi w:val="0"/>
        <w:spacing w:before="0" w:after="0"/>
        <w:jc w:val="left"/>
        <w:rPr>
          <w:rFonts w:ascii="Times New Roman" w:hAnsi="Times New Roman"/>
          <w:sz w:val="20"/>
        </w:rPr>
      </w:pPr>
      <w:r>
        <w:rPr>
          <w:rFonts w:ascii="Times New Roman" w:hAnsi="Times New Roman"/>
          <w:sz w:val="20"/>
        </w:rPr>
      </w:r>
    </w:p>
    <w:tbl>
      <w:tblPr>
        <w:tblW w:w="9689" w:type="dxa"/>
        <w:jc w:val="left"/>
        <w:tblInd w:w="0" w:type="dxa"/>
        <w:tblLayout w:type="fixed"/>
        <w:tblCellMar>
          <w:top w:w="0" w:type="dxa"/>
          <w:left w:w="0" w:type="dxa"/>
          <w:bottom w:w="0" w:type="dxa"/>
          <w:right w:w="0" w:type="dxa"/>
        </w:tblCellMar>
      </w:tblPr>
      <w:tblGrid>
        <w:gridCol w:w="3725"/>
        <w:gridCol w:w="60"/>
        <w:gridCol w:w="151"/>
        <w:gridCol w:w="739"/>
        <w:gridCol w:w="60"/>
        <w:gridCol w:w="60"/>
        <w:gridCol w:w="252"/>
        <w:gridCol w:w="1147"/>
        <w:gridCol w:w="95"/>
        <w:gridCol w:w="60"/>
        <w:gridCol w:w="182"/>
        <w:gridCol w:w="828"/>
        <w:gridCol w:w="95"/>
        <w:gridCol w:w="60"/>
        <w:gridCol w:w="235"/>
        <w:gridCol w:w="940"/>
        <w:gridCol w:w="60"/>
        <w:gridCol w:w="60"/>
        <w:gridCol w:w="140"/>
        <w:gridCol w:w="680"/>
        <w:gridCol w:w="60"/>
      </w:tblGrid>
      <w:tr>
        <w:trPr/>
        <w:tc>
          <w:tcPr>
            <w:tcW w:w="37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Provision for </w:t>
            </w:r>
          </w:p>
          <w:p>
            <w:pPr>
              <w:pStyle w:val="TableContents"/>
              <w:bidi w:val="0"/>
              <w:spacing w:before="0" w:after="0"/>
              <w:jc w:val="center"/>
              <w:rPr>
                <w:b/>
              </w:rPr>
            </w:pPr>
            <w:r>
              <w:rPr>
                <w:b/>
              </w:rPr>
              <w:t>Credit 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Charge-offs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Recoveries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ind w:left="144" w:right="0" w:hanging="0"/>
              <w:jc w:val="left"/>
              <w:rPr>
                <w:color w:val="000000"/>
                <w:u w:val="single"/>
              </w:rPr>
            </w:pPr>
            <w:r>
              <w:rPr>
                <w:color w:val="000000"/>
                <w:u w:val="single"/>
              </w:rPr>
              <w:t>For the year ended December 31, 2022</w:t>
            </w:r>
          </w:p>
        </w:tc>
        <w:tc>
          <w:tcPr>
            <w:tcW w:w="60" w:type="dxa"/>
            <w:tcBorders/>
            <w:vAlign w:val="bottom"/>
          </w:tcPr>
          <w:p>
            <w:pPr>
              <w:pStyle w:val="TableContents"/>
              <w:bidi w:val="0"/>
              <w:spacing w:before="0" w:after="283"/>
              <w:jc w:val="right"/>
              <w:rPr/>
            </w:pPr>
            <w:r>
              <w:rPr/>
              <w:t> </w:t>
            </w:r>
          </w:p>
        </w:tc>
        <w:tc>
          <w:tcPr>
            <w:tcW w:w="89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9"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10"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2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color w:val="000000"/>
              </w:rPr>
            </w:pPr>
            <w:r>
              <w:rPr>
                <w:color w:val="000000"/>
              </w:rPr>
              <w:t>$</w:t>
            </w:r>
          </w:p>
        </w:tc>
        <w:tc>
          <w:tcPr>
            <w:tcW w:w="739" w:type="dxa"/>
            <w:tcBorders/>
            <w:shd w:fill="CCEEFF" w:val="clear"/>
            <w:vAlign w:val="bottom"/>
          </w:tcPr>
          <w:p>
            <w:pPr>
              <w:pStyle w:val="TableContents"/>
              <w:bidi w:val="0"/>
              <w:spacing w:before="0" w:after="0"/>
              <w:jc w:val="right"/>
              <w:rPr>
                <w:color w:val="000000"/>
              </w:rPr>
            </w:pPr>
            <w:r>
              <w:rPr>
                <w:color w:val="000000"/>
              </w:rPr>
              <w:t>17,245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0"/>
              <w:jc w:val="left"/>
              <w:rPr>
                <w:color w:val="000000"/>
              </w:rPr>
            </w:pPr>
            <w:r>
              <w:rPr>
                <w:color w:val="000000"/>
              </w:rPr>
              <w:t>$</w:t>
            </w:r>
          </w:p>
        </w:tc>
        <w:tc>
          <w:tcPr>
            <w:tcW w:w="1147" w:type="dxa"/>
            <w:tcBorders/>
            <w:shd w:fill="CCEEFF" w:val="clear"/>
            <w:vAlign w:val="bottom"/>
          </w:tcPr>
          <w:p>
            <w:pPr>
              <w:pStyle w:val="TableContents"/>
              <w:bidi w:val="0"/>
              <w:spacing w:before="0" w:after="0"/>
              <w:jc w:val="right"/>
              <w:rPr>
                <w:color w:val="000000"/>
              </w:rPr>
            </w:pPr>
            <w:r>
              <w:rPr>
                <w:color w:val="000000"/>
              </w:rPr>
              <w:t>(4,634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color w:val="000000"/>
              </w:rPr>
            </w:pPr>
            <w:r>
              <w:rPr>
                <w:color w:val="000000"/>
              </w:rPr>
              <w:t>$</w:t>
            </w:r>
          </w:p>
        </w:tc>
        <w:tc>
          <w:tcPr>
            <w:tcW w:w="828"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940" w:type="dxa"/>
            <w:tcBorders/>
            <w:shd w:fill="CCEEFF" w:val="clear"/>
            <w:vAlign w:val="bottom"/>
          </w:tcPr>
          <w:p>
            <w:pPr>
              <w:pStyle w:val="TableContents"/>
              <w:bidi w:val="0"/>
              <w:spacing w:before="0" w:after="0"/>
              <w:jc w:val="right"/>
              <w:rPr>
                <w:color w:val="000000"/>
              </w:rPr>
            </w:pPr>
            <w:r>
              <w:rPr>
                <w:color w:val="000000"/>
              </w:rPr>
              <w:t>418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13,029</w:t>
            </w:r>
          </w:p>
        </w:tc>
        <w:tc>
          <w:tcPr>
            <w:tcW w:w="60"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color w:val="000000"/>
              </w:rPr>
            </w:pPr>
            <w:r>
              <w:rPr>
                <w:color w:val="000000"/>
              </w:rPr>
              <w:t>4,363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0"/>
              <w:jc w:val="right"/>
              <w:rPr>
                <w:color w:val="000000"/>
              </w:rPr>
            </w:pPr>
            <w:r>
              <w:rPr>
                <w:color w:val="000000"/>
              </w:rPr>
              <w:t>(1,745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0"/>
              <w:jc w:val="right"/>
              <w:rPr>
                <w:color w:val="000000"/>
              </w:rPr>
            </w:pPr>
            <w:r>
              <w:rPr>
                <w:color w:val="000000"/>
              </w:rPr>
              <w:t>(199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color w:val="000000"/>
              </w:rPr>
            </w:pPr>
            <w:r>
              <w:rPr>
                <w:color w:val="000000"/>
              </w:rPr>
              <w:t>1,006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3,425</w:t>
            </w:r>
          </w:p>
        </w:tc>
        <w:tc>
          <w:tcPr>
            <w:tcW w:w="6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color w:val="000000"/>
              </w:rPr>
            </w:pPr>
            <w:r>
              <w:rPr>
                <w:color w:val="000000"/>
              </w:rPr>
              <w:t>8,466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0"/>
              <w:jc w:val="right"/>
              <w:rPr>
                <w:color w:val="000000"/>
              </w:rPr>
            </w:pPr>
            <w:r>
              <w:rPr>
                <w:color w:val="000000"/>
              </w:rPr>
              <w:t>627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color w:val="000000"/>
              </w:rPr>
            </w:pPr>
            <w:r>
              <w:rPr>
                <w:color w:val="000000"/>
              </w:rPr>
              <w:t>(328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color w:val="000000"/>
              </w:rPr>
            </w:pPr>
            <w:r>
              <w:rPr>
                <w:color w:val="000000"/>
              </w:rPr>
              <w:t>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9,215</w:t>
            </w:r>
          </w:p>
        </w:tc>
        <w:tc>
          <w:tcPr>
            <w:tcW w:w="60"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ind w:left="180" w:right="0" w:hanging="180"/>
              <w:jc w:val="left"/>
              <w:rPr>
                <w:color w:val="000000"/>
              </w:rPr>
            </w:pPr>
            <w:r>
              <w:rPr>
                <w:color w:val="000000"/>
              </w:rPr>
              <w:t>Consumer:</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color w:val="000000"/>
              </w:rPr>
            </w:pPr>
            <w:r>
              <w:rPr>
                <w:color w:val="000000"/>
              </w:rPr>
              <w:t>5,268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0"/>
              <w:jc w:val="right"/>
              <w:rPr>
                <w:color w:val="000000"/>
              </w:rPr>
            </w:pPr>
            <w:r>
              <w:rPr>
                <w:color w:val="000000"/>
              </w:rPr>
              <w:t>1,026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color w:val="000000"/>
              </w:rPr>
            </w:pPr>
            <w:r>
              <w:rPr>
                <w:color w:val="000000"/>
              </w:rPr>
              <w:t>(140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color w:val="000000"/>
              </w:rPr>
            </w:pPr>
            <w:r>
              <w:rPr>
                <w:color w:val="000000"/>
              </w:rPr>
              <w:t>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6,194</w:t>
            </w:r>
          </w:p>
        </w:tc>
        <w:tc>
          <w:tcPr>
            <w:tcW w:w="60"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ind w:left="360" w:right="0" w:hanging="180"/>
              <w:jc w:val="left"/>
              <w:rPr>
                <w:color w:val="000000"/>
              </w:rPr>
            </w:pPr>
            <w:r>
              <w:rPr>
                <w:color w:val="000000"/>
              </w:rPr>
              <w:t>Auto loans</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color w:val="000000"/>
              </w:rPr>
            </w:pPr>
            <w:r>
              <w:rPr>
                <w:color w:val="000000"/>
              </w:rPr>
              <w:t>3,653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0"/>
              <w:jc w:val="right"/>
              <w:rPr>
                <w:color w:val="000000"/>
              </w:rPr>
            </w:pPr>
            <w:r>
              <w:rPr>
                <w:color w:val="000000"/>
              </w:rPr>
              <w:t>637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0"/>
              <w:jc w:val="right"/>
              <w:rPr>
                <w:color w:val="000000"/>
              </w:rPr>
            </w:pPr>
            <w:r>
              <w:rPr>
                <w:color w:val="000000"/>
              </w:rPr>
              <w:t>(508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color w:val="000000"/>
              </w:rPr>
            </w:pPr>
            <w:r>
              <w:rPr>
                <w:color w:val="000000"/>
              </w:rPr>
              <w:t>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3,926</w:t>
            </w:r>
          </w:p>
        </w:tc>
        <w:tc>
          <w:tcPr>
            <w:tcW w:w="6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color w:val="000000"/>
              </w:rPr>
            </w:pPr>
            <w:r>
              <w:rPr>
                <w:color w:val="000000"/>
              </w:rPr>
              <w:t>1,357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0"/>
              <w:jc w:val="right"/>
              <w:rPr>
                <w:color w:val="000000"/>
              </w:rPr>
            </w:pPr>
            <w:r>
              <w:rPr>
                <w:color w:val="000000"/>
              </w:rPr>
              <w:t>932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0"/>
              <w:jc w:val="right"/>
              <w:rPr>
                <w:color w:val="000000"/>
              </w:rPr>
            </w:pPr>
            <w:r>
              <w:rPr>
                <w:color w:val="000000"/>
              </w:rPr>
              <w:t>(1,167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color w:val="000000"/>
              </w:rPr>
            </w:pPr>
            <w:r>
              <w:rPr>
                <w:color w:val="000000"/>
              </w:rPr>
              <w:t>254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1,376</w:t>
            </w:r>
          </w:p>
        </w:tc>
        <w:tc>
          <w:tcPr>
            <w:tcW w:w="60"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ind w:left="180" w:right="0" w:hanging="180"/>
              <w:jc w:val="left"/>
              <w:rPr>
                <w:color w:val="000000"/>
              </w:rPr>
            </w:pPr>
            <w:r>
              <w:rPr>
                <w:color w:val="000000"/>
              </w:rPr>
              <w:t>Construction</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2,123</w:t>
            </w:r>
          </w:p>
        </w:tc>
        <w:tc>
          <w:tcPr>
            <w:tcW w:w="6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ind w:left="180" w:right="0" w:hanging="180"/>
              <w:jc w:val="left"/>
              <w:rPr>
                <w:color w:val="000000"/>
              </w:rPr>
            </w:pPr>
            <w:r>
              <w:rPr>
                <w:color w:val="000000"/>
              </w:rPr>
            </w:r>
          </w:p>
        </w:tc>
        <w:tc>
          <w:tcPr>
            <w:tcW w:w="60" w:type="dxa"/>
            <w:tcBorders/>
            <w:shd w:fill="CCEEFF" w:val="clear"/>
            <w:vAlign w:val="bottom"/>
          </w:tcPr>
          <w:p>
            <w:pPr>
              <w:pStyle w:val="TableContents"/>
              <w:bidi w:val="0"/>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(2,619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(2,508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39,288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702"/>
        <w:gridCol w:w="60"/>
        <w:gridCol w:w="193"/>
        <w:gridCol w:w="919"/>
        <w:gridCol w:w="60"/>
        <w:gridCol w:w="60"/>
        <w:gridCol w:w="258"/>
        <w:gridCol w:w="1135"/>
        <w:gridCol w:w="80"/>
        <w:gridCol w:w="60"/>
        <w:gridCol w:w="237"/>
        <w:gridCol w:w="1040"/>
        <w:gridCol w:w="80"/>
        <w:gridCol w:w="60"/>
        <w:gridCol w:w="317"/>
        <w:gridCol w:w="855"/>
        <w:gridCol w:w="60"/>
        <w:gridCol w:w="60"/>
        <w:gridCol w:w="154"/>
        <w:gridCol w:w="733"/>
        <w:gridCol w:w="82"/>
      </w:tblGrid>
      <w:tr>
        <w:trPr/>
        <w:tc>
          <w:tcPr>
            <w:tcW w:w="37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Beginning </w:t>
            </w:r>
          </w:p>
          <w:p>
            <w:pPr>
              <w:pStyle w:val="TableContents"/>
              <w:bidi w:val="0"/>
              <w:spacing w:before="0" w:after="0"/>
              <w:jc w:val="center"/>
              <w:rPr>
                <w:b/>
              </w:rPr>
            </w:pPr>
            <w:r>
              <w:rPr>
                <w:b/>
              </w:rPr>
              <w:t xml:space="preserve">Balance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3"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Provision for </w:t>
            </w:r>
          </w:p>
          <w:p>
            <w:pPr>
              <w:pStyle w:val="TableContents"/>
              <w:bidi w:val="0"/>
              <w:spacing w:before="0" w:after="0"/>
              <w:jc w:val="center"/>
              <w:rPr>
                <w:b/>
              </w:rPr>
            </w:pPr>
            <w:r>
              <w:rPr>
                <w:b/>
              </w:rPr>
              <w:t>Credit 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77"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Charge-offs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72" w:type="dxa"/>
            <w:gridSpan w:val="2"/>
            <w:tcBorders>
              <w:bottom w:val="single" w:sz="12" w:space="0" w:color="000000"/>
            </w:tcBorders>
            <w:tcMar>
              <w:bottom w:w="28" w:type="dxa"/>
            </w:tcMar>
            <w:vAlign w:val="bottom"/>
          </w:tcPr>
          <w:p>
            <w:pPr>
              <w:pStyle w:val="TableContents"/>
              <w:bidi w:val="0"/>
              <w:spacing w:before="0" w:after="283"/>
              <w:jc w:val="center"/>
              <w:rPr/>
            </w:pPr>
            <w:r>
              <w:rPr>
                <w:b/>
              </w:rPr>
              <w:t>Recoveries</w:t>
            </w:r>
            <w:r>
              <w:rPr/>
              <w:t xml:space="preserv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87" w:type="dxa"/>
            <w:gridSpan w:val="2"/>
            <w:tcBorders>
              <w:bottom w:val="single" w:sz="12" w:space="0" w:color="000000"/>
            </w:tcBorders>
            <w:tcMar>
              <w:bottom w:w="28" w:type="dxa"/>
            </w:tcMar>
            <w:vAlign w:val="bottom"/>
          </w:tcPr>
          <w:p>
            <w:pPr>
              <w:pStyle w:val="TableContents"/>
              <w:bidi w:val="0"/>
              <w:spacing w:before="0" w:after="283"/>
              <w:jc w:val="center"/>
              <w:rPr/>
            </w:pPr>
            <w:r>
              <w:rPr>
                <w:b/>
              </w:rPr>
              <w:t xml:space="preserve">Ending </w:t>
              <w:br/>
              <w:t>Balance</w:t>
            </w:r>
            <w:r>
              <w:rPr/>
              <w:t xml:space="preserve"> </w:t>
            </w:r>
          </w:p>
        </w:tc>
        <w:tc>
          <w:tcPr>
            <w:tcW w:w="82"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u w:val="single"/>
              </w:rPr>
            </w:pPr>
            <w:r>
              <w:rPr>
                <w:u w:val="single"/>
              </w:rPr>
              <w:t>For the year ended December 31, 2021</w:t>
            </w:r>
          </w:p>
        </w:tc>
        <w:tc>
          <w:tcPr>
            <w:tcW w:w="60" w:type="dxa"/>
            <w:tcBorders/>
            <w:vAlign w:val="bottom"/>
          </w:tcPr>
          <w:p>
            <w:pPr>
              <w:pStyle w:val="TableContents"/>
              <w:bidi w:val="0"/>
              <w:spacing w:before="0" w:after="283"/>
              <w:jc w:val="right"/>
              <w:rPr/>
            </w:pPr>
            <w:r>
              <w:rPr/>
              <w:t> </w:t>
            </w:r>
          </w:p>
        </w:tc>
        <w:tc>
          <w:tcPr>
            <w:tcW w:w="1112"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93"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77"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2"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87" w:type="dxa"/>
            <w:gridSpan w:val="2"/>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18,962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17,245</w:t>
            </w:r>
          </w:p>
        </w:tc>
        <w:tc>
          <w:tcPr>
            <w:tcW w:w="82"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1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4,363</w:t>
            </w:r>
          </w:p>
        </w:tc>
        <w:tc>
          <w:tcPr>
            <w:tcW w:w="82" w:type="dxa"/>
            <w:tcBorders/>
            <w:vAlign w:val="bottom"/>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8,466</w:t>
            </w:r>
          </w:p>
        </w:tc>
        <w:tc>
          <w:tcPr>
            <w:tcW w:w="82"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5,268</w:t>
            </w:r>
          </w:p>
        </w:tc>
        <w:tc>
          <w:tcPr>
            <w:tcW w:w="82"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1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3,653</w:t>
            </w:r>
          </w:p>
        </w:tc>
        <w:tc>
          <w:tcPr>
            <w:tcW w:w="82" w:type="dxa"/>
            <w:tcBorders/>
            <w:vAlign w:val="bottom"/>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1,357</w:t>
            </w:r>
          </w:p>
        </w:tc>
        <w:tc>
          <w:tcPr>
            <w:tcW w:w="82"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7"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7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1,746</w:t>
            </w:r>
          </w:p>
        </w:tc>
        <w:tc>
          <w:tcPr>
            <w:tcW w:w="82" w:type="dxa"/>
            <w:tcBorders/>
            <w:vAlign w:val="bottom"/>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9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45,553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42,098</w:t>
            </w:r>
          </w:p>
        </w:tc>
        <w:tc>
          <w:tcPr>
            <w:tcW w:w="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During the year ended December 31, 2023, the provision for credit losses on loans of $5.0 million was driven primarily by organic loan growth experienced during 2023 and net charge-offs of $2.0 million during the year.</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shows the Company’s amortized cost in loans and related ACL for collateral dependent loans by class using the fair value of collateral loss estimation methodology of evaluating expected credit losses at the date indicated (dollars in thousands).</w:t>
      </w:r>
    </w:p>
    <w:p>
      <w:pPr>
        <w:pStyle w:val="TextBody"/>
        <w:bidi w:val="0"/>
        <w:spacing w:before="0" w:after="0"/>
        <w:jc w:val="both"/>
        <w:rPr/>
      </w:pPr>
      <w:r>
        <w:rPr/>
      </w:r>
    </w:p>
    <w:tbl>
      <w:tblPr>
        <w:tblW w:w="8594" w:type="dxa"/>
        <w:jc w:val="left"/>
        <w:tblInd w:w="0" w:type="dxa"/>
        <w:tblLayout w:type="fixed"/>
        <w:tblCellMar>
          <w:top w:w="0" w:type="dxa"/>
          <w:left w:w="0" w:type="dxa"/>
          <w:bottom w:w="0" w:type="dxa"/>
          <w:right w:w="0" w:type="dxa"/>
        </w:tblCellMar>
      </w:tblPr>
      <w:tblGrid>
        <w:gridCol w:w="2090"/>
        <w:gridCol w:w="60"/>
        <w:gridCol w:w="328"/>
        <w:gridCol w:w="891"/>
        <w:gridCol w:w="60"/>
        <w:gridCol w:w="60"/>
        <w:gridCol w:w="247"/>
        <w:gridCol w:w="988"/>
        <w:gridCol w:w="60"/>
        <w:gridCol w:w="60"/>
        <w:gridCol w:w="390"/>
        <w:gridCol w:w="725"/>
        <w:gridCol w:w="60"/>
        <w:gridCol w:w="60"/>
        <w:gridCol w:w="256"/>
        <w:gridCol w:w="994"/>
        <w:gridCol w:w="60"/>
        <w:gridCol w:w="60"/>
        <w:gridCol w:w="290"/>
        <w:gridCol w:w="780"/>
        <w:gridCol w:w="75"/>
      </w:tblGrid>
      <w:tr>
        <w:trPr/>
        <w:tc>
          <w:tcPr>
            <w:tcW w:w="20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rPr>
            </w:pPr>
            <w:r>
              <w:rPr>
                <w:rFonts w:ascii="Times New Roman" w:hAnsi="Times New Roman"/>
                <w:b/>
              </w:rPr>
              <w:t>Equipment</w:t>
            </w:r>
            <w:r>
              <w:rPr>
                <w:rFonts w:ascii="Times New Roman" w:hAnsi="Times New Roman"/>
              </w:rPr>
              <w:t xml:space="preserv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rPr>
            </w:pPr>
            <w:r>
              <w:rPr>
                <w:rFonts w:ascii="Times New Roman" w:hAnsi="Times New Roman"/>
                <w:b/>
              </w:rPr>
              <w:t>Real Estate</w:t>
            </w:r>
            <w:r>
              <w:rPr>
                <w:rFonts w:ascii="Times New Roman" w:hAnsi="Times New Roman"/>
              </w:rPr>
              <w:t xml:space="preserv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Accounts</w:t>
            </w:r>
          </w:p>
          <w:p>
            <w:pPr>
              <w:pStyle w:val="TableContents"/>
              <w:bidi w:val="0"/>
              <w:spacing w:before="0" w:after="0"/>
              <w:jc w:val="center"/>
              <w:rPr>
                <w:rFonts w:ascii="Times New Roman" w:hAnsi="Times New Roman"/>
                <w:b/>
              </w:rPr>
            </w:pPr>
            <w:r>
              <w:rPr>
                <w:rFonts w:ascii="Times New Roman" w:hAnsi="Times New Roman"/>
                <w:b/>
              </w:rPr>
              <w:t>Receivable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Loans</w:t>
            </w:r>
          </w:p>
          <w:p>
            <w:pPr>
              <w:pStyle w:val="TableContents"/>
              <w:bidi w:val="0"/>
              <w:spacing w:before="0" w:after="0"/>
              <w:jc w:val="center"/>
              <w:rPr>
                <w:b/>
              </w:rPr>
            </w:pPr>
            <w:r>
              <w:rPr>
                <w:b/>
              </w:rPr>
              <w:t>Individually</w:t>
            </w:r>
          </w:p>
          <w:p>
            <w:pPr>
              <w:pStyle w:val="TableContents"/>
              <w:bidi w:val="0"/>
              <w:spacing w:before="0" w:after="0"/>
              <w:jc w:val="center"/>
              <w:rPr>
                <w:b/>
              </w:rPr>
            </w:pPr>
            <w:r>
              <w:rPr>
                <w:b/>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 ACL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Individually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Evaluated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Loans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u w:val="single"/>
              </w:rPr>
            </w:pPr>
            <w:r>
              <w:rPr>
                <w:rFonts w:ascii="Times New Roman" w:hAnsi="Times New Roman"/>
                <w:color w:val="000000"/>
                <w:sz w:val="20"/>
                <w:u w:val="single"/>
              </w:rPr>
              <w:t>December 31, 2023</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9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328" w:type="dxa"/>
            <w:tcBorders>
              <w:bottom w:val="single" w:sz="12" w:space="0" w:color="000000"/>
            </w:tcBorders>
            <w:tcMar>
              <w:bottom w:w="28" w:type="dxa"/>
            </w:tcMar>
            <w:vAlign w:val="bottom"/>
          </w:tcPr>
          <w:p>
            <w:pPr>
              <w:pStyle w:val="TableContents"/>
              <w:bidi w:val="0"/>
              <w:spacing w:before="0" w:after="283"/>
              <w:jc w:val="left"/>
              <w:rPr/>
            </w:pPr>
            <w:r>
              <w:rPr/>
              <w:t> </w:t>
            </w:r>
          </w:p>
        </w:tc>
        <w:tc>
          <w:tcPr>
            <w:tcW w:w="891"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7" w:type="dxa"/>
            <w:tcBorders>
              <w:bottom w:val="single" w:sz="12" w:space="0" w:color="000000"/>
            </w:tcBorders>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9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328"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91"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353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88"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0"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25"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Company’s investment in loans disaggregated based on the method of evaluating impairment at the date indicated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7901" w:type="dxa"/>
        <w:jc w:val="left"/>
        <w:tblInd w:w="0" w:type="dxa"/>
        <w:tblLayout w:type="fixed"/>
        <w:tblCellMar>
          <w:top w:w="0" w:type="dxa"/>
          <w:left w:w="0" w:type="dxa"/>
          <w:bottom w:w="0" w:type="dxa"/>
          <w:right w:w="0" w:type="dxa"/>
        </w:tblCellMar>
      </w:tblPr>
      <w:tblGrid>
        <w:gridCol w:w="2420"/>
        <w:gridCol w:w="60"/>
        <w:gridCol w:w="250"/>
        <w:gridCol w:w="1000"/>
        <w:gridCol w:w="67"/>
        <w:gridCol w:w="67"/>
        <w:gridCol w:w="158"/>
        <w:gridCol w:w="1108"/>
        <w:gridCol w:w="60"/>
        <w:gridCol w:w="60"/>
        <w:gridCol w:w="336"/>
        <w:gridCol w:w="914"/>
        <w:gridCol w:w="68"/>
        <w:gridCol w:w="68"/>
        <w:gridCol w:w="203"/>
        <w:gridCol w:w="987"/>
        <w:gridCol w:w="75"/>
      </w:tblGrid>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Recorded 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ACL for Loans </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Individually</w:t>
            </w:r>
          </w:p>
          <w:p>
            <w:pPr>
              <w:pStyle w:val="TableContents"/>
              <w:bidi w:val="0"/>
              <w:spacing w:before="0" w:after="0"/>
              <w:jc w:val="center"/>
              <w:rPr>
                <w:b/>
                <w:color w:val="000000"/>
              </w:rPr>
            </w:pPr>
            <w:r>
              <w:rPr>
                <w:b/>
                <w:color w:val="000000"/>
              </w:rPr>
              <w:t>Evaluated</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Collectively</w:t>
            </w:r>
          </w:p>
          <w:p>
            <w:pPr>
              <w:pStyle w:val="TableContents"/>
              <w:bidi w:val="0"/>
              <w:spacing w:before="0" w:after="0"/>
              <w:jc w:val="center"/>
              <w:rPr>
                <w:b/>
                <w:color w:val="000000"/>
              </w:rPr>
            </w:pPr>
            <w:r>
              <w:rPr>
                <w:b/>
                <w:color w:val="000000"/>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Individually</w:t>
            </w:r>
          </w:p>
          <w:p>
            <w:pPr>
              <w:pStyle w:val="TableContents"/>
              <w:bidi w:val="0"/>
              <w:spacing w:before="0" w:after="0"/>
              <w:jc w:val="center"/>
              <w:rPr>
                <w:b/>
                <w:color w:val="000000"/>
              </w:rPr>
            </w:pPr>
            <w:r>
              <w:rPr>
                <w:b/>
                <w:color w:val="000000"/>
              </w:rPr>
              <w:t>Evaluated</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Collectively</w:t>
            </w:r>
          </w:p>
          <w:p>
            <w:pPr>
              <w:pStyle w:val="TableContents"/>
              <w:bidi w:val="0"/>
              <w:spacing w:before="0" w:after="0"/>
              <w:jc w:val="center"/>
              <w:rPr>
                <w:b/>
                <w:color w:val="000000"/>
              </w:rPr>
            </w:pPr>
            <w:r>
              <w:rPr>
                <w:b/>
                <w:color w:val="000000"/>
              </w:rPr>
              <w:t>Evaluated</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44" w:right="0" w:hanging="0"/>
              <w:jc w:val="left"/>
              <w:rPr>
                <w:color w:val="000000"/>
              </w:rPr>
            </w:pPr>
            <w:r>
              <w:rPr>
                <w:color w:val="000000"/>
                <w:u w:val="single"/>
              </w:rPr>
              <w:t>December 31, 2022</w:t>
            </w:r>
            <w:r>
              <w:rPr>
                <w:color w:val="000000"/>
              </w:rPr>
              <w:t xml:space="preserve">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0"/>
              <w:jc w:val="left"/>
              <w:rPr>
                <w:color w:val="000000"/>
              </w:rPr>
            </w:pPr>
            <w:r>
              <w:rPr>
                <w:color w:val="000000"/>
              </w:rPr>
              <w:t>$</w:t>
            </w:r>
          </w:p>
        </w:tc>
        <w:tc>
          <w:tcPr>
            <w:tcW w:w="1000" w:type="dxa"/>
            <w:tcBorders/>
            <w:shd w:fill="CCEEFF" w:val="clear"/>
            <w:vAlign w:val="bottom"/>
          </w:tcPr>
          <w:p>
            <w:pPr>
              <w:pStyle w:val="TableContents"/>
              <w:bidi w:val="0"/>
              <w:spacing w:before="0" w:after="0"/>
              <w:jc w:val="right"/>
              <w:rPr>
                <w:color w:val="000000"/>
              </w:rPr>
            </w:pPr>
            <w:r>
              <w:rPr>
                <w:color w:val="000000"/>
              </w:rPr>
              <w:t>—</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color w:val="000000"/>
              </w:rPr>
            </w:pPr>
            <w:r>
              <w:rPr>
                <w:color w:val="000000"/>
              </w:rPr>
              <w:t>$</w:t>
            </w:r>
          </w:p>
        </w:tc>
        <w:tc>
          <w:tcPr>
            <w:tcW w:w="1108" w:type="dxa"/>
            <w:tcBorders/>
            <w:shd w:fill="CCEEFF" w:val="clear"/>
            <w:vAlign w:val="bottom"/>
          </w:tcPr>
          <w:p>
            <w:pPr>
              <w:pStyle w:val="TableContents"/>
              <w:bidi w:val="0"/>
              <w:spacing w:before="0" w:after="0"/>
              <w:jc w:val="right"/>
              <w:rPr>
                <w:color w:val="000000"/>
              </w:rPr>
            </w:pPr>
            <w:r>
              <w:rPr>
                <w:color w:val="000000"/>
              </w:rPr>
              <w:t>919,358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0"/>
              <w:jc w:val="left"/>
              <w:rPr>
                <w:color w:val="000000"/>
              </w:rPr>
            </w:pPr>
            <w:r>
              <w:rPr>
                <w:color w:val="000000"/>
              </w:rPr>
              <w:t>$</w:t>
            </w:r>
          </w:p>
        </w:tc>
        <w:tc>
          <w:tcPr>
            <w:tcW w:w="914" w:type="dxa"/>
            <w:tcBorders/>
            <w:shd w:fill="CCEEFF" w:val="clear"/>
            <w:vAlign w:val="bottom"/>
          </w:tcPr>
          <w:p>
            <w:pPr>
              <w:pStyle w:val="TableContents"/>
              <w:bidi w:val="0"/>
              <w:spacing w:before="0" w:after="0"/>
              <w:jc w:val="right"/>
              <w:rPr>
                <w:color w:val="000000"/>
              </w:rPr>
            </w:pPr>
            <w:r>
              <w:rPr>
                <w:color w:val="000000"/>
              </w:rPr>
              <w:t>—</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color w:val="000000"/>
              </w:rPr>
            </w:pPr>
            <w:r>
              <w:rPr>
                <w:color w:val="000000"/>
              </w:rPr>
              <w:t>$</w:t>
            </w:r>
          </w:p>
        </w:tc>
        <w:tc>
          <w:tcPr>
            <w:tcW w:w="987" w:type="dxa"/>
            <w:tcBorders/>
            <w:shd w:fill="CCEEFF" w:val="clear"/>
            <w:vAlign w:val="bottom"/>
          </w:tcPr>
          <w:p>
            <w:pPr>
              <w:pStyle w:val="TableContents"/>
              <w:bidi w:val="0"/>
              <w:spacing w:before="0" w:after="0"/>
              <w:jc w:val="right"/>
              <w:rPr>
                <w:color w:val="000000"/>
              </w:rPr>
            </w:pPr>
            <w:r>
              <w:rPr>
                <w:color w:val="000000"/>
              </w:rPr>
              <w:t>13,029</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color w:val="000000"/>
              </w:rPr>
            </w:pPr>
            <w:r>
              <w:rPr>
                <w:color w:val="000000"/>
              </w:rPr>
              <w:t>—</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0"/>
              <w:jc w:val="right"/>
              <w:rPr>
                <w:color w:val="000000"/>
              </w:rPr>
            </w:pPr>
            <w:r>
              <w:rPr>
                <w:color w:val="000000"/>
              </w:rPr>
              <w:t>327,513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0"/>
              <w:jc w:val="right"/>
              <w:rPr>
                <w:color w:val="000000"/>
              </w:rPr>
            </w:pPr>
            <w:r>
              <w:rPr>
                <w:color w:val="000000"/>
              </w:rPr>
              <w:t>—</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color w:val="000000"/>
              </w:rPr>
            </w:pPr>
            <w:r>
              <w:rPr>
                <w:color w:val="000000"/>
              </w:rPr>
              <w:t>3,425</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color w:val="000000"/>
              </w:rPr>
            </w:pPr>
            <w:r>
              <w:rPr>
                <w:color w:val="000000"/>
              </w:rPr>
              <w:t>3,350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0"/>
              <w:jc w:val="right"/>
              <w:rPr>
                <w:color w:val="000000"/>
              </w:rPr>
            </w:pPr>
            <w:r>
              <w:rPr>
                <w:color w:val="000000"/>
              </w:rPr>
              <w:t>481,433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0"/>
              <w:jc w:val="right"/>
              <w:rPr>
                <w:color w:val="000000"/>
              </w:rPr>
            </w:pPr>
            <w:r>
              <w:rPr>
                <w:color w:val="000000"/>
              </w:rPr>
              <w:t>22</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0"/>
              <w:jc w:val="right"/>
              <w:rPr>
                <w:color w:val="000000"/>
              </w:rPr>
            </w:pPr>
            <w:r>
              <w:rPr>
                <w:color w:val="000000"/>
              </w:rPr>
              <w:t>9,193</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180"/>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color w:val="000000"/>
              </w:rPr>
            </w:pPr>
            <w:r>
              <w:rPr>
                <w:color w:val="000000"/>
              </w:rPr>
              <w:t>742</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0"/>
              <w:jc w:val="right"/>
              <w:rPr>
                <w:color w:val="000000"/>
              </w:rPr>
            </w:pPr>
            <w:r>
              <w:rPr>
                <w:color w:val="000000"/>
              </w:rPr>
              <w:t>459,382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0"/>
              <w:jc w:val="right"/>
              <w:rPr>
                <w:color w:val="000000"/>
              </w:rPr>
            </w:pPr>
            <w:r>
              <w:rPr>
                <w:color w:val="000000"/>
              </w:rPr>
              <w:t>18</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0"/>
              <w:jc w:val="right"/>
              <w:rPr>
                <w:color w:val="000000"/>
              </w:rPr>
            </w:pPr>
            <w:r>
              <w:rPr>
                <w:color w:val="000000"/>
              </w:rPr>
              <w:t>6,176</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360" w:right="0" w:hanging="180"/>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color w:val="000000"/>
              </w:rPr>
            </w:pPr>
            <w:r>
              <w:rPr>
                <w:color w:val="000000"/>
              </w:rPr>
              <w:t>—</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0"/>
              <w:jc w:val="right"/>
              <w:rPr>
                <w:color w:val="000000"/>
              </w:rPr>
            </w:pPr>
            <w:r>
              <w:rPr>
                <w:color w:val="000000"/>
              </w:rPr>
              <w:t>321,476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0"/>
              <w:jc w:val="right"/>
              <w:rPr>
                <w:color w:val="000000"/>
              </w:rPr>
            </w:pPr>
            <w:r>
              <w:rPr>
                <w:color w:val="000000"/>
              </w:rPr>
              <w:t>—</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color w:val="000000"/>
              </w:rPr>
            </w:pPr>
            <w:r>
              <w:rPr>
                <w:color w:val="000000"/>
              </w:rPr>
              <w:t>3,926</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color w:val="000000"/>
              </w:rPr>
            </w:pPr>
            <w:r>
              <w:rPr>
                <w:color w:val="000000"/>
              </w:rPr>
              <w:t>—</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0"/>
              <w:jc w:val="right"/>
              <w:rPr>
                <w:color w:val="000000"/>
              </w:rPr>
            </w:pPr>
            <w:r>
              <w:rPr>
                <w:color w:val="000000"/>
              </w:rPr>
              <w:t>81,308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0"/>
              <w:jc w:val="right"/>
              <w:rPr>
                <w:color w:val="000000"/>
              </w:rPr>
            </w:pPr>
            <w:r>
              <w:rPr>
                <w:color w:val="000000"/>
              </w:rPr>
              <w:t>—</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0"/>
              <w:jc w:val="right"/>
              <w:rPr>
                <w:color w:val="000000"/>
              </w:rPr>
            </w:pPr>
            <w:r>
              <w:rPr>
                <w:color w:val="000000"/>
              </w:rPr>
              <w:t>1,376</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180"/>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25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152,505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1,878</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180"/>
              <w:jc w:val="left"/>
              <w:rPr>
                <w:color w:val="000000"/>
              </w:rPr>
            </w:pPr>
            <w:r>
              <w:rPr>
                <w:color w:val="000000"/>
              </w:rPr>
            </w:r>
          </w:p>
        </w:tc>
        <w:tc>
          <w:tcPr>
            <w:tcW w:w="60" w:type="dxa"/>
            <w:tcBorders/>
            <w:vAlign w:val="bottom"/>
          </w:tcPr>
          <w:p>
            <w:pPr>
              <w:pStyle w:val="TableContents"/>
              <w:bidi w:val="0"/>
              <w:spacing w:before="0" w:after="283"/>
              <w:jc w:val="left"/>
              <w:rPr/>
            </w:pPr>
            <w:r>
              <w:rPr/>
              <w:t> </w:t>
            </w:r>
          </w:p>
        </w:tc>
        <w:tc>
          <w:tcPr>
            <w:tcW w:w="25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5,106</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2,742,975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1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20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39,003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the adoption of ASC 326 on January 1, 2023, loan was reported as impaired when, based on current information and events, it was probable that the Company would be unable to collect the scheduled payments of principal or interest when due according to the contractual terms of the loan agreement. All loans rated substandard or worse and greater than $250 thousand were specifically reviewed to determine if they were impaired. Loans that were determined to be impaired were then evaluated to determine estimated impairment, if any. Impairment could be measured on a loan-by-loan basis by either the present value of expected future cash flows discounted at the loan’s effective interest rate, the loan’s obtainable market price, or the fair value of the collateral if the loan is collateral dependent. Loans that were not individually determined to be impaired or were not subject to the specific review of impaired status were subject to the general valuation allowance portion of the allowance for loan losses.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Impaired loans, or portions thereof, were charged off when deemed uncollectible. Impaired loan information at the date indicated follows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788"/>
        <w:gridCol w:w="60"/>
        <w:gridCol w:w="310"/>
        <w:gridCol w:w="1242"/>
        <w:gridCol w:w="60"/>
        <w:gridCol w:w="60"/>
        <w:gridCol w:w="321"/>
        <w:gridCol w:w="1286"/>
        <w:gridCol w:w="60"/>
        <w:gridCol w:w="60"/>
        <w:gridCol w:w="229"/>
        <w:gridCol w:w="916"/>
        <w:gridCol w:w="60"/>
        <w:gridCol w:w="60"/>
        <w:gridCol w:w="229"/>
        <w:gridCol w:w="916"/>
        <w:gridCol w:w="60"/>
        <w:gridCol w:w="60"/>
        <w:gridCol w:w="292"/>
        <w:gridCol w:w="793"/>
        <w:gridCol w:w="60"/>
        <w:gridCol w:w="60"/>
        <w:gridCol w:w="229"/>
        <w:gridCol w:w="916"/>
        <w:gridCol w:w="78"/>
      </w:tblGrid>
      <w:tr>
        <w:trPr/>
        <w:tc>
          <w:tcPr>
            <w:tcW w:w="17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Unpaid</w:t>
            </w:r>
          </w:p>
          <w:p>
            <w:pPr>
              <w:pStyle w:val="TableContents"/>
              <w:bidi w:val="0"/>
              <w:spacing w:before="0" w:after="0"/>
              <w:jc w:val="center"/>
              <w:rPr>
                <w:b/>
                <w:color w:val="000000"/>
              </w:rPr>
            </w:pPr>
            <w:r>
              <w:rPr>
                <w:b/>
                <w:color w:val="000000"/>
              </w:rPr>
              <w:t>Contractual</w:t>
            </w:r>
          </w:p>
          <w:p>
            <w:pPr>
              <w:pStyle w:val="TableContents"/>
              <w:bidi w:val="0"/>
              <w:spacing w:before="0" w:after="0"/>
              <w:jc w:val="center"/>
              <w:rPr>
                <w:b/>
                <w:color w:val="000000"/>
              </w:rPr>
            </w:pPr>
            <w:r>
              <w:rPr>
                <w:b/>
                <w:color w:val="000000"/>
              </w:rPr>
              <w:t>Principal 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Recorded</w:t>
            </w:r>
          </w:p>
          <w:p>
            <w:pPr>
              <w:pStyle w:val="TableContents"/>
              <w:bidi w:val="0"/>
              <w:spacing w:before="0" w:after="0"/>
              <w:jc w:val="center"/>
              <w:rPr>
                <w:b/>
                <w:color w:val="000000"/>
              </w:rPr>
            </w:pPr>
            <w:r>
              <w:rPr>
                <w:b/>
                <w:color w:val="000000"/>
              </w:rPr>
              <w:t>Investment</w:t>
            </w:r>
          </w:p>
          <w:p>
            <w:pPr>
              <w:pStyle w:val="TableContents"/>
              <w:bidi w:val="0"/>
              <w:spacing w:before="0" w:after="0"/>
              <w:jc w:val="center"/>
              <w:rPr>
                <w:b/>
                <w:color w:val="000000"/>
              </w:rPr>
            </w:pPr>
            <w:r>
              <w:rPr>
                <w:b/>
                <w:color w:val="000000"/>
              </w:rPr>
              <w:t>With No 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Recorded</w:t>
            </w:r>
          </w:p>
          <w:p>
            <w:pPr>
              <w:pStyle w:val="TableContents"/>
              <w:bidi w:val="0"/>
              <w:spacing w:before="0" w:after="0"/>
              <w:jc w:val="center"/>
              <w:rPr>
                <w:b/>
                <w:color w:val="000000"/>
              </w:rPr>
            </w:pPr>
            <w:r>
              <w:rPr>
                <w:b/>
                <w:color w:val="000000"/>
              </w:rPr>
              <w:t>Investment</w:t>
            </w:r>
          </w:p>
          <w:p>
            <w:pPr>
              <w:pStyle w:val="TableContents"/>
              <w:bidi w:val="0"/>
              <w:spacing w:before="0" w:after="0"/>
              <w:jc w:val="center"/>
              <w:rPr>
                <w:b/>
                <w:color w:val="000000"/>
              </w:rPr>
            </w:pPr>
            <w:r>
              <w:rPr>
                <w:b/>
                <w:color w:val="000000"/>
              </w:rPr>
              <w:t xml:space="preserve">With </w:t>
            </w:r>
          </w:p>
          <w:p>
            <w:pPr>
              <w:pStyle w:val="TableContents"/>
              <w:bidi w:val="0"/>
              <w:spacing w:before="0" w:after="0"/>
              <w:jc w:val="center"/>
              <w:rPr>
                <w:b/>
                <w:color w:val="000000"/>
              </w:rPr>
            </w:pPr>
            <w:r>
              <w:rPr>
                <w:b/>
                <w:color w:val="00000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Recorded</w:t>
            </w:r>
          </w:p>
          <w:p>
            <w:pPr>
              <w:pStyle w:val="TableContents"/>
              <w:bidi w:val="0"/>
              <w:spacing w:before="0" w:after="0"/>
              <w:jc w:val="center"/>
              <w:rPr>
                <w:b/>
                <w:color w:val="000000"/>
              </w:rPr>
            </w:pPr>
            <w:r>
              <w:rPr>
                <w:b/>
                <w:color w:val="000000"/>
              </w:rP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Related</w:t>
            </w:r>
          </w:p>
          <w:p>
            <w:pPr>
              <w:pStyle w:val="TableContents"/>
              <w:bidi w:val="0"/>
              <w:spacing w:before="0" w:after="0"/>
              <w:jc w:val="center"/>
              <w:rPr>
                <w:b/>
                <w:color w:val="000000"/>
              </w:rPr>
            </w:pPr>
            <w:r>
              <w:rPr>
                <w:b/>
                <w:color w:val="00000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Recorded</w:t>
            </w:r>
          </w:p>
          <w:p>
            <w:pPr>
              <w:pStyle w:val="TableContents"/>
              <w:bidi w:val="0"/>
              <w:spacing w:before="0" w:after="0"/>
              <w:jc w:val="center"/>
              <w:rPr>
                <w:b/>
                <w:color w:val="000000"/>
              </w:rPr>
            </w:pPr>
            <w:r>
              <w:rPr>
                <w:b/>
                <w:color w:val="000000"/>
              </w:rPr>
              <w:t>Investment</w:t>
            </w:r>
          </w:p>
        </w:tc>
        <w:tc>
          <w:tcPr>
            <w:tcW w:w="78" w:type="dxa"/>
            <w:tcBorders/>
            <w:vAlign w:val="bottom"/>
          </w:tcPr>
          <w:p>
            <w:pPr>
              <w:pStyle w:val="TableContents"/>
              <w:bidi w:val="0"/>
              <w:spacing w:before="0" w:after="283"/>
              <w:jc w:val="left"/>
              <w:rPr/>
            </w:pPr>
            <w:r>
              <w:rPr/>
              <w:t> </w:t>
            </w:r>
          </w:p>
        </w:tc>
      </w:tr>
      <w:tr>
        <w:trPr/>
        <w:tc>
          <w:tcPr>
            <w:tcW w:w="17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1788" w:type="dxa"/>
            <w:tcBorders/>
            <w:vAlign w:val="bottom"/>
          </w:tcPr>
          <w:p>
            <w:pPr>
              <w:pStyle w:val="TableContents"/>
              <w:bidi w:val="0"/>
              <w:spacing w:before="0" w:after="0"/>
              <w:ind w:left="144" w:right="0" w:hanging="0"/>
              <w:jc w:val="left"/>
              <w:rPr>
                <w:color w:val="000000"/>
                <w:u w:val="single"/>
              </w:rPr>
            </w:pPr>
            <w:r>
              <w:rPr>
                <w:color w:val="000000"/>
                <w:u w:val="single"/>
              </w:rPr>
              <w:t>December 31, 2022</w:t>
            </w:r>
          </w:p>
        </w:tc>
        <w:tc>
          <w:tcPr>
            <w:tcW w:w="60" w:type="dxa"/>
            <w:tcBorders/>
            <w:vAlign w:val="bottom"/>
          </w:tcPr>
          <w:p>
            <w:pPr>
              <w:pStyle w:val="TableContents"/>
              <w:bidi w:val="0"/>
              <w:spacing w:before="0" w:after="283"/>
              <w:jc w:val="left"/>
              <w:rPr/>
            </w:pPr>
            <w:r>
              <w:rPr/>
              <w:t> </w:t>
            </w:r>
          </w:p>
        </w:tc>
        <w:tc>
          <w:tcPr>
            <w:tcW w:w="155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1788"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0"/>
              <w:jc w:val="left"/>
              <w:rPr>
                <w:color w:val="000000"/>
              </w:rPr>
            </w:pPr>
            <w:r>
              <w:rPr>
                <w:color w:val="000000"/>
              </w:rPr>
              <w:t>$</w:t>
            </w:r>
          </w:p>
        </w:tc>
        <w:tc>
          <w:tcPr>
            <w:tcW w:w="124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0"/>
              <w:jc w:val="left"/>
              <w:rPr>
                <w:color w:val="000000"/>
              </w:rPr>
            </w:pPr>
            <w:r>
              <w:rPr>
                <w:color w:val="000000"/>
              </w:rPr>
              <w:t>$</w:t>
            </w:r>
          </w:p>
        </w:tc>
        <w:tc>
          <w:tcPr>
            <w:tcW w:w="128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9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9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0"/>
              <w:jc w:val="left"/>
              <w:rPr>
                <w:color w:val="000000"/>
              </w:rPr>
            </w:pPr>
            <w:r>
              <w:rPr>
                <w:color w:val="000000"/>
              </w:rPr>
              <w:t>$</w:t>
            </w:r>
          </w:p>
        </w:tc>
        <w:tc>
          <w:tcPr>
            <w:tcW w:w="79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916" w:type="dxa"/>
            <w:tcBorders/>
            <w:shd w:fill="CCEEFF" w:val="clear"/>
            <w:vAlign w:val="bottom"/>
          </w:tcPr>
          <w:p>
            <w:pPr>
              <w:pStyle w:val="TableContents"/>
              <w:bidi w:val="0"/>
              <w:spacing w:before="0" w:after="0"/>
              <w:jc w:val="right"/>
              <w:rPr>
                <w:color w:val="000000"/>
              </w:rPr>
            </w:pPr>
            <w:r>
              <w:rPr>
                <w:color w:val="000000"/>
              </w:rPr>
              <w:t>551</w:t>
            </w:r>
          </w:p>
        </w:tc>
        <w:tc>
          <w:tcPr>
            <w:tcW w:w="78" w:type="dxa"/>
            <w:tcBorders/>
            <w:shd w:fill="CCEEFF" w:val="clear"/>
            <w:vAlign w:val="bottom"/>
          </w:tcPr>
          <w:p>
            <w:pPr>
              <w:pStyle w:val="TableContents"/>
              <w:bidi w:val="0"/>
              <w:spacing w:before="0" w:after="283"/>
              <w:jc w:val="left"/>
              <w:rPr/>
            </w:pPr>
            <w:r>
              <w:rPr/>
              <w:t> </w:t>
            </w:r>
          </w:p>
        </w:tc>
      </w:tr>
      <w:tr>
        <w:trPr/>
        <w:tc>
          <w:tcPr>
            <w:tcW w:w="1788"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1"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1788"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0"/>
              <w:jc w:val="right"/>
              <w:rPr>
                <w:color w:val="000000"/>
              </w:rPr>
            </w:pPr>
            <w:r>
              <w:rPr>
                <w:color w:val="000000"/>
              </w:rPr>
              <w:t>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0"/>
              <w:jc w:val="right"/>
              <w:rPr>
                <w:color w:val="000000"/>
              </w:rPr>
            </w:pPr>
            <w:r>
              <w:rPr>
                <w:color w:val="000000"/>
              </w:rPr>
              <w:t>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2,551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color w:val="000000"/>
              </w:rPr>
            </w:pPr>
            <w:r>
              <w:rPr>
                <w:color w:val="000000"/>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4,214</w:t>
            </w:r>
          </w:p>
        </w:tc>
        <w:tc>
          <w:tcPr>
            <w:tcW w:w="78" w:type="dxa"/>
            <w:tcBorders/>
            <w:shd w:fill="CCEEFF" w:val="clear"/>
            <w:vAlign w:val="bottom"/>
          </w:tcPr>
          <w:p>
            <w:pPr>
              <w:pStyle w:val="TableContents"/>
              <w:bidi w:val="0"/>
              <w:spacing w:before="0" w:after="283"/>
              <w:jc w:val="left"/>
              <w:rPr/>
            </w:pPr>
            <w:r>
              <w:rPr/>
              <w:t> </w:t>
            </w:r>
          </w:p>
        </w:tc>
      </w:tr>
      <w:tr>
        <w:trPr/>
        <w:tc>
          <w:tcPr>
            <w:tcW w:w="1788" w:type="dxa"/>
            <w:tcBorders/>
            <w:vAlign w:val="bottom"/>
          </w:tcPr>
          <w:p>
            <w:pPr>
              <w:pStyle w:val="TableContents"/>
              <w:bidi w:val="0"/>
              <w:spacing w:before="0" w:after="0"/>
              <w:ind w:left="180" w:right="0" w:hanging="180"/>
              <w:jc w:val="left"/>
              <w:rPr>
                <w:color w:val="000000"/>
              </w:rPr>
            </w:pPr>
            <w:r>
              <w:rPr>
                <w:color w:val="000000"/>
              </w:rPr>
              <w:t>Consumer:</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1"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1788" w:type="dxa"/>
            <w:tcBorders/>
            <w:shd w:fill="CCEEFF" w:val="clear"/>
            <w:vAlign w:val="bottom"/>
          </w:tcPr>
          <w:p>
            <w:pPr>
              <w:pStyle w:val="TableContents"/>
              <w:bidi w:val="0"/>
              <w:spacing w:before="0" w:after="0"/>
              <w:ind w:left="360" w:right="0" w:hanging="180"/>
              <w:jc w:val="left"/>
              <w:rPr>
                <w:color w:val="000000"/>
              </w:rPr>
            </w:pPr>
            <w:r>
              <w:rPr>
                <w:color w:val="000000"/>
              </w:rPr>
              <w:t>1-4 family</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0"/>
              <w:jc w:val="right"/>
              <w:rPr>
                <w:color w:val="000000"/>
              </w:rPr>
            </w:pPr>
            <w:r>
              <w:rPr>
                <w:color w:val="000000"/>
              </w:rPr>
              <w:t>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0"/>
              <w:jc w:val="right"/>
              <w:rPr>
                <w:color w:val="000000"/>
              </w:rPr>
            </w:pPr>
            <w:r>
              <w:rPr>
                <w:color w:val="000000"/>
              </w:rPr>
              <w:t>486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color w:val="000000"/>
              </w:rPr>
            </w:pPr>
            <w:r>
              <w:rPr>
                <w:color w:val="000000"/>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1,167</w:t>
            </w:r>
          </w:p>
        </w:tc>
        <w:tc>
          <w:tcPr>
            <w:tcW w:w="78" w:type="dxa"/>
            <w:tcBorders/>
            <w:shd w:fill="CCEEFF" w:val="clear"/>
            <w:vAlign w:val="bottom"/>
          </w:tcPr>
          <w:p>
            <w:pPr>
              <w:pStyle w:val="TableContents"/>
              <w:bidi w:val="0"/>
              <w:spacing w:before="0" w:after="283"/>
              <w:jc w:val="left"/>
              <w:rPr/>
            </w:pPr>
            <w:r>
              <w:rPr/>
              <w:t> </w:t>
            </w:r>
          </w:p>
        </w:tc>
      </w:tr>
      <w:tr>
        <w:trPr/>
        <w:tc>
          <w:tcPr>
            <w:tcW w:w="1788" w:type="dxa"/>
            <w:tcBorders/>
            <w:vAlign w:val="bottom"/>
          </w:tcPr>
          <w:p>
            <w:pPr>
              <w:pStyle w:val="TableContents"/>
              <w:bidi w:val="0"/>
              <w:spacing w:before="0" w:after="0"/>
              <w:ind w:left="360" w:right="0" w:hanging="180"/>
              <w:jc w:val="left"/>
              <w:rPr>
                <w:color w:val="000000"/>
              </w:rPr>
            </w:pPr>
            <w:r>
              <w:rPr>
                <w:color w:val="000000"/>
              </w:rPr>
              <w:t>Auto loans</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1"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1788"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w:t>
            </w:r>
          </w:p>
        </w:tc>
        <w:tc>
          <w:tcPr>
            <w:tcW w:w="78" w:type="dxa"/>
            <w:tcBorders/>
            <w:shd w:fill="CCEEFF" w:val="clear"/>
            <w:vAlign w:val="bottom"/>
          </w:tcPr>
          <w:p>
            <w:pPr>
              <w:pStyle w:val="TableContents"/>
              <w:bidi w:val="0"/>
              <w:spacing w:before="0" w:after="283"/>
              <w:jc w:val="left"/>
              <w:rPr/>
            </w:pPr>
            <w:r>
              <w:rPr/>
              <w:t> </w:t>
            </w:r>
          </w:p>
        </w:tc>
      </w:tr>
      <w:tr>
        <w:trPr/>
        <w:tc>
          <w:tcPr>
            <w:tcW w:w="1788" w:type="dxa"/>
            <w:tcBorders/>
            <w:vAlign w:val="bottom"/>
          </w:tcPr>
          <w:p>
            <w:pPr>
              <w:pStyle w:val="TableContents"/>
              <w:bidi w:val="0"/>
              <w:spacing w:before="0" w:after="0"/>
              <w:ind w:left="180" w:right="0" w:hanging="180"/>
              <w:jc w:val="left"/>
              <w:rPr>
                <w:color w:val="000000"/>
              </w:rPr>
            </w:pPr>
            <w:r>
              <w:rPr>
                <w:color w:val="000000"/>
              </w:rPr>
              <w:t>Construction</w:t>
            </w:r>
          </w:p>
        </w:tc>
        <w:tc>
          <w:tcPr>
            <w:tcW w:w="60" w:type="dxa"/>
            <w:tcBorders/>
            <w:vAlign w:val="bottom"/>
          </w:tcPr>
          <w:p>
            <w:pPr>
              <w:pStyle w:val="TableContents"/>
              <w:bidi w:val="0"/>
              <w:spacing w:before="0" w:after="283"/>
              <w:jc w:val="right"/>
              <w:rPr/>
            </w:pPr>
            <w:r>
              <w:rPr/>
              <w:t> </w:t>
            </w:r>
          </w:p>
        </w:tc>
        <w:tc>
          <w:tcPr>
            <w:tcW w:w="3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507</w:t>
            </w:r>
          </w:p>
        </w:tc>
        <w:tc>
          <w:tcPr>
            <w:tcW w:w="78" w:type="dxa"/>
            <w:tcBorders/>
            <w:vAlign w:val="bottom"/>
          </w:tcPr>
          <w:p>
            <w:pPr>
              <w:pStyle w:val="TableContents"/>
              <w:bidi w:val="0"/>
              <w:spacing w:before="0" w:after="283"/>
              <w:jc w:val="left"/>
              <w:rPr/>
            </w:pPr>
            <w:r>
              <w:rPr/>
              <w:t> </w:t>
            </w:r>
          </w:p>
        </w:tc>
      </w:tr>
      <w:tr>
        <w:trPr/>
        <w:tc>
          <w:tcPr>
            <w:tcW w:w="1788" w:type="dxa"/>
            <w:tcBorders/>
            <w:shd w:fill="CCEEFF" w:val="clear"/>
            <w:vAlign w:val="bottom"/>
          </w:tcPr>
          <w:p>
            <w:pPr>
              <w:pStyle w:val="TableContents"/>
              <w:bidi w:val="0"/>
              <w:spacing w:before="0" w:after="0"/>
              <w:ind w:left="180" w:right="0" w:hanging="180"/>
              <w:jc w:val="left"/>
              <w:rPr>
                <w:color w:val="000000"/>
              </w:rPr>
            </w:pPr>
            <w:r>
              <w:rPr>
                <w:color w:val="000000"/>
              </w:rPr>
            </w:r>
          </w:p>
        </w:tc>
        <w:tc>
          <w:tcPr>
            <w:tcW w:w="60" w:type="dxa"/>
            <w:tcBorders/>
            <w:shd w:fill="CCEEFF" w:val="clear"/>
            <w:vAlign w:val="bottom"/>
          </w:tcPr>
          <w:p>
            <w:pPr>
              <w:pStyle w:val="TableContents"/>
              <w:bidi w:val="0"/>
              <w:spacing w:before="0" w:after="283"/>
              <w:jc w:val="right"/>
              <w:rPr/>
            </w:pPr>
            <w:r>
              <w:rPr/>
              <w:t> </w:t>
            </w:r>
          </w:p>
        </w:tc>
        <w:tc>
          <w:tcPr>
            <w:tcW w:w="3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4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6,439</w:t>
            </w:r>
          </w:p>
        </w:tc>
        <w:tc>
          <w:tcPr>
            <w:tcW w:w="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All impaired loans $250 thousand and greater were specifically evaluated for impairment </w:t>
      </w:r>
      <w:r>
        <w:rPr>
          <w:rFonts w:ascii="Times New Roman" w:hAnsi="Times New Roman"/>
          <w:b w:val="false"/>
          <w:i w:val="false"/>
          <w:caps w:val="false"/>
          <w:smallCaps w:val="false"/>
          <w:color w:val="000000"/>
          <w:spacing w:val="0"/>
          <w:sz w:val="20"/>
          <w:shd w:fill="FFFFFF" w:val="clear"/>
        </w:rPr>
        <w:t>at December 31, 2022</w:t>
      </w:r>
      <w:r>
        <w:rPr>
          <w:rFonts w:ascii="Times New Roman" w:hAnsi="Times New Roman"/>
          <w:color w:val="000000"/>
          <w:sz w:val="20"/>
          <w:shd w:fill="FFFFFF" w:val="clear"/>
        </w:rPr>
        <w:t xml:space="preserve"> . Interest income recognized using a cash-basis method on impaired loans for the years ended December 31, 2022 and 2021 was not significant.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provides an age analysis on accruing past-due loans and nonaccrual loans at year-end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7207" w:type="dxa"/>
        <w:jc w:val="left"/>
        <w:tblInd w:w="0" w:type="dxa"/>
        <w:tblLayout w:type="fixed"/>
        <w:tblCellMar>
          <w:top w:w="0" w:type="dxa"/>
          <w:left w:w="0" w:type="dxa"/>
          <w:bottom w:w="0" w:type="dxa"/>
          <w:right w:w="0" w:type="dxa"/>
        </w:tblCellMar>
      </w:tblPr>
      <w:tblGrid>
        <w:gridCol w:w="2090"/>
        <w:gridCol w:w="60"/>
        <w:gridCol w:w="197"/>
        <w:gridCol w:w="767"/>
        <w:gridCol w:w="60"/>
        <w:gridCol w:w="60"/>
        <w:gridCol w:w="191"/>
        <w:gridCol w:w="743"/>
        <w:gridCol w:w="60"/>
        <w:gridCol w:w="60"/>
        <w:gridCol w:w="310"/>
        <w:gridCol w:w="1209"/>
        <w:gridCol w:w="60"/>
        <w:gridCol w:w="60"/>
        <w:gridCol w:w="324"/>
        <w:gridCol w:w="881"/>
        <w:gridCol w:w="75"/>
      </w:tblGrid>
      <w:tr>
        <w:trPr/>
        <w:tc>
          <w:tcPr>
            <w:tcW w:w="209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30-89 Days</w:t>
            </w:r>
          </w:p>
          <w:p>
            <w:pPr>
              <w:pStyle w:val="TableContents"/>
              <w:bidi w:val="0"/>
              <w:spacing w:before="0" w:after="0"/>
              <w:jc w:val="center"/>
              <w:rPr>
                <w:rFonts w:ascii="Times New Roman" w:hAnsi="Times New Roman"/>
                <w:b/>
                <w:sz w:val="20"/>
              </w:rPr>
            </w:pPr>
            <w:r>
              <w:rPr>
                <w:rFonts w:ascii="Times New Roman" w:hAnsi="Times New Roman"/>
                <w:b/>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90 Days or</w:t>
            </w:r>
          </w:p>
          <w:p>
            <w:pPr>
              <w:pStyle w:val="TableContents"/>
              <w:bidi w:val="0"/>
              <w:spacing w:before="0" w:after="0"/>
              <w:jc w:val="center"/>
              <w:rPr>
                <w:rFonts w:ascii="Times New Roman" w:hAnsi="Times New Roman"/>
                <w:b/>
                <w:sz w:val="20"/>
              </w:rPr>
            </w:pPr>
            <w:r>
              <w:rPr>
                <w:rFonts w:ascii="Times New Roman" w:hAnsi="Times New Roman"/>
                <w:b/>
                <w:sz w:val="20"/>
              </w:rPr>
              <w:t>More Past</w:t>
            </w:r>
          </w:p>
          <w:p>
            <w:pPr>
              <w:pStyle w:val="TableContents"/>
              <w:bidi w:val="0"/>
              <w:spacing w:before="0" w:after="0"/>
              <w:jc w:val="center"/>
              <w:rPr>
                <w:rFonts w:ascii="Times New Roman" w:hAnsi="Times New Roman"/>
                <w:b/>
                <w:sz w:val="20"/>
              </w:rPr>
            </w:pPr>
            <w:r>
              <w:rPr>
                <w:rFonts w:ascii="Times New Roman" w:hAnsi="Times New Roman"/>
                <w:b/>
                <w:sz w:val="20"/>
              </w:rPr>
              <w:t>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 Nonaccrual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Nonaccrual</w:t>
            </w:r>
          </w:p>
          <w:p>
            <w:pPr>
              <w:pStyle w:val="TableContents"/>
              <w:bidi w:val="0"/>
              <w:spacing w:before="0" w:after="0"/>
              <w:jc w:val="center"/>
              <w:rPr>
                <w:b/>
              </w:rPr>
            </w:pPr>
            <w:r>
              <w:rPr>
                <w:b/>
              </w:rPr>
              <w:t>with no</w:t>
            </w:r>
          </w:p>
          <w:p>
            <w:pPr>
              <w:pStyle w:val="TableContents"/>
              <w:bidi w:val="0"/>
              <w:spacing w:before="0" w:after="0"/>
              <w:jc w:val="center"/>
              <w:rPr>
                <w:b/>
              </w:rPr>
            </w:pPr>
            <w:r>
              <w:rPr>
                <w:b/>
              </w:rPr>
              <w:t>ACL</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u w:val="single"/>
              </w:rPr>
            </w:pPr>
            <w:r>
              <w:rPr>
                <w:u w:val="single"/>
              </w:rPr>
              <w:t>December 31, 2023</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362</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283"/>
              <w:jc w:val="right"/>
              <w:rPr/>
            </w:pPr>
            <w:r>
              <w:rPr/>
              <w:t>218</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4"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81" w:type="dxa"/>
            <w:tcBorders>
              <w:bottom w:val="double" w:sz="8" w:space="0" w:color="000000"/>
            </w:tcBorders>
            <w:shd w:fill="CCEEFF" w:val="clear"/>
            <w:tcMar>
              <w:bottom w:w="28" w:type="dxa"/>
            </w:tcMar>
            <w:vAlign w:val="bottom"/>
          </w:tcPr>
          <w:p>
            <w:pPr>
              <w:pStyle w:val="TableContents"/>
              <w:bidi w:val="0"/>
              <w:spacing w:before="0" w:after="283"/>
              <w:jc w:val="right"/>
              <w:rPr/>
            </w:pPr>
            <w:r>
              <w:rPr/>
              <w:t>580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695" w:type="dxa"/>
        <w:jc w:val="left"/>
        <w:tblInd w:w="0" w:type="dxa"/>
        <w:tblLayout w:type="fixed"/>
        <w:tblCellMar>
          <w:top w:w="0" w:type="dxa"/>
          <w:left w:w="0" w:type="dxa"/>
          <w:bottom w:w="0" w:type="dxa"/>
          <w:right w:w="0" w:type="dxa"/>
        </w:tblCellMar>
      </w:tblPr>
      <w:tblGrid>
        <w:gridCol w:w="2420"/>
        <w:gridCol w:w="60"/>
        <w:gridCol w:w="229"/>
        <w:gridCol w:w="916"/>
        <w:gridCol w:w="60"/>
        <w:gridCol w:w="60"/>
        <w:gridCol w:w="310"/>
        <w:gridCol w:w="1240"/>
        <w:gridCol w:w="60"/>
        <w:gridCol w:w="60"/>
        <w:gridCol w:w="241"/>
        <w:gridCol w:w="964"/>
        <w:gridCol w:w="75"/>
      </w:tblGrid>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30-89 Days</w:t>
            </w:r>
          </w:p>
          <w:p>
            <w:pPr>
              <w:pStyle w:val="TableContents"/>
              <w:bidi w:val="0"/>
              <w:spacing w:before="0" w:after="0"/>
              <w:jc w:val="center"/>
              <w:rPr>
                <w:b/>
                <w:color w:val="000000"/>
              </w:rPr>
            </w:pPr>
            <w:r>
              <w:rPr>
                <w:b/>
                <w:color w:val="00000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90 Days or</w:t>
            </w:r>
          </w:p>
          <w:p>
            <w:pPr>
              <w:pStyle w:val="TableContents"/>
              <w:bidi w:val="0"/>
              <w:spacing w:before="0" w:after="0"/>
              <w:jc w:val="center"/>
              <w:rPr>
                <w:b/>
                <w:color w:val="000000"/>
              </w:rPr>
            </w:pPr>
            <w:r>
              <w:rPr>
                <w:b/>
                <w:color w:val="000000"/>
              </w:rPr>
              <w:t>More 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Nonaccrual</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44" w:right="0" w:hanging="0"/>
              <w:jc w:val="left"/>
              <w:rPr>
                <w:color w:val="000000"/>
                <w:u w:val="single"/>
              </w:rPr>
            </w:pPr>
            <w:r>
              <w:rPr>
                <w:color w:val="000000"/>
                <w:u w:val="single"/>
              </w:rPr>
              <w:t>December 31, 2022</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916" w:type="dxa"/>
            <w:tcBorders/>
            <w:shd w:fill="CCEEFF" w:val="clear"/>
            <w:vAlign w:val="bottom"/>
          </w:tcPr>
          <w:p>
            <w:pPr>
              <w:pStyle w:val="TableContents"/>
              <w:bidi w:val="0"/>
              <w:spacing w:before="0" w:after="0"/>
              <w:jc w:val="right"/>
              <w:rPr>
                <w:color w:val="000000"/>
              </w:rPr>
            </w:pPr>
            <w:r>
              <w:rPr>
                <w:color w:val="000000"/>
              </w:rPr>
              <w:t>342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0"/>
              <w:jc w:val="left"/>
              <w:rPr>
                <w:color w:val="000000"/>
              </w:rPr>
            </w:pPr>
            <w:r>
              <w:rPr>
                <w:color w:val="000000"/>
              </w:rPr>
              <w:t>$</w:t>
            </w:r>
          </w:p>
        </w:tc>
        <w:tc>
          <w:tcPr>
            <w:tcW w:w="1240" w:type="dxa"/>
            <w:tcBorders/>
            <w:shd w:fill="CCEEFF" w:val="clear"/>
            <w:vAlign w:val="bottom"/>
          </w:tcPr>
          <w:p>
            <w:pPr>
              <w:pStyle w:val="TableContents"/>
              <w:bidi w:val="0"/>
              <w:spacing w:before="0" w:after="0"/>
              <w:jc w:val="right"/>
              <w:rPr>
                <w:color w:val="000000"/>
              </w:rPr>
            </w:pPr>
            <w:r>
              <w:rPr>
                <w:color w:val="00000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0"/>
              <w:jc w:val="left"/>
              <w:rPr>
                <w:color w:val="000000"/>
              </w:rPr>
            </w:pPr>
            <w:r>
              <w:rPr>
                <w:color w:val="000000"/>
              </w:rPr>
              <w:t>$</w:t>
            </w:r>
          </w:p>
        </w:tc>
        <w:tc>
          <w:tcPr>
            <w:tcW w:w="964"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0"/>
              <w:jc w:val="right"/>
              <w:rPr>
                <w:color w:val="000000"/>
              </w:rPr>
            </w:pPr>
            <w:r>
              <w:rPr>
                <w:color w:val="000000"/>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right"/>
              <w:rPr>
                <w:color w:val="000000"/>
              </w:rPr>
            </w:pPr>
            <w:r>
              <w:rPr>
                <w:color w:val="000000"/>
              </w:rPr>
              <w:t>38</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1,451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0"/>
              <w:jc w:val="right"/>
              <w:rPr>
                <w:color w:val="000000"/>
              </w:rPr>
            </w:pPr>
            <w:r>
              <w:rPr>
                <w:color w:val="000000"/>
              </w:rPr>
              <w:t>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0"/>
              <w:jc w:val="right"/>
              <w:rPr>
                <w:color w:val="000000"/>
              </w:rPr>
            </w:pPr>
            <w:r>
              <w:rPr>
                <w:color w:val="000000"/>
              </w:rPr>
              <w:t>3,357</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180"/>
              <w:jc w:val="left"/>
              <w:rPr>
                <w:color w:val="000000"/>
              </w:rPr>
            </w:pPr>
            <w:r>
              <w:rPr>
                <w:color w:val="000000"/>
              </w:rPr>
              <w:t>Consumer:</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1,389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0"/>
              <w:jc w:val="right"/>
              <w:rPr>
                <w:color w:val="000000"/>
              </w:rPr>
            </w:pPr>
            <w:r>
              <w:rPr>
                <w:color w:val="000000"/>
              </w:rPr>
              <w:t>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0"/>
              <w:jc w:val="right"/>
              <w:rPr>
                <w:color w:val="000000"/>
              </w:rPr>
            </w:pPr>
            <w:r>
              <w:rPr>
                <w:color w:val="000000"/>
              </w:rPr>
              <w:t>1,356</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360" w:right="0" w:hanging="180"/>
              <w:jc w:val="left"/>
              <w:rPr>
                <w:color w:val="000000"/>
              </w:rPr>
            </w:pPr>
            <w:r>
              <w:rPr>
                <w:color w:val="000000"/>
              </w:rPr>
              <w:t>Auto loans</w:t>
            </w:r>
          </w:p>
        </w:tc>
        <w:tc>
          <w:tcPr>
            <w:tcW w:w="60" w:type="dxa"/>
            <w:tcBorders/>
            <w:vAlign w:val="bottom"/>
          </w:tcPr>
          <w:p>
            <w:pPr>
              <w:pStyle w:val="TableContents"/>
              <w:bidi w:val="0"/>
              <w:spacing w:before="0" w:after="283"/>
              <w:jc w:val="right"/>
              <w:rPr/>
            </w:pPr>
            <w:r>
              <w:rPr/>
              <w:t> </w:t>
            </w:r>
          </w:p>
        </w:tc>
        <w:tc>
          <w:tcPr>
            <w:tcW w:w="229"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color w:val="000000"/>
              </w:rPr>
            </w:pPr>
            <w:r>
              <w:rPr>
                <w:color w:val="000000"/>
              </w:rPr>
              <w:t>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0"/>
              <w:jc w:val="right"/>
              <w:rPr>
                <w:color w:val="000000"/>
              </w:rPr>
            </w:pPr>
            <w:r>
              <w:rPr>
                <w:color w:val="000000"/>
              </w:rPr>
              <w:t>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right"/>
              <w:rPr/>
            </w:pPr>
            <w:r>
              <w:rPr/>
              <w:t> </w:t>
            </w:r>
          </w:p>
        </w:tc>
        <w:tc>
          <w:tcPr>
            <w:tcW w:w="229"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color w:val="000000"/>
              </w:rPr>
            </w:pPr>
            <w:r>
              <w:rPr>
                <w:color w:val="000000"/>
              </w:rPr>
              <w:t>1,487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0"/>
              <w:jc w:val="right"/>
              <w:rPr>
                <w:color w:val="000000"/>
              </w:rPr>
            </w:pPr>
            <w:r>
              <w:rPr>
                <w:color w:val="000000"/>
              </w:rPr>
              <w:t>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0"/>
              <w:jc w:val="right"/>
              <w:rPr>
                <w:color w:val="000000"/>
              </w:rPr>
            </w:pPr>
            <w:r>
              <w:rPr>
                <w:color w:val="000000"/>
              </w:rPr>
              <w:t>37</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44" w:right="0" w:hanging="144"/>
              <w:jc w:val="left"/>
              <w:rPr>
                <w:color w:val="000000"/>
              </w:rPr>
            </w:pPr>
            <w:r>
              <w:rPr>
                <w:color w:val="000000"/>
              </w:rPr>
              <w:t>Construction</w:t>
            </w:r>
          </w:p>
        </w:tc>
        <w:tc>
          <w:tcPr>
            <w:tcW w:w="60" w:type="dxa"/>
            <w:tcBorders/>
            <w:vAlign w:val="bottom"/>
          </w:tcPr>
          <w:p>
            <w:pPr>
              <w:pStyle w:val="TableContents"/>
              <w:bidi w:val="0"/>
              <w:spacing w:before="0" w:after="283"/>
              <w:jc w:val="righ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1,014</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44" w:right="0" w:hanging="144"/>
              <w:jc w:val="left"/>
              <w:rPr>
                <w:color w:val="000000"/>
              </w:rPr>
            </w:pPr>
            <w:r>
              <w:rPr>
                <w:color w:val="000000"/>
              </w:rPr>
            </w:r>
          </w:p>
        </w:tc>
        <w:tc>
          <w:tcPr>
            <w:tcW w:w="60" w:type="dxa"/>
            <w:tcBorders/>
            <w:shd w:fill="CCEEFF" w:val="clear"/>
            <w:vAlign w:val="bottom"/>
          </w:tcPr>
          <w:p>
            <w:pPr>
              <w:pStyle w:val="TableContents"/>
              <w:bidi w:val="0"/>
              <w:spacing w:before="0" w:after="283"/>
              <w:jc w:val="righ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5,802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Credit Quality Indicators</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 </w:t>
      </w:r>
      <w:r>
        <w:rPr>
          <w:rFonts w:ascii="Times New Roman" w:hAnsi="Times New Roman"/>
          <w:b w:val="false"/>
          <w:i w:val="false"/>
          <w:caps w:val="false"/>
          <w:smallCaps w:val="false"/>
          <w:color w:val="000000"/>
          <w:spacing w:val="0"/>
          <w:sz w:val="20"/>
          <w:shd w:fill="FFFFFF" w:val="clear"/>
        </w:rPr>
        <w:t>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Special mention loans have potential weaknesses that deserve management’s close attention. If left uncorrected, these potential weaknesses may result in deterioration of repayment prospects for the loans at some future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year ended December 31, 2023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 reflects the amortized cost basis in loans by credit quality indicator and origination year at December 31, 2023,</w:t>
      </w:r>
      <w:r>
        <w:rPr>
          <w:rFonts w:ascii="Times New Roman" w:hAnsi="Times New Roman"/>
          <w:color w:val="000000"/>
          <w:sz w:val="20"/>
          <w:shd w:fill="FFFFFF" w:val="clear"/>
        </w:rPr>
        <w:t xml:space="preserve"> and gross charge-offs for the year ended</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December 31, 2023, excluding loans held for sale. Loans acquired are shown in the table by origination year, not merger date. The Company had an immaterial amount of revolving loans converted to term loans at December 31, 2023.</w:t>
      </w:r>
    </w:p>
    <w:p>
      <w:pPr>
        <w:pStyle w:val="TextBody"/>
        <w:bidi w:val="0"/>
        <w:spacing w:before="0" w:after="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260"/>
        <w:gridCol w:w="60"/>
        <w:gridCol w:w="140"/>
        <w:gridCol w:w="695"/>
        <w:gridCol w:w="60"/>
        <w:gridCol w:w="60"/>
        <w:gridCol w:w="140"/>
        <w:gridCol w:w="695"/>
        <w:gridCol w:w="60"/>
        <w:gridCol w:w="60"/>
        <w:gridCol w:w="141"/>
        <w:gridCol w:w="704"/>
        <w:gridCol w:w="60"/>
        <w:gridCol w:w="60"/>
        <w:gridCol w:w="141"/>
        <w:gridCol w:w="598"/>
        <w:gridCol w:w="60"/>
        <w:gridCol w:w="60"/>
        <w:gridCol w:w="141"/>
        <w:gridCol w:w="598"/>
        <w:gridCol w:w="60"/>
        <w:gridCol w:w="60"/>
        <w:gridCol w:w="141"/>
        <w:gridCol w:w="704"/>
        <w:gridCol w:w="60"/>
        <w:gridCol w:w="60"/>
        <w:gridCol w:w="217"/>
        <w:gridCol w:w="921"/>
        <w:gridCol w:w="60"/>
        <w:gridCol w:w="60"/>
        <w:gridCol w:w="140"/>
        <w:gridCol w:w="845"/>
        <w:gridCol w:w="84"/>
      </w:tblGrid>
      <w:tr>
        <w:trPr/>
        <w:tc>
          <w:tcPr>
            <w:tcW w:w="22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8" w:type="dxa"/>
            <w:gridSpan w:val="6"/>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Term Loans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8" w:type="dxa"/>
            <w:gridSpan w:val="14"/>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 Cost Basis by Origination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283"/>
              <w:jc w:val="left"/>
              <w:rPr/>
            </w:pPr>
            <w:r>
              <w:rPr/>
              <w:t>(Dollars in thousands)</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Prior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Revolving Loans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84" w:type="dxa"/>
            <w:tcBorders/>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Commercial real estate:</w:t>
            </w:r>
            <w:r>
              <w:rPr>
                <w:rFonts w:ascii="Times New Roman" w:hAnsi="Times New Roman"/>
                <w:color w:val="000000"/>
                <w:sz w:val="20"/>
              </w:rPr>
              <w:t xml:space="preserve">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324,601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189,211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50,660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174,859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1,045,927</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11,677</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283"/>
              <w:jc w:val="left"/>
              <w:rPr/>
            </w:pPr>
            <w:r>
              <w:rPr/>
              <w:t>Substandard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23,452</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real estate loans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324,683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64,036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175,229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1,081,056</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92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Commercial - specialized: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117,912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368,288</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3,238</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283"/>
              <w:jc w:val="left"/>
              <w:rPr/>
            </w:pPr>
            <w:r>
              <w:rPr/>
              <w:t>Substandard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850</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 specialized loans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59,195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372,376</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tcMar>
              <w:bottom w:w="28" w:type="dxa"/>
            </w:tcMar>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w:t>
            </w:r>
          </w:p>
        </w:tc>
        <w:tc>
          <w:tcPr>
            <w:tcW w:w="921"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11</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Commercial - general: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88,911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90,957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45,660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503,070</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1,815</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283"/>
              <w:jc w:val="left"/>
              <w:rPr/>
            </w:pPr>
            <w:r>
              <w:rPr/>
              <w:t>Substandard</w:t>
            </w:r>
          </w:p>
        </w:tc>
        <w:tc>
          <w:tcPr>
            <w:tcW w:w="60" w:type="dxa"/>
            <w:tcBorders/>
            <w:shd w:fill="CCEEFF" w:val="clear"/>
            <w:vAlign w:val="bottom"/>
          </w:tcPr>
          <w:p>
            <w:pPr>
              <w:pStyle w:val="TableContents"/>
              <w:bidi w:val="0"/>
              <w:spacing w:before="0" w:after="283"/>
              <w:jc w:val="right"/>
              <w:rPr/>
            </w:pPr>
            <w:r>
              <w:rPr/>
              <w:t> </w:t>
            </w:r>
          </w:p>
        </w:tc>
        <w:tc>
          <w:tcPr>
            <w:tcW w:w="835"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5"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45"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9"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9"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45"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38"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85" w:type="dxa"/>
            <w:gridSpan w:val="2"/>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12,476</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 general loans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131,557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95,633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517,361</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shd w:fill="CCEEFF" w:val="clear"/>
            <w:tcMar>
              <w:bottom w:w="28" w:type="dxa"/>
            </w:tcM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shd w:fill="CCEEFF" w:val="clear"/>
            <w:tcMar>
              <w:bottom w:w="28" w:type="dxa"/>
            </w:tcM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shd w:fill="CCEEFF" w:val="clear"/>
            <w:tcMar>
              <w:bottom w:w="28" w:type="dxa"/>
            </w:tcM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92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469</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Consumer: 1-4 family residential: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113,897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156,549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106,619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520,786</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283"/>
              <w:jc w:val="left"/>
              <w:rPr/>
            </w:pPr>
            <w:r>
              <w:rPr/>
              <w:t>Substandard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13,945</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1-4 family residential loans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114,273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110,857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534,731</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tcMar>
              <w:bottom w:w="28" w:type="dxa"/>
            </w:tcMar>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w:t>
            </w:r>
          </w:p>
        </w:tc>
        <w:tc>
          <w:tcPr>
            <w:tcW w:w="921"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1</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Consumer: auto loans: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124,588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5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5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92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304,694</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283"/>
              <w:jc w:val="left"/>
              <w:rPr/>
            </w:pPr>
            <w:r>
              <w:rPr/>
              <w:t>Substandard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16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189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199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60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r>
              <w:rPr/>
              <w:t>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32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 xml:space="preserve">577 </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auto loans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106,165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124,777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305,271</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shd w:fill="CCEEFF" w:val="clear"/>
            <w:tcMar>
              <w:bottom w:w="28" w:type="dxa"/>
            </w:tcMar>
            <w:vAlign w:val="bottom"/>
          </w:tcPr>
          <w:p>
            <w:pPr>
              <w:pStyle w:val="TableContents"/>
              <w:bidi w:val="0"/>
              <w:spacing w:before="0" w:after="283"/>
              <w:jc w:val="right"/>
              <w:rPr/>
            </w:pPr>
            <w:r>
              <w:rPr/>
              <w:t>254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shd w:fill="CCEEFF" w:val="clear"/>
            <w:tcMar>
              <w:bottom w:w="28" w:type="dxa"/>
            </w:tcM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shd w:fill="CCEEFF" w:val="clear"/>
            <w:tcMar>
              <w:bottom w:w="28" w:type="dxa"/>
            </w:tcM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shd w:fill="CCEEFF" w:val="clear"/>
            <w:tcMar>
              <w:bottom w:w="28" w:type="dxa"/>
            </w:tcM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92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888</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Consumer: other consumer: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74,016</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283"/>
              <w:jc w:val="left"/>
              <w:rPr/>
            </w:pPr>
            <w:r>
              <w:rPr/>
              <w:t>Substandard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 </w:t>
            </w:r>
          </w:p>
        </w:tc>
        <w:tc>
          <w:tcPr>
            <w:tcW w:w="92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w:t>
            </w:r>
          </w:p>
        </w:tc>
        <w:tc>
          <w:tcPr>
            <w:tcW w:w="84" w:type="dxa"/>
            <w:tcBorders/>
            <w:vAlign w:val="bottom"/>
          </w:tcPr>
          <w:p>
            <w:pPr>
              <w:pStyle w:val="TableContents"/>
              <w:bidi w:val="0"/>
              <w:spacing w:before="0" w:after="283"/>
              <w:jc w:val="left"/>
              <w:rPr/>
            </w:pPr>
            <w:r>
              <w:rPr/>
              <w:t> </w:t>
            </w:r>
          </w:p>
        </w:tc>
      </w:tr>
      <w:tr>
        <w:trPr/>
        <w:tc>
          <w:tcPr>
            <w:tcW w:w="226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other consumer loans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74,168</w:t>
            </w:r>
          </w:p>
        </w:tc>
        <w:tc>
          <w:tcPr>
            <w:tcW w:w="84" w:type="dxa"/>
            <w:tcBorders/>
            <w:shd w:fill="CCEEFF" w:val="clear"/>
            <w:vAlign w:val="bottom"/>
          </w:tcPr>
          <w:p>
            <w:pPr>
              <w:pStyle w:val="TableContents"/>
              <w:bidi w:val="0"/>
              <w:spacing w:before="0" w:after="283"/>
              <w:jc w:val="left"/>
              <w:rPr/>
            </w:pPr>
            <w:r>
              <w:rPr/>
              <w:t> </w:t>
            </w:r>
          </w:p>
        </w:tc>
      </w:tr>
      <w:tr>
        <w:trPr/>
        <w:tc>
          <w:tcPr>
            <w:tcW w:w="22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 xml:space="preserve">Current period gross charge-offs </w:t>
            </w:r>
            <w:r>
              <w:rPr>
                <w:rFonts w:ascii="Times New Roman" w:hAnsi="Times New Roman"/>
                <w:color w:val="000000"/>
                <w:position w:val="7"/>
                <w:sz w:val="16"/>
                <w:sz w:val="20"/>
              </w:rPr>
              <w:t>(1)</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624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tcMar>
              <w:bottom w:w="28" w:type="dxa"/>
            </w:tcMar>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tcMar>
              <w:bottom w:w="28" w:type="dxa"/>
            </w:tcMar>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598" w:type="dxa"/>
            <w:tcBorders>
              <w:bottom w:val="single" w:sz="12" w:space="0" w:color="000000"/>
            </w:tcBorders>
            <w:tcMar>
              <w:bottom w:w="28" w:type="dxa"/>
            </w:tcMar>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w:t>
            </w:r>
          </w:p>
        </w:tc>
        <w:tc>
          <w:tcPr>
            <w:tcW w:w="704" w:type="dxa"/>
            <w:tcBorders>
              <w:bottom w:val="single" w:sz="12" w:space="0" w:color="000000"/>
            </w:tcBorders>
            <w:tcMar>
              <w:bottom w:w="28" w:type="dxa"/>
            </w:tcMar>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w:t>
            </w:r>
          </w:p>
        </w:tc>
        <w:tc>
          <w:tcPr>
            <w:tcW w:w="921"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1,140</w:t>
            </w:r>
          </w:p>
        </w:tc>
        <w:tc>
          <w:tcPr>
            <w:tcW w:w="84" w:type="dxa"/>
            <w:tcBorders/>
            <w:vAlign w:val="bottom"/>
          </w:tcPr>
          <w:p>
            <w:pPr>
              <w:pStyle w:val="TableContents"/>
              <w:bidi w:val="0"/>
              <w:spacing w:before="0" w:after="283"/>
              <w:jc w:val="left"/>
              <w:rPr/>
            </w:pPr>
            <w:r>
              <w:rPr/>
              <w:t> </w:t>
            </w:r>
          </w:p>
        </w:tc>
      </w:tr>
    </w:tbl>
    <w:tbl>
      <w:tblPr>
        <w:tblW w:w="8425" w:type="dxa"/>
        <w:jc w:val="left"/>
        <w:tblInd w:w="0" w:type="dxa"/>
        <w:tblLayout w:type="fixed"/>
        <w:tblCellMar>
          <w:top w:w="0" w:type="dxa"/>
          <w:left w:w="0" w:type="dxa"/>
          <w:bottom w:w="0" w:type="dxa"/>
          <w:right w:w="0" w:type="dxa"/>
        </w:tblCellMar>
      </w:tblPr>
      <w:tblGrid>
        <w:gridCol w:w="2630"/>
        <w:gridCol w:w="60"/>
        <w:gridCol w:w="140"/>
        <w:gridCol w:w="590"/>
        <w:gridCol w:w="60"/>
        <w:gridCol w:w="60"/>
        <w:gridCol w:w="140"/>
        <w:gridCol w:w="590"/>
        <w:gridCol w:w="60"/>
        <w:gridCol w:w="60"/>
        <w:gridCol w:w="140"/>
        <w:gridCol w:w="485"/>
        <w:gridCol w:w="60"/>
        <w:gridCol w:w="60"/>
        <w:gridCol w:w="140"/>
        <w:gridCol w:w="335"/>
        <w:gridCol w:w="60"/>
        <w:gridCol w:w="60"/>
        <w:gridCol w:w="140"/>
        <w:gridCol w:w="260"/>
        <w:gridCol w:w="60"/>
        <w:gridCol w:w="60"/>
        <w:gridCol w:w="140"/>
        <w:gridCol w:w="260"/>
        <w:gridCol w:w="60"/>
        <w:gridCol w:w="60"/>
        <w:gridCol w:w="140"/>
        <w:gridCol w:w="485"/>
        <w:gridCol w:w="60"/>
        <w:gridCol w:w="60"/>
        <w:gridCol w:w="140"/>
        <w:gridCol w:w="695"/>
        <w:gridCol w:w="75"/>
      </w:tblGrid>
      <w:tr>
        <w:trPr/>
        <w:tc>
          <w:tcPr>
            <w:tcW w:w="26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Construction:</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127,925</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951</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283"/>
              <w:jc w:val="left"/>
              <w:rPr/>
            </w:pPr>
            <w:r>
              <w:rPr/>
              <w:t>Substandard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construction loans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129,190</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485" w:type="dxa"/>
            <w:tcBorders>
              <w:bottom w:val="single" w:sz="12" w:space="0" w:color="000000"/>
            </w:tcBorders>
            <w:shd w:fill="CCEEFF" w:val="clear"/>
            <w:tcMar>
              <w:bottom w:w="28" w:type="dxa"/>
            </w:tcMar>
            <w:vAlign w:val="bottom"/>
          </w:tcPr>
          <w:p>
            <w:pPr>
              <w:pStyle w:val="TableContents"/>
              <w:bidi w:val="0"/>
              <w:spacing w:before="0" w:after="283"/>
              <w:jc w:val="right"/>
              <w:rPr/>
            </w:pPr>
            <w:r>
              <w:rPr/>
              <w:t>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33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48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319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widowControl/>
        <w:bidi w:val="0"/>
        <w:spacing w:lineRule="auto" w:line="240"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(1) </w:t>
      </w:r>
      <w:r>
        <w:rPr>
          <w:rFonts w:ascii="Times New Roman" w:hAnsi="Times New Roman"/>
          <w:b w:val="false"/>
          <w:i w:val="false"/>
          <w:caps w:val="false"/>
          <w:smallCaps w:val="false"/>
          <w:color w:val="000000"/>
          <w:spacing w:val="0"/>
          <w:sz w:val="20"/>
          <w:shd w:fill="FFFFFF" w:val="clear"/>
        </w:rPr>
        <w:t>Includes $574 thousand in charged-off demand deposit overdrafts reported as 2023 originations.</w:t>
      </w:r>
    </w:p>
    <w:p>
      <w:pPr>
        <w:pStyle w:val="TextBody"/>
        <w:bidi w:val="0"/>
        <w:spacing w:before="0" w:after="0"/>
        <w:jc w:val="left"/>
        <w:rPr/>
      </w:pPr>
      <w:r>
        <w:rPr/>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following table summarizes loans by credit quality indicator at December 31, 2022</w:t>
      </w:r>
      <w:r>
        <w:rPr>
          <w:rFonts w:ascii="Times New Roman" w:hAnsi="Times New Roman"/>
          <w:color w:val="000000"/>
          <w:sz w:val="20"/>
          <w:shd w:fill="FFFFFF" w:val="clear"/>
        </w:rPr>
        <w:t xml:space="preserve">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425" w:type="dxa"/>
        <w:jc w:val="left"/>
        <w:tblInd w:w="0" w:type="dxa"/>
        <w:tblLayout w:type="fixed"/>
        <w:tblCellMar>
          <w:top w:w="0" w:type="dxa"/>
          <w:left w:w="0" w:type="dxa"/>
          <w:bottom w:w="0" w:type="dxa"/>
          <w:right w:w="0" w:type="dxa"/>
        </w:tblCellMar>
      </w:tblPr>
      <w:tblGrid>
        <w:gridCol w:w="2420"/>
        <w:gridCol w:w="60"/>
        <w:gridCol w:w="140"/>
        <w:gridCol w:w="980"/>
        <w:gridCol w:w="60"/>
        <w:gridCol w:w="60"/>
        <w:gridCol w:w="306"/>
        <w:gridCol w:w="569"/>
        <w:gridCol w:w="60"/>
        <w:gridCol w:w="60"/>
        <w:gridCol w:w="228"/>
        <w:gridCol w:w="1112"/>
        <w:gridCol w:w="60"/>
        <w:gridCol w:w="60"/>
        <w:gridCol w:w="327"/>
        <w:gridCol w:w="608"/>
        <w:gridCol w:w="60"/>
        <w:gridCol w:w="60"/>
        <w:gridCol w:w="140"/>
        <w:gridCol w:w="980"/>
        <w:gridCol w:w="75"/>
      </w:tblGrid>
      <w:tr>
        <w:trPr/>
        <w:tc>
          <w:tcPr>
            <w:tcW w:w="24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Special</w:t>
            </w:r>
          </w:p>
          <w:p>
            <w:pPr>
              <w:pStyle w:val="TableContents"/>
              <w:bidi w:val="0"/>
              <w:spacing w:before="0" w:after="0"/>
              <w:jc w:val="center"/>
              <w:rPr>
                <w:b/>
                <w:color w:val="000000"/>
              </w:rPr>
            </w:pPr>
            <w:r>
              <w:rPr>
                <w:b/>
                <w:color w:val="000000"/>
              </w:rPr>
              <w:t>Mention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Substandard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Doubtful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5" w:type="dxa"/>
            <w:tcBorders/>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color w:val="000000"/>
                <w:u w:val="single"/>
              </w:rPr>
            </w:pPr>
            <w:r>
              <w:rPr>
                <w:color w:val="000000"/>
                <w:u w:val="single"/>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893,312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0"/>
              <w:jc w:val="left"/>
              <w:rPr>
                <w:color w:val="000000"/>
              </w:rPr>
            </w:pPr>
            <w:r>
              <w:rPr>
                <w:color w:val="000000"/>
              </w:rPr>
              <w:t>$</w:t>
            </w:r>
          </w:p>
        </w:tc>
        <w:tc>
          <w:tcPr>
            <w:tcW w:w="56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color w:val="000000"/>
              </w:rPr>
            </w:pPr>
            <w:r>
              <w:rPr>
                <w:color w:val="000000"/>
              </w:rPr>
              <w:t>$</w:t>
            </w:r>
          </w:p>
        </w:tc>
        <w:tc>
          <w:tcPr>
            <w:tcW w:w="1112" w:type="dxa"/>
            <w:tcBorders/>
            <w:shd w:fill="CCEEFF" w:val="clear"/>
            <w:vAlign w:val="bottom"/>
          </w:tcPr>
          <w:p>
            <w:pPr>
              <w:pStyle w:val="TableContents"/>
              <w:bidi w:val="0"/>
              <w:spacing w:before="0" w:after="0"/>
              <w:jc w:val="right"/>
              <w:rPr>
                <w:color w:val="000000"/>
              </w:rPr>
            </w:pPr>
            <w:r>
              <w:rPr>
                <w:color w:val="000000"/>
              </w:rPr>
              <w:t>26,046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0"/>
              <w:jc w:val="left"/>
              <w:rPr>
                <w:color w:val="000000"/>
              </w:rPr>
            </w:pPr>
            <w:r>
              <w:rPr>
                <w:color w:val="000000"/>
              </w:rPr>
              <w:t>$</w:t>
            </w:r>
          </w:p>
        </w:tc>
        <w:tc>
          <w:tcPr>
            <w:tcW w:w="6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919,358</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326,987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color w:val="000000"/>
              </w:rPr>
            </w:pPr>
            <w:r>
              <w:rPr>
                <w:color w:val="000000"/>
              </w:rPr>
              <w:t>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327,513</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451,639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color w:val="000000"/>
              </w:rPr>
            </w:pPr>
            <w:r>
              <w:rPr>
                <w:color w:val="000000"/>
              </w:rPr>
              <w:t>33,144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484,783</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450,034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color w:val="000000"/>
              </w:rPr>
            </w:pPr>
            <w:r>
              <w:rPr>
                <w:color w:val="000000"/>
              </w:rPr>
              <w:t>10,090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460,124</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ind w:left="180" w:right="0" w:hanging="0"/>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321,158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0"/>
              <w:jc w:val="right"/>
              <w:rPr>
                <w:color w:val="000000"/>
              </w:rPr>
            </w:pPr>
            <w:r>
              <w:rPr>
                <w:color w:val="000000"/>
              </w:rPr>
              <w:t>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321,476</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81,109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0"/>
              <w:jc w:val="right"/>
              <w:rPr>
                <w:color w:val="000000"/>
              </w:rPr>
            </w:pPr>
            <w:r>
              <w:rPr>
                <w:color w:val="000000"/>
              </w:rPr>
              <w:t>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81,308</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vAlign w:val="bottom"/>
          </w:tcPr>
          <w:p>
            <w:pPr>
              <w:pStyle w:val="TableContents"/>
              <w:bidi w:val="0"/>
              <w:spacing w:before="0" w:after="0"/>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151,995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6" w:type="dxa"/>
            <w:tcBorders>
              <w:bottom w:val="single" w:sz="12" w:space="0" w:color="000000"/>
            </w:tcBorders>
            <w:tcMar>
              <w:bottom w:w="28" w:type="dxa"/>
            </w:tcMar>
            <w:vAlign w:val="bottom"/>
          </w:tcPr>
          <w:p>
            <w:pPr>
              <w:pStyle w:val="TableContents"/>
              <w:bidi w:val="0"/>
              <w:spacing w:before="0" w:after="283"/>
              <w:jc w:val="left"/>
              <w:rPr/>
            </w:pPr>
            <w:r>
              <w:rPr/>
              <w:t> </w:t>
            </w:r>
          </w:p>
        </w:tc>
        <w:tc>
          <w:tcPr>
            <w:tcW w:w="56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7" w:type="dxa"/>
            <w:tcBorders>
              <w:bottom w:val="single" w:sz="12" w:space="0" w:color="000000"/>
            </w:tcBorders>
            <w:tcMar>
              <w:bottom w:w="28" w:type="dxa"/>
            </w:tcMar>
            <w:vAlign w:val="bottom"/>
          </w:tcPr>
          <w:p>
            <w:pPr>
              <w:pStyle w:val="TableContents"/>
              <w:bidi w:val="0"/>
              <w:spacing w:before="0" w:after="283"/>
              <w:jc w:val="left"/>
              <w:rPr/>
            </w:pPr>
            <w:r>
              <w:rPr/>
              <w:t> </w:t>
            </w:r>
          </w:p>
        </w:tc>
        <w:tc>
          <w:tcPr>
            <w:tcW w:w="6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153,519</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jc w:val="left"/>
              <w:rPr>
                <w:color w:val="000000"/>
              </w:rPr>
            </w:pPr>
            <w:r>
              <w:rPr>
                <w:color w:val="000000"/>
              </w:rPr>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2,676,234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6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71,847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2,748,081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 </w:t>
      </w:r>
    </w:p>
    <w:p>
      <w:pPr>
        <w:pStyle w:val="TextBody"/>
        <w:bidi w:val="0"/>
        <w:spacing w:before="0" w:after="0"/>
        <w:jc w:val="both"/>
        <w:rPr/>
      </w:pPr>
      <w:r>
        <w:rPr/>
      </w:r>
    </w:p>
    <w:p>
      <w:pPr>
        <w:pStyle w:val="TextBody"/>
        <w:bidi w:val="0"/>
        <w:spacing w:before="60" w:after="6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presents the amortized cost basis of loans at December 31, 2023 that were both experiencing financial difficulty and modified during the year ended December 31, 2023, </w:t>
      </w:r>
      <w:r>
        <w:rPr>
          <w:rFonts w:ascii="Times New Roman" w:hAnsi="Times New Roman"/>
          <w:b w:val="false"/>
          <w:i w:val="false"/>
          <w:caps w:val="false"/>
          <w:smallCaps w:val="false"/>
          <w:color w:val="000000"/>
          <w:spacing w:val="0"/>
          <w:sz w:val="20"/>
          <w:shd w:fill="FFFFFF" w:val="clear"/>
        </w:rPr>
        <w:t>by class and by type of modification</w:t>
      </w:r>
      <w:r>
        <w:rPr>
          <w:rFonts w:ascii="Times New Roman" w:hAnsi="Times New Roman"/>
          <w:b w:val="false"/>
          <w:i w:val="false"/>
          <w:caps w:val="false"/>
          <w:smallCaps w:val="false"/>
          <w:color w:val="000000"/>
          <w:sz w:val="20"/>
          <w:shd w:fill="FFFFFF" w:val="clear"/>
        </w:rPr>
        <w:t>. </w:t>
      </w:r>
      <w:r>
        <w:rPr>
          <w:rFonts w:ascii="Times New Roman" w:hAnsi="Times New Roman"/>
          <w:color w:val="000000"/>
          <w:sz w:val="20"/>
          <w:shd w:fill="FFFFFF" w:val="clear"/>
        </w:rPr>
        <w:t xml:space="preserve"> The percentage of the amortized cost basis of loans that were modified to borrowers in financial distress as compared to the amortized cost basis of each class of financing receivable is also presented below (dollars in thousands):</w:t>
      </w:r>
    </w:p>
    <w:p>
      <w:pPr>
        <w:pStyle w:val="TextBody"/>
        <w:bidi w:val="0"/>
        <w:spacing w:before="0" w:after="0"/>
        <w:ind w:left="0" w:right="0" w:hanging="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1823"/>
        <w:gridCol w:w="60"/>
        <w:gridCol w:w="218"/>
        <w:gridCol w:w="586"/>
        <w:gridCol w:w="60"/>
        <w:gridCol w:w="60"/>
        <w:gridCol w:w="150"/>
        <w:gridCol w:w="710"/>
        <w:gridCol w:w="60"/>
        <w:gridCol w:w="60"/>
        <w:gridCol w:w="176"/>
        <w:gridCol w:w="684"/>
        <w:gridCol w:w="60"/>
        <w:gridCol w:w="60"/>
        <w:gridCol w:w="319"/>
        <w:gridCol w:w="860"/>
        <w:gridCol w:w="60"/>
        <w:gridCol w:w="60"/>
        <w:gridCol w:w="464"/>
        <w:gridCol w:w="863"/>
        <w:gridCol w:w="60"/>
        <w:gridCol w:w="60"/>
        <w:gridCol w:w="451"/>
        <w:gridCol w:w="841"/>
        <w:gridCol w:w="60"/>
        <w:gridCol w:w="60"/>
        <w:gridCol w:w="147"/>
        <w:gridCol w:w="942"/>
        <w:gridCol w:w="191"/>
      </w:tblGrid>
      <w:tr>
        <w:trPr/>
        <w:tc>
          <w:tcPr>
            <w:tcW w:w="1823"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and </w:t>
            </w:r>
          </w:p>
          <w:p>
            <w:pPr>
              <w:pStyle w:val="TableContents"/>
              <w:bidi w:val="0"/>
              <w:spacing w:before="0" w:after="0"/>
              <w:jc w:val="center"/>
              <w:rPr>
                <w:rFonts w:ascii="Times New Roman" w:hAnsi="Times New Roman"/>
                <w:b/>
              </w:rPr>
            </w:pPr>
            <w:r>
              <w:rPr>
                <w:rFonts w:ascii="Times New Roman" w:hAnsi="Times New Roman"/>
                <w:b/>
              </w:rPr>
              <w:t xml:space="preserve">Interest Rate </w:t>
            </w:r>
          </w:p>
          <w:p>
            <w:pPr>
              <w:pStyle w:val="TableContents"/>
              <w:bidi w:val="0"/>
              <w:spacing w:before="0" w:after="0"/>
              <w:jc w:val="center"/>
              <w:rPr>
                <w:rFonts w:ascii="Times New Roman" w:hAnsi="Times New Roman"/>
                <w:b/>
              </w:rPr>
            </w:pPr>
            <w:r>
              <w:rPr>
                <w:rFonts w:ascii="Times New Roman" w:hAnsi="Times New Roman"/>
                <w:b/>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Term </w:t>
            </w:r>
          </w:p>
          <w:p>
            <w:pPr>
              <w:pStyle w:val="TableContents"/>
              <w:bidi w:val="0"/>
              <w:spacing w:before="0" w:after="0"/>
              <w:jc w:val="center"/>
              <w:rPr>
                <w:rFonts w:ascii="Times New Roman" w:hAnsi="Times New Roman"/>
                <w:b/>
              </w:rPr>
            </w:pPr>
            <w:r>
              <w:rPr>
                <w:rFonts w:ascii="Times New Roman" w:hAnsi="Times New Roman"/>
                <w:b/>
              </w:rPr>
              <w:t xml:space="preserve">Extension, </w:t>
            </w:r>
          </w:p>
          <w:p>
            <w:pPr>
              <w:pStyle w:val="TableContents"/>
              <w:bidi w:val="0"/>
              <w:spacing w:before="0" w:after="0"/>
              <w:jc w:val="center"/>
              <w:rPr>
                <w:rFonts w:ascii="Times New Roman" w:hAnsi="Times New Roman"/>
                <w:b/>
              </w:rPr>
            </w:pPr>
            <w:r>
              <w:rPr>
                <w:rFonts w:ascii="Times New Roman" w:hAnsi="Times New Roman"/>
                <w:b/>
              </w:rPr>
              <w:t xml:space="preserve">and Interest </w:t>
            </w:r>
          </w:p>
          <w:p>
            <w:pPr>
              <w:pStyle w:val="TableContents"/>
              <w:bidi w:val="0"/>
              <w:spacing w:before="0" w:after="0"/>
              <w:jc w:val="center"/>
              <w:rPr>
                <w:rFonts w:ascii="Times New Roman" w:hAnsi="Times New Roman"/>
                <w:b/>
              </w:rPr>
            </w:pPr>
            <w:r>
              <w:rPr>
                <w:rFonts w:ascii="Times New Roman" w:hAnsi="Times New Roman"/>
                <w:b/>
              </w:rPr>
              <w:t xml:space="preserve">Rate </w:t>
            </w:r>
          </w:p>
          <w:p>
            <w:pPr>
              <w:pStyle w:val="TableContents"/>
              <w:bidi w:val="0"/>
              <w:spacing w:before="0" w:after="0"/>
              <w:jc w:val="center"/>
              <w:rPr>
                <w:rFonts w:ascii="Times New Roman" w:hAnsi="Times New Roman"/>
                <w:b/>
              </w:rPr>
            </w:pPr>
            <w:r>
              <w:rPr>
                <w:rFonts w:ascii="Times New Roman" w:hAnsi="Times New Roman"/>
                <w:b/>
              </w:rPr>
              <w:t xml:space="preserve">Reduction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Total Class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Financing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Receivable</w:t>
            </w:r>
          </w:p>
        </w:tc>
        <w:tc>
          <w:tcPr>
            <w:tcW w:w="191" w:type="dxa"/>
            <w:tcBorders/>
            <w:vAlign w:val="bottom"/>
          </w:tcPr>
          <w:p>
            <w:pPr>
              <w:pStyle w:val="TableContents"/>
              <w:bidi w:val="0"/>
              <w:spacing w:before="0" w:after="283"/>
              <w:jc w:val="left"/>
              <w:rPr/>
            </w:pPr>
            <w:r>
              <w:rPr/>
              <w:t> </w:t>
            </w:r>
          </w:p>
        </w:tc>
      </w:tr>
      <w:tr>
        <w:trPr/>
        <w:tc>
          <w:tcPr>
            <w:tcW w:w="18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823" w:type="dxa"/>
            <w:tcBorders/>
            <w:vAlign w:val="bottom"/>
          </w:tcPr>
          <w:p>
            <w:pPr>
              <w:pStyle w:val="TableContents"/>
              <w:bidi w:val="0"/>
              <w:spacing w:before="0" w:after="0"/>
              <w:ind w:left="180" w:right="0" w:hanging="0"/>
              <w:jc w:val="left"/>
              <w:rPr>
                <w:rFonts w:ascii="Times New Roman" w:hAnsi="Times New Roman"/>
                <w:color w:val="000000"/>
                <w:sz w:val="20"/>
                <w:u w:val="single"/>
              </w:rPr>
            </w:pPr>
            <w:r>
              <w:rPr>
                <w:rFonts w:ascii="Times New Roman" w:hAnsi="Times New Roman"/>
                <w:color w:val="000000"/>
                <w:sz w:val="20"/>
                <w:u w:val="single"/>
              </w:rPr>
              <w:t>December 31, 2023</w:t>
            </w:r>
          </w:p>
        </w:tc>
        <w:tc>
          <w:tcPr>
            <w:tcW w:w="60"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823"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8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4"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6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5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0.21</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23"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64"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0.23</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23"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23"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64"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r>
      <w:tr>
        <w:trPr/>
        <w:tc>
          <w:tcPr>
            <w:tcW w:w="1823"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1-4 family</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0.13</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23"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64"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rFonts w:ascii="Times New Roman" w:hAnsi="Times New Roman"/>
              </w:rPr>
            </w:pPr>
            <w:r>
              <w:rPr>
                <w:rFonts w:ascii="Times New Roman" w:hAnsi="Times New Roman"/>
              </w:rPr>
              <w:t>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5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23"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51"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23"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58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64" w:type="dxa"/>
            <w:tcBorders>
              <w:bottom w:val="single" w:sz="12" w:space="0" w:color="000000"/>
            </w:tcBorders>
            <w:tcMar>
              <w:bottom w:w="28" w:type="dxa"/>
            </w:tcMar>
            <w:vAlign w:val="bottom"/>
          </w:tcPr>
          <w:p>
            <w:pPr>
              <w:pStyle w:val="TableContents"/>
              <w:bidi w:val="0"/>
              <w:spacing w:before="0" w:after="283"/>
              <w:jc w:val="left"/>
              <w:rPr/>
            </w:pPr>
            <w:r>
              <w:rPr/>
              <w:t> </w:t>
            </w:r>
          </w:p>
        </w:tc>
        <w:tc>
          <w:tcPr>
            <w:tcW w:w="863"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51" w:type="dxa"/>
            <w:tcBorders>
              <w:bottom w:val="single" w:sz="12" w:space="0" w:color="000000"/>
            </w:tcBorders>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23"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1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64"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63"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51"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41"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0.48</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closely monitors the performance of loans that are modified to borrowers experiencing financial difficulty to understand the effectiveness of its modification efforts.  The following presents the performance of such loans that have been modified in the year ended December 31, 2023 (dollars in thousands):</w:t>
      </w:r>
    </w:p>
    <w:p>
      <w:pPr>
        <w:pStyle w:val="TextBody"/>
        <w:bidi w:val="0"/>
        <w:spacing w:before="0" w:after="0"/>
        <w:ind w:left="0" w:right="0" w:hanging="0"/>
        <w:jc w:val="left"/>
        <w:rPr>
          <w:rFonts w:ascii="Times New Roman" w:hAnsi="Times New Roman"/>
        </w:rPr>
      </w:pPr>
      <w:r>
        <w:rPr>
          <w:rFonts w:ascii="Times New Roman" w:hAnsi="Times New Roman"/>
        </w:rPr>
      </w:r>
    </w:p>
    <w:tbl>
      <w:tblPr>
        <w:tblW w:w="5703" w:type="dxa"/>
        <w:jc w:val="left"/>
        <w:tblInd w:w="0" w:type="dxa"/>
        <w:tblLayout w:type="fixed"/>
        <w:tblCellMar>
          <w:top w:w="0" w:type="dxa"/>
          <w:left w:w="0" w:type="dxa"/>
          <w:bottom w:w="0" w:type="dxa"/>
          <w:right w:w="0" w:type="dxa"/>
        </w:tblCellMar>
      </w:tblPr>
      <w:tblGrid>
        <w:gridCol w:w="2090"/>
        <w:gridCol w:w="60"/>
        <w:gridCol w:w="262"/>
        <w:gridCol w:w="702"/>
        <w:gridCol w:w="60"/>
        <w:gridCol w:w="60"/>
        <w:gridCol w:w="409"/>
        <w:gridCol w:w="855"/>
        <w:gridCol w:w="60"/>
        <w:gridCol w:w="60"/>
        <w:gridCol w:w="274"/>
        <w:gridCol w:w="736"/>
        <w:gridCol w:w="75"/>
      </w:tblGrid>
      <w:tr>
        <w:trPr/>
        <w:tc>
          <w:tcPr>
            <w:tcW w:w="20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30-89 Days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90 Days 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More Past Due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and Still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Accruing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Nonaccrual</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December 31, 2023</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following table presents the financial effects of the loan modifications presented above </w:t>
      </w:r>
      <w:r>
        <w:rPr>
          <w:rFonts w:ascii="Times New Roman" w:hAnsi="Times New Roman"/>
          <w:b w:val="false"/>
          <w:i w:val="false"/>
          <w:caps w:val="false"/>
          <w:smallCaps w:val="false"/>
          <w:color w:val="000000"/>
          <w:spacing w:val="0"/>
          <w:sz w:val="20"/>
          <w:shd w:fill="FFFFFF" w:val="clear"/>
        </w:rPr>
        <w:t>to borrowers experiencing financial difficulty for the year ended December 31, 2023</w:t>
      </w:r>
      <w:r>
        <w:rPr>
          <w:rFonts w:ascii="Times New Roman" w:hAnsi="Times New Roman"/>
          <w:b w:val="false"/>
          <w:i w:val="false"/>
          <w:caps w:val="false"/>
          <w:smallCaps w:val="false"/>
          <w:color w:val="000000"/>
          <w:sz w:val="20"/>
          <w:shd w:fill="FFFFFF" w:val="clear"/>
        </w:rPr>
        <w:t xml:space="preserve"> (dollars in thousands): </w:t>
      </w:r>
    </w:p>
    <w:p>
      <w:pPr>
        <w:pStyle w:val="TextBody"/>
        <w:bidi w:val="0"/>
        <w:spacing w:before="0" w:after="0"/>
        <w:ind w:left="0" w:right="0" w:hanging="0"/>
        <w:jc w:val="left"/>
        <w:rPr>
          <w:rFonts w:ascii="Times New Roman" w:hAnsi="Times New Roman"/>
        </w:rPr>
      </w:pPr>
      <w:r>
        <w:rPr>
          <w:rFonts w:ascii="Times New Roman" w:hAnsi="Times New Roman"/>
        </w:rPr>
      </w:r>
    </w:p>
    <w:tbl>
      <w:tblPr>
        <w:tblW w:w="5678" w:type="dxa"/>
        <w:jc w:val="left"/>
        <w:tblInd w:w="0" w:type="dxa"/>
        <w:tblLayout w:type="fixed"/>
        <w:tblCellMar>
          <w:top w:w="0" w:type="dxa"/>
          <w:left w:w="0" w:type="dxa"/>
          <w:bottom w:w="0" w:type="dxa"/>
          <w:right w:w="0" w:type="dxa"/>
        </w:tblCellMar>
      </w:tblPr>
      <w:tblGrid>
        <w:gridCol w:w="2090"/>
        <w:gridCol w:w="60"/>
        <w:gridCol w:w="337"/>
        <w:gridCol w:w="703"/>
        <w:gridCol w:w="60"/>
        <w:gridCol w:w="60"/>
        <w:gridCol w:w="155"/>
        <w:gridCol w:w="989"/>
        <w:gridCol w:w="185"/>
        <w:gridCol w:w="60"/>
        <w:gridCol w:w="169"/>
        <w:gridCol w:w="735"/>
        <w:gridCol w:w="75"/>
      </w:tblGrid>
      <w:tr>
        <w:trPr/>
        <w:tc>
          <w:tcPr>
            <w:tcW w:w="20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Forgiveness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(Months)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rFonts w:ascii="Times New Roman" w:hAnsi="Times New Roman"/>
                <w:u w:val="single"/>
              </w:rPr>
            </w:pPr>
            <w:r>
              <w:rPr>
                <w:rFonts w:ascii="Times New Roman" w:hAnsi="Times New Roman"/>
                <w:u w:val="single"/>
              </w:rPr>
              <w:t>December 31, 2023</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33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3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December 31, 2023, the Company had one loan relationship made to borrowers experiencing financial difficulty that was modified during the year ended December 31, 2023 that subsequently defaulted, totaling $297 thousand. Payment default is defined as movement to nonperforming status, foreclosure, or charge-off.</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pStyle w:val="TextBody"/>
        <w:bidi w:val="0"/>
        <w:spacing w:before="0" w:after="0"/>
        <w:jc w:val="left"/>
        <w:rPr/>
      </w:pPr>
      <w:r>
        <w:rPr/>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color w:val="000000"/>
          <w:spacing w:val="0"/>
          <w:sz w:val="20"/>
          <w:shd w:fill="FFFFFF" w:val="clear"/>
        </w:rPr>
      </w:pPr>
      <w:r>
        <w:rPr>
          <w:rFonts w:ascii="Times New Roman" w:hAnsi="Times New Roman"/>
          <w:b w:val="false"/>
          <w:color w:val="000000"/>
          <w:spacing w:val="0"/>
          <w:sz w:val="20"/>
          <w:shd w:fill="FFFFFF" w:val="clear"/>
        </w:rPr>
        <w:t>Prior-period troubled debt restructuring (“TDR”) disclosures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Prior to adopting the new accounting standard on loan modifications, the Company accounted for modifications of loans to borrowers experiencing financial difficulty as TDRs, when the modification resulted in a concession and specific reserves were charged to the ACL, if necessary, for the amount of estimated credit loss. The Company had  no loans modified as a TDR during the years ended December 31, 2022 and  2021.</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2845" w:type="dxa"/>
        <w:jc w:val="left"/>
        <w:tblInd w:w="0" w:type="dxa"/>
        <w:tblLayout w:type="fixed"/>
        <w:tblCellMar>
          <w:top w:w="0" w:type="dxa"/>
          <w:left w:w="0" w:type="dxa"/>
          <w:bottom w:w="0" w:type="dxa"/>
          <w:right w:w="0" w:type="dxa"/>
        </w:tblCellMar>
      </w:tblPr>
      <w:tblGrid>
        <w:gridCol w:w="215"/>
        <w:gridCol w:w="2630"/>
      </w:tblGrid>
      <w:tr>
        <w:trPr/>
        <w:tc>
          <w:tcPr>
            <w:tcW w:w="215" w:type="dxa"/>
            <w:tcBorders/>
            <w:vAlign w:val="center"/>
          </w:tcPr>
          <w:p>
            <w:pPr>
              <w:pStyle w:val="TableContents"/>
              <w:bidi w:val="0"/>
              <w:spacing w:before="0" w:after="0"/>
              <w:jc w:val="both"/>
              <w:rPr>
                <w:b/>
                <w:i/>
                <w:color w:val="000000"/>
              </w:rPr>
            </w:pPr>
            <w:r>
              <w:rPr>
                <w:b/>
                <w:i/>
                <w:color w:val="000000"/>
              </w:rPr>
              <w:t>4.</w:t>
            </w:r>
          </w:p>
        </w:tc>
        <w:tc>
          <w:tcPr>
            <w:tcW w:w="2630" w:type="dxa"/>
            <w:tcBorders/>
            <w:vAlign w:val="center"/>
          </w:tcPr>
          <w:p>
            <w:pPr>
              <w:pStyle w:val="TableContents"/>
              <w:bidi w:val="0"/>
              <w:spacing w:before="0" w:after="0"/>
              <w:jc w:val="both"/>
              <w:rPr>
                <w:b/>
                <w:i/>
                <w:color w:val="000000"/>
              </w:rPr>
            </w:pPr>
            <w:r>
              <w:rPr>
                <w:b/>
                <w:i/>
                <w:color w:val="000000"/>
              </w:rPr>
              <w:t>FORECLOSED ASSETS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Foreclosed assets activity was as follows for the periods presented below (dollars in thousands):</w:t>
      </w:r>
    </w:p>
    <w:p>
      <w:pPr>
        <w:pStyle w:val="TextBody"/>
        <w:bidi w:val="0"/>
        <w:spacing w:before="0" w:after="0"/>
        <w:jc w:val="both"/>
        <w:rPr>
          <w:rFonts w:ascii="Times New Roman" w:hAnsi="Times New Roman"/>
          <w:sz w:val="20"/>
        </w:rPr>
      </w:pPr>
      <w:r>
        <w:rPr>
          <w:rFonts w:ascii="Times New Roman" w:hAnsi="Times New Roman"/>
          <w:sz w:val="20"/>
        </w:rPr>
      </w:r>
    </w:p>
    <w:tbl>
      <w:tblPr>
        <w:tblW w:w="6506" w:type="dxa"/>
        <w:jc w:val="left"/>
        <w:tblInd w:w="0" w:type="dxa"/>
        <w:tblLayout w:type="fixed"/>
        <w:tblCellMar>
          <w:top w:w="0" w:type="dxa"/>
          <w:left w:w="0" w:type="dxa"/>
          <w:bottom w:w="0" w:type="dxa"/>
          <w:right w:w="0" w:type="dxa"/>
        </w:tblCellMar>
      </w:tblPr>
      <w:tblGrid>
        <w:gridCol w:w="2825"/>
        <w:gridCol w:w="60"/>
        <w:gridCol w:w="192"/>
        <w:gridCol w:w="840"/>
        <w:gridCol w:w="123"/>
        <w:gridCol w:w="92"/>
        <w:gridCol w:w="192"/>
        <w:gridCol w:w="840"/>
        <w:gridCol w:w="123"/>
        <w:gridCol w:w="92"/>
        <w:gridCol w:w="192"/>
        <w:gridCol w:w="840"/>
        <w:gridCol w:w="95"/>
      </w:tblGrid>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526" w:type="dxa"/>
            <w:gridSpan w:val="10"/>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For the Year Ended December 31,</w:t>
            </w:r>
          </w:p>
        </w:tc>
        <w:tc>
          <w:tcPr>
            <w:tcW w:w="95" w:type="dxa"/>
            <w:tcBorders/>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2021</w:t>
            </w:r>
          </w:p>
        </w:tc>
        <w:tc>
          <w:tcPr>
            <w:tcW w:w="9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w:t>
            </w:r>
          </w:p>
        </w:tc>
        <w:tc>
          <w:tcPr>
            <w:tcW w:w="12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1,032</w:t>
            </w:r>
          </w:p>
        </w:tc>
        <w:tc>
          <w:tcPr>
            <w:tcW w:w="12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1,353</w:t>
            </w:r>
          </w:p>
        </w:tc>
        <w:tc>
          <w:tcPr>
            <w:tcW w:w="9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Additions</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2,302</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764</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927</w:t>
            </w:r>
          </w:p>
        </w:tc>
        <w:tc>
          <w:tcPr>
            <w:tcW w:w="9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Sales, net</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(1,417</w:t>
            </w:r>
          </w:p>
        </w:tc>
        <w:tc>
          <w:tcPr>
            <w:tcW w:w="1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(1,627</w:t>
            </w:r>
          </w:p>
        </w:tc>
        <w:tc>
          <w:tcPr>
            <w:tcW w:w="1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Current year valuation write-down</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pPr>
            <w:r>
              <w:rPr/>
              <w:t>—</w:t>
            </w:r>
          </w:p>
        </w:tc>
        <w:tc>
          <w:tcPr>
            <w:tcW w:w="12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912</w:t>
            </w:r>
          </w:p>
        </w:tc>
        <w:tc>
          <w:tcPr>
            <w:tcW w:w="12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169</w:t>
            </w:r>
          </w:p>
        </w:tc>
        <w:tc>
          <w:tcPr>
            <w:tcW w:w="12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1,032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There was no activity in the valuation allowance for the years ended December 31, 2022 and 2021.</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Net expenses related to foreclosed assets include the following for the periods presented below (dollars in thousands):</w:t>
      </w:r>
    </w:p>
    <w:p>
      <w:pPr>
        <w:pStyle w:val="TextBody"/>
        <w:bidi w:val="0"/>
        <w:spacing w:before="0" w:after="0"/>
        <w:jc w:val="both"/>
        <w:rPr/>
      </w:pPr>
      <w:r>
        <w:rPr/>
      </w:r>
    </w:p>
    <w:tbl>
      <w:tblPr>
        <w:tblW w:w="7013" w:type="dxa"/>
        <w:jc w:val="left"/>
        <w:tblInd w:w="0" w:type="dxa"/>
        <w:tblLayout w:type="fixed"/>
        <w:tblCellMar>
          <w:top w:w="0" w:type="dxa"/>
          <w:left w:w="0" w:type="dxa"/>
          <w:bottom w:w="0" w:type="dxa"/>
          <w:right w:w="0" w:type="dxa"/>
        </w:tblCellMar>
      </w:tblPr>
      <w:tblGrid>
        <w:gridCol w:w="3335"/>
        <w:gridCol w:w="60"/>
        <w:gridCol w:w="266"/>
        <w:gridCol w:w="714"/>
        <w:gridCol w:w="127"/>
        <w:gridCol w:w="127"/>
        <w:gridCol w:w="266"/>
        <w:gridCol w:w="842"/>
        <w:gridCol w:w="170"/>
        <w:gridCol w:w="127"/>
        <w:gridCol w:w="266"/>
        <w:gridCol w:w="618"/>
        <w:gridCol w:w="95"/>
      </w:tblGrid>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523" w:type="dxa"/>
            <w:gridSpan w:val="10"/>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For the Year Ended December 31,</w:t>
            </w:r>
          </w:p>
        </w:tc>
        <w:tc>
          <w:tcPr>
            <w:tcW w:w="9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17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2021</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gain on sales</w:t>
            </w:r>
          </w:p>
        </w:tc>
        <w:tc>
          <w:tcPr>
            <w:tcW w:w="60" w:type="dxa"/>
            <w:tcBorders/>
            <w:shd w:fill="CCEEFF" w:val="clear"/>
            <w:vAlign w:val="bottom"/>
          </w:tcPr>
          <w:p>
            <w:pPr>
              <w:pStyle w:val="TableContents"/>
              <w:bidi w:val="0"/>
              <w:spacing w:before="0" w:after="283"/>
              <w:jc w:val="right"/>
              <w:rPr/>
            </w:pPr>
            <w:r>
              <w:rPr/>
              <w:t> </w:t>
            </w:r>
          </w:p>
        </w:tc>
        <w:tc>
          <w:tcPr>
            <w:tcW w:w="2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bidi w:val="0"/>
              <w:spacing w:before="0" w:after="0"/>
              <w:jc w:val="right"/>
              <w:rPr/>
            </w:pPr>
            <w:r>
              <w:rPr/>
              <w:t>—</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(424</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bidi w:val="0"/>
              <w:spacing w:before="0" w:after="283"/>
              <w:jc w:val="right"/>
              <w:rPr/>
            </w:pPr>
            <w:r>
              <w:rPr/>
              <w:t> </w:t>
            </w:r>
          </w:p>
        </w:tc>
        <w:tc>
          <w:tcPr>
            <w:tcW w:w="2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Current year valuation write-down</w:t>
            </w:r>
          </w:p>
        </w:tc>
        <w:tc>
          <w:tcPr>
            <w:tcW w:w="60" w:type="dxa"/>
            <w:tcBorders/>
            <w:vAlign w:val="bottom"/>
          </w:tcPr>
          <w:p>
            <w:pPr>
              <w:pStyle w:val="TableContents"/>
              <w:bidi w:val="0"/>
              <w:spacing w:before="0" w:after="283"/>
              <w:jc w:val="right"/>
              <w:rPr/>
            </w:pPr>
            <w:r>
              <w:rPr/>
              <w:t> </w:t>
            </w:r>
          </w:p>
        </w:tc>
        <w:tc>
          <w:tcPr>
            <w:tcW w:w="26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66"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pPr>
            <w:r>
              <w:rPr/>
              <w:t>—</w:t>
            </w:r>
          </w:p>
        </w:tc>
        <w:tc>
          <w:tcPr>
            <w:tcW w:w="17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66"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expenses, net of rental income</w:t>
            </w:r>
          </w:p>
        </w:tc>
        <w:tc>
          <w:tcPr>
            <w:tcW w:w="60" w:type="dxa"/>
            <w:tcBorders/>
            <w:shd w:fill="CCEEFF" w:val="clear"/>
            <w:vAlign w:val="bottom"/>
          </w:tcPr>
          <w:p>
            <w:pPr>
              <w:pStyle w:val="TableContents"/>
              <w:bidi w:val="0"/>
              <w:spacing w:before="0" w:after="283"/>
              <w:jc w:val="righ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17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Foreclosed assets expense, net</w:t>
            </w:r>
          </w:p>
        </w:tc>
        <w:tc>
          <w:tcPr>
            <w:tcW w:w="60" w:type="dxa"/>
            <w:tcBorders/>
            <w:vAlign w:val="bottom"/>
          </w:tcPr>
          <w:p>
            <w:pPr>
              <w:pStyle w:val="TableContents"/>
              <w:bidi w:val="0"/>
              <w:spacing w:before="0" w:after="283"/>
              <w:jc w:val="righ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w:t>
            </w:r>
          </w:p>
        </w:tc>
        <w:tc>
          <w:tcPr>
            <w:tcW w:w="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 w:type="dxa"/>
            <w:tcBorders/>
            <w:vAlign w:val="bottom"/>
          </w:tcPr>
          <w:p>
            <w:pPr>
              <w:pStyle w:val="TableContents"/>
              <w:bidi w:val="0"/>
              <w:spacing w:before="0" w:after="283"/>
              <w:jc w:val="righ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3580" w:type="dxa"/>
        <w:jc w:val="left"/>
        <w:tblInd w:w="0" w:type="dxa"/>
        <w:tblLayout w:type="fixed"/>
        <w:tblCellMar>
          <w:top w:w="0" w:type="dxa"/>
          <w:left w:w="0" w:type="dxa"/>
          <w:bottom w:w="0" w:type="dxa"/>
          <w:right w:w="0" w:type="dxa"/>
        </w:tblCellMar>
      </w:tblPr>
      <w:tblGrid>
        <w:gridCol w:w="215"/>
        <w:gridCol w:w="3365"/>
      </w:tblGrid>
      <w:tr>
        <w:trPr/>
        <w:tc>
          <w:tcPr>
            <w:tcW w:w="215" w:type="dxa"/>
            <w:tcBorders/>
            <w:vAlign w:val="center"/>
          </w:tcPr>
          <w:p>
            <w:pPr>
              <w:pStyle w:val="TableContents"/>
              <w:bidi w:val="0"/>
              <w:spacing w:before="0" w:after="0"/>
              <w:jc w:val="both"/>
              <w:rPr>
                <w:b/>
                <w:i/>
                <w:color w:val="000000"/>
              </w:rPr>
            </w:pPr>
            <w:r>
              <w:rPr>
                <w:b/>
                <w:i/>
                <w:color w:val="000000"/>
              </w:rPr>
              <w:t>5.</w:t>
            </w:r>
          </w:p>
        </w:tc>
        <w:tc>
          <w:tcPr>
            <w:tcW w:w="3365" w:type="dxa"/>
            <w:tcBorders/>
            <w:vAlign w:val="center"/>
          </w:tcPr>
          <w:p>
            <w:pPr>
              <w:pStyle w:val="TableContents"/>
              <w:bidi w:val="0"/>
              <w:spacing w:before="0" w:after="0"/>
              <w:ind w:left="720" w:right="0" w:hanging="720"/>
              <w:jc w:val="both"/>
              <w:rPr>
                <w:b/>
                <w:i/>
                <w:color w:val="000000"/>
              </w:rPr>
            </w:pPr>
            <w:r>
              <w:rPr>
                <w:b/>
                <w:i/>
                <w:color w:val="000000"/>
              </w:rPr>
              <w:t>PREMISES AND EQUIPMENT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Detail of premises and equipment at year-end follows (dollars in thousands): </w:t>
      </w:r>
    </w:p>
    <w:p>
      <w:pPr>
        <w:pStyle w:val="TextBody"/>
        <w:bidi w:val="0"/>
        <w:spacing w:before="0" w:after="0"/>
        <w:jc w:val="both"/>
        <w:rPr>
          <w:rFonts w:ascii="Times New Roman" w:hAnsi="Times New Roman"/>
          <w:sz w:val="20"/>
        </w:rPr>
      </w:pPr>
      <w:r>
        <w:rPr>
          <w:rFonts w:ascii="Times New Roman" w:hAnsi="Times New Roman"/>
          <w:sz w:val="20"/>
        </w:rPr>
      </w:r>
    </w:p>
    <w:tbl>
      <w:tblPr>
        <w:tblW w:w="4475" w:type="dxa"/>
        <w:jc w:val="left"/>
        <w:tblInd w:w="0" w:type="dxa"/>
        <w:tblLayout w:type="fixed"/>
        <w:tblCellMar>
          <w:top w:w="0" w:type="dxa"/>
          <w:left w:w="0" w:type="dxa"/>
          <w:bottom w:w="0" w:type="dxa"/>
          <w:right w:w="0" w:type="dxa"/>
        </w:tblCellMar>
      </w:tblPr>
      <w:tblGrid>
        <w:gridCol w:w="2540"/>
        <w:gridCol w:w="60"/>
        <w:gridCol w:w="125"/>
        <w:gridCol w:w="695"/>
        <w:gridCol w:w="80"/>
        <w:gridCol w:w="60"/>
        <w:gridCol w:w="125"/>
        <w:gridCol w:w="695"/>
        <w:gridCol w:w="95"/>
      </w:tblGrid>
      <w:tr>
        <w:trPr/>
        <w:tc>
          <w:tcPr>
            <w:tcW w:w="25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780"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December 31,</w:t>
            </w:r>
          </w:p>
        </w:tc>
        <w:tc>
          <w:tcPr>
            <w:tcW w:w="95"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Land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10,065</w:t>
            </w:r>
          </w:p>
        </w:tc>
        <w:tc>
          <w:tcPr>
            <w:tcW w:w="95"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Buildings and improvements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66,558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63,995</w:t>
            </w:r>
          </w:p>
        </w:tc>
        <w:tc>
          <w:tcPr>
            <w:tcW w:w="95"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Furniture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51,225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47,967</w:t>
            </w:r>
          </w:p>
        </w:tc>
        <w:tc>
          <w:tcPr>
            <w:tcW w:w="95"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Construction in process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2,378</w:t>
            </w:r>
          </w:p>
        </w:tc>
        <w:tc>
          <w:tcPr>
            <w:tcW w:w="95"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127,709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124,405</w:t>
            </w:r>
          </w:p>
        </w:tc>
        <w:tc>
          <w:tcPr>
            <w:tcW w:w="95"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Less accumulated depreciation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(72,639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(68,068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54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Premises and equipment,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55,070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56,337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Depreciation expense for the years ended December 31, 2023, 2022 and 2021 was approximately $5.1 million, $5.1 million, and $4.8 million, respectively.</w:t>
      </w:r>
    </w:p>
    <w:p>
      <w:pPr>
        <w:pStyle w:val="TextBody"/>
        <w:bidi w:val="0"/>
        <w:spacing w:before="0" w:after="0"/>
        <w:jc w:val="left"/>
        <w:rPr>
          <w:rFonts w:ascii="Times New Roman" w:hAnsi="Times New Roman"/>
          <w:sz w:val="20"/>
        </w:rPr>
      </w:pPr>
      <w:r>
        <w:rPr>
          <w:rFonts w:ascii="Times New Roman" w:hAnsi="Times New Roman"/>
          <w:sz w:val="20"/>
        </w:rPr>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0"/>
              <w:jc w:val="both"/>
              <w:rPr>
                <w:b/>
                <w:i/>
                <w:color w:val="000000"/>
              </w:rPr>
            </w:pPr>
            <w:r>
              <w:rPr>
                <w:b/>
                <w:i/>
                <w:color w:val="000000"/>
              </w:rPr>
              <w:t>6.</w:t>
            </w:r>
          </w:p>
        </w:tc>
        <w:tc>
          <w:tcPr>
            <w:tcW w:w="770" w:type="dxa"/>
            <w:tcBorders/>
            <w:vAlign w:val="center"/>
          </w:tcPr>
          <w:p>
            <w:pPr>
              <w:pStyle w:val="TableContents"/>
              <w:bidi w:val="0"/>
              <w:spacing w:before="0" w:after="0"/>
              <w:ind w:left="720" w:right="0" w:hanging="720"/>
              <w:jc w:val="both"/>
              <w:rPr>
                <w:b/>
                <w:i/>
                <w:color w:val="000000"/>
                <w:sz w:val="20"/>
              </w:rPr>
            </w:pPr>
            <w:r>
              <w:rPr>
                <w:b/>
                <w:i/>
                <w:color w:val="000000"/>
                <w:sz w:val="20"/>
              </w:rPr>
              <w:t>LEASES</w:t>
            </w:r>
          </w:p>
        </w:tc>
      </w:tr>
    </w:tbl>
    <w:p>
      <w:pPr>
        <w:pStyle w:val="TextBody"/>
        <w:bidi w:val="0"/>
        <w:spacing w:before="0" w:after="0"/>
        <w:jc w:val="left"/>
        <w:rPr>
          <w:rFonts w:ascii="Times New Roman" w:hAnsi="Times New Roman"/>
        </w:rPr>
      </w:pPr>
      <w:r>
        <w:rPr>
          <w:rFonts w:ascii="Times New Roman" w:hAnsi="Times New Roman"/>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Times;serif" w:hAnsi="Times New Roman;Times;serif"/>
          <w:b w:val="false"/>
          <w:i/>
          <w:color w:val="000000"/>
          <w:spacing w:val="0"/>
          <w:sz w:val="20"/>
          <w:shd w:fill="FFFFFF" w:val="clear"/>
        </w:rPr>
        <w:t>Lessee Arrangements</w:t>
      </w:r>
      <w:r>
        <w:rPr>
          <w:rFonts w:ascii="Times New Roman" w:hAnsi="Times New Roman"/>
          <w:color w:val="000000"/>
          <w:sz w:val="20"/>
          <w:shd w:fill="FFFFFF" w:val="clear"/>
        </w:rPr>
        <w:t xml:space="preserve"> </w:t>
      </w:r>
    </w:p>
    <w:p>
      <w:pPr>
        <w:pStyle w:val="TextBody"/>
        <w:widowControl/>
        <w:bidi w:val="0"/>
        <w:spacing w:before="0" w:after="0"/>
        <w:ind w:left="0" w:right="0" w:hanging="0"/>
        <w:jc w:val="both"/>
        <w:rPr>
          <w:rFonts w:ascii="Times New Roman;Times;serif" w:hAnsi="Times New Roman;Times;serif"/>
          <w:b w:val="false"/>
          <w:i/>
          <w:color w:val="000000"/>
          <w:spacing w:val="0"/>
          <w:sz w:val="20"/>
        </w:rPr>
      </w:pPr>
      <w:r>
        <w:rPr>
          <w:rFonts w:ascii="Times New Roman;Times;serif" w:hAnsi="Times New Roman;Times;serif"/>
          <w:b w:val="false"/>
          <w:i/>
          <w:color w:val="000000"/>
          <w:spacing w:val="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December 31, 2023 and 2022, the Company had no finance leases.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balance sheet components of the Company’s leases at year-end are as follows (in thousands):</w:t>
      </w:r>
    </w:p>
    <w:p>
      <w:pPr>
        <w:pStyle w:val="TextBody"/>
        <w:bidi w:val="0"/>
        <w:spacing w:before="0" w:after="0"/>
        <w:jc w:val="left"/>
        <w:rPr>
          <w:rFonts w:ascii="Times New Roman" w:hAnsi="Times New Roman"/>
        </w:rPr>
      </w:pPr>
      <w:r>
        <w:rPr>
          <w:rFonts w:ascii="Times New Roman" w:hAnsi="Times New Roman"/>
        </w:rPr>
      </w:r>
    </w:p>
    <w:tbl>
      <w:tblPr>
        <w:tblW w:w="9254" w:type="dxa"/>
        <w:jc w:val="left"/>
        <w:tblInd w:w="0" w:type="dxa"/>
        <w:tblLayout w:type="fixed"/>
        <w:tblCellMar>
          <w:top w:w="0" w:type="dxa"/>
          <w:left w:w="0" w:type="dxa"/>
          <w:bottom w:w="0" w:type="dxa"/>
          <w:right w:w="0" w:type="dxa"/>
        </w:tblCellMar>
      </w:tblPr>
      <w:tblGrid>
        <w:gridCol w:w="6350"/>
        <w:gridCol w:w="60"/>
        <w:gridCol w:w="240"/>
        <w:gridCol w:w="934"/>
        <w:gridCol w:w="60"/>
        <w:gridCol w:w="60"/>
        <w:gridCol w:w="295"/>
        <w:gridCol w:w="1180"/>
        <w:gridCol w:w="75"/>
      </w:tblGrid>
      <w:tr>
        <w:trPr/>
        <w:tc>
          <w:tcPr>
            <w:tcW w:w="6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rPr>
              <w:t>December 31,</w:t>
            </w:r>
          </w:p>
          <w:p>
            <w:pPr>
              <w:pStyle w:val="TableContents"/>
              <w:bidi w:val="0"/>
              <w:spacing w:before="0" w:after="0"/>
              <w:jc w:val="center"/>
              <w:rPr>
                <w:rFonts w:ascii="Times New Roman" w:hAnsi="Times New Roman"/>
                <w:b/>
              </w:rPr>
            </w:pPr>
            <w:r>
              <w:rPr>
                <w:rFonts w:ascii="Times New Roman" w:hAnsi="Times New Roman"/>
                <w:b/>
              </w:rPr>
              <w:t>2022</w:t>
            </w:r>
          </w:p>
        </w:tc>
        <w:tc>
          <w:tcPr>
            <w:tcW w:w="7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144" w:right="0" w:hanging="0"/>
              <w:jc w:val="left"/>
              <w:rPr>
                <w:rFonts w:ascii="Times New Roman" w:hAnsi="Times New Roman"/>
                <w:color w:val="000000"/>
                <w:sz w:val="20"/>
              </w:rPr>
            </w:pPr>
            <w:r>
              <w:rPr>
                <w:rFonts w:ascii="Times New Roman" w:hAnsi="Times New Roman"/>
                <w:color w:val="000000"/>
                <w:sz w:val="20"/>
              </w:rPr>
              <w:t>Operating lease right of use assets (included in Other assets)</w:t>
            </w:r>
          </w:p>
        </w:tc>
        <w:tc>
          <w:tcPr>
            <w:tcW w:w="6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18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7,938</w:t>
            </w:r>
          </w:p>
        </w:tc>
        <w:tc>
          <w:tcPr>
            <w:tcW w:w="7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liabilities (included in Accrued expenses and other liabilities)</w:t>
            </w:r>
          </w:p>
        </w:tc>
        <w:tc>
          <w:tcPr>
            <w:tcW w:w="6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rFonts w:ascii="Times New Roman" w:hAnsi="Times New Roman"/>
              </w:rPr>
            </w:pPr>
            <w:r>
              <w:rPr>
                <w:rFonts w:ascii="Times New Roman" w:hAnsi="Times New Roman"/>
              </w:rPr>
              <w:t>8,897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does not generally enter into leases which contain variable payments, other than due to the passage of time. Operating lease costs, including short-term lease costs were $2.9 million, $2.9 million and $2.5 million, respectively, for the years ended December 31, 2023,2022 and 2021, respectively.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is as follows (in thousands):</w:t>
      </w:r>
    </w:p>
    <w:p>
      <w:pPr>
        <w:pStyle w:val="TextBody"/>
        <w:bidi w:val="0"/>
        <w:spacing w:before="0" w:after="0"/>
        <w:jc w:val="left"/>
        <w:rPr>
          <w:rFonts w:ascii="Times New Roman" w:hAnsi="Times New Roman"/>
        </w:rPr>
      </w:pPr>
      <w:r>
        <w:rPr>
          <w:rFonts w:ascii="Times New Roman" w:hAnsi="Times New Roman"/>
        </w:rPr>
      </w:r>
    </w:p>
    <w:tbl>
      <w:tblPr>
        <w:tblW w:w="8078" w:type="dxa"/>
        <w:jc w:val="left"/>
        <w:tblInd w:w="0" w:type="dxa"/>
        <w:tblLayout w:type="fixed"/>
        <w:tblCellMar>
          <w:top w:w="0" w:type="dxa"/>
          <w:left w:w="0" w:type="dxa"/>
          <w:bottom w:w="0" w:type="dxa"/>
          <w:right w:w="0" w:type="dxa"/>
        </w:tblCellMar>
      </w:tblPr>
      <w:tblGrid>
        <w:gridCol w:w="5780"/>
        <w:gridCol w:w="86"/>
        <w:gridCol w:w="179"/>
        <w:gridCol w:w="696"/>
        <w:gridCol w:w="86"/>
        <w:gridCol w:w="86"/>
        <w:gridCol w:w="287"/>
        <w:gridCol w:w="803"/>
        <w:gridCol w:w="75"/>
      </w:tblGrid>
      <w:tr>
        <w:trPr/>
        <w:tc>
          <w:tcPr>
            <w:tcW w:w="5780" w:type="dxa"/>
            <w:tcBorders/>
            <w:vAlign w:val="bottom"/>
          </w:tcPr>
          <w:p>
            <w:pPr>
              <w:pStyle w:val="TableContents"/>
              <w:bidi w:val="0"/>
              <w:spacing w:before="0" w:after="283"/>
              <w:jc w:val="left"/>
              <w:rPr/>
            </w:pPr>
            <w:r>
              <w:rPr/>
              <w:t> </w:t>
            </w:r>
          </w:p>
        </w:tc>
        <w:tc>
          <w:tcPr>
            <w:tcW w:w="2223"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 December 31,</w:t>
            </w:r>
          </w:p>
        </w:tc>
        <w:tc>
          <w:tcPr>
            <w:tcW w:w="75" w:type="dxa"/>
            <w:tcBorders/>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283"/>
              <w:jc w:val="left"/>
              <w:rPr/>
            </w:pPr>
            <w:r>
              <w:rPr/>
              <w:t> </w:t>
            </w:r>
          </w:p>
        </w:tc>
        <w:tc>
          <w:tcPr>
            <w:tcW w:w="961" w:type="dxa"/>
            <w:gridSpan w:val="3"/>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rFonts w:ascii="Times New Roman" w:hAnsi="Times New Roman"/>
                <w:b/>
                <w:color w:val="000000"/>
                <w:sz w:val="20"/>
              </w:rPr>
              <w:t>2023</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2022</w:t>
            </w:r>
          </w:p>
        </w:tc>
        <w:tc>
          <w:tcPr>
            <w:tcW w:w="75" w:type="dxa"/>
            <w:tcBorders/>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961" w:type="dxa"/>
            <w:gridSpan w:val="3"/>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ind w:left="0" w:right="0" w:firstLine="360"/>
              <w:jc w:val="left"/>
              <w:rPr>
                <w:color w:val="000000"/>
              </w:rPr>
            </w:pPr>
            <w:r>
              <w:rPr>
                <w:color w:val="000000"/>
              </w:rPr>
              <w:t> </w:t>
            </w:r>
            <w:r>
              <w:rPr>
                <w:rFonts w:ascii="Times New Roman" w:hAnsi="Times New Roman"/>
                <w:color w:val="000000"/>
                <w:sz w:val="20"/>
              </w:rPr>
              <w:t>Operating cash flows used in operating leases</w:t>
            </w:r>
          </w:p>
        </w:tc>
        <w:tc>
          <w:tcPr>
            <w:tcW w:w="86"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2,004</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0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1,976</w:t>
            </w:r>
          </w:p>
        </w:tc>
        <w:tc>
          <w:tcPr>
            <w:tcW w:w="75" w:type="dxa"/>
            <w:tcBorders/>
            <w:shd w:fill="CCEEFF" w:val="clear"/>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Right-of-use assets obtained in exchange for new lease obligations:</w:t>
            </w:r>
          </w:p>
        </w:tc>
        <w:tc>
          <w:tcPr>
            <w:tcW w:w="86"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ind w:left="144" w:right="0" w:firstLine="216"/>
              <w:jc w:val="left"/>
              <w:rPr>
                <w:rFonts w:ascii="Times New Roman" w:hAnsi="Times New Roman"/>
                <w:color w:val="000000"/>
                <w:sz w:val="20"/>
              </w:rPr>
            </w:pPr>
            <w:r>
              <w:rPr>
                <w:rFonts w:ascii="Times New Roman" w:hAnsi="Times New Roman"/>
                <w:color w:val="000000"/>
                <w:sz w:val="20"/>
              </w:rPr>
              <w:t>Operating leases</w:t>
            </w:r>
          </w:p>
        </w:tc>
        <w:tc>
          <w:tcPr>
            <w:tcW w:w="86"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2,515</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xml:space="preserve">$ </w:t>
            </w:r>
          </w:p>
        </w:tc>
        <w:tc>
          <w:tcPr>
            <w:tcW w:w="803"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operating leases, the Company’s weighted average remaining lease terms and weighted average discount rate was 9.90 years and 5.51%, respectively, as of  December 31, 2023, and 9.83 years and 4.65%, respectively, as of December 31, 2022.</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Future undiscounted lease payments at December 31, 2023, under operating lease agreements, are presented below (in thousands).</w:t>
      </w:r>
    </w:p>
    <w:p>
      <w:pPr>
        <w:pStyle w:val="TextBody"/>
        <w:bidi w:val="0"/>
        <w:spacing w:before="0" w:after="0"/>
        <w:jc w:val="left"/>
        <w:rPr>
          <w:rFonts w:ascii="Times New Roman" w:hAnsi="Times New Roman"/>
        </w:rPr>
      </w:pPr>
      <w:r>
        <w:rPr>
          <w:rFonts w:ascii="Times New Roman" w:hAnsi="Times New Roman"/>
        </w:rPr>
      </w:r>
    </w:p>
    <w:tbl>
      <w:tblPr>
        <w:tblW w:w="3705" w:type="dxa"/>
        <w:jc w:val="left"/>
        <w:tblInd w:w="0" w:type="dxa"/>
        <w:tblLayout w:type="fixed"/>
        <w:tblCellMar>
          <w:top w:w="0" w:type="dxa"/>
          <w:left w:w="0" w:type="dxa"/>
          <w:bottom w:w="0" w:type="dxa"/>
          <w:right w:w="0" w:type="dxa"/>
        </w:tblCellMar>
      </w:tblPr>
      <w:tblGrid>
        <w:gridCol w:w="2855"/>
        <w:gridCol w:w="60"/>
        <w:gridCol w:w="125"/>
        <w:gridCol w:w="590"/>
        <w:gridCol w:w="75"/>
      </w:tblGrid>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2024</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1,772</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2025</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1,437</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2026</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1,375</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2027</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1,324</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2028</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1,169</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Thereafter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5,570</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minimum lease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12,647</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Less: Amount representing interest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3,017</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9,630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the Company had no significant additional operating leases that have not yet commenced.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color w:val="000000"/>
          <w:spacing w:val="0"/>
          <w:sz w:val="20"/>
          <w:u w:val="single"/>
          <w:shd w:fill="FFFFFF" w:val="clear"/>
        </w:rPr>
      </w:pPr>
      <w:r>
        <w:rPr>
          <w:rFonts w:ascii="Times New Roman" w:hAnsi="Times New Roman"/>
          <w:b w:val="false"/>
          <w:color w:val="000000"/>
          <w:spacing w:val="0"/>
          <w:sz w:val="20"/>
          <w:u w:val="single"/>
          <w:shd w:fill="FFFFFF" w:val="clear"/>
        </w:rPr>
        <w:t>Lessor Arrangements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leases certain facilities and office space under operating lease agreements to outside parties. Operating lease income for the years ended December 31, 2023, 2022, and 2021 was $839 thousand, $800 thousand, and $890 thousand, respectively, and is included in occupancy and equipment, net in the consolidated statements of comprehensive income (loss).</w:t>
      </w:r>
    </w:p>
    <w:p>
      <w:pPr>
        <w:pStyle w:val="TextBody"/>
        <w:bidi w:val="0"/>
        <w:spacing w:before="0" w:after="0"/>
        <w:jc w:val="left"/>
        <w:rPr>
          <w:rFonts w:ascii="Times New Roman" w:hAnsi="Times New Roman"/>
        </w:rPr>
      </w:pPr>
      <w:r>
        <w:rPr>
          <w:rFonts w:ascii="Times New Roman" w:hAnsi="Times New Roman"/>
        </w:rPr>
      </w:r>
    </w:p>
    <w:tbl>
      <w:tblPr>
        <w:tblW w:w="3865" w:type="dxa"/>
        <w:jc w:val="left"/>
        <w:tblInd w:w="0" w:type="dxa"/>
        <w:tblLayout w:type="fixed"/>
        <w:tblCellMar>
          <w:top w:w="0" w:type="dxa"/>
          <w:left w:w="0" w:type="dxa"/>
          <w:bottom w:w="0" w:type="dxa"/>
          <w:right w:w="0" w:type="dxa"/>
        </w:tblCellMar>
      </w:tblPr>
      <w:tblGrid>
        <w:gridCol w:w="215"/>
        <w:gridCol w:w="3650"/>
      </w:tblGrid>
      <w:tr>
        <w:trPr/>
        <w:tc>
          <w:tcPr>
            <w:tcW w:w="215" w:type="dxa"/>
            <w:tcBorders/>
            <w:vAlign w:val="center"/>
          </w:tcPr>
          <w:p>
            <w:pPr>
              <w:pStyle w:val="TableContents"/>
              <w:bidi w:val="0"/>
              <w:spacing w:before="0" w:after="0"/>
              <w:jc w:val="both"/>
              <w:rPr>
                <w:b/>
                <w:i/>
                <w:color w:val="000000"/>
              </w:rPr>
            </w:pPr>
            <w:r>
              <w:rPr>
                <w:b/>
                <w:i/>
                <w:color w:val="000000"/>
              </w:rPr>
              <w:t>7.</w:t>
            </w:r>
          </w:p>
        </w:tc>
        <w:tc>
          <w:tcPr>
            <w:tcW w:w="3650" w:type="dxa"/>
            <w:tcBorders/>
            <w:vAlign w:val="center"/>
          </w:tcPr>
          <w:p>
            <w:pPr>
              <w:pStyle w:val="TableContents"/>
              <w:bidi w:val="0"/>
              <w:spacing w:before="0" w:after="0"/>
              <w:ind w:left="720" w:right="0" w:hanging="720"/>
              <w:jc w:val="both"/>
              <w:rPr>
                <w:b/>
                <w:i/>
                <w:color w:val="000000"/>
              </w:rPr>
            </w:pPr>
            <w:r>
              <w:rPr>
                <w:b/>
                <w:i/>
                <w:color w:val="000000"/>
              </w:rPr>
              <w:t>GOODWILL AND INTANGIBLES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Company had goodwill of $19.3 million and $19.5 million at December 31, 2023 and 2022, respectively</w:t>
      </w:r>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Other intangible assets, which consisted of CDI, customer lists, and employment agreements at the dates indicated are summarized below (dollars in thousands): </w:t>
      </w:r>
    </w:p>
    <w:p>
      <w:pPr>
        <w:pStyle w:val="TextBody"/>
        <w:bidi w:val="0"/>
        <w:spacing w:before="0" w:after="0"/>
        <w:jc w:val="both"/>
        <w:rPr>
          <w:rFonts w:ascii="Times New Roman" w:hAnsi="Times New Roman"/>
          <w:sz w:val="20"/>
        </w:rPr>
      </w:pPr>
      <w:r>
        <w:rPr>
          <w:rFonts w:ascii="Times New Roman" w:hAnsi="Times New Roman"/>
          <w:sz w:val="20"/>
        </w:rPr>
      </w:r>
    </w:p>
    <w:tbl>
      <w:tblPr>
        <w:tblW w:w="4295" w:type="dxa"/>
        <w:jc w:val="left"/>
        <w:tblInd w:w="0" w:type="dxa"/>
        <w:tblLayout w:type="fixed"/>
        <w:tblCellMar>
          <w:top w:w="0" w:type="dxa"/>
          <w:left w:w="0" w:type="dxa"/>
          <w:bottom w:w="0" w:type="dxa"/>
          <w:right w:w="0" w:type="dxa"/>
        </w:tblCellMar>
      </w:tblPr>
      <w:tblGrid>
        <w:gridCol w:w="2660"/>
        <w:gridCol w:w="60"/>
        <w:gridCol w:w="125"/>
        <w:gridCol w:w="545"/>
        <w:gridCol w:w="80"/>
        <w:gridCol w:w="60"/>
        <w:gridCol w:w="125"/>
        <w:gridCol w:w="545"/>
        <w:gridCol w:w="95"/>
      </w:tblGrid>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December 31,</w:t>
            </w:r>
          </w:p>
        </w:tc>
        <w:tc>
          <w:tcPr>
            <w:tcW w:w="9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Amortized intangible assets:</w:t>
            </w:r>
          </w:p>
        </w:tc>
        <w:tc>
          <w:tcPr>
            <w:tcW w:w="60" w:type="dxa"/>
            <w:tcBorders/>
            <w:vAlign w:val="bottom"/>
          </w:tcPr>
          <w:p>
            <w:pPr>
              <w:pStyle w:val="TableContents"/>
              <w:bidi w:val="0"/>
              <w:spacing w:before="0" w:after="283"/>
              <w:jc w:val="right"/>
              <w:rPr/>
            </w:pPr>
            <w:r>
              <w:rPr/>
              <w:t> </w:t>
            </w:r>
          </w:p>
        </w:tc>
        <w:tc>
          <w:tcPr>
            <w:tcW w:w="670"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70"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Core deposit intangible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6,679</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Less: Accumulated amortization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(3,420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3,259</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intangibles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2,972</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Accumulated amortization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1,090</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intangible assets,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4,349</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2023, the sale of Windmark was completed, resulting in the removal of goodwill and other intangible assets, net of accumulated amortization, of $193 thousand and $942 thousand,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 for other intangibles for the years ended December 31, 2023, 2022, and 2021 totaled $1.0 million, $1.5 million, and $1.7 million, respectively. The estimated amount of amortization expense for core deposit intangibles to be recognized over the next five years is as follows (dollars in thousands):</w:t>
      </w:r>
    </w:p>
    <w:p>
      <w:pPr>
        <w:pStyle w:val="TextBody"/>
        <w:bidi w:val="0"/>
        <w:spacing w:before="0" w:after="0"/>
        <w:jc w:val="both"/>
        <w:rPr>
          <w:rFonts w:ascii="Times New Roman" w:hAnsi="Times New Roman"/>
          <w:sz w:val="20"/>
        </w:rPr>
      </w:pPr>
      <w:r>
        <w:rPr>
          <w:rFonts w:ascii="Times New Roman" w:hAnsi="Times New Roman"/>
          <w:sz w:val="20"/>
        </w:rPr>
      </w:r>
    </w:p>
    <w:tbl>
      <w:tblPr>
        <w:tblW w:w="1140" w:type="dxa"/>
        <w:jc w:val="left"/>
        <w:tblInd w:w="0" w:type="dxa"/>
        <w:tblLayout w:type="fixed"/>
        <w:tblCellMar>
          <w:top w:w="0" w:type="dxa"/>
          <w:left w:w="0" w:type="dxa"/>
          <w:bottom w:w="0" w:type="dxa"/>
          <w:right w:w="0" w:type="dxa"/>
        </w:tblCellMar>
      </w:tblPr>
      <w:tblGrid>
        <w:gridCol w:w="500"/>
        <w:gridCol w:w="60"/>
        <w:gridCol w:w="140"/>
        <w:gridCol w:w="380"/>
        <w:gridCol w:w="60"/>
      </w:tblGrid>
      <w:tr>
        <w:trPr/>
        <w:tc>
          <w:tcPr>
            <w:tcW w:w="500" w:type="dxa"/>
            <w:tcBorders/>
            <w:shd w:fill="CCEEFF" w:val="clear"/>
            <w:vAlign w:val="bottom"/>
          </w:tcPr>
          <w:p>
            <w:pPr>
              <w:pStyle w:val="TableContents"/>
              <w:bidi w:val="0"/>
              <w:spacing w:before="0" w:after="0"/>
              <w:ind w:left="144" w:right="0" w:hanging="144"/>
              <w:jc w:val="left"/>
              <w:rPr>
                <w:color w:val="000000"/>
              </w:rPr>
            </w:pPr>
            <w:r>
              <w:rPr>
                <w:color w:val="000000"/>
              </w:rPr>
              <w:t>2024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380" w:type="dxa"/>
            <w:tcBorders/>
            <w:shd w:fill="CCEEFF" w:val="clear"/>
            <w:vAlign w:val="bottom"/>
          </w:tcPr>
          <w:p>
            <w:pPr>
              <w:pStyle w:val="TableContents"/>
              <w:bidi w:val="0"/>
              <w:spacing w:before="0" w:after="0"/>
              <w:jc w:val="right"/>
              <w:rPr>
                <w:color w:val="000000"/>
              </w:rPr>
            </w:pPr>
            <w:r>
              <w:rPr>
                <w:color w:val="000000"/>
              </w:rPr>
              <w:t>708</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vAlign w:val="bottom"/>
          </w:tcPr>
          <w:p>
            <w:pPr>
              <w:pStyle w:val="TableContents"/>
              <w:bidi w:val="0"/>
              <w:spacing w:before="0" w:after="0"/>
              <w:ind w:left="144" w:right="0" w:hanging="144"/>
              <w:jc w:val="left"/>
              <w:rPr>
                <w:color w:val="000000"/>
              </w:rPr>
            </w:pPr>
            <w:r>
              <w:rPr>
                <w:color w:val="000000"/>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587</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vAlign w:val="bottom"/>
          </w:tcPr>
          <w:p>
            <w:pPr>
              <w:pStyle w:val="TableContents"/>
              <w:bidi w:val="0"/>
              <w:spacing w:before="0" w:after="0"/>
              <w:ind w:left="144" w:right="0" w:hanging="144"/>
              <w:jc w:val="left"/>
              <w:rPr>
                <w:color w:val="000000"/>
              </w:rPr>
            </w:pPr>
            <w:r>
              <w:rPr>
                <w:color w:val="000000"/>
              </w:rPr>
              <w:t>2026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466</w:t>
            </w:r>
          </w:p>
        </w:tc>
        <w:tc>
          <w:tcPr>
            <w:tcW w:w="60" w:type="dxa"/>
            <w:tcBorders/>
            <w:shd w:fill="CCEEFF" w:val="clear"/>
            <w:vAlign w:val="bottom"/>
          </w:tcPr>
          <w:p>
            <w:pPr>
              <w:pStyle w:val="TableContents"/>
              <w:bidi w:val="0"/>
              <w:spacing w:before="0" w:after="283"/>
              <w:jc w:val="left"/>
              <w:rPr/>
            </w:pPr>
            <w:r>
              <w:rPr/>
              <w:t> </w:t>
            </w:r>
          </w:p>
        </w:tc>
      </w:tr>
      <w:tr>
        <w:trPr/>
        <w:tc>
          <w:tcPr>
            <w:tcW w:w="500" w:type="dxa"/>
            <w:tcBorders/>
            <w:vAlign w:val="bottom"/>
          </w:tcPr>
          <w:p>
            <w:pPr>
              <w:pStyle w:val="TableContents"/>
              <w:bidi w:val="0"/>
              <w:spacing w:before="0" w:after="0"/>
              <w:ind w:left="144" w:right="0" w:hanging="144"/>
              <w:jc w:val="left"/>
              <w:rPr>
                <w:color w:val="000000"/>
              </w:rPr>
            </w:pPr>
            <w:r>
              <w:rPr>
                <w:color w:val="000000"/>
              </w:rPr>
              <w:t>2027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344</w:t>
            </w:r>
          </w:p>
        </w:tc>
        <w:tc>
          <w:tcPr>
            <w:tcW w:w="60" w:type="dxa"/>
            <w:tcBorders/>
            <w:vAlign w:val="bottom"/>
          </w:tcPr>
          <w:p>
            <w:pPr>
              <w:pStyle w:val="TableContents"/>
              <w:bidi w:val="0"/>
              <w:spacing w:before="0" w:after="283"/>
              <w:jc w:val="left"/>
              <w:rPr/>
            </w:pPr>
            <w:r>
              <w:rPr/>
              <w:t> </w:t>
            </w:r>
          </w:p>
        </w:tc>
      </w:tr>
      <w:tr>
        <w:trPr/>
        <w:tc>
          <w:tcPr>
            <w:tcW w:w="500" w:type="dxa"/>
            <w:tcBorders/>
            <w:shd w:fill="CCEEFF" w:val="clear"/>
            <w:vAlign w:val="bottom"/>
          </w:tcPr>
          <w:p>
            <w:pPr>
              <w:pStyle w:val="TableContents"/>
              <w:bidi w:val="0"/>
              <w:spacing w:before="0" w:after="0"/>
              <w:jc w:val="left"/>
              <w:rPr>
                <w:color w:val="000000"/>
              </w:rPr>
            </w:pPr>
            <w:r>
              <w:rPr>
                <w:color w:val="000000"/>
              </w:rPr>
              <w:t>2028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223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90</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tbl>
      <w:tblPr>
        <w:tblW w:w="4000" w:type="dxa"/>
        <w:jc w:val="left"/>
        <w:tblInd w:w="0" w:type="dxa"/>
        <w:tblLayout w:type="fixed"/>
        <w:tblCellMar>
          <w:top w:w="0" w:type="dxa"/>
          <w:left w:w="0" w:type="dxa"/>
          <w:bottom w:w="0" w:type="dxa"/>
          <w:right w:w="0" w:type="dxa"/>
        </w:tblCellMar>
      </w:tblPr>
      <w:tblGrid>
        <w:gridCol w:w="215"/>
        <w:gridCol w:w="3785"/>
      </w:tblGrid>
      <w:tr>
        <w:trPr/>
        <w:tc>
          <w:tcPr>
            <w:tcW w:w="215" w:type="dxa"/>
            <w:tcBorders/>
            <w:vAlign w:val="center"/>
          </w:tcPr>
          <w:p>
            <w:pPr>
              <w:pStyle w:val="TableContents"/>
              <w:bidi w:val="0"/>
              <w:spacing w:before="0" w:after="0"/>
              <w:jc w:val="both"/>
              <w:rPr>
                <w:b/>
                <w:i/>
                <w:color w:val="000000"/>
              </w:rPr>
            </w:pPr>
            <w:r>
              <w:rPr>
                <w:b/>
                <w:i/>
                <w:color w:val="000000"/>
              </w:rPr>
              <w:t>8.</w:t>
            </w:r>
          </w:p>
        </w:tc>
        <w:tc>
          <w:tcPr>
            <w:tcW w:w="3785" w:type="dxa"/>
            <w:tcBorders/>
            <w:vAlign w:val="center"/>
          </w:tcPr>
          <w:p>
            <w:pPr>
              <w:pStyle w:val="TableContents"/>
              <w:bidi w:val="0"/>
              <w:spacing w:before="0" w:after="0"/>
              <w:ind w:left="720" w:right="0" w:hanging="720"/>
              <w:jc w:val="both"/>
              <w:rPr>
                <w:b/>
                <w:i/>
                <w:color w:val="000000"/>
              </w:rPr>
            </w:pPr>
            <w:r>
              <w:rPr>
                <w:b/>
                <w:i/>
                <w:color w:val="000000"/>
              </w:rPr>
              <w:t>MORTGAGE SERVICING RIGHTS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 reflects the changes in fair value of the Company’s mortgage servicing rights asset included in the Consolidated Balance Sheets, and other information related to the serviced portfolio for the periods or dates presented (dollars in thousands):</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tbl>
      <w:tblPr>
        <w:tblW w:w="4610" w:type="dxa"/>
        <w:jc w:val="left"/>
        <w:tblInd w:w="0" w:type="dxa"/>
        <w:tblLayout w:type="fixed"/>
        <w:tblCellMar>
          <w:top w:w="0" w:type="dxa"/>
          <w:left w:w="0" w:type="dxa"/>
          <w:bottom w:w="0" w:type="dxa"/>
          <w:right w:w="0" w:type="dxa"/>
        </w:tblCellMar>
      </w:tblPr>
      <w:tblGrid>
        <w:gridCol w:w="1775"/>
        <w:gridCol w:w="60"/>
        <w:gridCol w:w="141"/>
        <w:gridCol w:w="667"/>
        <w:gridCol w:w="90"/>
        <w:gridCol w:w="67"/>
        <w:gridCol w:w="141"/>
        <w:gridCol w:w="667"/>
        <w:gridCol w:w="67"/>
        <w:gridCol w:w="67"/>
        <w:gridCol w:w="141"/>
        <w:gridCol w:w="667"/>
        <w:gridCol w:w="60"/>
      </w:tblGrid>
      <w:tr>
        <w:trPr/>
        <w:tc>
          <w:tcPr>
            <w:tcW w:w="1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15"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08"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2021</w:t>
            </w:r>
          </w:p>
        </w:tc>
        <w:tc>
          <w:tcPr>
            <w:tcW w:w="60" w:type="dxa"/>
            <w:tcBorders/>
            <w:vAlign w:val="bottom"/>
          </w:tcPr>
          <w:p>
            <w:pPr>
              <w:pStyle w:val="TableContents"/>
              <w:bidi w:val="0"/>
              <w:spacing w:before="0" w:after="283"/>
              <w:jc w:val="left"/>
              <w:rPr/>
            </w:pPr>
            <w:r>
              <w:rPr/>
              <w:t> </w:t>
            </w:r>
          </w:p>
        </w:tc>
      </w:tr>
      <w:tr>
        <w:trPr/>
        <w:tc>
          <w:tcPr>
            <w:tcW w:w="177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9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19,700</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9,049</w:t>
            </w:r>
          </w:p>
        </w:tc>
        <w:tc>
          <w:tcPr>
            <w:tcW w:w="60" w:type="dxa"/>
            <w:tcBorders/>
            <w:shd w:fill="CCEEFF" w:val="clear"/>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1,470</w:t>
            </w:r>
          </w:p>
        </w:tc>
        <w:tc>
          <w:tcPr>
            <w:tcW w:w="9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3,069</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9,196</w:t>
            </w:r>
          </w:p>
        </w:tc>
        <w:tc>
          <w:tcPr>
            <w:tcW w:w="60" w:type="dxa"/>
            <w:tcBorders/>
            <w:vAlign w:val="bottom"/>
          </w:tcPr>
          <w:p>
            <w:pPr>
              <w:pStyle w:val="TableContents"/>
              <w:bidi w:val="0"/>
              <w:spacing w:before="0" w:after="283"/>
              <w:jc w:val="left"/>
              <w:rPr/>
            </w:pPr>
            <w:r>
              <w:rPr/>
              <w:t> </w:t>
            </w:r>
          </w:p>
        </w:tc>
      </w:tr>
      <w:tr>
        <w:trPr/>
        <w:tc>
          <w:tcPr>
            <w:tcW w:w="17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Valuation adjustment</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(2,375</w:t>
            </w:r>
          </w:p>
        </w:tc>
        <w:tc>
          <w:tcPr>
            <w:tcW w:w="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4,705</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1,455</w:t>
            </w:r>
          </w:p>
        </w:tc>
        <w:tc>
          <w:tcPr>
            <w:tcW w:w="60" w:type="dxa"/>
            <w:tcBorders/>
            <w:shd w:fill="CCEEFF" w:val="clear"/>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26,569</w:t>
            </w:r>
          </w:p>
        </w:tc>
        <w:tc>
          <w:tcPr>
            <w:tcW w:w="9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55" w:type="dxa"/>
        <w:jc w:val="left"/>
        <w:tblInd w:w="0" w:type="dxa"/>
        <w:tblLayout w:type="fixed"/>
        <w:tblCellMar>
          <w:top w:w="0" w:type="dxa"/>
          <w:left w:w="0" w:type="dxa"/>
          <w:bottom w:w="0" w:type="dxa"/>
          <w:right w:w="0" w:type="dxa"/>
        </w:tblCellMar>
      </w:tblPr>
      <w:tblGrid>
        <w:gridCol w:w="6125"/>
        <w:gridCol w:w="60"/>
        <w:gridCol w:w="125"/>
        <w:gridCol w:w="845"/>
        <w:gridCol w:w="185"/>
        <w:gridCol w:w="60"/>
        <w:gridCol w:w="125"/>
        <w:gridCol w:w="845"/>
        <w:gridCol w:w="185"/>
      </w:tblGrid>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185" w:type="dxa"/>
            <w:gridSpan w:val="6"/>
            <w:tcBorders>
              <w:bottom w:val="single" w:sz="12" w:space="0" w:color="000000"/>
            </w:tcBorders>
            <w:tcMar>
              <w:bottom w:w="28" w:type="dxa"/>
            </w:tcMar>
            <w:vAlign w:val="bottom"/>
          </w:tcPr>
          <w:p>
            <w:pPr>
              <w:pStyle w:val="TableContents"/>
              <w:bidi w:val="0"/>
              <w:spacing w:before="0" w:after="283"/>
              <w:jc w:val="center"/>
              <w:rPr/>
            </w:pPr>
            <w:r>
              <w:rPr>
                <w:b/>
              </w:rPr>
              <w:t>December 31,</w:t>
            </w:r>
            <w:r>
              <w:rPr/>
              <w:t xml:space="preserve"> </w:t>
            </w:r>
          </w:p>
        </w:tc>
        <w:tc>
          <w:tcPr>
            <w:tcW w:w="185"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pPr>
            <w:r>
              <w:rPr>
                <w:b/>
              </w:rPr>
              <w:t>2023</w:t>
            </w:r>
            <w:r>
              <w:rPr/>
              <w:t xml:space="preserve">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pPr>
            <w:r>
              <w:rPr>
                <w:b/>
              </w:rPr>
              <w:t>2022</w:t>
            </w:r>
            <w:r>
              <w:rPr/>
              <w:t xml:space="preserve"> </w:t>
            </w:r>
          </w:p>
        </w:tc>
        <w:tc>
          <w:tcPr>
            <w:tcW w:w="185"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Mortgage loans serviced for others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2,001,476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2,046,490</w:t>
            </w:r>
          </w:p>
        </w:tc>
        <w:tc>
          <w:tcPr>
            <w:tcW w:w="185"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Mortgage servicing rights assets as a percentage of serviced mortgage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 reflects the key assumptions used in measuring the fair value of the Company’s mortgage servicing rights as of the dates indicated:</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tbl>
      <w:tblPr>
        <w:tblW w:w="5320" w:type="dxa"/>
        <w:jc w:val="left"/>
        <w:tblInd w:w="0" w:type="dxa"/>
        <w:tblLayout w:type="fixed"/>
        <w:tblCellMar>
          <w:top w:w="0" w:type="dxa"/>
          <w:left w:w="0" w:type="dxa"/>
          <w:bottom w:w="0" w:type="dxa"/>
          <w:right w:w="0" w:type="dxa"/>
        </w:tblCellMar>
      </w:tblPr>
      <w:tblGrid>
        <w:gridCol w:w="3590"/>
        <w:gridCol w:w="60"/>
        <w:gridCol w:w="71"/>
        <w:gridCol w:w="581"/>
        <w:gridCol w:w="221"/>
        <w:gridCol w:w="71"/>
        <w:gridCol w:w="71"/>
        <w:gridCol w:w="455"/>
        <w:gridCol w:w="20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470" w:type="dxa"/>
            <w:gridSpan w:val="6"/>
            <w:tcBorders>
              <w:bottom w:val="single" w:sz="12" w:space="0" w:color="000000"/>
            </w:tcBorders>
            <w:tcMar>
              <w:bottom w:w="28" w:type="dxa"/>
            </w:tcMar>
            <w:vAlign w:val="bottom"/>
          </w:tcPr>
          <w:p>
            <w:pPr>
              <w:pStyle w:val="TableContents"/>
              <w:bidi w:val="0"/>
              <w:spacing w:before="0" w:after="283"/>
              <w:jc w:val="center"/>
              <w:rPr/>
            </w:pPr>
            <w:r>
              <w:rPr>
                <w:b/>
              </w:rPr>
              <w:t>December 31,</w:t>
            </w:r>
            <w:r>
              <w:rPr/>
              <w:t xml:space="preserve"> </w:t>
            </w:r>
          </w:p>
        </w:tc>
        <w:tc>
          <w:tcPr>
            <w:tcW w:w="20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22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constant prepayment rate</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7.46</w:t>
            </w:r>
          </w:p>
        </w:tc>
        <w:tc>
          <w:tcPr>
            <w:tcW w:w="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discount rate</w:t>
            </w:r>
          </w:p>
        </w:tc>
        <w:tc>
          <w:tcPr>
            <w:tcW w:w="60"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10.66</w:t>
            </w:r>
          </w:p>
        </w:tc>
        <w:tc>
          <w:tcPr>
            <w:tcW w:w="2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life in years</w:t>
            </w:r>
          </w:p>
        </w:tc>
        <w:tc>
          <w:tcPr>
            <w:tcW w:w="60"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8.09</w:t>
            </w:r>
          </w:p>
        </w:tc>
        <w:tc>
          <w:tcPr>
            <w:tcW w:w="22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7.91</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tbl>
      <w:tblPr>
        <w:tblW w:w="1435" w:type="dxa"/>
        <w:jc w:val="left"/>
        <w:tblInd w:w="0" w:type="dxa"/>
        <w:tblLayout w:type="fixed"/>
        <w:tblCellMar>
          <w:top w:w="0" w:type="dxa"/>
          <w:left w:w="0" w:type="dxa"/>
          <w:bottom w:w="0" w:type="dxa"/>
          <w:right w:w="0" w:type="dxa"/>
        </w:tblCellMar>
      </w:tblPr>
      <w:tblGrid>
        <w:gridCol w:w="215"/>
        <w:gridCol w:w="1220"/>
      </w:tblGrid>
      <w:tr>
        <w:trPr/>
        <w:tc>
          <w:tcPr>
            <w:tcW w:w="215" w:type="dxa"/>
            <w:tcBorders/>
            <w:vAlign w:val="center"/>
          </w:tcPr>
          <w:p>
            <w:pPr>
              <w:pStyle w:val="TableContents"/>
              <w:bidi w:val="0"/>
              <w:spacing w:before="0" w:after="0"/>
              <w:jc w:val="both"/>
              <w:rPr>
                <w:b/>
                <w:i/>
                <w:color w:val="000000"/>
              </w:rPr>
            </w:pPr>
            <w:r>
              <w:rPr>
                <w:b/>
                <w:i/>
                <w:color w:val="000000"/>
              </w:rPr>
              <w:t>9.</w:t>
            </w:r>
          </w:p>
        </w:tc>
        <w:tc>
          <w:tcPr>
            <w:tcW w:w="1220" w:type="dxa"/>
            <w:tcBorders/>
            <w:vAlign w:val="center"/>
          </w:tcPr>
          <w:p>
            <w:pPr>
              <w:pStyle w:val="TableContents"/>
              <w:bidi w:val="0"/>
              <w:spacing w:before="0" w:after="0"/>
              <w:ind w:left="720" w:right="0" w:hanging="720"/>
              <w:jc w:val="both"/>
              <w:rPr>
                <w:b/>
                <w:i/>
                <w:color w:val="000000"/>
              </w:rPr>
            </w:pPr>
            <w:r>
              <w:rPr>
                <w:b/>
                <w:i/>
                <w:color w:val="000000"/>
              </w:rPr>
              <w:t>DEPOSITS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Time deposits that met or exceeded the Federal Deposit Insurance Corporation (“FDIC”) Insurance limit of $250,000</w:t>
      </w:r>
      <w:r>
        <w:rPr>
          <w:rFonts w:ascii="Times New Roman" w:hAnsi="Times New Roman"/>
          <w:color w:val="000000"/>
          <w:sz w:val="20"/>
          <w:shd w:fill="FFFFFF" w:val="clear"/>
        </w:rPr>
        <w:t xml:space="preserve"> were $170.4 million and $131.0 million at December 31, 2023 and 2022,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scheduled maturities of time deposits at December 31, 2023 follows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2055" w:type="dxa"/>
        <w:jc w:val="left"/>
        <w:tblInd w:w="0" w:type="dxa"/>
        <w:tblLayout w:type="fixed"/>
        <w:tblCellMar>
          <w:top w:w="0" w:type="dxa"/>
          <w:left w:w="0" w:type="dxa"/>
          <w:bottom w:w="0" w:type="dxa"/>
          <w:right w:w="0" w:type="dxa"/>
        </w:tblCellMar>
      </w:tblPr>
      <w:tblGrid>
        <w:gridCol w:w="995"/>
        <w:gridCol w:w="60"/>
        <w:gridCol w:w="140"/>
        <w:gridCol w:w="800"/>
        <w:gridCol w:w="60"/>
      </w:tblGrid>
      <w:tr>
        <w:trPr/>
        <w:tc>
          <w:tcPr>
            <w:tcW w:w="995" w:type="dxa"/>
            <w:tcBorders/>
            <w:shd w:fill="CCEEFF" w:val="clear"/>
            <w:vAlign w:val="bottom"/>
          </w:tcPr>
          <w:p>
            <w:pPr>
              <w:pStyle w:val="TableContents"/>
              <w:bidi w:val="0"/>
              <w:spacing w:before="0" w:after="0"/>
              <w:jc w:val="left"/>
              <w:rPr>
                <w:color w:val="000000"/>
              </w:rPr>
            </w:pPr>
            <w:r>
              <w:rPr>
                <w:color w:val="000000"/>
              </w:rPr>
              <w:t>2024</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339,979</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jc w:val="left"/>
              <w:rPr>
                <w:color w:val="000000"/>
              </w:rPr>
            </w:pPr>
            <w:r>
              <w:rPr>
                <w:color w:val="000000"/>
              </w:rPr>
              <w:t>2025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19,665</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jc w:val="left"/>
              <w:rPr>
                <w:color w:val="000000"/>
              </w:rPr>
            </w:pPr>
            <w:r>
              <w:rPr>
                <w:color w:val="000000"/>
              </w:rPr>
              <w:t>2026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3,864</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jc w:val="left"/>
              <w:rPr>
                <w:color w:val="000000"/>
              </w:rPr>
            </w:pPr>
            <w:r>
              <w:rPr>
                <w:color w:val="000000"/>
              </w:rPr>
              <w:t>2027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1,728</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jc w:val="left"/>
              <w:rPr>
                <w:color w:val="000000"/>
              </w:rPr>
            </w:pPr>
            <w:r>
              <w:rPr>
                <w:color w:val="000000"/>
              </w:rPr>
              <w:t>2028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2,272</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0"/>
              <w:jc w:val="left"/>
              <w:rPr>
                <w:color w:val="000000"/>
              </w:rPr>
            </w:pPr>
            <w:r>
              <w:rPr>
                <w:color w:val="000000"/>
              </w:rPr>
              <w:t>Thereafter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207</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367,715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3970" w:type="dxa"/>
        <w:jc w:val="left"/>
        <w:tblInd w:w="0" w:type="dxa"/>
        <w:tblLayout w:type="fixed"/>
        <w:tblCellMar>
          <w:top w:w="0" w:type="dxa"/>
          <w:left w:w="0" w:type="dxa"/>
          <w:bottom w:w="0" w:type="dxa"/>
          <w:right w:w="0" w:type="dxa"/>
        </w:tblCellMar>
      </w:tblPr>
      <w:tblGrid>
        <w:gridCol w:w="335"/>
        <w:gridCol w:w="3635"/>
      </w:tblGrid>
      <w:tr>
        <w:trPr/>
        <w:tc>
          <w:tcPr>
            <w:tcW w:w="335" w:type="dxa"/>
            <w:tcBorders/>
            <w:vAlign w:val="center"/>
          </w:tcPr>
          <w:p>
            <w:pPr>
              <w:pStyle w:val="TableContents"/>
              <w:bidi w:val="0"/>
              <w:spacing w:before="0" w:after="0"/>
              <w:jc w:val="both"/>
              <w:rPr>
                <w:b/>
                <w:i/>
                <w:color w:val="000000"/>
              </w:rPr>
            </w:pPr>
            <w:r>
              <w:rPr>
                <w:b/>
                <w:i/>
                <w:color w:val="000000"/>
              </w:rPr>
              <w:t>10.</w:t>
            </w:r>
          </w:p>
        </w:tc>
        <w:tc>
          <w:tcPr>
            <w:tcW w:w="3635" w:type="dxa"/>
            <w:tcBorders/>
            <w:vAlign w:val="center"/>
          </w:tcPr>
          <w:p>
            <w:pPr>
              <w:pStyle w:val="TableContents"/>
              <w:bidi w:val="0"/>
              <w:spacing w:before="0" w:after="0"/>
              <w:ind w:left="720" w:right="0" w:hanging="720"/>
              <w:jc w:val="both"/>
              <w:rPr>
                <w:b/>
                <w:i/>
                <w:color w:val="000000"/>
              </w:rPr>
            </w:pPr>
            <w:r>
              <w:rPr>
                <w:b/>
                <w:i/>
                <w:color w:val="000000"/>
              </w:rPr>
              <w:t>BORROWING ARRANGEMENTS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Short-term borrowings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balances as of December 31, 2023 and 2022 related to federal funds purchased or FHLB short-term advances. Federal funds purchased are short-term borrowings that generally have one-day maturities.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Lines of credit</w:t>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$3.0 million and $2.8 million at December 31, 2023 and 2022. The available capacity of the line was $1.1 billion and $920.2 million </w:t>
      </w:r>
      <w:r>
        <w:rPr>
          <w:rFonts w:ascii="Times New Roman;Times;serif" w:hAnsi="Times New Roman;Times;serif"/>
          <w:b w:val="false"/>
          <w:i w:val="false"/>
          <w:caps w:val="false"/>
          <w:smallCaps w:val="false"/>
          <w:color w:val="000000"/>
          <w:spacing w:val="0"/>
          <w:sz w:val="20"/>
          <w:shd w:fill="FFFFFF" w:val="clear"/>
        </w:rPr>
        <w:t xml:space="preserve">with no outstanding borrowings </w:t>
      </w:r>
      <w:r>
        <w:rPr>
          <w:rFonts w:ascii="Times New Roman" w:hAnsi="Times New Roman"/>
          <w:color w:val="000000"/>
          <w:sz w:val="20"/>
          <w:shd w:fill="FFFFFF" w:val="clear"/>
        </w:rPr>
        <w:t>at December 31, 2023 and 2022,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$595.4 million and $648.3 million at December 31, 2023 and 2022, respectively. This line was not used at December 31, 2023 or 2022.</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91</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the bank subsidiary also has access to the Bank Term Funding Program (“BTFP”) established by the Board of Governors of the Federal Reserve System (the “Federal Reserve”). As of December 31, 2023, the Company has not pledged any securities for the BTFP but has approximately $134 million of available securities that can be used as collateral for additional borrowings through the program.</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subsidiary also has uncollateralized lines of credit with multiple banks. The total amount of the lines was $140.0 million and $160.0 million as of December 31, 2023 and 2022, respectively. These lines were not used at December 31, 2023 or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Notes payable and other borrowings</w:t>
      </w:r>
    </w:p>
    <w:p>
      <w:pPr>
        <w:pStyle w:val="TextBody"/>
        <w:bidi w:val="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bank had no FHLB advances outstanding at December 31, 2023 or 2022</w:t>
      </w:r>
      <w:r>
        <w:rPr>
          <w:rFonts w:ascii="Times New Roman" w:hAnsi="Times New Roman"/>
          <w:color w:val="000000"/>
          <w:sz w:val="20"/>
          <w:shd w:fill="FFFFFF" w:val="clear"/>
        </w:rPr>
        <w:t>.</w:t>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Junior subordinated deferrable interest debentures and trust preferred securities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required by the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the trusts are not consolidated in these consolidated financial statements, the TPS remain outstanding with terms substantially the same as the debentures. The Company’s interest payments on its debentures are the sole source of repayment for the TPS. Additionally, the Company guarantees payment of interest and principal on the TPS.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terms of the debentures and TPS allow for interest to be deferred for up to five years consecutively. During this time, shareholder dividends are not allowed to be paid.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is a detail of the debentures and TPS at December 31, 2023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9658" w:type="dxa"/>
        <w:jc w:val="left"/>
        <w:tblInd w:w="0" w:type="dxa"/>
        <w:tblLayout w:type="fixed"/>
        <w:tblCellMar>
          <w:top w:w="0" w:type="dxa"/>
          <w:left w:w="0" w:type="dxa"/>
          <w:bottom w:w="0" w:type="dxa"/>
          <w:right w:w="0" w:type="dxa"/>
        </w:tblCellMar>
      </w:tblPr>
      <w:tblGrid>
        <w:gridCol w:w="1055"/>
        <w:gridCol w:w="1070"/>
        <w:gridCol w:w="60"/>
        <w:gridCol w:w="146"/>
        <w:gridCol w:w="714"/>
        <w:gridCol w:w="60"/>
        <w:gridCol w:w="60"/>
        <w:gridCol w:w="246"/>
        <w:gridCol w:w="1198"/>
        <w:gridCol w:w="60"/>
        <w:gridCol w:w="60"/>
        <w:gridCol w:w="232"/>
        <w:gridCol w:w="1947"/>
        <w:gridCol w:w="60"/>
        <w:gridCol w:w="2690"/>
      </w:tblGrid>
      <w:tr>
        <w:trPr/>
        <w:tc>
          <w:tcPr>
            <w:tcW w:w="1055" w:type="dxa"/>
            <w:tcBorders/>
            <w:vAlign w:val="bottom"/>
          </w:tcPr>
          <w:p>
            <w:pPr>
              <w:pStyle w:val="TableContents"/>
              <w:bidi w:val="0"/>
              <w:spacing w:before="0" w:after="283"/>
              <w:jc w:val="left"/>
              <w:rPr/>
            </w:pPr>
            <w:r>
              <w:rPr/>
            </w:r>
          </w:p>
        </w:tc>
        <w:tc>
          <w:tcPr>
            <w:tcW w:w="107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Issue Date</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p>
            <w:pPr>
              <w:pStyle w:val="TableContents"/>
              <w:bidi w:val="0"/>
              <w:spacing w:before="0" w:after="0"/>
              <w:jc w:val="center"/>
              <w:rPr>
                <w:b/>
                <w:color w:val="000000"/>
              </w:rPr>
            </w:pPr>
            <w:r>
              <w:rPr>
                <w:b/>
                <w:color w:val="000000"/>
              </w:rPr>
              <w:t>of TPS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p>
            <w:pPr>
              <w:pStyle w:val="TableContents"/>
              <w:bidi w:val="0"/>
              <w:spacing w:before="0" w:after="0"/>
              <w:jc w:val="center"/>
              <w:rPr>
                <w:b/>
                <w:color w:val="000000"/>
              </w:rPr>
            </w:pPr>
            <w:r>
              <w:rPr>
                <w:b/>
                <w:color w:val="000000"/>
              </w:rPr>
              <w:t>of Debentures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Stated Maturity Date</w:t>
            </w:r>
          </w:p>
          <w:p>
            <w:pPr>
              <w:pStyle w:val="TableContents"/>
              <w:bidi w:val="0"/>
              <w:spacing w:before="0" w:after="0"/>
              <w:jc w:val="center"/>
              <w:rPr>
                <w:b/>
                <w:color w:val="000000"/>
              </w:rPr>
            </w:pPr>
            <w:r>
              <w:rPr>
                <w:b/>
                <w:color w:val="000000"/>
              </w:rPr>
              <w:t>of TPS and</w:t>
            </w:r>
          </w:p>
          <w:p>
            <w:pPr>
              <w:pStyle w:val="TableContents"/>
              <w:bidi w:val="0"/>
              <w:spacing w:lineRule="auto" w:line="240" w:before="0" w:after="0"/>
              <w:jc w:val="center"/>
              <w:rPr>
                <w:b/>
                <w:color w:val="000000"/>
              </w:rPr>
            </w:pPr>
            <w:r>
              <w:rPr>
                <w:b/>
                <w:color w:val="000000"/>
              </w:rPr>
              <w:t>Debentures(1)</w:t>
            </w:r>
          </w:p>
        </w:tc>
        <w:tc>
          <w:tcPr>
            <w:tcW w:w="60" w:type="dxa"/>
            <w:tcBorders/>
            <w:vAlign w:val="bottom"/>
          </w:tcPr>
          <w:p>
            <w:pPr>
              <w:pStyle w:val="TableContents"/>
              <w:bidi w:val="0"/>
              <w:spacing w:before="0" w:after="283"/>
              <w:jc w:val="left"/>
              <w:rPr/>
            </w:pPr>
            <w:r>
              <w:rPr/>
              <w:t> </w:t>
            </w:r>
          </w:p>
        </w:tc>
        <w:tc>
          <w:tcPr>
            <w:tcW w:w="269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Interest Rate of</w:t>
            </w:r>
          </w:p>
          <w:p>
            <w:pPr>
              <w:pStyle w:val="TableContents"/>
              <w:bidi w:val="0"/>
              <w:spacing w:lineRule="auto" w:line="240" w:before="0" w:after="0"/>
              <w:jc w:val="center"/>
              <w:rPr>
                <w:b/>
                <w:color w:val="000000"/>
              </w:rPr>
            </w:pPr>
            <w:r>
              <w:rPr>
                <w:b/>
                <w:color w:val="000000"/>
              </w:rPr>
              <w:t>TPS and Debentures(2)(3)</w:t>
            </w:r>
          </w:p>
        </w:tc>
      </w:tr>
      <w:tr>
        <w:trPr/>
        <w:tc>
          <w:tcPr>
            <w:tcW w:w="1055" w:type="dxa"/>
            <w:tcBorders/>
            <w:shd w:fill="CCEEFF" w:val="clear"/>
            <w:vAlign w:val="bottom"/>
          </w:tcPr>
          <w:p>
            <w:pPr>
              <w:pStyle w:val="TableContents"/>
              <w:bidi w:val="0"/>
              <w:spacing w:before="0" w:after="0"/>
              <w:ind w:left="180" w:right="0" w:hanging="180"/>
              <w:jc w:val="left"/>
              <w:rPr>
                <w:color w:val="000000"/>
              </w:rPr>
            </w:pPr>
            <w:r>
              <w:rPr>
                <w:color w:val="000000"/>
              </w:rPr>
              <w:t>SPFCT III</w:t>
            </w:r>
          </w:p>
        </w:tc>
        <w:tc>
          <w:tcPr>
            <w:tcW w:w="1070" w:type="dxa"/>
            <w:tcBorders/>
            <w:shd w:fill="CCEEFF" w:val="clear"/>
            <w:vAlign w:val="bottom"/>
          </w:tcPr>
          <w:p>
            <w:pPr>
              <w:pStyle w:val="TableContents"/>
              <w:bidi w:val="0"/>
              <w:spacing w:before="0" w:after="0"/>
              <w:jc w:val="center"/>
              <w:rPr>
                <w:color w:val="000000"/>
              </w:rPr>
            </w:pPr>
            <w:r>
              <w:rPr>
                <w:color w:val="000000"/>
              </w:rPr>
              <w:t>2004</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0"/>
              <w:jc w:val="right"/>
              <w:rPr>
                <w:color w:val="000000"/>
              </w:rPr>
            </w:pPr>
            <w:r>
              <w:rPr>
                <w:color w:val="000000"/>
              </w:rPr>
              <w:t>$</w:t>
            </w:r>
          </w:p>
        </w:tc>
        <w:tc>
          <w:tcPr>
            <w:tcW w:w="714" w:type="dxa"/>
            <w:tcBorders/>
            <w:shd w:fill="CCEEFF" w:val="clear"/>
            <w:vAlign w:val="center"/>
          </w:tcPr>
          <w:p>
            <w:pPr>
              <w:pStyle w:val="TableContents"/>
              <w:bidi w:val="0"/>
              <w:spacing w:before="0" w:after="0"/>
              <w:jc w:val="right"/>
              <w:rPr>
                <w:color w:val="000000"/>
              </w:rPr>
            </w:pPr>
            <w:r>
              <w:rPr>
                <w:color w:val="000000"/>
              </w:rPr>
              <w:t>10,000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0"/>
              <w:jc w:val="right"/>
              <w:rPr>
                <w:color w:val="000000"/>
              </w:rPr>
            </w:pPr>
            <w:r>
              <w:rPr>
                <w:color w:val="000000"/>
              </w:rPr>
              <w:t>$</w:t>
            </w:r>
          </w:p>
        </w:tc>
        <w:tc>
          <w:tcPr>
            <w:tcW w:w="1198" w:type="dxa"/>
            <w:tcBorders/>
            <w:shd w:fill="CCEEFF" w:val="clear"/>
            <w:vAlign w:val="center"/>
          </w:tcPr>
          <w:p>
            <w:pPr>
              <w:pStyle w:val="TableContents"/>
              <w:bidi w:val="0"/>
              <w:spacing w:before="0" w:after="0"/>
              <w:jc w:val="right"/>
              <w:rPr>
                <w:color w:val="000000"/>
              </w:rPr>
            </w:pPr>
            <w:r>
              <w:rPr>
                <w:color w:val="000000"/>
              </w:rPr>
              <w:t>10,310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c>
          <w:tcPr>
            <w:tcW w:w="1947" w:type="dxa"/>
            <w:tcBorders/>
            <w:shd w:fill="CCEEFF" w:val="clear"/>
            <w:vAlign w:val="center"/>
          </w:tcPr>
          <w:p>
            <w:pPr>
              <w:pStyle w:val="TableContents"/>
              <w:bidi w:val="0"/>
              <w:spacing w:before="0" w:after="0"/>
              <w:jc w:val="center"/>
              <w:rPr>
                <w:color w:val="000000"/>
              </w:rPr>
            </w:pPr>
            <w:r>
              <w:rPr>
                <w:color w:val="000000"/>
              </w:rPr>
              <w:t>2034</w:t>
            </w:r>
          </w:p>
        </w:tc>
        <w:tc>
          <w:tcPr>
            <w:tcW w:w="60" w:type="dxa"/>
            <w:tcBorders/>
            <w:shd w:fill="CCEEFF" w:val="clear"/>
            <w:vAlign w:val="bottom"/>
          </w:tcPr>
          <w:p>
            <w:pPr>
              <w:pStyle w:val="TableContents"/>
              <w:bidi w:val="0"/>
              <w:spacing w:before="0" w:after="283"/>
              <w:jc w:val="left"/>
              <w:rPr/>
            </w:pPr>
            <w:r>
              <w:rPr/>
              <w:t> </w:t>
            </w:r>
          </w:p>
        </w:tc>
        <w:tc>
          <w:tcPr>
            <w:tcW w:w="2690" w:type="dxa"/>
            <w:tcBorders/>
            <w:shd w:fill="CCEEFF" w:val="clear"/>
            <w:vAlign w:val="bottom"/>
          </w:tcPr>
          <w:p>
            <w:pPr>
              <w:pStyle w:val="TableContents"/>
              <w:bidi w:val="0"/>
              <w:spacing w:before="0" w:after="0"/>
              <w:jc w:val="left"/>
              <w:rPr>
                <w:color w:val="000000"/>
              </w:rPr>
            </w:pPr>
            <w:r>
              <w:rPr>
                <w:color w:val="000000"/>
              </w:rPr>
              <w:t>3-mo. CME Term SOFR +</w:t>
            </w:r>
          </w:p>
          <w:p>
            <w:pPr>
              <w:pStyle w:val="TableContents"/>
              <w:bidi w:val="0"/>
              <w:spacing w:before="0" w:after="0"/>
              <w:jc w:val="left"/>
              <w:rPr>
                <w:color w:val="000000"/>
              </w:rPr>
            </w:pPr>
            <w:r>
              <w:rPr>
                <w:color w:val="000000"/>
              </w:rPr>
              <w:t>291bps; 8.32%</w:t>
            </w:r>
          </w:p>
        </w:tc>
      </w:tr>
      <w:tr>
        <w:trPr/>
        <w:tc>
          <w:tcPr>
            <w:tcW w:w="1055" w:type="dxa"/>
            <w:tcBorders/>
            <w:vAlign w:val="bottom"/>
          </w:tcPr>
          <w:p>
            <w:pPr>
              <w:pStyle w:val="TableContents"/>
              <w:bidi w:val="0"/>
              <w:spacing w:before="0" w:after="0"/>
              <w:ind w:left="180" w:right="0" w:hanging="180"/>
              <w:jc w:val="left"/>
              <w:rPr>
                <w:color w:val="000000"/>
              </w:rPr>
            </w:pPr>
            <w:r>
              <w:rPr>
                <w:color w:val="000000"/>
              </w:rPr>
              <w:t>SPFCT IV</w:t>
            </w:r>
          </w:p>
        </w:tc>
        <w:tc>
          <w:tcPr>
            <w:tcW w:w="1070" w:type="dxa"/>
            <w:tcBorders/>
            <w:vAlign w:val="bottom"/>
          </w:tcPr>
          <w:p>
            <w:pPr>
              <w:pStyle w:val="TableContents"/>
              <w:bidi w:val="0"/>
              <w:spacing w:before="0" w:after="0"/>
              <w:jc w:val="center"/>
              <w:rPr>
                <w:color w:val="000000"/>
              </w:rPr>
            </w:pPr>
            <w:r>
              <w:rPr>
                <w:color w:val="000000"/>
              </w:rPr>
              <w:t>2005</w:t>
            </w:r>
          </w:p>
        </w:tc>
        <w:tc>
          <w:tcPr>
            <w:tcW w:w="60" w:type="dxa"/>
            <w:tcBorders/>
            <w:vAlign w:val="bottom"/>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14" w:type="dxa"/>
            <w:tcBorders/>
            <w:vAlign w:val="center"/>
          </w:tcPr>
          <w:p>
            <w:pPr>
              <w:pStyle w:val="TableContents"/>
              <w:bidi w:val="0"/>
              <w:spacing w:before="0" w:after="0"/>
              <w:jc w:val="right"/>
              <w:rPr>
                <w:color w:val="000000"/>
              </w:rPr>
            </w:pPr>
            <w:r>
              <w:rPr>
                <w:color w:val="000000"/>
              </w:rPr>
              <w:t>20,000</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198" w:type="dxa"/>
            <w:tcBorders/>
            <w:vAlign w:val="center"/>
          </w:tcPr>
          <w:p>
            <w:pPr>
              <w:pStyle w:val="TableContents"/>
              <w:bidi w:val="0"/>
              <w:spacing w:before="0" w:after="0"/>
              <w:jc w:val="right"/>
              <w:rPr>
                <w:color w:val="000000"/>
              </w:rPr>
            </w:pPr>
            <w:r>
              <w:rPr>
                <w:color w:val="000000"/>
              </w:rPr>
              <w:t>20,619</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c>
          <w:tcPr>
            <w:tcW w:w="1947" w:type="dxa"/>
            <w:tcBorders/>
            <w:vAlign w:val="center"/>
          </w:tcPr>
          <w:p>
            <w:pPr>
              <w:pStyle w:val="TableContents"/>
              <w:bidi w:val="0"/>
              <w:spacing w:before="0" w:after="0"/>
              <w:jc w:val="center"/>
              <w:rPr>
                <w:color w:val="000000"/>
              </w:rPr>
            </w:pPr>
            <w:r>
              <w:rPr>
                <w:color w:val="000000"/>
              </w:rPr>
              <w:t>2035</w:t>
            </w:r>
          </w:p>
        </w:tc>
        <w:tc>
          <w:tcPr>
            <w:tcW w:w="60" w:type="dxa"/>
            <w:tcBorders/>
            <w:vAlign w:val="bottom"/>
          </w:tcPr>
          <w:p>
            <w:pPr>
              <w:pStyle w:val="TableContents"/>
              <w:bidi w:val="0"/>
              <w:spacing w:before="0" w:after="283"/>
              <w:jc w:val="left"/>
              <w:rPr/>
            </w:pPr>
            <w:r>
              <w:rPr/>
              <w:t> </w:t>
            </w:r>
          </w:p>
        </w:tc>
        <w:tc>
          <w:tcPr>
            <w:tcW w:w="2690" w:type="dxa"/>
            <w:tcBorders/>
            <w:vAlign w:val="bottom"/>
          </w:tcPr>
          <w:p>
            <w:pPr>
              <w:pStyle w:val="TableContents"/>
              <w:bidi w:val="0"/>
              <w:spacing w:before="0" w:after="0"/>
              <w:jc w:val="left"/>
              <w:rPr>
                <w:color w:val="000000"/>
              </w:rPr>
            </w:pPr>
            <w:r>
              <w:rPr>
                <w:color w:val="000000"/>
              </w:rPr>
              <w:t>3-mo. CME Term SOFR +</w:t>
            </w:r>
          </w:p>
          <w:p>
            <w:pPr>
              <w:pStyle w:val="TableContents"/>
              <w:bidi w:val="0"/>
              <w:spacing w:before="0" w:after="0"/>
              <w:jc w:val="left"/>
              <w:rPr>
                <w:color w:val="000000"/>
              </w:rPr>
            </w:pPr>
            <w:r>
              <w:rPr>
                <w:color w:val="000000"/>
              </w:rPr>
              <w:t>165bps; 7.04%</w:t>
            </w:r>
          </w:p>
        </w:tc>
      </w:tr>
      <w:tr>
        <w:trPr/>
        <w:tc>
          <w:tcPr>
            <w:tcW w:w="1055" w:type="dxa"/>
            <w:tcBorders/>
            <w:shd w:fill="CCEEFF" w:val="clear"/>
            <w:vAlign w:val="bottom"/>
          </w:tcPr>
          <w:p>
            <w:pPr>
              <w:pStyle w:val="TableContents"/>
              <w:bidi w:val="0"/>
              <w:spacing w:before="0" w:after="0"/>
              <w:ind w:left="180" w:right="0" w:hanging="180"/>
              <w:jc w:val="left"/>
              <w:rPr>
                <w:color w:val="000000"/>
              </w:rPr>
            </w:pPr>
            <w:r>
              <w:rPr>
                <w:color w:val="000000"/>
              </w:rPr>
              <w:t>SPFCT V</w:t>
            </w:r>
          </w:p>
        </w:tc>
        <w:tc>
          <w:tcPr>
            <w:tcW w:w="1070" w:type="dxa"/>
            <w:tcBorders/>
            <w:shd w:fill="CCEEFF" w:val="clear"/>
            <w:vAlign w:val="bottom"/>
          </w:tcPr>
          <w:p>
            <w:pPr>
              <w:pStyle w:val="TableContents"/>
              <w:bidi w:val="0"/>
              <w:spacing w:before="0" w:after="0"/>
              <w:jc w:val="center"/>
              <w:rPr>
                <w:color w:val="000000"/>
              </w:rPr>
            </w:pPr>
            <w:r>
              <w:rPr>
                <w:color w:val="000000"/>
              </w:rPr>
              <w:t>2007</w:t>
            </w:r>
          </w:p>
        </w:tc>
        <w:tc>
          <w:tcPr>
            <w:tcW w:w="60" w:type="dxa"/>
            <w:tcBorders/>
            <w:shd w:fill="CCEEFF" w:val="clear"/>
            <w:vAlign w:val="bottom"/>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0"/>
              <w:jc w:val="right"/>
              <w:rPr>
                <w:color w:val="000000"/>
              </w:rPr>
            </w:pPr>
            <w:r>
              <w:rPr>
                <w:color w:val="000000"/>
              </w:rPr>
              <w:t>15,000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98" w:type="dxa"/>
            <w:tcBorders>
              <w:bottom w:val="single" w:sz="12" w:space="0" w:color="000000"/>
            </w:tcBorders>
            <w:shd w:fill="CCEEFF" w:val="clear"/>
            <w:tcMar>
              <w:bottom w:w="28" w:type="dxa"/>
            </w:tcMar>
            <w:vAlign w:val="center"/>
          </w:tcPr>
          <w:p>
            <w:pPr>
              <w:pStyle w:val="TableContents"/>
              <w:bidi w:val="0"/>
              <w:spacing w:before="0" w:after="0"/>
              <w:jc w:val="right"/>
              <w:rPr>
                <w:color w:val="000000"/>
              </w:rPr>
            </w:pPr>
            <w:r>
              <w:rPr>
                <w:color w:val="000000"/>
              </w:rPr>
              <w:t>15,464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right"/>
              <w:rPr/>
            </w:pPr>
            <w:r>
              <w:rPr/>
              <w:t> </w:t>
            </w:r>
          </w:p>
        </w:tc>
        <w:tc>
          <w:tcPr>
            <w:tcW w:w="1947" w:type="dxa"/>
            <w:tcBorders/>
            <w:shd w:fill="CCEEFF" w:val="clear"/>
            <w:vAlign w:val="center"/>
          </w:tcPr>
          <w:p>
            <w:pPr>
              <w:pStyle w:val="TableContents"/>
              <w:bidi w:val="0"/>
              <w:spacing w:before="0" w:after="0"/>
              <w:jc w:val="center"/>
              <w:rPr>
                <w:color w:val="000000"/>
              </w:rPr>
            </w:pPr>
            <w:r>
              <w:rPr>
                <w:color w:val="000000"/>
              </w:rPr>
              <w:t>2037</w:t>
            </w:r>
          </w:p>
        </w:tc>
        <w:tc>
          <w:tcPr>
            <w:tcW w:w="60" w:type="dxa"/>
            <w:tcBorders/>
            <w:shd w:fill="CCEEFF" w:val="clear"/>
            <w:vAlign w:val="bottom"/>
          </w:tcPr>
          <w:p>
            <w:pPr>
              <w:pStyle w:val="TableContents"/>
              <w:bidi w:val="0"/>
              <w:spacing w:before="0" w:after="283"/>
              <w:jc w:val="left"/>
              <w:rPr/>
            </w:pPr>
            <w:r>
              <w:rPr/>
              <w:t> </w:t>
            </w:r>
          </w:p>
        </w:tc>
        <w:tc>
          <w:tcPr>
            <w:tcW w:w="2690" w:type="dxa"/>
            <w:tcBorders/>
            <w:shd w:fill="CCEEFF" w:val="clear"/>
            <w:vAlign w:val="bottom"/>
          </w:tcPr>
          <w:p>
            <w:pPr>
              <w:pStyle w:val="TableContents"/>
              <w:bidi w:val="0"/>
              <w:spacing w:before="0" w:after="0"/>
              <w:jc w:val="left"/>
              <w:rPr>
                <w:color w:val="000000"/>
              </w:rPr>
            </w:pPr>
            <w:r>
              <w:rPr>
                <w:color w:val="000000"/>
              </w:rPr>
              <w:t>3-mo. CME Term SOFR +</w:t>
            </w:r>
          </w:p>
          <w:p>
            <w:pPr>
              <w:pStyle w:val="TableContents"/>
              <w:bidi w:val="0"/>
              <w:spacing w:before="0" w:after="0"/>
              <w:jc w:val="left"/>
              <w:rPr>
                <w:color w:val="000000"/>
              </w:rPr>
            </w:pPr>
            <w:r>
              <w:rPr>
                <w:color w:val="000000"/>
              </w:rPr>
              <w:t>176bps; 7.15%</w:t>
            </w:r>
          </w:p>
        </w:tc>
      </w:tr>
      <w:tr>
        <w:trPr/>
        <w:tc>
          <w:tcPr>
            <w:tcW w:w="1055" w:type="dxa"/>
            <w:tcBorders/>
            <w:vAlign w:val="bottom"/>
          </w:tcPr>
          <w:p>
            <w:pPr>
              <w:pStyle w:val="TableContents"/>
              <w:bidi w:val="0"/>
              <w:spacing w:before="0" w:after="0"/>
              <w:ind w:left="180" w:right="0" w:hanging="180"/>
              <w:jc w:val="left"/>
              <w:rPr>
                <w:color w:val="000000"/>
              </w:rPr>
            </w:pPr>
            <w:r>
              <w:rPr>
                <w:color w:val="000000"/>
              </w:rPr>
              <w:t>Total</w:t>
            </w:r>
          </w:p>
        </w:tc>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9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9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00000"/>
              </w:rPr>
            </w:pPr>
            <w:r>
              <w:rPr>
                <w:color w:val="000000"/>
              </w:rPr>
              <w:t>(1)</w:t>
            </w:r>
          </w:p>
        </w:tc>
        <w:tc>
          <w:tcPr>
            <w:tcW w:w="9934" w:type="dxa"/>
            <w:tcBorders/>
            <w:vAlign w:val="center"/>
          </w:tcPr>
          <w:p>
            <w:pPr>
              <w:pStyle w:val="TableContents"/>
              <w:bidi w:val="0"/>
              <w:spacing w:before="0" w:after="0"/>
              <w:jc w:val="both"/>
              <w:rPr>
                <w:color w:val="000000"/>
              </w:rPr>
            </w:pPr>
            <w:r>
              <w:rPr>
                <w:color w:val="000000"/>
              </w:rPr>
              <w:t>May be redeemed five years from the issue date, the Company has no current plans to redeem; (2) Interest payable quarterly with principal due at maturity; (3) Rate as of last reset date.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Subordinated debt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2018, the Company issued $26.5 million in subordinated notes. Notes totaling $12.4 million (the “2028 Notes”)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These notes pay interest quarterly, are unsecured, and may be called by the Company at any time after the remaining maturity is five years or less. Additionally, these notes qualify for Tier 2 capital treatment, subject to regulatory limitations.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November 8, 2023, the Company notified holders of its 2028 Notes that it had elected to redeem all the outstanding 2028 Notes effective on December 15, 2023 (the “Redemption Date”). Each of the 2028 Notes were redeemed pursuant to the terms of the Indenture, dated as of December 14, 2018, between the Company and Argent Trust Company, N.A., as trustee for the 2028 Notes (the “Trustee”), at the redemption price totaling approximately $12.4 million in aggregate principal amount, plus accrued and unpaid interest. As provided in the redemption notice, on the Redemption Date, the Trustee paid the relevant Redemption Price to the holders of 2028 Notes appearing on the books and records of the Trustee on the Redemption Date. The 2028 Notes ceased to represent the right to payment of principal and interest upon the payment to the holders of 2028 Notes by the Trustee representing the Redemption Price. The Company received all necessary regulatory approvals for the redemption of the 2028 Notes.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(“SOFR”), as published by the Federal Reserve Bank of New York, plus 438 basis points. These notes pay interest semi-annually, are unsecured, and may be called by the Company at any time after the remaining maturity is five years or less. Additionally, these notes qualify for Tier 2 capital treatment, subject to regulatory limitations.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the total amount of subordinated notes outstanding was $64.1 million less approximately $325 thousand  of remaining debt issuance costs for a total balance of $63.8 million. As of December 31, 2022, the total amount of subordinated notes outstanding was $76.5 million less approximately $511 thousand of remaining debt issuance costs for a total balance of $76 million.</w:t>
      </w:r>
    </w:p>
    <w:p>
      <w:pPr>
        <w:pStyle w:val="TextBody"/>
        <w:bidi w:val="0"/>
        <w:spacing w:before="0" w:after="0"/>
        <w:jc w:val="left"/>
        <w:rPr/>
      </w:pPr>
      <w:r>
        <w:rPr/>
      </w:r>
    </w:p>
    <w:tbl>
      <w:tblPr>
        <w:tblW w:w="2980" w:type="dxa"/>
        <w:jc w:val="left"/>
        <w:tblInd w:w="0" w:type="dxa"/>
        <w:tblLayout w:type="fixed"/>
        <w:tblCellMar>
          <w:top w:w="0" w:type="dxa"/>
          <w:left w:w="0" w:type="dxa"/>
          <w:bottom w:w="0" w:type="dxa"/>
          <w:right w:w="0" w:type="dxa"/>
        </w:tblCellMar>
      </w:tblPr>
      <w:tblGrid>
        <w:gridCol w:w="335"/>
        <w:gridCol w:w="2645"/>
      </w:tblGrid>
      <w:tr>
        <w:trPr/>
        <w:tc>
          <w:tcPr>
            <w:tcW w:w="335" w:type="dxa"/>
            <w:tcBorders/>
            <w:vAlign w:val="center"/>
          </w:tcPr>
          <w:p>
            <w:pPr>
              <w:pStyle w:val="TableContents"/>
              <w:bidi w:val="0"/>
              <w:spacing w:before="0" w:after="0"/>
              <w:jc w:val="both"/>
              <w:rPr>
                <w:b/>
                <w:i/>
                <w:color w:val="000000"/>
              </w:rPr>
            </w:pPr>
            <w:r>
              <w:rPr>
                <w:b/>
                <w:i/>
                <w:color w:val="000000"/>
              </w:rPr>
              <w:t>11.</w:t>
            </w:r>
          </w:p>
        </w:tc>
        <w:tc>
          <w:tcPr>
            <w:tcW w:w="2645" w:type="dxa"/>
            <w:tcBorders/>
            <w:vAlign w:val="center"/>
          </w:tcPr>
          <w:p>
            <w:pPr>
              <w:pStyle w:val="TableContents"/>
              <w:bidi w:val="0"/>
              <w:spacing w:before="0" w:after="0"/>
              <w:jc w:val="both"/>
              <w:rPr>
                <w:b/>
                <w:i/>
                <w:color w:val="000000"/>
              </w:rPr>
            </w:pPr>
            <w:r>
              <w:rPr>
                <w:b/>
                <w:i/>
                <w:color w:val="000000"/>
              </w:rPr>
              <w:t>EMPLOYEE BENEFITS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sponsored the South Plains Financial, Inc. Employee Stock Ownership Plan (“ESOP”). Effective May 9, 2019, the ESOP was restated and amended. The 401(k) related assets, which consisted of participants’ elective and rollover accounts, were transferred to the newly formed City Bank 401(k) Plan (the “401(k) Plan”). The ESOP covered all employees who have completed one month of service.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On December 30, 2022, the board of directors of the Company adopted resolutions to terminate the ESOP, effective as of December 31, 2022. Upon termination of the ESOP, all ESOP participants became fully vested in their ESOP benefits without regard to whether they were fully vested in such benefits as of the effective date of the termination. As a result of the ESOP termination, all ESOP assets were distributed to the ESOP participants in a lump sum distribution of cash and Company stock, without consideration as to whether the participant consented to such distribution. However, in the event that an ESOP participant’s account exceeded $1,000 and the participant failed to consent to the distribution, the participant’s account balance was distributed to an individual retirement account for the participant’s benefit. Furthermore, if an ESOP participant’s account balance was $10,000 or less and the participant elected to receive a cash distribution, then the account balance was distributed to the ESOP participant in a lump sum cash payment. All ESOP participant account balances were distributed by April 30, 2023.</w:t>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p>
      <w:pPr>
        <w:pStyle w:val="TextBody"/>
        <w:widowControl/>
        <w:bidi w:val="0"/>
        <w:spacing w:before="0" w:after="0"/>
        <w:ind w:left="0" w:right="0" w:hanging="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As of December 31, 2022 , the number of shares held by the ESOP was 2,574,100 and all were allocated to participants.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provisions of the 401(k) Plan, participants may elect to contribute pre-tax salary deferrals and direct investment of those salary deferrals among investments offered in the 401(k) Plan. The Company may elect to contribute a safe harbor match equal to 100% of the first 5% of the participants’ compensation contributed. The expense for Company contributions to the 401(k) Plan was $1.8 million in 2023, $1.9 million in 2022, and $1.8 million in 2021.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Employee Health Benefits</w:t>
      </w:r>
      <w:r>
        <w:rPr>
          <w:rFonts w:ascii="Times New Roman" w:hAnsi="Times New Roman"/>
          <w:color w:val="000000"/>
          <w:sz w:val="20"/>
          <w:shd w:fill="FFFFFF" w:val="clear"/>
        </w:rPr>
        <w:t xml:space="preserve"> – The Company has a self-insured welfare benefit plan which provides health and dental benefits. For 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$4.4 million, $4.2 million, and $4.5 million for the years ended December 31, 2023, 2022, and 2021, respectively. In addition, benefit obligations have been accrued and include reported claims payable and claims incurred but not reported, for approximately $742 thousand and $653 thousand as of December 31, 2023 and 2022, respectively. The Company has limited its risk exposure for these benefits through a stop-loss policy with an independent third party insurer which reimburses benefits paid that exceed $150 thousand per participant per 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Non-Qualified Plans</w:t>
      </w:r>
      <w:r>
        <w:rPr>
          <w:rFonts w:ascii="Times New Roman" w:hAnsi="Times New Roman"/>
          <w:color w:val="000000"/>
          <w:sz w:val="20"/>
          <w:shd w:fill="FFFFFF" w:val="clear"/>
        </w:rPr>
        <w:t xml:space="preserve"> – 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$13.3 million and $12.9 million was accrued at December 31, 2023 and 2022, respectively. This plan is nonqualified, noncontributory, and unfunded. The charge to income for this plan during 2023, 2022, and 2021 was approximately $1.1 million, $1.0 million and, $1.0 million, respectively.</w:t>
      </w:r>
    </w:p>
    <w:p>
      <w:pPr>
        <w:pStyle w:val="TextBody"/>
        <w:bidi w:val="0"/>
        <w:spacing w:before="0" w:after="0"/>
        <w:jc w:val="left"/>
        <w:rPr/>
      </w:pPr>
      <w:r>
        <w:rPr/>
      </w:r>
    </w:p>
    <w:tbl>
      <w:tblPr>
        <w:tblW w:w="4060" w:type="dxa"/>
        <w:jc w:val="left"/>
        <w:tblInd w:w="0" w:type="dxa"/>
        <w:tblLayout w:type="fixed"/>
        <w:tblCellMar>
          <w:top w:w="0" w:type="dxa"/>
          <w:left w:w="0" w:type="dxa"/>
          <w:bottom w:w="0" w:type="dxa"/>
          <w:right w:w="0" w:type="dxa"/>
        </w:tblCellMar>
      </w:tblPr>
      <w:tblGrid>
        <w:gridCol w:w="335"/>
        <w:gridCol w:w="3725"/>
      </w:tblGrid>
      <w:tr>
        <w:trPr/>
        <w:tc>
          <w:tcPr>
            <w:tcW w:w="335" w:type="dxa"/>
            <w:tcBorders/>
            <w:vAlign w:val="center"/>
          </w:tcPr>
          <w:p>
            <w:pPr>
              <w:pStyle w:val="TableContents"/>
              <w:bidi w:val="0"/>
              <w:spacing w:before="0" w:after="0"/>
              <w:jc w:val="both"/>
              <w:rPr>
                <w:b/>
                <w:i/>
                <w:color w:val="000000"/>
              </w:rPr>
            </w:pPr>
            <w:r>
              <w:rPr>
                <w:b/>
                <w:i/>
                <w:color w:val="000000"/>
              </w:rPr>
              <w:t>12.</w:t>
            </w:r>
          </w:p>
        </w:tc>
        <w:tc>
          <w:tcPr>
            <w:tcW w:w="3725" w:type="dxa"/>
            <w:tcBorders/>
            <w:vAlign w:val="center"/>
          </w:tcPr>
          <w:p>
            <w:pPr>
              <w:pStyle w:val="TableContents"/>
              <w:bidi w:val="0"/>
              <w:spacing w:before="0" w:after="0"/>
              <w:ind w:left="720" w:right="0" w:hanging="720"/>
              <w:jc w:val="both"/>
              <w:rPr>
                <w:b/>
                <w:i/>
                <w:color w:val="000000"/>
              </w:rPr>
            </w:pPr>
            <w:r>
              <w:rPr>
                <w:b/>
                <w:i/>
                <w:color w:val="000000"/>
              </w:rPr>
              <w:t>STOCK-BASED COMPENSATION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Equity Incentive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4,426,996 at December 31, 2023. The maximum aggregate number of shares that may be issued under the Plan may be increased annually by up to 3% of the total issued and outstanding common shares of the Company at the beginning of each fiscal 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Options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year ended December 31, 2023 is presented in the table below (dollars in thousands, except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878"/>
        <w:gridCol w:w="60"/>
        <w:gridCol w:w="60"/>
        <w:gridCol w:w="980"/>
        <w:gridCol w:w="95"/>
        <w:gridCol w:w="60"/>
        <w:gridCol w:w="385"/>
        <w:gridCol w:w="1540"/>
        <w:gridCol w:w="60"/>
        <w:gridCol w:w="60"/>
        <w:gridCol w:w="281"/>
        <w:gridCol w:w="2064"/>
        <w:gridCol w:w="60"/>
        <w:gridCol w:w="60"/>
        <w:gridCol w:w="249"/>
        <w:gridCol w:w="1216"/>
        <w:gridCol w:w="97"/>
      </w:tblGrid>
      <w:tr>
        <w:trPr/>
        <w:tc>
          <w:tcPr>
            <w:tcW w:w="28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2345" w:type="dxa"/>
            <w:gridSpan w:val="2"/>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Remaining Contractual</w:t>
            </w:r>
          </w:p>
          <w:p>
            <w:pPr>
              <w:pStyle w:val="TableContents"/>
              <w:bidi w:val="0"/>
              <w:spacing w:before="0" w:after="0"/>
              <w:jc w:val="center"/>
              <w:rPr>
                <w:b/>
                <w:color w:val="000000"/>
              </w:rPr>
            </w:pPr>
            <w:r>
              <w:rPr>
                <w:b/>
                <w:color w:val="000000"/>
              </w:rPr>
              <w:t>Life in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Aggregate</w:t>
            </w:r>
          </w:p>
          <w:p>
            <w:pPr>
              <w:pStyle w:val="TableContents"/>
              <w:bidi w:val="0"/>
              <w:spacing w:before="0" w:after="0"/>
              <w:jc w:val="center"/>
              <w:rPr>
                <w:b/>
                <w:color w:val="000000"/>
              </w:rPr>
            </w:pPr>
            <w:r>
              <w:rPr>
                <w:b/>
                <w:color w:val="000000"/>
              </w:rPr>
              <w:t>Intrinsic Value</w:t>
            </w:r>
          </w:p>
        </w:tc>
        <w:tc>
          <w:tcPr>
            <w:tcW w:w="97" w:type="dxa"/>
            <w:tcBorders/>
            <w:vAlign w:val="bottom"/>
          </w:tcPr>
          <w:p>
            <w:pPr>
              <w:pStyle w:val="TableContents"/>
              <w:bidi w:val="0"/>
              <w:spacing w:before="0" w:after="283"/>
              <w:jc w:val="left"/>
              <w:rPr/>
            </w:pPr>
            <w:r>
              <w:rPr/>
              <w:t> </w:t>
            </w:r>
          </w:p>
        </w:tc>
      </w:tr>
      <w:tr>
        <w:trPr/>
        <w:tc>
          <w:tcPr>
            <w:tcW w:w="2878" w:type="dxa"/>
            <w:tcBorders/>
            <w:vAlign w:val="bottom"/>
          </w:tcPr>
          <w:p>
            <w:pPr>
              <w:pStyle w:val="TableContents"/>
              <w:bidi w:val="0"/>
              <w:spacing w:before="0" w:after="0"/>
              <w:jc w:val="left"/>
              <w:rPr>
                <w:color w:val="000000"/>
                <w:u w:val="single"/>
              </w:rPr>
            </w:pPr>
            <w:r>
              <w:rPr>
                <w:color w:val="000000"/>
                <w:u w:val="single"/>
              </w:rPr>
              <w:t>Year Ended December 31, 2023</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ind w:left="180" w:right="0" w:hanging="180"/>
              <w:jc w:val="left"/>
              <w:rPr>
                <w:color w:val="000000"/>
              </w:rPr>
            </w:pPr>
            <w:r>
              <w:rPr>
                <w:color w:val="000000"/>
              </w:rPr>
              <w:t>Outstanding at beginning of year:</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1,354,189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0"/>
              <w:jc w:val="left"/>
              <w:rPr>
                <w:color w:val="000000"/>
              </w:rPr>
            </w:pPr>
            <w:r>
              <w:rPr>
                <w:color w:val="000000"/>
              </w:rPr>
              <w:t>$</w:t>
            </w:r>
          </w:p>
        </w:tc>
        <w:tc>
          <w:tcPr>
            <w:tcW w:w="1540" w:type="dxa"/>
            <w:tcBorders/>
            <w:shd w:fill="CCEEFF" w:val="clear"/>
            <w:vAlign w:val="bottom"/>
          </w:tcPr>
          <w:p>
            <w:pPr>
              <w:pStyle w:val="TableContents"/>
              <w:bidi w:val="0"/>
              <w:spacing w:before="0" w:after="0"/>
              <w:jc w:val="right"/>
              <w:rPr>
                <w:color w:val="000000"/>
              </w:rPr>
            </w:pPr>
            <w:r>
              <w:rPr>
                <w:color w:val="000000"/>
              </w:rPr>
              <w:t>16.11</w:t>
            </w:r>
          </w:p>
        </w:tc>
        <w:tc>
          <w:tcPr>
            <w:tcW w:w="60" w:type="dxa"/>
            <w:tcBorders/>
            <w:shd w:fill="CCEEFF" w:val="clear"/>
            <w:vAlign w:val="bottom"/>
          </w:tcPr>
          <w:p>
            <w:pPr>
              <w:pStyle w:val="TableContents"/>
              <w:bidi w:val="0"/>
              <w:spacing w:before="0" w:after="283"/>
              <w:jc w:val="left"/>
              <w:rPr/>
            </w:pPr>
            <w:r>
              <w:rPr/>
              <w:t> </w:t>
            </w:r>
          </w:p>
        </w:tc>
        <w:tc>
          <w:tcPr>
            <w:tcW w:w="2405" w:type="dxa"/>
            <w:gridSpan w:val="3"/>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shd w:fill="CCEEFF" w:val="clear"/>
            <w:vAlign w:val="bottom"/>
          </w:tcPr>
          <w:p>
            <w:pPr>
              <w:pStyle w:val="TableContents"/>
              <w:bidi w:val="0"/>
              <w:spacing w:before="0" w:after="0"/>
              <w:jc w:val="left"/>
              <w:rPr>
                <w:color w:val="000000"/>
              </w:rPr>
            </w:pPr>
            <w:r>
              <w:rPr>
                <w:color w:val="000000"/>
              </w:rPr>
              <w:t>$</w:t>
            </w:r>
          </w:p>
        </w:tc>
        <w:tc>
          <w:tcPr>
            <w:tcW w:w="1216" w:type="dxa"/>
            <w:tcBorders/>
            <w:shd w:fill="CCEEFF" w:val="clear"/>
            <w:vAlign w:val="bottom"/>
          </w:tcPr>
          <w:p>
            <w:pPr>
              <w:pStyle w:val="TableContents"/>
              <w:bidi w:val="0"/>
              <w:spacing w:before="0" w:after="0"/>
              <w:jc w:val="right"/>
              <w:rPr>
                <w:color w:val="000000"/>
              </w:rPr>
            </w:pPr>
            <w:r>
              <w:rPr>
                <w:color w:val="000000"/>
              </w:rPr>
              <w:t>17,416</w:t>
            </w:r>
          </w:p>
        </w:tc>
        <w:tc>
          <w:tcPr>
            <w:tcW w:w="97" w:type="dxa"/>
            <w:tcBorders/>
            <w:shd w:fill="CCEEFF" w:val="clear"/>
            <w:vAlign w:val="bottom"/>
          </w:tcPr>
          <w:p>
            <w:pPr>
              <w:pStyle w:val="TableContents"/>
              <w:bidi w:val="0"/>
              <w:spacing w:before="0" w:after="283"/>
              <w:jc w:val="left"/>
              <w:rPr/>
            </w:pPr>
            <w:r>
              <w:rPr/>
              <w:t> </w:t>
            </w:r>
          </w:p>
        </w:tc>
      </w:tr>
      <w:tr>
        <w:trPr/>
        <w:tc>
          <w:tcPr>
            <w:tcW w:w="2878" w:type="dxa"/>
            <w:tcBorders/>
            <w:vAlign w:val="bottom"/>
          </w:tcPr>
          <w:p>
            <w:pPr>
              <w:pStyle w:val="TableContents"/>
              <w:bidi w:val="0"/>
              <w:spacing w:before="0" w:after="0"/>
              <w:ind w:left="180" w:right="0" w:hanging="0"/>
              <w:jc w:val="left"/>
              <w:rPr>
                <w:color w:val="000000"/>
              </w:rPr>
            </w:pPr>
            <w:r>
              <w:rPr>
                <w:color w:val="00000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47,816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0"/>
              <w:jc w:val="right"/>
              <w:rPr>
                <w:color w:val="000000"/>
              </w:rPr>
            </w:pPr>
            <w:r>
              <w:rPr>
                <w:color w:val="000000"/>
              </w:rPr>
              <w:t>27.46</w:t>
            </w:r>
          </w:p>
        </w:tc>
        <w:tc>
          <w:tcPr>
            <w:tcW w:w="60" w:type="dxa"/>
            <w:tcBorders/>
            <w:vAlign w:val="bottom"/>
          </w:tcPr>
          <w:p>
            <w:pPr>
              <w:pStyle w:val="TableContents"/>
              <w:bidi w:val="0"/>
              <w:spacing w:before="0" w:after="283"/>
              <w:jc w:val="left"/>
              <w:rPr/>
            </w:pPr>
            <w:r>
              <w:rPr/>
              <w:t> </w:t>
            </w:r>
          </w:p>
        </w:tc>
        <w:tc>
          <w:tcPr>
            <w:tcW w:w="240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0"/>
              <w:jc w:val="right"/>
              <w:rPr>
                <w:color w:val="000000"/>
              </w:rPr>
            </w:pPr>
            <w:r>
              <w:rPr>
                <w:color w:val="000000"/>
              </w:rPr>
              <w:t>72</w:t>
            </w:r>
          </w:p>
        </w:tc>
        <w:tc>
          <w:tcPr>
            <w:tcW w:w="97"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ind w:left="180" w:right="0" w:hanging="0"/>
              <w:jc w:val="left"/>
              <w:rPr>
                <w:color w:val="000000"/>
              </w:rPr>
            </w:pPr>
            <w:r>
              <w:rPr>
                <w:color w:val="000000"/>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(117,292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0"/>
              <w:jc w:val="right"/>
              <w:rPr>
                <w:color w:val="000000"/>
              </w:rPr>
            </w:pPr>
            <w:r>
              <w:rPr>
                <w:color w:val="000000"/>
              </w:rPr>
              <w:t>11.96</w:t>
            </w:r>
          </w:p>
        </w:tc>
        <w:tc>
          <w:tcPr>
            <w:tcW w:w="60" w:type="dxa"/>
            <w:tcBorders/>
            <w:shd w:fill="CCEEFF" w:val="clear"/>
            <w:vAlign w:val="bottom"/>
          </w:tcPr>
          <w:p>
            <w:pPr>
              <w:pStyle w:val="TableContents"/>
              <w:bidi w:val="0"/>
              <w:spacing w:before="0" w:after="283"/>
              <w:jc w:val="left"/>
              <w:rPr/>
            </w:pPr>
            <w:r>
              <w:rPr/>
              <w:t> </w:t>
            </w:r>
          </w:p>
        </w:tc>
        <w:tc>
          <w:tcPr>
            <w:tcW w:w="2405" w:type="dxa"/>
            <w:gridSpan w:val="3"/>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0"/>
              <w:jc w:val="right"/>
              <w:rPr>
                <w:color w:val="000000"/>
              </w:rPr>
            </w:pPr>
            <w:r>
              <w:rPr>
                <w:color w:val="000000"/>
              </w:rPr>
              <w:t>(1,994</w:t>
            </w:r>
          </w:p>
        </w:tc>
        <w:tc>
          <w:tcPr>
            <w:tcW w:w="97" w:type="dxa"/>
            <w:tcBorders/>
            <w:shd w:fill="CCEEFF" w:val="clear"/>
            <w:vAlign w:val="bottom"/>
          </w:tcPr>
          <w:p>
            <w:pPr>
              <w:pStyle w:val="TableContents"/>
              <w:bidi w:val="0"/>
              <w:spacing w:before="0" w:after="0"/>
              <w:jc w:val="left"/>
              <w:rPr>
                <w:color w:val="000000"/>
              </w:rPr>
            </w:pPr>
            <w:r>
              <w:rPr>
                <w:color w:val="000000"/>
              </w:rPr>
              <w:t>)</w:t>
            </w:r>
          </w:p>
        </w:tc>
      </w:tr>
      <w:tr>
        <w:trPr/>
        <w:tc>
          <w:tcPr>
            <w:tcW w:w="2878" w:type="dxa"/>
            <w:tcBorders/>
            <w:vAlign w:val="bottom"/>
          </w:tcPr>
          <w:p>
            <w:pPr>
              <w:pStyle w:val="TableContents"/>
              <w:bidi w:val="0"/>
              <w:spacing w:before="0" w:after="0"/>
              <w:ind w:left="180" w:right="0" w:hanging="0"/>
              <w:jc w:val="left"/>
              <w:rPr>
                <w:color w:val="000000"/>
              </w:rPr>
            </w:pPr>
            <w:r>
              <w:rPr>
                <w:color w:val="000000"/>
              </w:rPr>
              <w:t>Forfeited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(1,125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0"/>
              <w:jc w:val="right"/>
              <w:rPr>
                <w:color w:val="000000"/>
              </w:rPr>
            </w:pPr>
            <w:r>
              <w:rPr>
                <w:color w:val="000000"/>
              </w:rPr>
              <w:t>20.19</w:t>
            </w:r>
          </w:p>
        </w:tc>
        <w:tc>
          <w:tcPr>
            <w:tcW w:w="60" w:type="dxa"/>
            <w:tcBorders/>
            <w:vAlign w:val="bottom"/>
          </w:tcPr>
          <w:p>
            <w:pPr>
              <w:pStyle w:val="TableContents"/>
              <w:bidi w:val="0"/>
              <w:spacing w:before="0" w:after="283"/>
              <w:jc w:val="left"/>
              <w:rPr/>
            </w:pPr>
            <w:r>
              <w:rPr/>
              <w:t> </w:t>
            </w:r>
          </w:p>
        </w:tc>
        <w:tc>
          <w:tcPr>
            <w:tcW w:w="240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0"/>
              <w:jc w:val="right"/>
              <w:rPr>
                <w:color w:val="000000"/>
              </w:rPr>
            </w:pPr>
            <w:r>
              <w:rPr>
                <w:color w:val="000000"/>
              </w:rPr>
              <w:t>(10</w:t>
            </w:r>
          </w:p>
        </w:tc>
        <w:tc>
          <w:tcPr>
            <w:tcW w:w="97" w:type="dxa"/>
            <w:tcBorders/>
            <w:vAlign w:val="bottom"/>
          </w:tcPr>
          <w:p>
            <w:pPr>
              <w:pStyle w:val="TableContents"/>
              <w:bidi w:val="0"/>
              <w:spacing w:before="0" w:after="0"/>
              <w:jc w:val="left"/>
              <w:rPr>
                <w:color w:val="000000"/>
              </w:rPr>
            </w:pPr>
            <w:r>
              <w:rPr>
                <w:color w:val="000000"/>
              </w:rPr>
              <w:t>)</w:t>
            </w:r>
          </w:p>
        </w:tc>
      </w:tr>
      <w:tr>
        <w:trPr/>
        <w:tc>
          <w:tcPr>
            <w:tcW w:w="2878" w:type="dxa"/>
            <w:tcBorders/>
            <w:shd w:fill="CCEEFF" w:val="clear"/>
            <w:vAlign w:val="bottom"/>
          </w:tcPr>
          <w:p>
            <w:pPr>
              <w:pStyle w:val="TableContents"/>
              <w:bidi w:val="0"/>
              <w:spacing w:before="0" w:after="0"/>
              <w:ind w:left="180" w:right="0" w:hanging="0"/>
              <w:jc w:val="left"/>
              <w:rPr>
                <w:color w:val="000000"/>
              </w:rPr>
            </w:pPr>
            <w:r>
              <w:rPr>
                <w:color w:val="000000"/>
              </w:rPr>
              <w:t>Expired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(2,730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0"/>
              <w:jc w:val="right"/>
              <w:rPr>
                <w:color w:val="000000"/>
              </w:rPr>
            </w:pPr>
            <w:r>
              <w:rPr>
                <w:color w:val="000000"/>
              </w:rPr>
              <w:t>17.47</w:t>
            </w:r>
          </w:p>
        </w:tc>
        <w:tc>
          <w:tcPr>
            <w:tcW w:w="60" w:type="dxa"/>
            <w:tcBorders/>
            <w:shd w:fill="CCEEFF" w:val="clear"/>
            <w:vAlign w:val="bottom"/>
          </w:tcPr>
          <w:p>
            <w:pPr>
              <w:pStyle w:val="TableContents"/>
              <w:bidi w:val="0"/>
              <w:spacing w:before="0" w:after="283"/>
              <w:jc w:val="left"/>
              <w:rPr/>
            </w:pPr>
            <w:r>
              <w:rPr/>
              <w:t> </w:t>
            </w:r>
          </w:p>
        </w:tc>
        <w:tc>
          <w:tcPr>
            <w:tcW w:w="2405" w:type="dxa"/>
            <w:gridSpan w:val="3"/>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w:t>
            </w:r>
          </w:p>
        </w:tc>
        <w:tc>
          <w:tcPr>
            <w:tcW w:w="97" w:type="dxa"/>
            <w:tcBorders/>
            <w:shd w:fill="CCEEFF" w:val="clear"/>
            <w:vAlign w:val="bottom"/>
          </w:tcPr>
          <w:p>
            <w:pPr>
              <w:pStyle w:val="TableContents"/>
              <w:bidi w:val="0"/>
              <w:spacing w:before="0" w:after="0"/>
              <w:jc w:val="left"/>
              <w:rPr>
                <w:color w:val="000000"/>
              </w:rPr>
            </w:pPr>
            <w:r>
              <w:rPr>
                <w:color w:val="000000"/>
              </w:rPr>
              <w:t>)</w:t>
            </w:r>
          </w:p>
        </w:tc>
      </w:tr>
      <w:tr>
        <w:trPr/>
        <w:tc>
          <w:tcPr>
            <w:tcW w:w="28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color w:val="000000"/>
              </w:rPr>
            </w:pPr>
            <w:r>
              <w:rPr>
                <w:color w:val="000000"/>
              </w:rPr>
              <w:t>Balance, December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1,280,858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1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15,453</w:t>
            </w:r>
          </w:p>
        </w:tc>
        <w:tc>
          <w:tcPr>
            <w:tcW w:w="97" w:type="dxa"/>
            <w:tcBorders/>
            <w:shd w:fill="CCEEFF" w:val="clear"/>
            <w:vAlign w:val="bottom"/>
          </w:tcPr>
          <w:p>
            <w:pPr>
              <w:pStyle w:val="TableContents"/>
              <w:bidi w:val="0"/>
              <w:spacing w:before="0" w:after="283"/>
              <w:jc w:val="left"/>
              <w:rPr/>
            </w:pPr>
            <w:r>
              <w:rPr/>
              <w:t> </w:t>
            </w:r>
          </w:p>
        </w:tc>
      </w:tr>
      <w:tr>
        <w:trPr/>
        <w:tc>
          <w:tcPr>
            <w:tcW w:w="28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c>
          <w:tcPr>
            <w:tcW w:w="20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color w:val="000000"/>
              </w:rPr>
            </w:pPr>
            <w:r>
              <w:rPr>
                <w:color w:val="000000"/>
              </w:rPr>
              <w:t>Exercisable at end of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1,082,939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1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14,265</w:t>
            </w:r>
          </w:p>
        </w:tc>
        <w:tc>
          <w:tcPr>
            <w:tcW w:w="97" w:type="dxa"/>
            <w:tcBorders/>
            <w:shd w:fill="CCEEFF" w:val="clear"/>
            <w:vAlign w:val="bottom"/>
          </w:tcPr>
          <w:p>
            <w:pPr>
              <w:pStyle w:val="TableContents"/>
              <w:bidi w:val="0"/>
              <w:spacing w:before="0" w:after="283"/>
              <w:jc w:val="left"/>
              <w:rPr/>
            </w:pPr>
            <w:r>
              <w:rPr/>
              <w:t> </w:t>
            </w:r>
          </w:p>
        </w:tc>
      </w:tr>
      <w:tr>
        <w:trPr/>
        <w:tc>
          <w:tcPr>
            <w:tcW w:w="28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c>
          <w:tcPr>
            <w:tcW w:w="20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2878" w:type="dxa"/>
            <w:tcBorders/>
            <w:shd w:fill="CCEEFF" w:val="clear"/>
            <w:vAlign w:val="bottom"/>
          </w:tcPr>
          <w:p>
            <w:pPr>
              <w:pStyle w:val="TableContents"/>
              <w:bidi w:val="0"/>
              <w:spacing w:before="0" w:after="0"/>
              <w:jc w:val="left"/>
              <w:rPr>
                <w:color w:val="000000"/>
              </w:rPr>
            </w:pPr>
            <w:r>
              <w:rPr>
                <w:color w:val="000000"/>
              </w:rPr>
              <w:t>Vested at end of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1,082,939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1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14,265</w:t>
            </w:r>
          </w:p>
        </w:tc>
        <w:tc>
          <w:tcPr>
            <w:tcW w:w="9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fair values of the awards granted during the periods noted is presented below:</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9533" w:type="dxa"/>
        <w:jc w:val="left"/>
        <w:tblInd w:w="0" w:type="dxa"/>
        <w:tblLayout w:type="fixed"/>
        <w:tblCellMar>
          <w:top w:w="0" w:type="dxa"/>
          <w:left w:w="0" w:type="dxa"/>
          <w:bottom w:w="0" w:type="dxa"/>
          <w:right w:w="0" w:type="dxa"/>
        </w:tblCellMar>
      </w:tblPr>
      <w:tblGrid>
        <w:gridCol w:w="3665"/>
        <w:gridCol w:w="60"/>
        <w:gridCol w:w="148"/>
        <w:gridCol w:w="1641"/>
        <w:gridCol w:w="60"/>
        <w:gridCol w:w="60"/>
        <w:gridCol w:w="323"/>
        <w:gridCol w:w="1466"/>
        <w:gridCol w:w="60"/>
        <w:gridCol w:w="60"/>
        <w:gridCol w:w="140"/>
        <w:gridCol w:w="1790"/>
        <w:gridCol w:w="60"/>
      </w:tblGrid>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748" w:type="dxa"/>
            <w:gridSpan w:val="10"/>
            <w:tcBorders>
              <w:bottom w:val="single" w:sz="12" w:space="0" w:color="000000"/>
            </w:tcBorders>
            <w:tcMar>
              <w:bottom w:w="28" w:type="dxa"/>
            </w:tcMar>
            <w:vAlign w:val="bottom"/>
          </w:tcPr>
          <w:p>
            <w:pPr>
              <w:pStyle w:val="TableContents"/>
              <w:bidi w:val="0"/>
              <w:spacing w:before="0" w:after="283"/>
              <w:jc w:val="center"/>
              <w:rPr/>
            </w:pPr>
            <w:r>
              <w:rPr>
                <w:b/>
              </w:rPr>
              <w:t>Year Ended December 31,</w:t>
            </w:r>
            <w:r>
              <w:rPr/>
              <w:t xml:space="preserve"> </w:t>
            </w:r>
          </w:p>
        </w:tc>
        <w:tc>
          <w:tcPr>
            <w:tcW w:w="60" w:type="dxa"/>
            <w:tcBorders/>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78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78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93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180" w:right="0" w:hanging="180"/>
              <w:jc w:val="left"/>
              <w:rPr>
                <w:color w:val="000000"/>
              </w:rPr>
            </w:pPr>
            <w:r>
              <w:rPr>
                <w:color w:val="000000"/>
              </w:rPr>
              <w:t>Expected volatility</w:t>
            </w:r>
          </w:p>
        </w:tc>
        <w:tc>
          <w:tcPr>
            <w:tcW w:w="60" w:type="dxa"/>
            <w:tcBorders/>
            <w:shd w:fill="CCEEFF" w:val="clear"/>
            <w:vAlign w:val="bottom"/>
          </w:tcPr>
          <w:p>
            <w:pPr>
              <w:pStyle w:val="TableContents"/>
              <w:bidi w:val="0"/>
              <w:spacing w:before="0" w:after="283"/>
              <w:jc w:val="right"/>
              <w:rPr/>
            </w:pPr>
            <w:r>
              <w:rPr/>
              <w:t> </w:t>
            </w:r>
          </w:p>
        </w:tc>
        <w:tc>
          <w:tcPr>
            <w:tcW w:w="1789" w:type="dxa"/>
            <w:gridSpan w:val="2"/>
            <w:tcBorders/>
            <w:shd w:fill="CCEEFF" w:val="clear"/>
            <w:vAlign w:val="bottom"/>
          </w:tcPr>
          <w:p>
            <w:pPr>
              <w:pStyle w:val="TableContents"/>
              <w:bidi w:val="0"/>
              <w:spacing w:before="0" w:after="283"/>
              <w:jc w:val="right"/>
              <w:rPr/>
            </w:pPr>
            <w:r>
              <w:rPr/>
              <w:t>39.13% to 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9" w:type="dxa"/>
            <w:gridSpan w:val="2"/>
            <w:tcBorders/>
            <w:shd w:fill="CCEEFF" w:val="clear"/>
            <w:vAlign w:val="bottom"/>
          </w:tcPr>
          <w:p>
            <w:pPr>
              <w:pStyle w:val="TableContents"/>
              <w:bidi w:val="0"/>
              <w:spacing w:before="0" w:after="0"/>
              <w:jc w:val="right"/>
              <w:rPr>
                <w:color w:val="000000"/>
              </w:rPr>
            </w:pPr>
            <w:r>
              <w:rPr>
                <w:color w:val="000000"/>
              </w:rPr>
              <w:t>40.20% to 40.29%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41.20% to 41.32%</w:t>
            </w:r>
          </w:p>
        </w:tc>
        <w:tc>
          <w:tcPr>
            <w:tcW w:w="60" w:type="dxa"/>
            <w:tcBorders/>
            <w:shd w:fill="CCEEFF" w:val="clear"/>
            <w:vAlign w:val="bottom"/>
          </w:tcPr>
          <w:p>
            <w:pPr>
              <w:pStyle w:val="TableContents"/>
              <w:bidi w:val="0"/>
              <w:spacing w:before="0" w:after="283"/>
              <w:jc w:val="left"/>
              <w:rPr/>
            </w:pPr>
            <w:r>
              <w:rPr/>
            </w:r>
          </w:p>
        </w:tc>
      </w:tr>
      <w:tr>
        <w:trPr/>
        <w:tc>
          <w:tcPr>
            <w:tcW w:w="3665" w:type="dxa"/>
            <w:tcBorders/>
            <w:vAlign w:val="bottom"/>
          </w:tcPr>
          <w:p>
            <w:pPr>
              <w:pStyle w:val="TableContents"/>
              <w:bidi w:val="0"/>
              <w:spacing w:before="0" w:after="0"/>
              <w:ind w:left="180" w:right="0" w:hanging="180"/>
              <w:jc w:val="left"/>
              <w:rPr>
                <w:color w:val="000000"/>
              </w:rPr>
            </w:pPr>
            <w:r>
              <w:rPr>
                <w:color w:val="000000"/>
              </w:rPr>
              <w:t>Expected dividend yield</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1.74% to 1.90%</w:t>
            </w:r>
          </w:p>
        </w:tc>
        <w:tc>
          <w:tcPr>
            <w:tcW w:w="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0"/>
              <w:jc w:val="right"/>
              <w:rPr>
                <w:color w:val="000000"/>
              </w:rPr>
            </w:pPr>
            <w:r>
              <w:rPr>
                <w:color w:val="000000"/>
              </w:rPr>
              <w:t>1.30%</w:t>
            </w:r>
          </w:p>
        </w:tc>
        <w:tc>
          <w:tcPr>
            <w:tcW w:w="60" w:type="dxa"/>
            <w:tcBorders/>
            <w:vAlign w:val="bottom"/>
          </w:tcPr>
          <w:p>
            <w:pPr>
              <w:pStyle w:val="TableContents"/>
              <w:bidi w:val="0"/>
              <w:spacing w:before="0" w:after="0"/>
              <w:jc w:val="left"/>
              <w:rPr>
                <w:color w:val="000000"/>
              </w:rPr>
            </w:pPr>
            <w:r>
              <w:rPr>
                <w:color w:val="000000"/>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60" w:type="dxa"/>
            <w:tcBorders/>
            <w:vAlign w:val="bottom"/>
          </w:tcPr>
          <w:p>
            <w:pPr>
              <w:pStyle w:val="TableContents"/>
              <w:bidi w:val="0"/>
              <w:spacing w:before="0" w:after="0"/>
              <w:jc w:val="left"/>
              <w:rPr>
                <w:color w:val="000000"/>
              </w:rPr>
            </w:pPr>
            <w:r>
              <w:rPr>
                <w:color w:val="000000"/>
              </w:rPr>
            </w:r>
          </w:p>
        </w:tc>
      </w:tr>
      <w:tr>
        <w:trPr/>
        <w:tc>
          <w:tcPr>
            <w:tcW w:w="3665" w:type="dxa"/>
            <w:tcBorders/>
            <w:shd w:fill="CCEEFF" w:val="clear"/>
            <w:vAlign w:val="bottom"/>
          </w:tcPr>
          <w:p>
            <w:pPr>
              <w:pStyle w:val="TableContents"/>
              <w:bidi w:val="0"/>
              <w:spacing w:before="0" w:after="0"/>
              <w:ind w:left="180" w:right="0" w:hanging="180"/>
              <w:jc w:val="left"/>
              <w:rPr>
                <w:color w:val="000000"/>
              </w:rPr>
            </w:pPr>
            <w:r>
              <w:rPr>
                <w:color w:val="000000"/>
              </w:rPr>
              <w:t>Expected term (years)</w:t>
            </w:r>
          </w:p>
        </w:tc>
        <w:tc>
          <w:tcPr>
            <w:tcW w:w="60" w:type="dxa"/>
            <w:tcBorders/>
            <w:shd w:fill="CCEEFF" w:val="clear"/>
            <w:vAlign w:val="bottom"/>
          </w:tcPr>
          <w:p>
            <w:pPr>
              <w:pStyle w:val="TableContents"/>
              <w:bidi w:val="0"/>
              <w:spacing w:before="0" w:after="283"/>
              <w:jc w:val="left"/>
              <w:rPr/>
            </w:pPr>
            <w:r>
              <w:rPr/>
              <w:t> </w:t>
            </w:r>
          </w:p>
        </w:tc>
        <w:tc>
          <w:tcPr>
            <w:tcW w:w="1789" w:type="dxa"/>
            <w:gridSpan w:val="2"/>
            <w:tcBorders/>
            <w:shd w:fill="CCEEFF" w:val="clear"/>
            <w:vAlign w:val="bottom"/>
          </w:tcPr>
          <w:p>
            <w:pPr>
              <w:pStyle w:val="TableContents"/>
              <w:bidi w:val="0"/>
              <w:spacing w:before="0" w:after="0"/>
              <w:ind w:left="0" w:right="0" w:hanging="0"/>
              <w:jc w:val="right"/>
              <w:rPr>
                <w:color w:val="000000"/>
              </w:rPr>
            </w:pPr>
            <w:r>
              <w:rPr>
                <w:color w:val="000000"/>
              </w:rPr>
              <w:t xml:space="preserve">6.1 to 6.3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9" w:type="dxa"/>
            <w:gridSpan w:val="2"/>
            <w:tcBorders/>
            <w:shd w:fill="CCEEFF" w:val="clear"/>
            <w:vAlign w:val="bottom"/>
          </w:tcPr>
          <w:p>
            <w:pPr>
              <w:pStyle w:val="TableContents"/>
              <w:bidi w:val="0"/>
              <w:spacing w:before="0" w:after="283"/>
              <w:jc w:val="right"/>
              <w:rPr/>
            </w:pPr>
            <w:r>
              <w:rPr/>
              <w:t>6.1 to 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 xml:space="preserve">6.1 to 6.2 </w:t>
            </w:r>
          </w:p>
        </w:tc>
        <w:tc>
          <w:tcPr>
            <w:tcW w:w="6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180" w:right="0" w:hanging="180"/>
              <w:jc w:val="left"/>
              <w:rPr>
                <w:color w:val="000000"/>
              </w:rPr>
            </w:pPr>
            <w:r>
              <w:rPr>
                <w:color w:val="000000"/>
              </w:rPr>
              <w:t>Risk-free interest rate</w:t>
            </w:r>
          </w:p>
        </w:tc>
        <w:tc>
          <w:tcPr>
            <w:tcW w:w="60" w:type="dxa"/>
            <w:tcBorders/>
            <w:vAlign w:val="bottom"/>
          </w:tcPr>
          <w:p>
            <w:pPr>
              <w:pStyle w:val="TableContents"/>
              <w:bidi w:val="0"/>
              <w:spacing w:before="0" w:after="283"/>
              <w:jc w:val="right"/>
              <w:rPr/>
            </w:pPr>
            <w:r>
              <w:rPr/>
              <w:t> </w:t>
            </w:r>
          </w:p>
        </w:tc>
        <w:tc>
          <w:tcPr>
            <w:tcW w:w="1789" w:type="dxa"/>
            <w:gridSpan w:val="2"/>
            <w:tcBorders/>
            <w:vAlign w:val="bottom"/>
          </w:tcPr>
          <w:p>
            <w:pPr>
              <w:pStyle w:val="TableContents"/>
              <w:bidi w:val="0"/>
              <w:spacing w:before="0" w:after="283"/>
              <w:jc w:val="right"/>
              <w:rPr/>
            </w:pPr>
            <w:r>
              <w:rPr/>
              <w:t>3.91% to 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9" w:type="dxa"/>
            <w:gridSpan w:val="2"/>
            <w:tcBorders/>
            <w:vAlign w:val="bottom"/>
          </w:tcPr>
          <w:p>
            <w:pPr>
              <w:pStyle w:val="TableContents"/>
              <w:bidi w:val="0"/>
              <w:spacing w:before="0" w:after="0"/>
              <w:jc w:val="right"/>
              <w:rPr>
                <w:color w:val="000000"/>
              </w:rPr>
            </w:pPr>
            <w:r>
              <w:rPr>
                <w:color w:val="000000"/>
              </w:rPr>
              <w:t>1.56% to 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0.52% to 0.83%</w:t>
            </w:r>
          </w:p>
        </w:tc>
        <w:tc>
          <w:tcPr>
            <w:tcW w:w="60" w:type="dxa"/>
            <w:tcBorders/>
            <w:vAlign w:val="bottom"/>
          </w:tcPr>
          <w:p>
            <w:pPr>
              <w:pStyle w:val="TableContents"/>
              <w:bidi w:val="0"/>
              <w:spacing w:before="0" w:after="283"/>
              <w:jc w:val="left"/>
              <w:rPr/>
            </w:pPr>
            <w:r>
              <w:rPr/>
            </w:r>
          </w:p>
        </w:tc>
      </w:tr>
      <w:tr>
        <w:trPr/>
        <w:tc>
          <w:tcPr>
            <w:tcW w:w="3665" w:type="dxa"/>
            <w:tcBorders/>
            <w:shd w:fill="CCEEFF" w:val="clear"/>
            <w:vAlign w:val="bottom"/>
          </w:tcPr>
          <w:p>
            <w:pPr>
              <w:pStyle w:val="TableContents"/>
              <w:bidi w:val="0"/>
              <w:spacing w:before="0" w:after="0"/>
              <w:ind w:left="180" w:right="0" w:hanging="180"/>
              <w:jc w:val="left"/>
              <w:rPr>
                <w:color w:val="000000"/>
              </w:rPr>
            </w:pPr>
            <w:r>
              <w:rPr>
                <w:color w:val="000000"/>
              </w:rPr>
              <w:t>Weighted average grant date fair value</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w:t>
            </w:r>
          </w:p>
        </w:tc>
        <w:tc>
          <w:tcPr>
            <w:tcW w:w="1641" w:type="dxa"/>
            <w:tcBorders/>
            <w:shd w:fill="CCEEFF" w:val="clear"/>
            <w:vAlign w:val="bottom"/>
          </w:tcPr>
          <w:p>
            <w:pPr>
              <w:pStyle w:val="TableContents"/>
              <w:bidi w:val="0"/>
              <w:spacing w:before="0" w:after="283"/>
              <w:jc w:val="right"/>
              <w:rPr/>
            </w:pPr>
            <w:r>
              <w:rPr/>
              <w:t>10.26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0"/>
              <w:jc w:val="left"/>
              <w:rPr>
                <w:color w:val="000000"/>
              </w:rPr>
            </w:pPr>
            <w:r>
              <w:rPr>
                <w:color w:val="000000"/>
              </w:rPr>
              <w:t>$</w:t>
            </w:r>
          </w:p>
        </w:tc>
        <w:tc>
          <w:tcPr>
            <w:tcW w:w="1466" w:type="dxa"/>
            <w:tcBorders/>
            <w:shd w:fill="CCEEFF" w:val="clear"/>
            <w:vAlign w:val="bottom"/>
          </w:tcPr>
          <w:p>
            <w:pPr>
              <w:pStyle w:val="TableContents"/>
              <w:bidi w:val="0"/>
              <w:spacing w:before="0" w:after="0"/>
              <w:jc w:val="right"/>
              <w:rPr>
                <w:color w:val="000000"/>
              </w:rPr>
            </w:pPr>
            <w:r>
              <w:rPr>
                <w:color w:val="000000"/>
              </w:rPr>
              <w:t>10.54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790" w:type="dxa"/>
            <w:tcBorders/>
            <w:shd w:fill="CCEEFF" w:val="clear"/>
            <w:vAlign w:val="bottom"/>
          </w:tcPr>
          <w:p>
            <w:pPr>
              <w:pStyle w:val="TableContents"/>
              <w:bidi w:val="0"/>
              <w:spacing w:before="0" w:after="0"/>
              <w:jc w:val="right"/>
              <w:rPr>
                <w:color w:val="000000"/>
              </w:rPr>
            </w:pPr>
            <w:r>
              <w:rPr>
                <w:color w:val="000000"/>
              </w:rPr>
              <w:t>7.07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intrinsic value of options exercised during the years ended December 31, 2023, 2022, and 2021 was $1.8 million, $3.9 million, and $2.1 million,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Restricted Stock Awards and Units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year ended December 31, 2023 is presented in the table below:</w:t>
      </w:r>
    </w:p>
    <w:p>
      <w:pPr>
        <w:pStyle w:val="TextBody"/>
        <w:bidi w:val="0"/>
        <w:spacing w:before="0" w:after="0"/>
        <w:jc w:val="left"/>
        <w:rPr>
          <w:rFonts w:ascii="Times New Roman" w:hAnsi="Times New Roman"/>
          <w:sz w:val="20"/>
        </w:rPr>
      </w:pPr>
      <w:r>
        <w:rPr>
          <w:rFonts w:ascii="Times New Roman" w:hAnsi="Times New Roman"/>
          <w:sz w:val="20"/>
        </w:rPr>
      </w:r>
    </w:p>
    <w:tbl>
      <w:tblPr>
        <w:tblW w:w="6379" w:type="dxa"/>
        <w:jc w:val="left"/>
        <w:tblInd w:w="0" w:type="dxa"/>
        <w:tblLayout w:type="fixed"/>
        <w:tblCellMar>
          <w:top w:w="0" w:type="dxa"/>
          <w:left w:w="0" w:type="dxa"/>
          <w:bottom w:w="0" w:type="dxa"/>
          <w:right w:w="0" w:type="dxa"/>
        </w:tblCellMar>
      </w:tblPr>
      <w:tblGrid>
        <w:gridCol w:w="3200"/>
        <w:gridCol w:w="60"/>
        <w:gridCol w:w="67"/>
        <w:gridCol w:w="897"/>
        <w:gridCol w:w="95"/>
        <w:gridCol w:w="60"/>
        <w:gridCol w:w="385"/>
        <w:gridCol w:w="1540"/>
        <w:gridCol w:w="75"/>
      </w:tblGrid>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Grant Date</w:t>
            </w:r>
          </w:p>
          <w:p>
            <w:pPr>
              <w:pStyle w:val="TableContents"/>
              <w:bidi w:val="0"/>
              <w:spacing w:before="0" w:after="0"/>
              <w:jc w:val="center"/>
              <w:rPr>
                <w:b/>
                <w:color w:val="000000"/>
              </w:rPr>
            </w:pPr>
            <w:r>
              <w:rPr>
                <w:b/>
                <w:color w:val="000000"/>
              </w:rPr>
              <w:t>Fair Value</w:t>
            </w:r>
          </w:p>
        </w:tc>
        <w:tc>
          <w:tcPr>
            <w:tcW w:w="75"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180" w:right="0" w:hanging="0"/>
              <w:jc w:val="left"/>
              <w:rPr>
                <w:color w:val="000000"/>
                <w:u w:val="single"/>
              </w:rPr>
            </w:pPr>
            <w:r>
              <w:rPr>
                <w:color w:val="000000"/>
                <w:u w:val="single"/>
              </w:rPr>
              <w:t>Year Ended December 31, 2023</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80" w:right="0" w:hanging="180"/>
              <w:jc w:val="left"/>
              <w:rPr>
                <w:color w:val="000000"/>
              </w:rPr>
            </w:pPr>
            <w:r>
              <w:rPr>
                <w:color w:val="000000"/>
              </w:rPr>
              <w:t>Outstanding at beginning of year:</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84,342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0"/>
              <w:jc w:val="left"/>
              <w:rPr>
                <w:color w:val="000000"/>
              </w:rPr>
            </w:pPr>
            <w:r>
              <w:rPr>
                <w:color w:val="000000"/>
              </w:rPr>
              <w:t>$</w:t>
            </w:r>
          </w:p>
        </w:tc>
        <w:tc>
          <w:tcPr>
            <w:tcW w:w="1540" w:type="dxa"/>
            <w:tcBorders/>
            <w:shd w:fill="CCEEFF" w:val="clear"/>
            <w:vAlign w:val="bottom"/>
          </w:tcPr>
          <w:p>
            <w:pPr>
              <w:pStyle w:val="TableContents"/>
              <w:bidi w:val="0"/>
              <w:spacing w:before="0" w:after="0"/>
              <w:jc w:val="right"/>
              <w:rPr>
                <w:color w:val="000000"/>
              </w:rPr>
            </w:pPr>
            <w:r>
              <w:rPr>
                <w:color w:val="000000"/>
              </w:rPr>
              <w:t>26.76</w:t>
            </w:r>
          </w:p>
        </w:tc>
        <w:tc>
          <w:tcPr>
            <w:tcW w:w="7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360" w:right="0" w:hanging="180"/>
              <w:jc w:val="left"/>
              <w:rPr>
                <w:color w:val="000000"/>
              </w:rPr>
            </w:pPr>
            <w:r>
              <w:rPr>
                <w:color w:val="000000"/>
              </w:rPr>
              <w:t>Granted</w:t>
            </w:r>
          </w:p>
        </w:tc>
        <w:tc>
          <w:tcPr>
            <w:tcW w:w="6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85,127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0"/>
              <w:jc w:val="right"/>
              <w:rPr>
                <w:color w:val="000000"/>
              </w:rPr>
            </w:pPr>
            <w:r>
              <w:rPr>
                <w:color w:val="000000"/>
              </w:rPr>
              <w:t>25.33</w:t>
            </w:r>
          </w:p>
        </w:tc>
        <w:tc>
          <w:tcPr>
            <w:tcW w:w="7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360" w:right="0" w:hanging="180"/>
              <w:jc w:val="left"/>
              <w:rPr>
                <w:color w:val="000000"/>
              </w:rPr>
            </w:pPr>
            <w:r>
              <w:rPr>
                <w:color w:val="000000"/>
              </w:rPr>
              <w:t>Exercised</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(38,141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0"/>
              <w:jc w:val="right"/>
              <w:rPr>
                <w:color w:val="000000"/>
              </w:rPr>
            </w:pPr>
            <w:r>
              <w:rPr>
                <w:color w:val="000000"/>
              </w:rPr>
              <w:t>24.40</w:t>
            </w:r>
          </w:p>
        </w:tc>
        <w:tc>
          <w:tcPr>
            <w:tcW w:w="7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360" w:right="0" w:hanging="180"/>
              <w:jc w:val="left"/>
              <w:rPr>
                <w:color w:val="000000"/>
              </w:rPr>
            </w:pPr>
            <w:r>
              <w:rPr>
                <w:color w:val="000000"/>
              </w:rPr>
              <w:t>Forfeited</w:t>
            </w:r>
          </w:p>
        </w:tc>
        <w:tc>
          <w:tcPr>
            <w:tcW w:w="60" w:type="dxa"/>
            <w:tcBorders/>
            <w:vAlign w:val="bottom"/>
          </w:tcPr>
          <w:p>
            <w:pPr>
              <w:pStyle w:val="TableContents"/>
              <w:bidi w:val="0"/>
              <w:spacing w:before="0" w:after="283"/>
              <w:jc w:val="right"/>
              <w:rPr/>
            </w:pPr>
            <w:r>
              <w:rPr/>
              <w:t> </w:t>
            </w:r>
          </w:p>
        </w:tc>
        <w:tc>
          <w:tcPr>
            <w:tcW w:w="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(5,411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3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5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25.22</w:t>
            </w:r>
          </w:p>
        </w:tc>
        <w:tc>
          <w:tcPr>
            <w:tcW w:w="75" w:type="dxa"/>
            <w:tcBorders/>
            <w:vAlign w:val="bottom"/>
          </w:tcPr>
          <w:p>
            <w:pPr>
              <w:pStyle w:val="TableContents"/>
              <w:bidi w:val="0"/>
              <w:spacing w:before="0" w:after="283"/>
              <w:ind w:left="180" w:right="0" w:hanging="180"/>
              <w:jc w:val="left"/>
              <w:rPr/>
            </w:pPr>
            <w:r>
              <w:rPr/>
              <w:t> </w:t>
            </w:r>
          </w:p>
        </w:tc>
      </w:tr>
      <w:tr>
        <w:trPr/>
        <w:tc>
          <w:tcPr>
            <w:tcW w:w="3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180" w:right="0" w:hanging="180"/>
              <w:jc w:val="left"/>
              <w:rPr>
                <w:color w:val="000000"/>
              </w:rPr>
            </w:pPr>
            <w:r>
              <w:rPr>
                <w:color w:val="000000"/>
              </w:rPr>
              <w:t>Balance, December 31, 2023</w:t>
            </w:r>
          </w:p>
        </w:tc>
        <w:tc>
          <w:tcPr>
            <w:tcW w:w="60" w:type="dxa"/>
            <w:tcBorders/>
            <w:vAlign w:val="bottom"/>
          </w:tcPr>
          <w:p>
            <w:pPr>
              <w:pStyle w:val="TableContents"/>
              <w:bidi w:val="0"/>
              <w:spacing w:before="0" w:after="283"/>
              <w:jc w:val="right"/>
              <w:rPr/>
            </w:pPr>
            <w:r>
              <w:rPr/>
              <w:t> </w:t>
            </w:r>
          </w:p>
        </w:tc>
        <w:tc>
          <w:tcPr>
            <w:tcW w:w="67" w:type="dxa"/>
            <w:tcBorders>
              <w:bottom w:val="double" w:sz="8" w:space="0" w:color="000000"/>
            </w:tcBorders>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125,917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5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26.58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the years ended December 31, 2023, 2022, and 2021 was $931 thousand, $601 thousand, and $489 thousand,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December 31, 2023, 2022, and 2021 the Company recorded stock-based compensation expense related to the Plan of $2.2 million, $2.8 million and $1.6 million, respectively. The total unrecognized compensation cost for the awards outstanding under the Plan at December 31, 2023 was $2.9 million and will be recognized over a weighted average remaining period of 1.66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2200" w:type="dxa"/>
        <w:jc w:val="left"/>
        <w:tblInd w:w="0" w:type="dxa"/>
        <w:tblLayout w:type="fixed"/>
        <w:tblCellMar>
          <w:top w:w="0" w:type="dxa"/>
          <w:left w:w="0" w:type="dxa"/>
          <w:bottom w:w="0" w:type="dxa"/>
          <w:right w:w="0" w:type="dxa"/>
        </w:tblCellMar>
      </w:tblPr>
      <w:tblGrid>
        <w:gridCol w:w="335"/>
        <w:gridCol w:w="1865"/>
      </w:tblGrid>
      <w:tr>
        <w:trPr/>
        <w:tc>
          <w:tcPr>
            <w:tcW w:w="335" w:type="dxa"/>
            <w:tcBorders/>
            <w:vAlign w:val="center"/>
          </w:tcPr>
          <w:p>
            <w:pPr>
              <w:pStyle w:val="TableContents"/>
              <w:bidi w:val="0"/>
              <w:spacing w:before="0" w:after="0"/>
              <w:jc w:val="both"/>
              <w:rPr>
                <w:b/>
                <w:i/>
                <w:color w:val="000000"/>
              </w:rPr>
            </w:pPr>
            <w:r>
              <w:rPr>
                <w:b/>
                <w:i/>
                <w:color w:val="000000"/>
              </w:rPr>
              <w:t>13.</w:t>
            </w:r>
          </w:p>
        </w:tc>
        <w:tc>
          <w:tcPr>
            <w:tcW w:w="1865" w:type="dxa"/>
            <w:tcBorders/>
            <w:vAlign w:val="center"/>
          </w:tcPr>
          <w:p>
            <w:pPr>
              <w:pStyle w:val="TableContents"/>
              <w:bidi w:val="0"/>
              <w:spacing w:before="0" w:after="0"/>
              <w:ind w:left="720" w:right="0" w:hanging="720"/>
              <w:jc w:val="both"/>
              <w:rPr>
                <w:b/>
                <w:i/>
                <w:color w:val="000000"/>
              </w:rPr>
            </w:pPr>
            <w:r>
              <w:rPr>
                <w:b/>
                <w:i/>
                <w:color w:val="000000"/>
              </w:rPr>
              <w:t>INCOME TAXES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income tax expense (benefit) was as follows for the periods indicated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4611" w:type="dxa"/>
        <w:jc w:val="left"/>
        <w:tblInd w:w="0" w:type="dxa"/>
        <w:tblLayout w:type="fixed"/>
        <w:tblCellMar>
          <w:top w:w="0" w:type="dxa"/>
          <w:left w:w="0" w:type="dxa"/>
          <w:bottom w:w="0" w:type="dxa"/>
          <w:right w:w="0" w:type="dxa"/>
        </w:tblCellMar>
      </w:tblPr>
      <w:tblGrid>
        <w:gridCol w:w="1700"/>
        <w:gridCol w:w="60"/>
        <w:gridCol w:w="144"/>
        <w:gridCol w:w="700"/>
        <w:gridCol w:w="61"/>
        <w:gridCol w:w="61"/>
        <w:gridCol w:w="144"/>
        <w:gridCol w:w="700"/>
        <w:gridCol w:w="61"/>
        <w:gridCol w:w="61"/>
        <w:gridCol w:w="144"/>
        <w:gridCol w:w="700"/>
        <w:gridCol w:w="75"/>
      </w:tblGrid>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76" w:type="dxa"/>
            <w:gridSpan w:val="10"/>
            <w:tcBorders>
              <w:bottom w:val="single" w:sz="12" w:space="0" w:color="000000"/>
            </w:tcBorders>
            <w:tcMar>
              <w:bottom w:w="28" w:type="dxa"/>
            </w:tcMar>
            <w:vAlign w:val="bottom"/>
          </w:tcPr>
          <w:p>
            <w:pPr>
              <w:pStyle w:val="TableContents"/>
              <w:bidi w:val="0"/>
              <w:spacing w:before="0" w:after="283"/>
              <w:jc w:val="center"/>
              <w:rPr/>
            </w:pPr>
            <w:r>
              <w:rPr>
                <w:b/>
              </w:rPr>
              <w:t>Year Ended December 31,</w:t>
            </w:r>
            <w:r>
              <w:rPr/>
              <w:t xml:space="preserve"> </w:t>
            </w:r>
          </w:p>
        </w:tc>
        <w:tc>
          <w:tcPr>
            <w:tcW w:w="7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center"/>
              <w:rPr/>
            </w:pPr>
            <w:r>
              <w:rPr/>
              <w:t> </w:t>
            </w:r>
          </w:p>
        </w:tc>
        <w:tc>
          <w:tcPr>
            <w:tcW w:w="84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7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jc w:val="left"/>
              <w:rPr>
                <w:color w:val="000000"/>
              </w:rPr>
            </w:pPr>
            <w:r>
              <w:rPr>
                <w:color w:val="000000"/>
              </w:rPr>
              <w:t>Current expense</w:t>
            </w:r>
          </w:p>
        </w:tc>
        <w:tc>
          <w:tcPr>
            <w:tcW w:w="60"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4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ind w:left="180" w:right="0" w:hanging="0"/>
              <w:jc w:val="left"/>
              <w:rPr>
                <w:color w:val="000000"/>
              </w:rPr>
            </w:pPr>
            <w:r>
              <w:rPr>
                <w:color w:val="000000"/>
              </w:rPr>
              <w:t>Federal</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color w:val="000000"/>
              </w:rPr>
            </w:pPr>
            <w:r>
              <w:rPr>
                <w:color w:val="000000"/>
              </w:rPr>
              <w:t>$</w:t>
            </w:r>
          </w:p>
        </w:tc>
        <w:tc>
          <w:tcPr>
            <w:tcW w:w="700" w:type="dxa"/>
            <w:tcBorders/>
            <w:shd w:fill="CCEEFF" w:val="clear"/>
            <w:vAlign w:val="bottom"/>
          </w:tcPr>
          <w:p>
            <w:pPr>
              <w:pStyle w:val="TableContents"/>
              <w:bidi w:val="0"/>
              <w:spacing w:before="0" w:after="0"/>
              <w:jc w:val="right"/>
              <w:rPr>
                <w:color w:val="000000"/>
              </w:rPr>
            </w:pPr>
            <w:r>
              <w:rPr>
                <w:color w:val="000000"/>
              </w:rPr>
              <w:t>16,192</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color w:val="000000"/>
              </w:rPr>
            </w:pPr>
            <w:r>
              <w:rPr>
                <w:color w:val="000000"/>
              </w:rPr>
              <w:t>$</w:t>
            </w:r>
          </w:p>
        </w:tc>
        <w:tc>
          <w:tcPr>
            <w:tcW w:w="700" w:type="dxa"/>
            <w:tcBorders/>
            <w:shd w:fill="CCEEFF" w:val="clear"/>
            <w:vAlign w:val="bottom"/>
          </w:tcPr>
          <w:p>
            <w:pPr>
              <w:pStyle w:val="TableContents"/>
              <w:bidi w:val="0"/>
              <w:spacing w:before="0" w:after="0"/>
              <w:jc w:val="right"/>
              <w:rPr>
                <w:color w:val="000000"/>
              </w:rPr>
            </w:pPr>
            <w:r>
              <w:rPr>
                <w:color w:val="000000"/>
              </w:rPr>
              <w:t>13,250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12,834</w:t>
            </w:r>
          </w:p>
        </w:tc>
        <w:tc>
          <w:tcPr>
            <w:tcW w:w="75"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180" w:right="0" w:hanging="0"/>
              <w:jc w:val="left"/>
              <w:rPr>
                <w:color w:val="000000"/>
              </w:rPr>
            </w:pPr>
            <w:r>
              <w:rPr>
                <w:color w:val="000000"/>
              </w:rPr>
              <w:t>State</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0"/>
              <w:jc w:val="right"/>
              <w:rPr>
                <w:color w:val="000000"/>
              </w:rPr>
            </w:pPr>
            <w:r>
              <w:rPr>
                <w:color w:val="000000"/>
              </w:rPr>
              <w:t>381</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0"/>
              <w:jc w:val="right"/>
              <w:rPr>
                <w:color w:val="000000"/>
              </w:rPr>
            </w:pPr>
            <w:r>
              <w:rPr>
                <w:color w:val="000000"/>
              </w:rPr>
              <w:t>302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220</w:t>
            </w:r>
          </w:p>
        </w:tc>
        <w:tc>
          <w:tcPr>
            <w:tcW w:w="75"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jc w:val="left"/>
              <w:rPr>
                <w:color w:val="000000"/>
              </w:rPr>
            </w:pPr>
            <w:r>
              <w:rPr>
                <w:color w:val="000000"/>
              </w:rPr>
              <w:t>Deferred expense</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180" w:right="0" w:hanging="0"/>
              <w:jc w:val="left"/>
              <w:rPr>
                <w:color w:val="000000"/>
              </w:rPr>
            </w:pPr>
            <w:r>
              <w:rPr>
                <w:color w:val="000000"/>
              </w:rPr>
              <w:t>Federal</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7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7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1,359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700" w:type="dxa"/>
            <w:tcBorders>
              <w:bottom w:val="single" w:sz="12" w:space="0" w:color="000000"/>
            </w:tcBorders>
            <w:tcMar>
              <w:bottom w:w="28" w:type="dxa"/>
            </w:tcMar>
            <w:vAlign w:val="bottom"/>
          </w:tcPr>
          <w:p>
            <w:pPr>
              <w:pStyle w:val="TableContents"/>
              <w:bidi w:val="0"/>
              <w:spacing w:before="0" w:after="283"/>
              <w:jc w:val="right"/>
              <w:rPr/>
            </w:pPr>
            <w:r>
              <w:rPr/>
              <w:t>1,453</w:t>
            </w:r>
          </w:p>
        </w:tc>
        <w:tc>
          <w:tcPr>
            <w:tcW w:w="75" w:type="dxa"/>
            <w:tcBorders/>
            <w:vAlign w:val="bottom"/>
          </w:tcPr>
          <w:p>
            <w:pPr>
              <w:pStyle w:val="TableContents"/>
              <w:bidi w:val="0"/>
              <w:spacing w:before="0" w:after="283"/>
              <w:jc w:val="left"/>
              <w:rPr>
                <w:sz w:val="4"/>
                <w:szCs w:val="4"/>
              </w:rPr>
            </w:pPr>
            <w:r>
              <w:rPr>
                <w:sz w:val="4"/>
                <w:szCs w:val="4"/>
              </w:rPr>
            </w:r>
          </w:p>
        </w:tc>
      </w:tr>
      <w:tr>
        <w:trPr/>
        <w:tc>
          <w:tcPr>
            <w:tcW w:w="1700" w:type="dxa"/>
            <w:tcBorders/>
            <w:shd w:fill="CCEEFF" w:val="clear"/>
            <w:vAlign w:val="bottom"/>
          </w:tcPr>
          <w:p>
            <w:pPr>
              <w:pStyle w:val="TableContents"/>
              <w:bidi w:val="0"/>
              <w:spacing w:before="0" w:after="0"/>
              <w:ind w:left="144" w:right="0" w:hanging="144"/>
              <w:jc w:val="left"/>
              <w:rPr>
                <w:color w:val="000000"/>
              </w:rPr>
            </w:pPr>
            <w:r>
              <w:rPr>
                <w:color w:val="000000"/>
              </w:rPr>
              <w:t>Total</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16,672</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14,911</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00" w:type="dxa"/>
            <w:tcBorders>
              <w:bottom w:val="double" w:sz="8" w:space="0" w:color="000000"/>
            </w:tcBorders>
            <w:shd w:fill="CCEEFF" w:val="clear"/>
            <w:tcMar>
              <w:bottom w:w="28" w:type="dxa"/>
            </w:tcMar>
            <w:vAlign w:val="bottom"/>
          </w:tcPr>
          <w:p>
            <w:pPr>
              <w:pStyle w:val="TableContents"/>
              <w:bidi w:val="0"/>
              <w:spacing w:before="0" w:after="283"/>
              <w:jc w:val="right"/>
              <w:rPr/>
            </w:pPr>
            <w:r>
              <w:rPr/>
              <w:t>14,507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Effective tax rates differ from the federal statutory rate of 21% applied to income before income taxes due to the following for the periods indicated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435" w:type="dxa"/>
        <w:jc w:val="left"/>
        <w:tblInd w:w="0" w:type="dxa"/>
        <w:tblLayout w:type="fixed"/>
        <w:tblCellMar>
          <w:top w:w="0" w:type="dxa"/>
          <w:left w:w="0" w:type="dxa"/>
          <w:bottom w:w="0" w:type="dxa"/>
          <w:right w:w="0" w:type="dxa"/>
        </w:tblCellMar>
      </w:tblPr>
      <w:tblGrid>
        <w:gridCol w:w="5135"/>
        <w:gridCol w:w="60"/>
        <w:gridCol w:w="140"/>
        <w:gridCol w:w="680"/>
        <w:gridCol w:w="215"/>
        <w:gridCol w:w="60"/>
        <w:gridCol w:w="140"/>
        <w:gridCol w:w="680"/>
        <w:gridCol w:w="215"/>
        <w:gridCol w:w="60"/>
        <w:gridCol w:w="140"/>
        <w:gridCol w:w="680"/>
        <w:gridCol w:w="230"/>
      </w:tblGrid>
      <w:tr>
        <w:trPr/>
        <w:tc>
          <w:tcPr>
            <w:tcW w:w="5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30" w:type="dxa"/>
            <w:tcBorders/>
            <w:vAlign w:val="bottom"/>
          </w:tcPr>
          <w:p>
            <w:pPr>
              <w:pStyle w:val="TableContents"/>
              <w:bidi w:val="0"/>
              <w:spacing w:before="0" w:after="283"/>
              <w:ind w:left="180" w:right="0" w:hanging="180"/>
              <w:jc w:val="left"/>
              <w:rPr/>
            </w:pPr>
            <w:r>
              <w:rPr/>
              <w:t> </w:t>
            </w:r>
          </w:p>
        </w:tc>
      </w:tr>
      <w:tr>
        <w:trPr/>
        <w:tc>
          <w:tcPr>
            <w:tcW w:w="5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230"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180" w:right="0" w:hanging="180"/>
              <w:jc w:val="left"/>
              <w:rPr>
                <w:color w:val="000000"/>
              </w:rPr>
            </w:pPr>
            <w:r>
              <w:rPr>
                <w:color w:val="000000"/>
              </w:rPr>
              <w:t>Federal statutory rate times financial statement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16,678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15,362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15,355</w:t>
            </w:r>
          </w:p>
        </w:tc>
        <w:tc>
          <w:tcPr>
            <w:tcW w:w="230"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ind w:left="180" w:right="0" w:hanging="180"/>
              <w:jc w:val="left"/>
              <w:rPr>
                <w:color w:val="000000"/>
              </w:rPr>
            </w:pPr>
            <w:r>
              <w:rPr>
                <w:color w:val="000000"/>
              </w:rPr>
              <w:t>Effect of:</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360" w:right="0" w:hanging="180"/>
              <w:jc w:val="left"/>
              <w:rPr>
                <w:color w:val="000000"/>
              </w:rPr>
            </w:pPr>
            <w:r>
              <w:rPr>
                <w:color w:val="000000"/>
              </w:rPr>
              <w:t>Tax-exempt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(836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(953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(978</w:t>
            </w:r>
          </w:p>
        </w:tc>
        <w:tc>
          <w:tcPr>
            <w:tcW w:w="230" w:type="dxa"/>
            <w:tcBorders/>
            <w:shd w:fill="CCEEFF" w:val="clear"/>
            <w:vAlign w:val="bottom"/>
          </w:tcPr>
          <w:p>
            <w:pPr>
              <w:pStyle w:val="TableContents"/>
              <w:bidi w:val="0"/>
              <w:spacing w:before="0" w:after="283"/>
              <w:jc w:val="left"/>
              <w:rPr/>
            </w:pPr>
            <w:r>
              <w:rPr/>
              <w:t>)</w:t>
            </w:r>
          </w:p>
        </w:tc>
      </w:tr>
      <w:tr>
        <w:trPr/>
        <w:tc>
          <w:tcPr>
            <w:tcW w:w="5135" w:type="dxa"/>
            <w:tcBorders/>
            <w:vAlign w:val="bottom"/>
          </w:tcPr>
          <w:p>
            <w:pPr>
              <w:pStyle w:val="TableContents"/>
              <w:bidi w:val="0"/>
              <w:spacing w:before="0" w:after="0"/>
              <w:ind w:left="360" w:right="0" w:hanging="180"/>
              <w:jc w:val="left"/>
              <w:rPr>
                <w:color w:val="000000"/>
              </w:rPr>
            </w:pPr>
            <w:r>
              <w:rPr>
                <w:color w:val="000000"/>
              </w:rPr>
              <w:t>State taxes, net of federal benefit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301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239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174</w:t>
            </w:r>
          </w:p>
        </w:tc>
        <w:tc>
          <w:tcPr>
            <w:tcW w:w="230"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360" w:right="0" w:hanging="180"/>
              <w:jc w:val="left"/>
              <w:rPr>
                <w:color w:val="000000"/>
              </w:rPr>
            </w:pPr>
            <w:r>
              <w:rPr>
                <w:color w:val="000000"/>
              </w:rPr>
              <w:t>Earnings from bank owned life insurance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(279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(251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(262</w:t>
            </w:r>
          </w:p>
        </w:tc>
        <w:tc>
          <w:tcPr>
            <w:tcW w:w="230" w:type="dxa"/>
            <w:tcBorders/>
            <w:shd w:fill="CCEEFF" w:val="clear"/>
            <w:vAlign w:val="bottom"/>
          </w:tcPr>
          <w:p>
            <w:pPr>
              <w:pStyle w:val="TableContents"/>
              <w:bidi w:val="0"/>
              <w:spacing w:before="0" w:after="283"/>
              <w:jc w:val="left"/>
              <w:rPr/>
            </w:pPr>
            <w:r>
              <w:rPr/>
              <w:t>)</w:t>
            </w:r>
          </w:p>
        </w:tc>
      </w:tr>
      <w:tr>
        <w:trPr/>
        <w:tc>
          <w:tcPr>
            <w:tcW w:w="5135" w:type="dxa"/>
            <w:tcBorders/>
            <w:vAlign w:val="bottom"/>
          </w:tcPr>
          <w:p>
            <w:pPr>
              <w:pStyle w:val="TableContents"/>
              <w:bidi w:val="0"/>
              <w:spacing w:before="0" w:after="0"/>
              <w:ind w:left="360" w:right="0" w:hanging="180"/>
              <w:jc w:val="left"/>
              <w:rPr>
                <w:color w:val="000000"/>
              </w:rPr>
            </w:pPr>
            <w:r>
              <w:rPr>
                <w:color w:val="000000"/>
              </w:rPr>
              <w:t>Non-deductible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675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409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281</w:t>
            </w:r>
          </w:p>
        </w:tc>
        <w:tc>
          <w:tcPr>
            <w:tcW w:w="230"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360" w:right="0" w:hanging="180"/>
              <w:jc w:val="left"/>
              <w:rPr>
                <w:color w:val="000000"/>
              </w:rPr>
            </w:pPr>
            <w:r>
              <w:rPr>
                <w:color w:val="000000"/>
              </w:rPr>
              <w:t>Other, net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(63</w:t>
            </w:r>
          </w:p>
        </w:tc>
        <w:tc>
          <w:tcPr>
            <w:tcW w:w="230" w:type="dxa"/>
            <w:tcBorders/>
            <w:shd w:fill="CCEEFF" w:val="clear"/>
            <w:vAlign w:val="bottom"/>
          </w:tcPr>
          <w:p>
            <w:pPr>
              <w:pStyle w:val="TableContents"/>
              <w:bidi w:val="0"/>
              <w:spacing w:before="0" w:after="283"/>
              <w:jc w:val="left"/>
              <w:rPr/>
            </w:pPr>
            <w:r>
              <w:rPr/>
              <w:t>)</w:t>
            </w:r>
          </w:p>
        </w:tc>
      </w:tr>
      <w:tr>
        <w:trPr/>
        <w:tc>
          <w:tcPr>
            <w:tcW w:w="5135" w:type="dxa"/>
            <w:tcBorders/>
            <w:vAlign w:val="bottom"/>
          </w:tcPr>
          <w:p>
            <w:pPr>
              <w:pStyle w:val="TableContents"/>
              <w:bidi w:val="0"/>
              <w:spacing w:before="0" w:after="0"/>
              <w:ind w:left="144" w:right="0" w:hanging="144"/>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16,672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14,911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14,507</w:t>
            </w:r>
          </w:p>
        </w:tc>
        <w:tc>
          <w:tcPr>
            <w:tcW w:w="230"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283"/>
              <w:jc w:val="left"/>
              <w:rPr/>
            </w:pPr>
            <w:r>
              <w:rPr/>
              <w:t>Effective tax rate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20.99</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20.38</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19.84</w:t>
            </w:r>
          </w:p>
        </w:tc>
        <w:tc>
          <w:tcPr>
            <w:tcW w:w="230" w:type="dxa"/>
            <w:tcBorders/>
            <w:vAlign w:val="bottom"/>
          </w:tcPr>
          <w:p>
            <w:pPr>
              <w:pStyle w:val="TableContents"/>
              <w:bidi w:val="0"/>
              <w:spacing w:before="0" w:after="283"/>
              <w:jc w:val="left"/>
              <w:rPr/>
            </w:pPr>
            <w:r>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Year-end deferred tax assets and liabilities were due to the following at year-end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6675" w:type="dxa"/>
        <w:jc w:val="left"/>
        <w:tblInd w:w="0" w:type="dxa"/>
        <w:tblLayout w:type="fixed"/>
        <w:tblCellMar>
          <w:top w:w="0" w:type="dxa"/>
          <w:left w:w="0" w:type="dxa"/>
          <w:bottom w:w="0" w:type="dxa"/>
          <w:right w:w="0" w:type="dxa"/>
        </w:tblCellMar>
      </w:tblPr>
      <w:tblGrid>
        <w:gridCol w:w="4430"/>
        <w:gridCol w:w="60"/>
        <w:gridCol w:w="140"/>
        <w:gridCol w:w="755"/>
        <w:gridCol w:w="95"/>
        <w:gridCol w:w="60"/>
        <w:gridCol w:w="140"/>
        <w:gridCol w:w="755"/>
        <w:gridCol w:w="240"/>
      </w:tblGrid>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240"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40"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ind w:left="180" w:right="0" w:hanging="180"/>
              <w:jc w:val="left"/>
              <w:rPr>
                <w:color w:val="000000"/>
              </w:rPr>
            </w:pPr>
            <w:r>
              <w:rPr>
                <w:color w:val="000000"/>
              </w:rPr>
              <w:t>Deferred tax assets</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ind w:left="360" w:right="0" w:hanging="180"/>
              <w:jc w:val="left"/>
              <w:rPr>
                <w:color w:val="000000"/>
              </w:rPr>
            </w:pPr>
            <w:r>
              <w:rPr>
                <w:color w:val="000000"/>
              </w:rPr>
              <w:t>Allowance for credit losses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8,895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8,251</w:t>
            </w:r>
          </w:p>
        </w:tc>
        <w:tc>
          <w:tcPr>
            <w:tcW w:w="240"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ind w:left="360" w:right="0" w:hanging="180"/>
              <w:jc w:val="left"/>
              <w:rPr>
                <w:color w:val="000000"/>
              </w:rPr>
            </w:pPr>
            <w:r>
              <w:rPr>
                <w:color w:val="000000"/>
              </w:rPr>
              <w:t>Deferred compensation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5,640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6,118</w:t>
            </w:r>
          </w:p>
        </w:tc>
        <w:tc>
          <w:tcPr>
            <w:tcW w:w="240"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ind w:left="360" w:right="0" w:hanging="180"/>
              <w:jc w:val="left"/>
              <w:rPr>
                <w:color w:val="000000"/>
              </w:rPr>
            </w:pPr>
            <w:r>
              <w:rPr>
                <w:color w:val="000000"/>
              </w:rPr>
              <w:t>Leases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200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201</w:t>
            </w:r>
          </w:p>
        </w:tc>
        <w:tc>
          <w:tcPr>
            <w:tcW w:w="240" w:type="dxa"/>
            <w:tcBorders/>
            <w:shd w:fill="CCEEFF" w:val="clear"/>
            <w:vAlign w:val="bottom"/>
          </w:tcPr>
          <w:p>
            <w:pPr>
              <w:pStyle w:val="TableContents"/>
              <w:bidi w:val="0"/>
              <w:spacing w:before="0" w:after="283"/>
              <w:ind w:left="0" w:right="0" w:firstLine="180"/>
              <w:jc w:val="left"/>
              <w:rPr/>
            </w:pPr>
            <w:r>
              <w:rPr/>
              <w:t> </w:t>
            </w:r>
          </w:p>
        </w:tc>
      </w:tr>
      <w:tr>
        <w:trPr/>
        <w:tc>
          <w:tcPr>
            <w:tcW w:w="4430" w:type="dxa"/>
            <w:tcBorders/>
            <w:vAlign w:val="bottom"/>
          </w:tcPr>
          <w:p>
            <w:pPr>
              <w:pStyle w:val="TableContents"/>
              <w:bidi w:val="0"/>
              <w:spacing w:before="0" w:after="283"/>
              <w:jc w:val="left"/>
              <w:rPr/>
            </w:pPr>
            <w:r>
              <w:rPr>
                <w:rFonts w:ascii="Times New Roman" w:hAnsi="Times New Roman"/>
                <w:b w:val="false"/>
                <w:i w:val="false"/>
                <w:caps w:val="false"/>
                <w:smallCaps w:val="false"/>
                <w:color w:val="000000"/>
                <w:spacing w:val="0"/>
                <w:sz w:val="20"/>
              </w:rPr>
              <w:t>Other real estate owned</w:t>
            </w:r>
            <w:r>
              <w:rPr/>
              <w:t xml:space="preserve">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240"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ind w:left="360" w:right="0" w:hanging="180"/>
              <w:jc w:val="left"/>
              <w:rPr>
                <w:color w:val="000000"/>
              </w:rPr>
            </w:pPr>
            <w:r>
              <w:rPr>
                <w:color w:val="000000"/>
              </w:rPr>
              <w:t>Nonaccrual loans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71</w:t>
            </w:r>
          </w:p>
        </w:tc>
        <w:tc>
          <w:tcPr>
            <w:tcW w:w="240"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ind w:left="180" w:right="0" w:hanging="0"/>
              <w:jc w:val="left"/>
              <w:rPr/>
            </w:pPr>
            <w:r>
              <w:rPr/>
              <w:t>Unrealized gain on available-for-sale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17,234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21,579</w:t>
            </w:r>
          </w:p>
        </w:tc>
        <w:tc>
          <w:tcPr>
            <w:tcW w:w="240"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ind w:left="360" w:right="0" w:hanging="180"/>
              <w:jc w:val="left"/>
              <w:rPr>
                <w:color w:val="000000"/>
              </w:rPr>
            </w:pPr>
            <w:r>
              <w:rPr>
                <w:color w:val="000000"/>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286</w:t>
            </w:r>
          </w:p>
        </w:tc>
        <w:tc>
          <w:tcPr>
            <w:tcW w:w="240"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ind w:left="180" w:right="0" w:hanging="180"/>
              <w:jc w:val="left"/>
              <w:rPr>
                <w:color w:val="000000"/>
              </w:rPr>
            </w:pPr>
            <w:r>
              <w:rPr>
                <w:color w:val="000000"/>
              </w:rPr>
              <w:t>Total deferred tax assets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32,533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36,506</w:t>
            </w:r>
          </w:p>
        </w:tc>
        <w:tc>
          <w:tcPr>
            <w:tcW w:w="240" w:type="dxa"/>
            <w:tcBorders/>
            <w:vAlign w:val="bottom"/>
          </w:tcPr>
          <w:p>
            <w:pPr>
              <w:pStyle w:val="TableContents"/>
              <w:bidi w:val="0"/>
              <w:spacing w:before="0" w:after="283"/>
              <w:ind w:left="180" w:right="0" w:hanging="180"/>
              <w:jc w:val="left"/>
              <w:rPr/>
            </w:pPr>
            <w:r>
              <w:rPr/>
              <w:t> </w:t>
            </w:r>
          </w:p>
        </w:tc>
      </w:tr>
      <w:tr>
        <w:trPr/>
        <w:tc>
          <w:tcPr>
            <w:tcW w:w="4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ind w:left="180" w:right="0" w:hanging="180"/>
              <w:jc w:val="left"/>
              <w:rPr>
                <w:color w:val="000000"/>
              </w:rPr>
            </w:pPr>
            <w:r>
              <w:rPr>
                <w:color w:val="000000"/>
              </w:rPr>
              <w:t>Deferred tax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ind w:left="360" w:right="0" w:hanging="180"/>
              <w:jc w:val="left"/>
              <w:rPr>
                <w:color w:val="000000"/>
              </w:rPr>
            </w:pPr>
            <w:r>
              <w:rPr>
                <w:color w:val="000000"/>
              </w:rPr>
              <w:t>Depreciation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(2,800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(2,672</w:t>
            </w:r>
          </w:p>
        </w:tc>
        <w:tc>
          <w:tcPr>
            <w:tcW w:w="240" w:type="dxa"/>
            <w:tcBorders/>
            <w:shd w:fill="CCEEFF" w:val="clear"/>
            <w:vAlign w:val="bottom"/>
          </w:tcPr>
          <w:p>
            <w:pPr>
              <w:pStyle w:val="TableContents"/>
              <w:bidi w:val="0"/>
              <w:spacing w:before="0" w:after="0"/>
              <w:jc w:val="left"/>
              <w:rPr>
                <w:color w:val="000000"/>
              </w:rPr>
            </w:pPr>
            <w:r>
              <w:rPr>
                <w:color w:val="000000"/>
              </w:rPr>
              <w:t>)</w:t>
            </w:r>
          </w:p>
        </w:tc>
      </w:tr>
      <w:tr>
        <w:trPr/>
        <w:tc>
          <w:tcPr>
            <w:tcW w:w="4430" w:type="dxa"/>
            <w:tcBorders/>
            <w:vAlign w:val="bottom"/>
          </w:tcPr>
          <w:p>
            <w:pPr>
              <w:pStyle w:val="TableContents"/>
              <w:bidi w:val="0"/>
              <w:spacing w:before="0" w:after="0"/>
              <w:ind w:left="360" w:right="0" w:hanging="180"/>
              <w:jc w:val="left"/>
              <w:rPr>
                <w:color w:val="000000"/>
              </w:rPr>
            </w:pPr>
            <w:r>
              <w:rPr>
                <w:color w:val="000000"/>
              </w:rPr>
              <w:t>Intangibles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(626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(505</w:t>
            </w:r>
          </w:p>
        </w:tc>
        <w:tc>
          <w:tcPr>
            <w:tcW w:w="240" w:type="dxa"/>
            <w:tcBorders/>
            <w:vAlign w:val="bottom"/>
          </w:tcPr>
          <w:p>
            <w:pPr>
              <w:pStyle w:val="TableContents"/>
              <w:bidi w:val="0"/>
              <w:spacing w:before="0" w:after="0"/>
              <w:jc w:val="left"/>
              <w:rPr>
                <w:color w:val="000000"/>
              </w:rPr>
            </w:pPr>
            <w:r>
              <w:rPr>
                <w:color w:val="000000"/>
              </w:rPr>
              <w:t>)</w:t>
            </w:r>
          </w:p>
        </w:tc>
      </w:tr>
      <w:tr>
        <w:trPr/>
        <w:tc>
          <w:tcPr>
            <w:tcW w:w="4430" w:type="dxa"/>
            <w:tcBorders/>
            <w:shd w:fill="CCEEFF" w:val="clear"/>
            <w:vAlign w:val="bottom"/>
          </w:tcPr>
          <w:p>
            <w:pPr>
              <w:pStyle w:val="TableContents"/>
              <w:bidi w:val="0"/>
              <w:spacing w:before="0" w:after="0"/>
              <w:ind w:left="360" w:right="0" w:hanging="180"/>
              <w:jc w:val="left"/>
              <w:rPr>
                <w:color w:val="000000"/>
              </w:rPr>
            </w:pPr>
            <w:r>
              <w:rPr>
                <w:color w:val="000000"/>
              </w:rPr>
              <w:t>Prepaid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(564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(355</w:t>
            </w:r>
          </w:p>
        </w:tc>
        <w:tc>
          <w:tcPr>
            <w:tcW w:w="240" w:type="dxa"/>
            <w:tcBorders/>
            <w:shd w:fill="CCEEFF" w:val="clear"/>
            <w:vAlign w:val="bottom"/>
          </w:tcPr>
          <w:p>
            <w:pPr>
              <w:pStyle w:val="TableContents"/>
              <w:bidi w:val="0"/>
              <w:spacing w:before="0" w:after="0"/>
              <w:jc w:val="left"/>
              <w:rPr>
                <w:color w:val="000000"/>
              </w:rPr>
            </w:pPr>
            <w:r>
              <w:rPr>
                <w:color w:val="000000"/>
              </w:rPr>
              <w:t>)</w:t>
            </w:r>
          </w:p>
        </w:tc>
      </w:tr>
      <w:tr>
        <w:trPr/>
        <w:tc>
          <w:tcPr>
            <w:tcW w:w="4430" w:type="dxa"/>
            <w:tcBorders/>
            <w:vAlign w:val="bottom"/>
          </w:tcPr>
          <w:p>
            <w:pPr>
              <w:pStyle w:val="TableContents"/>
              <w:bidi w:val="0"/>
              <w:spacing w:before="0" w:after="0"/>
              <w:ind w:left="360" w:right="0" w:hanging="180"/>
              <w:jc w:val="left"/>
              <w:rPr>
                <w:color w:val="000000"/>
              </w:rPr>
            </w:pPr>
            <w:r>
              <w:rPr>
                <w:color w:val="000000"/>
              </w:rPr>
              <w:t>Mortgage servicing rights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(5,580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(5,770</w:t>
            </w:r>
          </w:p>
        </w:tc>
        <w:tc>
          <w:tcPr>
            <w:tcW w:w="240" w:type="dxa"/>
            <w:tcBorders/>
            <w:vAlign w:val="bottom"/>
          </w:tcPr>
          <w:p>
            <w:pPr>
              <w:pStyle w:val="TableContents"/>
              <w:bidi w:val="0"/>
              <w:spacing w:before="0" w:after="0"/>
              <w:jc w:val="left"/>
              <w:rPr>
                <w:color w:val="000000"/>
              </w:rPr>
            </w:pPr>
            <w:r>
              <w:rPr>
                <w:color w:val="000000"/>
              </w:rPr>
              <w:t>)</w:t>
            </w:r>
          </w:p>
        </w:tc>
      </w:tr>
      <w:tr>
        <w:trPr/>
        <w:tc>
          <w:tcPr>
            <w:tcW w:w="4430" w:type="dxa"/>
            <w:tcBorders/>
            <w:shd w:fill="CCEEFF" w:val="clear"/>
            <w:vAlign w:val="bottom"/>
          </w:tcPr>
          <w:p>
            <w:pPr>
              <w:pStyle w:val="TableContents"/>
              <w:bidi w:val="0"/>
              <w:spacing w:before="0" w:after="0"/>
              <w:ind w:left="360" w:right="0" w:hanging="180"/>
              <w:jc w:val="left"/>
              <w:rPr>
                <w:color w:val="000000"/>
              </w:rPr>
            </w:pPr>
            <w:r>
              <w:rPr>
                <w:color w:val="000000"/>
              </w:rPr>
              <w:t>Other</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(3,550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(4,386</w:t>
            </w:r>
          </w:p>
        </w:tc>
        <w:tc>
          <w:tcPr>
            <w:tcW w:w="240" w:type="dxa"/>
            <w:tcBorders/>
            <w:shd w:fill="CCEEFF" w:val="clear"/>
            <w:vAlign w:val="bottom"/>
          </w:tcPr>
          <w:p>
            <w:pPr>
              <w:pStyle w:val="TableContents"/>
              <w:bidi w:val="0"/>
              <w:spacing w:before="0" w:after="0"/>
              <w:jc w:val="left"/>
              <w:rPr>
                <w:color w:val="000000"/>
              </w:rPr>
            </w:pPr>
            <w:r>
              <w:rPr>
                <w:color w:val="000000"/>
              </w:rPr>
              <w:t>)</w:t>
            </w:r>
          </w:p>
        </w:tc>
      </w:tr>
      <w:tr>
        <w:trPr/>
        <w:tc>
          <w:tcPr>
            <w:tcW w:w="4430" w:type="dxa"/>
            <w:tcBorders/>
            <w:vAlign w:val="bottom"/>
          </w:tcPr>
          <w:p>
            <w:pPr>
              <w:pStyle w:val="TableContents"/>
              <w:bidi w:val="0"/>
              <w:spacing w:before="0" w:after="0"/>
              <w:ind w:left="180" w:right="0" w:hanging="180"/>
              <w:jc w:val="left"/>
              <w:rPr>
                <w:color w:val="000000"/>
              </w:rPr>
            </w:pPr>
            <w:r>
              <w:rPr>
                <w:color w:val="000000"/>
              </w:rPr>
              <w:t>Total deferred tax liabilities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(13,120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(13,688</w:t>
            </w:r>
          </w:p>
        </w:tc>
        <w:tc>
          <w:tcPr>
            <w:tcW w:w="240" w:type="dxa"/>
            <w:tcBorders/>
            <w:vAlign w:val="bottom"/>
          </w:tcPr>
          <w:p>
            <w:pPr>
              <w:pStyle w:val="TableContents"/>
              <w:bidi w:val="0"/>
              <w:spacing w:before="0" w:after="0"/>
              <w:jc w:val="left"/>
              <w:rPr>
                <w:color w:val="000000"/>
              </w:rPr>
            </w:pPr>
            <w:r>
              <w:rPr>
                <w:color w:val="000000"/>
              </w:rPr>
              <w:t>)</w:t>
            </w:r>
          </w:p>
        </w:tc>
      </w:tr>
      <w:tr>
        <w:trPr/>
        <w:tc>
          <w:tcPr>
            <w:tcW w:w="4430" w:type="dxa"/>
            <w:tcBorders/>
            <w:shd w:fill="CCEEFF" w:val="clear"/>
            <w:vAlign w:val="bottom"/>
          </w:tcPr>
          <w:p>
            <w:pPr>
              <w:pStyle w:val="TableContents"/>
              <w:bidi w:val="0"/>
              <w:spacing w:before="0" w:after="0"/>
              <w:ind w:left="144" w:right="0" w:hanging="144"/>
              <w:jc w:val="left"/>
              <w:rPr>
                <w:color w:val="000000"/>
              </w:rPr>
            </w:pPr>
            <w:r>
              <w:rPr>
                <w:color w:val="000000"/>
              </w:rPr>
              <w:t>Net deferred tax asset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19,413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22,818</w:t>
            </w:r>
          </w:p>
        </w:tc>
        <w:tc>
          <w:tcPr>
            <w:tcW w:w="24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4285" w:type="dxa"/>
        <w:jc w:val="left"/>
        <w:tblInd w:w="0" w:type="dxa"/>
        <w:tblLayout w:type="fixed"/>
        <w:tblCellMar>
          <w:top w:w="0" w:type="dxa"/>
          <w:left w:w="0" w:type="dxa"/>
          <w:bottom w:w="0" w:type="dxa"/>
          <w:right w:w="0" w:type="dxa"/>
        </w:tblCellMar>
      </w:tblPr>
      <w:tblGrid>
        <w:gridCol w:w="335"/>
        <w:gridCol w:w="3950"/>
      </w:tblGrid>
      <w:tr>
        <w:trPr/>
        <w:tc>
          <w:tcPr>
            <w:tcW w:w="335" w:type="dxa"/>
            <w:tcBorders/>
            <w:vAlign w:val="center"/>
          </w:tcPr>
          <w:p>
            <w:pPr>
              <w:pStyle w:val="TableContents"/>
              <w:bidi w:val="0"/>
              <w:spacing w:before="0" w:after="0"/>
              <w:jc w:val="both"/>
              <w:rPr>
                <w:b/>
                <w:i/>
                <w:color w:val="000000"/>
              </w:rPr>
            </w:pPr>
            <w:r>
              <w:rPr>
                <w:b/>
                <w:i/>
                <w:color w:val="000000"/>
              </w:rPr>
              <w:t>14.</w:t>
            </w:r>
          </w:p>
        </w:tc>
        <w:tc>
          <w:tcPr>
            <w:tcW w:w="3950" w:type="dxa"/>
            <w:tcBorders/>
            <w:vAlign w:val="center"/>
          </w:tcPr>
          <w:p>
            <w:pPr>
              <w:pStyle w:val="TableContents"/>
              <w:bidi w:val="0"/>
              <w:spacing w:before="0" w:after="0"/>
              <w:jc w:val="both"/>
              <w:rPr>
                <w:b/>
                <w:i/>
                <w:color w:val="000000"/>
              </w:rPr>
            </w:pPr>
            <w:r>
              <w:rPr>
                <w:b/>
                <w:i/>
                <w:color w:val="000000"/>
              </w:rPr>
              <w:t>RELATED-PARTY TRANSACTIONS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Direct and indirect loans to executive officers, directors, significant stockholders and their related affiliates as of December 31, 2023 and 2022 aggregated approximately $10.7 million and $9.7 million, respectively. There were no charge-offs related to these loans in 2023 or 2022 and any advance and repayment activity was routine. Deposits from these related parties in the consolidated financial statements were not significant.</w:t>
      </w:r>
    </w:p>
    <w:p>
      <w:pPr>
        <w:pStyle w:val="TextBody"/>
        <w:bidi w:val="0"/>
        <w:spacing w:before="0" w:after="0"/>
        <w:jc w:val="left"/>
        <w:rPr>
          <w:rFonts w:ascii="Times New Roman" w:hAnsi="Times New Roman"/>
          <w:sz w:val="20"/>
        </w:rPr>
      </w:pPr>
      <w:r>
        <w:rPr>
          <w:rFonts w:ascii="Times New Roman" w:hAnsi="Times New Roman"/>
          <w:sz w:val="20"/>
        </w:rPr>
      </w:r>
    </w:p>
    <w:tbl>
      <w:tblPr>
        <w:tblW w:w="9040" w:type="dxa"/>
        <w:jc w:val="left"/>
        <w:tblInd w:w="0" w:type="dxa"/>
        <w:tblLayout w:type="fixed"/>
        <w:tblCellMar>
          <w:top w:w="0" w:type="dxa"/>
          <w:left w:w="0" w:type="dxa"/>
          <w:bottom w:w="0" w:type="dxa"/>
          <w:right w:w="0" w:type="dxa"/>
        </w:tblCellMar>
      </w:tblPr>
      <w:tblGrid>
        <w:gridCol w:w="335"/>
        <w:gridCol w:w="8705"/>
      </w:tblGrid>
      <w:tr>
        <w:trPr/>
        <w:tc>
          <w:tcPr>
            <w:tcW w:w="335" w:type="dxa"/>
            <w:tcBorders/>
            <w:vAlign w:val="center"/>
          </w:tcPr>
          <w:p>
            <w:pPr>
              <w:pStyle w:val="TableContents"/>
              <w:bidi w:val="0"/>
              <w:spacing w:before="0" w:after="0"/>
              <w:jc w:val="both"/>
              <w:rPr>
                <w:b/>
                <w:i/>
                <w:color w:val="000000"/>
              </w:rPr>
            </w:pPr>
            <w:r>
              <w:rPr>
                <w:b/>
                <w:i/>
                <w:color w:val="000000"/>
              </w:rPr>
              <w:t>15.</w:t>
            </w:r>
          </w:p>
        </w:tc>
        <w:tc>
          <w:tcPr>
            <w:tcW w:w="8705" w:type="dxa"/>
            <w:tcBorders/>
            <w:vAlign w:val="center"/>
          </w:tcPr>
          <w:p>
            <w:pPr>
              <w:pStyle w:val="TableContents"/>
              <w:bidi w:val="0"/>
              <w:spacing w:before="0" w:after="0"/>
              <w:jc w:val="both"/>
              <w:rPr>
                <w:b/>
                <w:i/>
                <w:color w:val="000000"/>
              </w:rPr>
            </w:pPr>
            <w:r>
              <w:rPr>
                <w:b/>
                <w:i/>
                <w:color w:val="000000"/>
              </w:rPr>
              <w:t>OFF-BALANCE-SHEET ACTIVITIES, COMMITMENTS AND CONTINGENCIES</w:t>
            </w:r>
          </w:p>
        </w:tc>
      </w:tr>
    </w:tbl>
    <w:p>
      <w:pPr>
        <w:pStyle w:val="TextBody"/>
        <w:bidi w:val="0"/>
        <w:spacing w:before="0" w:after="0"/>
        <w:jc w:val="both"/>
        <w:rPr>
          <w:rFonts w:ascii="Times New Roman" w:hAnsi="Times New Roman"/>
          <w:b w:val="false"/>
          <w:caps w:val="false"/>
          <w:smallCaps w:val="false"/>
          <w:color w:val="000000"/>
          <w:sz w:val="20"/>
          <w:u w:val="single"/>
          <w:shd w:fill="FFFFFF" w:val="clear"/>
        </w:rPr>
      </w:pPr>
      <w:r>
        <w:rPr>
          <w:rFonts w:ascii="Times New Roman" w:hAnsi="Times New Roman"/>
          <w:b w:val="false"/>
          <w:caps w:val="false"/>
          <w:smallCaps w:val="false"/>
          <w:color w:val="000000"/>
          <w:sz w:val="20"/>
          <w:u w:val="single"/>
          <w:shd w:fill="FFFFFF" w:val="clear"/>
        </w:rPr>
      </w:r>
    </w:p>
    <w:p>
      <w:pPr>
        <w:pStyle w:val="TextBody"/>
        <w:bidi w:val="0"/>
        <w:spacing w:before="0" w:after="0"/>
        <w:jc w:val="both"/>
        <w:rPr>
          <w:rFonts w:ascii="Times New Roman;Times;serif" w:hAnsi="Times New Roman;Times;serif"/>
          <w:color w:val="000000"/>
          <w:sz w:val="20"/>
          <w:shd w:fill="FFFFFF" w:val="clear"/>
        </w:rPr>
      </w:pPr>
      <w:r>
        <w:rPr>
          <w:rFonts w:ascii="Times New Roman" w:hAnsi="Times New Roman"/>
          <w:b w:val="false"/>
          <w:i/>
          <w:caps w:val="false"/>
          <w:smallCaps w:val="false"/>
          <w:color w:val="000000"/>
          <w:sz w:val="20"/>
          <w:u w:val="single"/>
          <w:shd w:fill="FFFFFF" w:val="clear"/>
        </w:rPr>
        <w:t>Financial instruments with off-balance-sheet risk</w:t>
      </w:r>
      <w:r>
        <w:rPr>
          <w:rFonts w:ascii="Times New Roman;Times;serif" w:hAnsi="Times New Roman;Times;serif"/>
          <w:caps w:val="false"/>
          <w:smallCaps w:val="false"/>
          <w:color w:val="000000"/>
          <w:sz w:val="20"/>
          <w:shd w:fill="FFFFFF" w:val="clear"/>
        </w:rPr>
        <w:t xml:space="preserve"> </w:t>
      </w:r>
      <w:r>
        <w:rPr>
          <w:rFonts w:ascii="Times New Roman;Times;serif" w:hAnsi="Times New Roman;Times;serif"/>
          <w:color w:val="000000"/>
          <w:sz w:val="20"/>
          <w:shd w:fill="FFFFFF" w:val="clear"/>
        </w:rPr>
        <w:t xml:space="preserve">– </w:t>
      </w:r>
      <w:r>
        <w:rPr>
          <w:rFonts w:ascii="Times New Roman" w:hAnsi="Times New Roman"/>
          <w:b w:val="false"/>
          <w:i w:val="false"/>
          <w:caps w:val="false"/>
          <w:smallCaps w:val="false"/>
          <w:color w:val="000000"/>
          <w:sz w:val="20"/>
          <w:shd w:fill="FFFFFF" w:val="clear"/>
        </w:rPr>
        <w:t>The Company is a party to financial instruments with 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whose contract amounts represent credit risk outstanding at year-end follow (dollars in thousands):</w:t>
      </w:r>
    </w:p>
    <w:p>
      <w:pPr>
        <w:pStyle w:val="TextBody"/>
        <w:bidi w:val="0"/>
        <w:spacing w:before="0" w:after="0"/>
        <w:jc w:val="both"/>
        <w:rPr>
          <w:rFonts w:ascii="Times New Roman" w:hAnsi="Times New Roman"/>
          <w:sz w:val="20"/>
        </w:rPr>
      </w:pPr>
      <w:r>
        <w:rPr>
          <w:rFonts w:ascii="Times New Roman" w:hAnsi="Times New Roman"/>
          <w:sz w:val="20"/>
        </w:rPr>
      </w:r>
    </w:p>
    <w:tbl>
      <w:tblPr>
        <w:tblW w:w="9415" w:type="dxa"/>
        <w:jc w:val="left"/>
        <w:tblInd w:w="0" w:type="dxa"/>
        <w:tblLayout w:type="fixed"/>
        <w:tblCellMar>
          <w:top w:w="0" w:type="dxa"/>
          <w:left w:w="0" w:type="dxa"/>
          <w:bottom w:w="0" w:type="dxa"/>
          <w:right w:w="0" w:type="dxa"/>
        </w:tblCellMar>
      </w:tblPr>
      <w:tblGrid>
        <w:gridCol w:w="7295"/>
        <w:gridCol w:w="60"/>
        <w:gridCol w:w="140"/>
        <w:gridCol w:w="800"/>
        <w:gridCol w:w="60"/>
        <w:gridCol w:w="60"/>
        <w:gridCol w:w="140"/>
        <w:gridCol w:w="800"/>
        <w:gridCol w:w="60"/>
      </w:tblGrid>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80" w:right="0" w:hanging="180"/>
              <w:jc w:val="left"/>
              <w:rPr>
                <w:color w:val="000000"/>
              </w:rPr>
            </w:pPr>
            <w:r>
              <w:rPr>
                <w:color w:val="000000"/>
              </w:rPr>
              <w:t>Commitments to grant loans and unfunded commitments under lines of credit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598,800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682,296</w:t>
            </w:r>
          </w:p>
        </w:tc>
        <w:tc>
          <w:tcPr>
            <w:tcW w:w="60"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80" w:right="0" w:hanging="180"/>
              <w:jc w:val="left"/>
              <w:rPr>
                <w:color w:val="000000"/>
              </w:rPr>
            </w:pPr>
            <w:r>
              <w:rPr>
                <w:color w:val="000000"/>
              </w:rPr>
              <w:t>Standby letters-of-credit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11,503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13,864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caps w:val="false"/>
          <w:smallCaps w:val="false"/>
          <w:color w:val="000000"/>
          <w:sz w:val="20"/>
          <w:u w:val="single"/>
          <w:shd w:fill="FFFFFF" w:val="clear"/>
        </w:rPr>
        <w:t>Litigation</w:t>
      </w:r>
      <w:r>
        <w:rPr>
          <w:rFonts w:ascii="Times New Roman" w:hAnsi="Times New Roman"/>
          <w:b w:val="false"/>
          <w:i w:val="false"/>
          <w:caps w:val="false"/>
          <w:smallCaps w:val="false"/>
          <w:color w:val="000000"/>
          <w:sz w:val="20"/>
          <w:shd w:fill="FFFFFF" w:val="clear"/>
        </w:rPr>
        <w:t xml:space="preserve"> – In July 2020, a vendor claimed that City Bank had breached a contract by failing to timely pay amounts allegedly due and owing. City Bank vigorously rejected any such non-payment contentions and filed suit against the vendor. With the lawsuit, City Bank sought, among other claims and relief, an injunction against the vendor. After an evidentiary hearing, the court entered a temporary injunction against the vendor expressly prohibiting it from, among other things, terminating the contract pending trial. Based upon discovery in the lawsuit, City Bank also filed a breach of contract claim against the vendor alleging that the vendor violated City Bank’s contractual exclusivity rights. The vendor has filed counterclaims, including for declaratory relief that the contracts should be declared unenforceable. In October 2021, the vendor filed a counterclaim alleging that City Bank’s attempted enforcement of its exclusivity rights contravenes the Texas Free Enterprise and Antitrust Act. On or about September 23, 2022, the parties entered into a Settlement Agreement and Mutual Release, pursuant to which the parties agreed to the settlement and release of all claims and counterclaims in the lawsuit. Thereafter, the parties filed a joint motion to dismiss with prejudice and the court formally dismissed the case by order dated October 7, 2022.  A gain contingency was recorded at settlement and that consideration was received on October 3, 2022. </w:t>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a defendant in legal actions arising from time to time in the normal course of business. Management believes that the ultimate liability, if any, arising from these matters will not materially affect the consolidated financial statements, based on information known as of the date the consolidated financial statements were available to be issued.</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Times;serif" w:hAnsi="Times New Roman;Times;serif"/>
          <w:color w:val="000000"/>
          <w:sz w:val="20"/>
          <w:shd w:fill="FFFFFF" w:val="clear"/>
        </w:rPr>
      </w:pPr>
      <w:r>
        <w:rPr>
          <w:rFonts w:ascii="Times New Roman" w:hAnsi="Times New Roman"/>
          <w:b w:val="false"/>
          <w:i/>
          <w:caps w:val="false"/>
          <w:smallCaps w:val="false"/>
          <w:color w:val="000000"/>
          <w:sz w:val="20"/>
          <w:u w:val="single"/>
          <w:shd w:fill="FFFFFF" w:val="clear"/>
        </w:rPr>
        <w:t>FHLB Letters of Credit</w:t>
      </w:r>
      <w:r>
        <w:rPr>
          <w:rFonts w:ascii="Times New Roman;Times;serif" w:hAnsi="Times New Roman;Times;serif"/>
          <w:caps w:val="false"/>
          <w:smallCaps w:val="false"/>
          <w:color w:val="000000"/>
          <w:sz w:val="20"/>
          <w:shd w:fill="FFFFFF" w:val="clear"/>
        </w:rPr>
        <w:t xml:space="preserve"> – </w:t>
      </w:r>
      <w:r>
        <w:rPr>
          <w:rFonts w:ascii="Times New Roman" w:hAnsi="Times New Roman"/>
          <w:b w:val="false"/>
          <w:i w:val="false"/>
          <w:caps w:val="false"/>
          <w:smallCaps w:val="false"/>
          <w:color w:val="000000"/>
          <w:sz w:val="20"/>
          <w:shd w:fill="FFFFFF" w:val="clear"/>
        </w:rPr>
        <w:t>The Company has used FHLB letters of credit to pledge to certain public deposits. There were no FHLB letters of credit outstanding at December 31, 2023 or 2022.</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96</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tbl>
      <w:tblPr>
        <w:tblW w:w="4900" w:type="dxa"/>
        <w:jc w:val="left"/>
        <w:tblInd w:w="0" w:type="dxa"/>
        <w:tblLayout w:type="fixed"/>
        <w:tblCellMar>
          <w:top w:w="0" w:type="dxa"/>
          <w:left w:w="0" w:type="dxa"/>
          <w:bottom w:w="0" w:type="dxa"/>
          <w:right w:w="0" w:type="dxa"/>
        </w:tblCellMar>
      </w:tblPr>
      <w:tblGrid>
        <w:gridCol w:w="335"/>
        <w:gridCol w:w="4565"/>
      </w:tblGrid>
      <w:tr>
        <w:trPr/>
        <w:tc>
          <w:tcPr>
            <w:tcW w:w="335" w:type="dxa"/>
            <w:tcBorders/>
            <w:vAlign w:val="center"/>
          </w:tcPr>
          <w:p>
            <w:pPr>
              <w:pStyle w:val="TableContents"/>
              <w:bidi w:val="0"/>
              <w:spacing w:before="0" w:after="0"/>
              <w:jc w:val="left"/>
              <w:rPr>
                <w:b/>
                <w:i/>
                <w:color w:val="000000"/>
              </w:rPr>
            </w:pPr>
            <w:r>
              <w:rPr>
                <w:b/>
                <w:i/>
                <w:color w:val="000000"/>
              </w:rPr>
              <w:t>16.</w:t>
            </w:r>
          </w:p>
        </w:tc>
        <w:tc>
          <w:tcPr>
            <w:tcW w:w="4565" w:type="dxa"/>
            <w:tcBorders/>
            <w:vAlign w:val="center"/>
          </w:tcPr>
          <w:p>
            <w:pPr>
              <w:pStyle w:val="TableContents"/>
              <w:bidi w:val="0"/>
              <w:spacing w:before="0" w:after="0"/>
              <w:ind w:left="720" w:right="0" w:hanging="720"/>
              <w:jc w:val="left"/>
              <w:rPr>
                <w:b/>
                <w:i/>
                <w:color w:val="000000"/>
              </w:rPr>
            </w:pPr>
            <w:r>
              <w:rPr>
                <w:b/>
                <w:i/>
                <w:color w:val="000000"/>
              </w:rPr>
              <w:t>CAPITAL AND REGULATORY MATTERS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2023 and 2022, that the Company and its bank subsidiary met all capital adequacy requirements to which they are subject.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2023 and 2022,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December 31, 2023 that management believes have changed the bank subsidiary’s category.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subsidiary’s actual capital amounts and ratios at the dates indicated follows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447"/>
        <w:gridCol w:w="60"/>
        <w:gridCol w:w="140"/>
        <w:gridCol w:w="800"/>
        <w:gridCol w:w="60"/>
        <w:gridCol w:w="60"/>
        <w:gridCol w:w="60"/>
        <w:gridCol w:w="560"/>
        <w:gridCol w:w="215"/>
        <w:gridCol w:w="60"/>
        <w:gridCol w:w="159"/>
        <w:gridCol w:w="913"/>
        <w:gridCol w:w="68"/>
        <w:gridCol w:w="68"/>
        <w:gridCol w:w="68"/>
        <w:gridCol w:w="639"/>
        <w:gridCol w:w="215"/>
        <w:gridCol w:w="60"/>
        <w:gridCol w:w="193"/>
        <w:gridCol w:w="1105"/>
        <w:gridCol w:w="82"/>
        <w:gridCol w:w="82"/>
        <w:gridCol w:w="82"/>
        <w:gridCol w:w="773"/>
        <w:gridCol w:w="236"/>
      </w:tblGrid>
      <w:tr>
        <w:trPr/>
        <w:tc>
          <w:tcPr>
            <w:tcW w:w="34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Actual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Minimum Required</w:t>
            </w:r>
          </w:p>
          <w:p>
            <w:pPr>
              <w:pStyle w:val="TableContents"/>
              <w:bidi w:val="0"/>
              <w:spacing w:before="0" w:after="0"/>
              <w:jc w:val="center"/>
              <w:rPr>
                <w:b/>
                <w:color w:val="000000"/>
              </w:rPr>
            </w:pPr>
            <w:r>
              <w:rPr>
                <w:b/>
                <w:color w:val="000000"/>
              </w:rPr>
              <w:t>Under BASEL III</w:t>
            </w:r>
          </w:p>
          <w:p>
            <w:pPr>
              <w:pStyle w:val="TableContents"/>
              <w:bidi w:val="0"/>
              <w:spacing w:before="0" w:after="0"/>
              <w:jc w:val="center"/>
              <w:rPr>
                <w:b/>
                <w:color w:val="000000"/>
              </w:rPr>
            </w:pPr>
            <w:r>
              <w:rPr>
                <w:b/>
                <w:color w:val="000000"/>
              </w:rPr>
              <w:t>Fully Phased-In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 Be Well Capitalized</w:t>
            </w:r>
          </w:p>
          <w:p>
            <w:pPr>
              <w:pStyle w:val="TableContents"/>
              <w:bidi w:val="0"/>
              <w:spacing w:before="0" w:after="0"/>
              <w:jc w:val="center"/>
              <w:rPr>
                <w:b/>
                <w:color w:val="000000"/>
              </w:rPr>
            </w:pPr>
            <w:r>
              <w:rPr>
                <w:b/>
                <w:color w:val="000000"/>
              </w:rPr>
              <w:t>Under Prompt Corrective</w:t>
            </w:r>
          </w:p>
          <w:p>
            <w:pPr>
              <w:pStyle w:val="TableContents"/>
              <w:bidi w:val="0"/>
              <w:spacing w:before="0" w:after="0"/>
              <w:jc w:val="center"/>
              <w:rPr>
                <w:b/>
                <w:color w:val="000000"/>
              </w:rPr>
            </w:pPr>
            <w:r>
              <w:rPr>
                <w:b/>
                <w:color w:val="000000"/>
              </w:rPr>
              <w:t>Action Provisions</w:t>
            </w:r>
          </w:p>
        </w:tc>
        <w:tc>
          <w:tcPr>
            <w:tcW w:w="236" w:type="dxa"/>
            <w:tcBorders/>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0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36" w:type="dxa"/>
            <w:tcBorders/>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jc w:val="left"/>
              <w:rPr>
                <w:b/>
                <w:color w:val="000000"/>
              </w:rPr>
            </w:pPr>
            <w:r>
              <w:rPr>
                <w:b/>
                <w:color w:val="000000"/>
              </w:rPr>
              <w:t>December 31, 2023:</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07"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55" w:type="dxa"/>
            <w:gridSpan w:val="2"/>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80" w:right="0" w:hanging="180"/>
              <w:jc w:val="left"/>
              <w:rPr>
                <w:color w:val="000000"/>
              </w:rPr>
            </w:pPr>
            <w:r>
              <w:rPr>
                <w:color w:val="000000"/>
              </w:rPr>
              <w:t>Total Capital to Risk Weighted Assets: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07"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8"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55" w:type="dxa"/>
            <w:gridSpan w:val="2"/>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r>
      <w:tr>
        <w:trPr/>
        <w:tc>
          <w:tcPr>
            <w:tcW w:w="3447"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589,565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16.74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913" w:type="dxa"/>
            <w:tcBorders/>
            <w:shd w:fill="CCEEFF" w:val="clear"/>
            <w:vAlign w:val="bottom"/>
          </w:tcPr>
          <w:p>
            <w:pPr>
              <w:pStyle w:val="TableContents"/>
              <w:bidi w:val="0"/>
              <w:spacing w:before="0" w:after="0"/>
              <w:jc w:val="right"/>
              <w:rPr>
                <w:color w:val="000000"/>
              </w:rPr>
            </w:pPr>
            <w:r>
              <w:rPr>
                <w:color w:val="000000"/>
              </w:rPr>
              <w:t>369,753</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color w:val="000000"/>
              </w:rPr>
            </w:pPr>
            <w:r>
              <w:rPr>
                <w:color w:val="000000"/>
              </w:rPr>
              <w:t>10.50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0"/>
              <w:jc w:val="right"/>
              <w:rPr>
                <w:color w:val="000000"/>
              </w:rPr>
            </w:pPr>
            <w:r>
              <w:rPr>
                <w:color w:val="000000"/>
              </w:rPr>
              <w:t>N/A</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color w:val="000000"/>
              </w:rPr>
            </w:pPr>
            <w:r>
              <w:rPr>
                <w:color w:val="000000"/>
              </w:rPr>
              <w:t>N/A</w:t>
            </w:r>
          </w:p>
        </w:tc>
        <w:tc>
          <w:tcPr>
            <w:tcW w:w="236" w:type="dxa"/>
            <w:tcBorders/>
            <w:shd w:fill="CCEEFF" w:val="clear"/>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80" w:right="0" w:hanging="180"/>
              <w:jc w:val="left"/>
              <w:rPr>
                <w:color w:val="000000"/>
              </w:rPr>
            </w:pPr>
            <w:r>
              <w:rPr>
                <w:color w:val="000000"/>
              </w:rPr>
              <w:t>City Bank</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494,353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14.04</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color w:val="000000"/>
              </w:rPr>
            </w:pPr>
            <w:r>
              <w:rPr>
                <w:color w:val="000000"/>
              </w:rPr>
              <w:t>369,635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color w:val="000000"/>
              </w:rPr>
            </w:pPr>
            <w:r>
              <w:rPr>
                <w:color w:val="000000"/>
              </w:rPr>
              <w:t>10.50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0"/>
              <w:jc w:val="left"/>
              <w:rPr>
                <w:color w:val="000000"/>
              </w:rPr>
            </w:pPr>
            <w:r>
              <w:rPr>
                <w:color w:val="000000"/>
              </w:rPr>
              <w:t>$</w:t>
            </w:r>
          </w:p>
        </w:tc>
        <w:tc>
          <w:tcPr>
            <w:tcW w:w="1105" w:type="dxa"/>
            <w:tcBorders/>
            <w:vAlign w:val="bottom"/>
          </w:tcPr>
          <w:p>
            <w:pPr>
              <w:pStyle w:val="TableContents"/>
              <w:bidi w:val="0"/>
              <w:spacing w:before="0" w:after="0"/>
              <w:jc w:val="right"/>
              <w:rPr>
                <w:color w:val="000000"/>
              </w:rPr>
            </w:pPr>
            <w:r>
              <w:rPr>
                <w:color w:val="000000"/>
              </w:rPr>
              <w:t>352,033</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color w:val="000000"/>
              </w:rPr>
            </w:pPr>
            <w:r>
              <w:rPr>
                <w:color w:val="000000"/>
              </w:rPr>
              <w:t>10.00</w:t>
            </w:r>
          </w:p>
        </w:tc>
        <w:tc>
          <w:tcPr>
            <w:tcW w:w="236" w:type="dxa"/>
            <w:tcBorders/>
            <w:vAlign w:val="bottom"/>
          </w:tcPr>
          <w:p>
            <w:pPr>
              <w:pStyle w:val="TableContents"/>
              <w:bidi w:val="0"/>
              <w:spacing w:before="0" w:after="0"/>
              <w:ind w:left="180" w:right="0" w:hanging="180"/>
              <w:jc w:val="left"/>
              <w:rPr>
                <w:color w:val="000000"/>
              </w:rPr>
            </w:pPr>
            <w:r>
              <w:rPr>
                <w:color w:val="000000"/>
              </w:rPr>
              <w:t>%</w:t>
            </w:r>
          </w:p>
        </w:tc>
      </w:tr>
      <w:tr>
        <w:trPr/>
        <w:tc>
          <w:tcPr>
            <w:tcW w:w="34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80" w:right="0" w:hanging="180"/>
              <w:jc w:val="left"/>
              <w:rPr>
                <w:color w:val="000000"/>
              </w:rPr>
            </w:pPr>
            <w:r>
              <w:rPr>
                <w:color w:val="000000"/>
              </w:rPr>
              <w:t>Tier I Capital to Risk Weighted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r>
      <w:tr>
        <w:trPr/>
        <w:tc>
          <w:tcPr>
            <w:tcW w:w="3447"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482,044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13.69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color w:val="000000"/>
              </w:rPr>
            </w:pPr>
            <w:r>
              <w:rPr>
                <w:color w:val="000000"/>
              </w:rPr>
              <w:t>299,324</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color w:val="000000"/>
              </w:rPr>
            </w:pPr>
            <w:r>
              <w:rPr>
                <w:color w:val="000000"/>
              </w:rPr>
              <w:t>8.50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0"/>
              <w:jc w:val="right"/>
              <w:rPr>
                <w:color w:val="000000"/>
              </w:rPr>
            </w:pPr>
            <w:r>
              <w:rPr>
                <w:color w:val="000000"/>
              </w:rPr>
              <w:t>N/A</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color w:val="000000"/>
              </w:rPr>
            </w:pPr>
            <w:r>
              <w:rPr>
                <w:color w:val="000000"/>
              </w:rPr>
              <w:t>N/A</w:t>
            </w:r>
          </w:p>
        </w:tc>
        <w:tc>
          <w:tcPr>
            <w:tcW w:w="236" w:type="dxa"/>
            <w:tcBorders/>
            <w:shd w:fill="CCEEFF" w:val="clear"/>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80" w:right="0" w:hanging="180"/>
              <w:jc w:val="left"/>
              <w:rPr>
                <w:color w:val="000000"/>
              </w:rPr>
            </w:pPr>
            <w:r>
              <w:rPr>
                <w:color w:val="000000"/>
              </w:rPr>
              <w:t>City Bank</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450,607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12.80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color w:val="000000"/>
              </w:rPr>
            </w:pPr>
            <w:r>
              <w:rPr>
                <w:color w:val="000000"/>
              </w:rPr>
              <w:t>299,228</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color w:val="000000"/>
              </w:rPr>
            </w:pPr>
            <w:r>
              <w:rPr>
                <w:color w:val="000000"/>
              </w:rPr>
              <w:t>8.50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0"/>
              <w:jc w:val="right"/>
              <w:rPr>
                <w:color w:val="000000"/>
              </w:rPr>
            </w:pPr>
            <w:r>
              <w:rPr>
                <w:color w:val="000000"/>
              </w:rPr>
              <w:t>281,627</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color w:val="000000"/>
              </w:rPr>
            </w:pPr>
            <w:r>
              <w:rPr>
                <w:color w:val="000000"/>
              </w:rPr>
              <w:t>8.00</w:t>
            </w:r>
          </w:p>
        </w:tc>
        <w:tc>
          <w:tcPr>
            <w:tcW w:w="236" w:type="dxa"/>
            <w:tcBorders/>
            <w:vAlign w:val="bottom"/>
          </w:tcPr>
          <w:p>
            <w:pPr>
              <w:pStyle w:val="TableContents"/>
              <w:bidi w:val="0"/>
              <w:spacing w:before="0" w:after="0"/>
              <w:ind w:left="180" w:right="0" w:hanging="180"/>
              <w:jc w:val="left"/>
              <w:rPr>
                <w:color w:val="000000"/>
              </w:rPr>
            </w:pPr>
            <w:r>
              <w:rPr>
                <w:color w:val="000000"/>
              </w:rPr>
              <w:t>%</w:t>
            </w:r>
          </w:p>
        </w:tc>
      </w:tr>
      <w:tr>
        <w:trPr/>
        <w:tc>
          <w:tcPr>
            <w:tcW w:w="34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80" w:right="0" w:hanging="180"/>
              <w:jc w:val="left"/>
              <w:rPr>
                <w:color w:val="000000"/>
              </w:rPr>
            </w:pPr>
            <w:r>
              <w:rPr>
                <w:color w:val="000000"/>
              </w:rPr>
              <w:t>Common Equity Tier 1 to Risk Weighted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r>
      <w:tr>
        <w:trPr/>
        <w:tc>
          <w:tcPr>
            <w:tcW w:w="3447"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437,044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12.41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color w:val="000000"/>
              </w:rPr>
            </w:pPr>
            <w:r>
              <w:rPr>
                <w:color w:val="000000"/>
              </w:rPr>
              <w:t>246,502</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color w:val="000000"/>
              </w:rPr>
            </w:pPr>
            <w:r>
              <w:rPr>
                <w:color w:val="000000"/>
              </w:rPr>
              <w:t>7.00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0"/>
              <w:jc w:val="right"/>
              <w:rPr>
                <w:color w:val="000000"/>
              </w:rPr>
            </w:pPr>
            <w:r>
              <w:rPr>
                <w:color w:val="000000"/>
              </w:rPr>
              <w:t>N/A</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color w:val="000000"/>
              </w:rPr>
            </w:pPr>
            <w:r>
              <w:rPr>
                <w:color w:val="000000"/>
              </w:rPr>
              <w:t>N/A</w:t>
            </w:r>
          </w:p>
        </w:tc>
        <w:tc>
          <w:tcPr>
            <w:tcW w:w="236" w:type="dxa"/>
            <w:tcBorders/>
            <w:shd w:fill="CCEEFF" w:val="clear"/>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80" w:right="0" w:hanging="180"/>
              <w:jc w:val="left"/>
              <w:rPr>
                <w:color w:val="000000"/>
              </w:rPr>
            </w:pPr>
            <w:r>
              <w:rPr>
                <w:color w:val="000000"/>
              </w:rPr>
              <w:t>City Bank</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450,607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12.80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color w:val="000000"/>
              </w:rPr>
            </w:pPr>
            <w:r>
              <w:rPr>
                <w:color w:val="000000"/>
              </w:rPr>
              <w:t>246,423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color w:val="000000"/>
              </w:rPr>
            </w:pPr>
            <w:r>
              <w:rPr>
                <w:color w:val="000000"/>
              </w:rPr>
              <w:t>7.00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0"/>
              <w:jc w:val="right"/>
              <w:rPr>
                <w:color w:val="000000"/>
              </w:rPr>
            </w:pPr>
            <w:r>
              <w:rPr>
                <w:color w:val="000000"/>
              </w:rPr>
              <w:t>228,822</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color w:val="000000"/>
              </w:rPr>
            </w:pPr>
            <w:r>
              <w:rPr>
                <w:color w:val="000000"/>
              </w:rPr>
              <w:t>6.50</w:t>
            </w:r>
          </w:p>
        </w:tc>
        <w:tc>
          <w:tcPr>
            <w:tcW w:w="236" w:type="dxa"/>
            <w:tcBorders/>
            <w:vAlign w:val="bottom"/>
          </w:tcPr>
          <w:p>
            <w:pPr>
              <w:pStyle w:val="TableContents"/>
              <w:bidi w:val="0"/>
              <w:spacing w:before="0" w:after="0"/>
              <w:ind w:left="180" w:right="0" w:hanging="180"/>
              <w:jc w:val="left"/>
              <w:rPr>
                <w:color w:val="000000"/>
              </w:rPr>
            </w:pPr>
            <w:r>
              <w:rPr>
                <w:color w:val="000000"/>
              </w:rPr>
              <w:t>%</w:t>
            </w:r>
          </w:p>
        </w:tc>
      </w:tr>
      <w:tr>
        <w:trPr/>
        <w:tc>
          <w:tcPr>
            <w:tcW w:w="34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80" w:right="0" w:hanging="180"/>
              <w:jc w:val="left"/>
              <w:rPr>
                <w:color w:val="000000"/>
              </w:rPr>
            </w:pPr>
            <w:r>
              <w:rPr>
                <w:color w:val="000000"/>
              </w:rPr>
              <w:t>Tier I Capital to Average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r>
      <w:tr>
        <w:trPr/>
        <w:tc>
          <w:tcPr>
            <w:tcW w:w="3447"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482,044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11.33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color w:val="000000"/>
              </w:rPr>
            </w:pPr>
            <w:r>
              <w:rPr>
                <w:color w:val="000000"/>
              </w:rPr>
              <w:t>171,037</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color w:val="000000"/>
              </w:rPr>
            </w:pPr>
            <w:r>
              <w:rPr>
                <w:color w:val="000000"/>
              </w:rPr>
              <w:t>4.00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0"/>
              <w:jc w:val="right"/>
              <w:rPr>
                <w:color w:val="000000"/>
              </w:rPr>
            </w:pPr>
            <w:r>
              <w:rPr>
                <w:color w:val="000000"/>
              </w:rPr>
              <w:t>N/A</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color w:val="000000"/>
              </w:rPr>
            </w:pPr>
            <w:r>
              <w:rPr>
                <w:color w:val="000000"/>
              </w:rPr>
              <w:t>N/A</w:t>
            </w:r>
          </w:p>
        </w:tc>
        <w:tc>
          <w:tcPr>
            <w:tcW w:w="236" w:type="dxa"/>
            <w:tcBorders/>
            <w:shd w:fill="CCEEFF" w:val="clear"/>
            <w:vAlign w:val="bottom"/>
          </w:tcPr>
          <w:p>
            <w:pPr>
              <w:pStyle w:val="TableContents"/>
              <w:bidi w:val="0"/>
              <w:spacing w:before="0" w:after="283"/>
              <w:jc w:val="left"/>
              <w:rPr/>
            </w:pPr>
            <w:r>
              <w:rPr/>
              <w:t> </w:t>
            </w:r>
          </w:p>
        </w:tc>
      </w:tr>
      <w:tr>
        <w:trPr/>
        <w:tc>
          <w:tcPr>
            <w:tcW w:w="3447" w:type="dxa"/>
            <w:tcBorders/>
            <w:vAlign w:val="bottom"/>
          </w:tcPr>
          <w:p>
            <w:pPr>
              <w:pStyle w:val="TableContents"/>
              <w:bidi w:val="0"/>
              <w:spacing w:before="0" w:after="0"/>
              <w:ind w:left="144" w:right="0" w:hanging="144"/>
              <w:jc w:val="left"/>
              <w:rPr>
                <w:color w:val="000000"/>
              </w:rPr>
            </w:pPr>
            <w:r>
              <w:rPr>
                <w:color w:val="000000"/>
              </w:rPr>
              <w:t>City Bank</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450,607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10.60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0"/>
              <w:jc w:val="right"/>
              <w:rPr>
                <w:color w:val="000000"/>
              </w:rPr>
            </w:pPr>
            <w:r>
              <w:rPr>
                <w:color w:val="000000"/>
              </w:rPr>
              <w:t>170,945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color w:val="000000"/>
              </w:rPr>
            </w:pPr>
            <w:r>
              <w:rPr>
                <w:color w:val="000000"/>
              </w:rPr>
              <w:t>4.00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0"/>
              <w:jc w:val="right"/>
              <w:rPr>
                <w:color w:val="000000"/>
              </w:rPr>
            </w:pPr>
            <w:r>
              <w:rPr>
                <w:color w:val="000000"/>
              </w:rPr>
              <w:t>212,594</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color w:val="000000"/>
              </w:rPr>
            </w:pPr>
            <w:r>
              <w:rPr>
                <w:color w:val="000000"/>
              </w:rPr>
              <w:t>5.00</w:t>
            </w:r>
          </w:p>
        </w:tc>
        <w:tc>
          <w:tcPr>
            <w:tcW w:w="236" w:type="dxa"/>
            <w:tcBorders/>
            <w:vAlign w:val="bottom"/>
          </w:tcPr>
          <w:p>
            <w:pPr>
              <w:pStyle w:val="TableContents"/>
              <w:bidi w:val="0"/>
              <w:spacing w:before="0" w:after="0"/>
              <w:jc w:val="left"/>
              <w:rPr>
                <w:color w:val="000000"/>
              </w:rPr>
            </w:pPr>
            <w:r>
              <w:rPr>
                <w:color w:val="000000"/>
              </w:rPr>
              <w:t>%</w:t>
            </w:r>
          </w:p>
        </w:tc>
      </w:tr>
    </w:tbl>
    <w:tbl>
      <w:tblPr>
        <w:tblW w:w="10205" w:type="dxa"/>
        <w:jc w:val="left"/>
        <w:tblInd w:w="0" w:type="dxa"/>
        <w:tblLayout w:type="fixed"/>
        <w:tblCellMar>
          <w:top w:w="0" w:type="dxa"/>
          <w:left w:w="0" w:type="dxa"/>
          <w:bottom w:w="0" w:type="dxa"/>
          <w:right w:w="0" w:type="dxa"/>
        </w:tblCellMar>
      </w:tblPr>
      <w:tblGrid>
        <w:gridCol w:w="4340"/>
        <w:gridCol w:w="60"/>
        <w:gridCol w:w="140"/>
        <w:gridCol w:w="800"/>
        <w:gridCol w:w="60"/>
        <w:gridCol w:w="60"/>
        <w:gridCol w:w="60"/>
        <w:gridCol w:w="560"/>
        <w:gridCol w:w="215"/>
        <w:gridCol w:w="60"/>
        <w:gridCol w:w="140"/>
        <w:gridCol w:w="800"/>
        <w:gridCol w:w="60"/>
        <w:gridCol w:w="60"/>
        <w:gridCol w:w="60"/>
        <w:gridCol w:w="560"/>
        <w:gridCol w:w="215"/>
        <w:gridCol w:w="60"/>
        <w:gridCol w:w="140"/>
        <w:gridCol w:w="800"/>
        <w:gridCol w:w="60"/>
        <w:gridCol w:w="60"/>
        <w:gridCol w:w="60"/>
        <w:gridCol w:w="560"/>
        <w:gridCol w:w="215"/>
      </w:tblGrid>
      <w:tr>
        <w:trPr/>
        <w:tc>
          <w:tcPr>
            <w:tcW w:w="43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4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0" w:type="dxa"/>
            <w:gridSpan w:val="2"/>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4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0" w:type="dxa"/>
            <w:gridSpan w:val="2"/>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4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0" w:type="dxa"/>
            <w:gridSpan w:val="2"/>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ind w:left="180" w:right="0" w:hanging="0"/>
              <w:jc w:val="left"/>
              <w:rPr>
                <w:b/>
                <w:color w:val="000000"/>
              </w:rPr>
            </w:pPr>
            <w:r>
              <w:rPr>
                <w:b/>
                <w:color w:val="000000"/>
              </w:rPr>
              <w:t>December 31, 2022:</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20" w:type="dxa"/>
            <w:gridSpan w:val="2"/>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20" w:type="dxa"/>
            <w:gridSpan w:val="2"/>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20" w:type="dxa"/>
            <w:gridSpan w:val="2"/>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80" w:right="0" w:hanging="180"/>
              <w:jc w:val="left"/>
              <w:rPr>
                <w:color w:val="000000"/>
              </w:rPr>
            </w:pPr>
            <w:r>
              <w:rPr>
                <w:color w:val="000000"/>
              </w:rPr>
              <w:t>Total Capital to Risk Weighted Assets:</w:t>
            </w:r>
          </w:p>
        </w:tc>
        <w:tc>
          <w:tcPr>
            <w:tcW w:w="60" w:type="dxa"/>
            <w:tcBorders/>
            <w:shd w:fill="CCEEFF" w:val="clear"/>
            <w:vAlign w:val="bottom"/>
          </w:tcPr>
          <w:p>
            <w:pPr>
              <w:pStyle w:val="TableContents"/>
              <w:bidi w:val="0"/>
              <w:spacing w:before="0" w:after="283"/>
              <w:jc w:val="right"/>
              <w:rPr/>
            </w:pPr>
            <w:r>
              <w:rPr/>
              <w:t> </w:t>
            </w:r>
          </w:p>
        </w:tc>
        <w:tc>
          <w:tcPr>
            <w:tcW w:w="94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0" w:type="dxa"/>
            <w:gridSpan w:val="2"/>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4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0" w:type="dxa"/>
            <w:gridSpan w:val="2"/>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4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0" w:type="dxa"/>
            <w:gridSpan w:val="2"/>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ind w:left="180" w:right="0" w:hanging="180"/>
              <w:jc w:val="left"/>
              <w:rPr>
                <w:color w:val="000000"/>
              </w:rPr>
            </w:pPr>
            <w:r>
              <w:rPr>
                <w:color w:val="000000"/>
              </w:rPr>
              <w:t>Consolidated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559,094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16.58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354,045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10.50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80" w:right="0" w:hanging="180"/>
              <w:jc w:val="left"/>
              <w:rPr>
                <w:color w:val="000000"/>
              </w:rPr>
            </w:pPr>
            <w:r>
              <w:rPr>
                <w:color w:val="000000"/>
              </w:rPr>
              <w:t>City Bank</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454,427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13.48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353,967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10.50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337,112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ind w:left="180" w:right="0" w:hanging="180"/>
              <w:jc w:val="left"/>
              <w:rPr>
                <w:color w:val="000000"/>
              </w:rPr>
            </w:pPr>
            <w:r>
              <w:rPr>
                <w:color w:val="000000"/>
              </w:rPr>
              <w:t>%</w:t>
            </w:r>
          </w:p>
        </w:tc>
      </w:tr>
      <w:tr>
        <w:trPr/>
        <w:tc>
          <w:tcPr>
            <w:tcW w:w="4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80" w:right="0" w:hanging="180"/>
              <w:jc w:val="left"/>
              <w:rPr>
                <w:color w:val="000000"/>
              </w:rPr>
            </w:pPr>
            <w:r>
              <w:rPr>
                <w:color w:val="000000"/>
              </w:rPr>
              <w:t>Tier I Capital to Risk Weighted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ind w:left="180" w:right="0" w:hanging="180"/>
              <w:jc w:val="left"/>
              <w:rPr>
                <w:color w:val="000000"/>
              </w:rPr>
            </w:pPr>
            <w:r>
              <w:rPr>
                <w:color w:val="000000"/>
              </w:rPr>
              <w:t>Consolidated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13.15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286,608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8.50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80" w:right="0" w:hanging="180"/>
              <w:jc w:val="left"/>
              <w:rPr>
                <w:color w:val="000000"/>
              </w:rPr>
            </w:pPr>
            <w:r>
              <w:rPr>
                <w:color w:val="000000"/>
              </w:rPr>
              <w:t>City Bank</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12.30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286,545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8.50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269,689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8.00</w:t>
            </w:r>
          </w:p>
        </w:tc>
        <w:tc>
          <w:tcPr>
            <w:tcW w:w="215" w:type="dxa"/>
            <w:tcBorders/>
            <w:shd w:fill="CCEEFF" w:val="clear"/>
            <w:vAlign w:val="bottom"/>
          </w:tcPr>
          <w:p>
            <w:pPr>
              <w:pStyle w:val="TableContents"/>
              <w:bidi w:val="0"/>
              <w:spacing w:before="0" w:after="0"/>
              <w:ind w:left="180" w:right="0" w:hanging="180"/>
              <w:jc w:val="left"/>
              <w:rPr>
                <w:color w:val="000000"/>
              </w:rPr>
            </w:pPr>
            <w:r>
              <w:rPr>
                <w:color w:val="000000"/>
              </w:rPr>
              <w:t>%</w:t>
            </w:r>
          </w:p>
        </w:tc>
      </w:tr>
      <w:tr>
        <w:trPr/>
        <w:tc>
          <w:tcPr>
            <w:tcW w:w="4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80" w:right="0" w:hanging="180"/>
              <w:jc w:val="left"/>
              <w:rPr>
                <w:color w:val="000000"/>
              </w:rPr>
            </w:pPr>
            <w:r>
              <w:rPr>
                <w:color w:val="000000"/>
              </w:rPr>
              <w:t>Common Equity Tier 1 to Risk Weighted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ind w:left="180" w:right="0" w:hanging="180"/>
              <w:jc w:val="left"/>
              <w:rPr>
                <w:color w:val="000000"/>
              </w:rPr>
            </w:pPr>
            <w:r>
              <w:rPr>
                <w:color w:val="000000"/>
              </w:rPr>
              <w:t>Consolidated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398,265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11.81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236,030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7.00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80" w:right="0" w:hanging="180"/>
              <w:jc w:val="left"/>
              <w:rPr>
                <w:color w:val="000000"/>
              </w:rPr>
            </w:pPr>
            <w:r>
              <w:rPr>
                <w:color w:val="000000"/>
              </w:rPr>
              <w:t>City Bank</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12.30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235,978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7.00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219,122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6.50</w:t>
            </w:r>
          </w:p>
        </w:tc>
        <w:tc>
          <w:tcPr>
            <w:tcW w:w="215" w:type="dxa"/>
            <w:tcBorders/>
            <w:shd w:fill="CCEEFF" w:val="clear"/>
            <w:vAlign w:val="bottom"/>
          </w:tcPr>
          <w:p>
            <w:pPr>
              <w:pStyle w:val="TableContents"/>
              <w:bidi w:val="0"/>
              <w:spacing w:before="0" w:after="0"/>
              <w:ind w:left="180" w:right="0" w:hanging="180"/>
              <w:jc w:val="left"/>
              <w:rPr>
                <w:color w:val="000000"/>
              </w:rPr>
            </w:pPr>
            <w:r>
              <w:rPr>
                <w:color w:val="000000"/>
              </w:rPr>
              <w:t>%</w:t>
            </w:r>
          </w:p>
        </w:tc>
      </w:tr>
      <w:tr>
        <w:trPr/>
        <w:tc>
          <w:tcPr>
            <w:tcW w:w="4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80" w:right="0" w:hanging="180"/>
              <w:jc w:val="left"/>
              <w:rPr>
                <w:color w:val="000000"/>
              </w:rPr>
            </w:pPr>
            <w:r>
              <w:rPr>
                <w:color w:val="000000"/>
              </w:rPr>
              <w:t>Tier I Capital to Average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340" w:type="dxa"/>
            <w:tcBorders/>
            <w:vAlign w:val="bottom"/>
          </w:tcPr>
          <w:p>
            <w:pPr>
              <w:pStyle w:val="TableContents"/>
              <w:bidi w:val="0"/>
              <w:spacing w:before="0" w:after="0"/>
              <w:ind w:left="180" w:right="0" w:hanging="180"/>
              <w:jc w:val="left"/>
              <w:rPr>
                <w:color w:val="000000"/>
              </w:rPr>
            </w:pPr>
            <w:r>
              <w:rPr>
                <w:color w:val="000000"/>
              </w:rPr>
              <w:t>Consolidated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11.03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161,662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N/A</w:t>
            </w:r>
          </w:p>
        </w:tc>
        <w:tc>
          <w:tcPr>
            <w:tcW w:w="215" w:type="dxa"/>
            <w:tcBorders/>
            <w:vAlign w:val="bottom"/>
          </w:tcPr>
          <w:p>
            <w:pPr>
              <w:pStyle w:val="TableContents"/>
              <w:bidi w:val="0"/>
              <w:spacing w:before="0" w:after="283"/>
              <w:jc w:val="left"/>
              <w:rPr/>
            </w:pPr>
            <w:r>
              <w:rPr/>
              <w:t> </w:t>
            </w:r>
          </w:p>
        </w:tc>
      </w:tr>
      <w:tr>
        <w:trPr/>
        <w:tc>
          <w:tcPr>
            <w:tcW w:w="4340" w:type="dxa"/>
            <w:tcBorders/>
            <w:shd w:fill="CCEEFF" w:val="clear"/>
            <w:vAlign w:val="bottom"/>
          </w:tcPr>
          <w:p>
            <w:pPr>
              <w:pStyle w:val="TableContents"/>
              <w:bidi w:val="0"/>
              <w:spacing w:before="0" w:after="0"/>
              <w:ind w:left="144" w:right="0" w:hanging="144"/>
              <w:jc w:val="left"/>
              <w:rPr>
                <w:color w:val="000000"/>
              </w:rPr>
            </w:pPr>
            <w:r>
              <w:rPr>
                <w:color w:val="000000"/>
              </w:rPr>
              <w:t>City Bank</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10.32</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161,574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4.00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200,774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5.00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December 31, 2023.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2005" w:type="dxa"/>
        <w:jc w:val="left"/>
        <w:tblInd w:w="0" w:type="dxa"/>
        <w:tblLayout w:type="fixed"/>
        <w:tblCellMar>
          <w:top w:w="0" w:type="dxa"/>
          <w:left w:w="0" w:type="dxa"/>
          <w:bottom w:w="0" w:type="dxa"/>
          <w:right w:w="0" w:type="dxa"/>
        </w:tblCellMar>
      </w:tblPr>
      <w:tblGrid>
        <w:gridCol w:w="335"/>
        <w:gridCol w:w="1670"/>
      </w:tblGrid>
      <w:tr>
        <w:trPr/>
        <w:tc>
          <w:tcPr>
            <w:tcW w:w="335" w:type="dxa"/>
            <w:tcBorders/>
            <w:vAlign w:val="center"/>
          </w:tcPr>
          <w:p>
            <w:pPr>
              <w:pStyle w:val="TableContents"/>
              <w:bidi w:val="0"/>
              <w:spacing w:before="0" w:after="0"/>
              <w:jc w:val="both"/>
              <w:rPr>
                <w:b/>
                <w:i/>
                <w:color w:val="000000"/>
              </w:rPr>
            </w:pPr>
            <w:r>
              <w:rPr>
                <w:b/>
                <w:i/>
                <w:color w:val="000000"/>
              </w:rPr>
              <w:t>17.</w:t>
            </w:r>
          </w:p>
        </w:tc>
        <w:tc>
          <w:tcPr>
            <w:tcW w:w="1670" w:type="dxa"/>
            <w:tcBorders/>
            <w:vAlign w:val="center"/>
          </w:tcPr>
          <w:p>
            <w:pPr>
              <w:pStyle w:val="TableContents"/>
              <w:bidi w:val="0"/>
              <w:spacing w:before="0" w:after="0"/>
              <w:ind w:left="720" w:right="0" w:hanging="720"/>
              <w:jc w:val="both"/>
              <w:rPr>
                <w:b/>
                <w:i/>
                <w:color w:val="000000"/>
              </w:rPr>
            </w:pPr>
            <w:r>
              <w:rPr>
                <w:b/>
                <w:i/>
                <w:color w:val="000000"/>
              </w:rPr>
              <w:t>DERIVATIVES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reflects the changes in fair value hedges included in the Consolidated Statements of Comprehensive Income (Loss) for the periods indicated (dollars in thousands):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Layout w:type="fixed"/>
        <w:tblCellMar>
          <w:top w:w="0" w:type="dxa"/>
          <w:left w:w="0" w:type="dxa"/>
          <w:bottom w:w="28" w:type="dxa"/>
          <w:right w:w="0" w:type="dxa"/>
        </w:tblCellMar>
      </w:tblPr>
      <w:tblGrid>
        <w:gridCol w:w="5153"/>
        <w:gridCol w:w="60"/>
        <w:gridCol w:w="2081"/>
        <w:gridCol w:w="60"/>
        <w:gridCol w:w="140"/>
        <w:gridCol w:w="635"/>
        <w:gridCol w:w="95"/>
        <w:gridCol w:w="60"/>
        <w:gridCol w:w="140"/>
        <w:gridCol w:w="755"/>
        <w:gridCol w:w="95"/>
        <w:gridCol w:w="60"/>
        <w:gridCol w:w="140"/>
        <w:gridCol w:w="635"/>
        <w:gridCol w:w="96"/>
      </w:tblGrid>
      <w:tr>
        <w:trPr/>
        <w:tc>
          <w:tcPr>
            <w:tcW w:w="5153" w:type="dxa"/>
            <w:tcBorders>
              <w:bottom w:val="single" w:sz="12" w:space="0" w:color="000000"/>
            </w:tcBorders>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center"/>
              <w:rPr/>
            </w:pPr>
            <w:r>
              <w:rPr/>
              <w:t> </w:t>
            </w:r>
          </w:p>
        </w:tc>
        <w:tc>
          <w:tcPr>
            <w:tcW w:w="2081" w:type="dxa"/>
            <w:tcBorders>
              <w:bottom w:val="single" w:sz="12" w:space="0" w:color="000000"/>
            </w:tcBorders>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center"/>
              <w:rPr/>
            </w:pPr>
            <w:r>
              <w:rPr/>
              <w:t> </w:t>
            </w:r>
          </w:p>
        </w:tc>
        <w:tc>
          <w:tcPr>
            <w:tcW w:w="2755" w:type="dxa"/>
            <w:gridSpan w:val="10"/>
            <w:tcBorders>
              <w:bottom w:val="single" w:sz="12" w:space="0" w:color="000000"/>
            </w:tcBorders>
            <w:vAlign w:val="bottom"/>
          </w:tcPr>
          <w:p>
            <w:pPr>
              <w:pStyle w:val="TableContents"/>
              <w:bidi w:val="0"/>
              <w:spacing w:before="0" w:after="283"/>
              <w:jc w:val="center"/>
              <w:rPr>
                <w:b/>
              </w:rPr>
            </w:pPr>
            <w:r>
              <w:rPr>
                <w:b/>
              </w:rPr>
              <w:t>Year Ended December 31,</w:t>
            </w:r>
          </w:p>
        </w:tc>
        <w:tc>
          <w:tcPr>
            <w:tcW w:w="96" w:type="dxa"/>
            <w:tcBorders/>
            <w:tcMar>
              <w:bottom w:w="0" w:type="dxa"/>
            </w:tcMar>
            <w:vAlign w:val="bottom"/>
          </w:tcPr>
          <w:p>
            <w:pPr>
              <w:pStyle w:val="TableContents"/>
              <w:bidi w:val="0"/>
              <w:spacing w:before="0" w:after="283"/>
              <w:jc w:val="left"/>
              <w:rPr/>
            </w:pPr>
            <w:r>
              <w:rPr/>
              <w:t> </w:t>
            </w:r>
          </w:p>
        </w:tc>
      </w:tr>
      <w:tr>
        <w:trPr/>
        <w:tc>
          <w:tcPr>
            <w:tcW w:w="5153"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Interest Rate Contracts</w:t>
            </w:r>
          </w:p>
        </w:tc>
        <w:tc>
          <w:tcPr>
            <w:tcW w:w="60" w:type="dxa"/>
            <w:tcBorders/>
            <w:tcMar>
              <w:bottom w:w="0" w:type="dxa"/>
            </w:tcMar>
            <w:vAlign w:val="bottom"/>
          </w:tcPr>
          <w:p>
            <w:pPr>
              <w:pStyle w:val="TableContents"/>
              <w:bidi w:val="0"/>
              <w:spacing w:before="0" w:after="283"/>
              <w:jc w:val="center"/>
              <w:rPr/>
            </w:pPr>
            <w:r>
              <w:rPr/>
              <w:t> </w:t>
            </w:r>
          </w:p>
        </w:tc>
        <w:tc>
          <w:tcPr>
            <w:tcW w:w="2081" w:type="dxa"/>
            <w:tcBorders>
              <w:bottom w:val="single" w:sz="12" w:space="0" w:color="000000"/>
            </w:tcBorders>
            <w:vAlign w:val="bottom"/>
          </w:tcPr>
          <w:p>
            <w:pPr>
              <w:pStyle w:val="TableContents"/>
              <w:bidi w:val="0"/>
              <w:spacing w:before="0" w:after="283"/>
              <w:jc w:val="center"/>
              <w:rPr>
                <w:b/>
              </w:rPr>
            </w:pPr>
            <w:r>
              <w:rPr>
                <w:b/>
              </w:rPr>
              <w:t>Location</w:t>
            </w:r>
          </w:p>
        </w:tc>
        <w:tc>
          <w:tcPr>
            <w:tcW w:w="60" w:type="dxa"/>
            <w:tcBorders/>
            <w:tcMar>
              <w:bottom w:w="0" w:type="dxa"/>
            </w:tcMar>
            <w:vAlign w:val="bottom"/>
          </w:tcPr>
          <w:p>
            <w:pPr>
              <w:pStyle w:val="TableContents"/>
              <w:bidi w:val="0"/>
              <w:spacing w:before="0" w:after="283"/>
              <w:jc w:val="left"/>
              <w:rPr/>
            </w:pPr>
            <w:r>
              <w:rPr/>
              <w:t> </w:t>
            </w:r>
          </w:p>
        </w:tc>
        <w:tc>
          <w:tcPr>
            <w:tcW w:w="775"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95"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center"/>
              <w:rPr/>
            </w:pPr>
            <w:r>
              <w:rPr/>
              <w:t> </w:t>
            </w:r>
          </w:p>
        </w:tc>
        <w:tc>
          <w:tcPr>
            <w:tcW w:w="775" w:type="dxa"/>
            <w:gridSpan w:val="2"/>
            <w:tcBorders>
              <w:bottom w:val="single" w:sz="12" w:space="0" w:color="000000"/>
            </w:tcBorders>
            <w:vAlign w:val="bottom"/>
          </w:tcPr>
          <w:p>
            <w:pPr>
              <w:pStyle w:val="TableContents"/>
              <w:bidi w:val="0"/>
              <w:spacing w:before="0" w:after="283"/>
              <w:jc w:val="center"/>
              <w:rPr>
                <w:b/>
              </w:rPr>
            </w:pPr>
            <w:r>
              <w:rPr>
                <w:b/>
              </w:rPr>
              <w:t>2021</w:t>
            </w:r>
          </w:p>
        </w:tc>
        <w:tc>
          <w:tcPr>
            <w:tcW w:w="96" w:type="dxa"/>
            <w:tcBorders/>
            <w:tcMar>
              <w:bottom w:w="0" w:type="dxa"/>
            </w:tcMar>
            <w:vAlign w:val="bottom"/>
          </w:tcPr>
          <w:p>
            <w:pPr>
              <w:pStyle w:val="TableContents"/>
              <w:bidi w:val="0"/>
              <w:spacing w:before="0" w:after="283"/>
              <w:ind w:left="180" w:right="0" w:hanging="180"/>
              <w:jc w:val="left"/>
              <w:rPr/>
            </w:pPr>
            <w:r>
              <w:rPr/>
              <w:t> </w:t>
            </w:r>
          </w:p>
        </w:tc>
      </w:tr>
      <w:tr>
        <w:trPr/>
        <w:tc>
          <w:tcPr>
            <w:tcW w:w="5153" w:type="dxa"/>
            <w:tcBorders/>
            <w:shd w:fill="CCEEFF" w:val="clear"/>
            <w:tcMar>
              <w:bottom w:w="0" w:type="dxa"/>
            </w:tcMar>
            <w:vAlign w:val="bottom"/>
          </w:tcPr>
          <w:p>
            <w:pPr>
              <w:pStyle w:val="TableContents"/>
              <w:bidi w:val="0"/>
              <w:spacing w:before="0" w:after="0"/>
              <w:ind w:left="360" w:right="0" w:hanging="180"/>
              <w:jc w:val="left"/>
              <w:rPr/>
            </w:pPr>
            <w:r>
              <w:rPr/>
              <w:t>Change in fair value of interest rate swaps hedging investment securities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81" w:type="dxa"/>
            <w:tcBorders/>
            <w:shd w:fill="CCEEFF" w:val="clear"/>
            <w:tcMar>
              <w:bottom w:w="0" w:type="dxa"/>
            </w:tcMar>
            <w:vAlign w:val="bottom"/>
          </w:tcPr>
          <w:p>
            <w:pPr>
              <w:pStyle w:val="TableContents"/>
              <w:bidi w:val="0"/>
              <w:spacing w:before="0" w:after="283"/>
              <w:jc w:val="left"/>
              <w:rPr/>
            </w:pPr>
            <w:r>
              <w:rPr/>
              <w:t>Other noninterest expense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w:t>
            </w:r>
          </w:p>
        </w:tc>
        <w:tc>
          <w:tcPr>
            <w:tcW w:w="635" w:type="dxa"/>
            <w:tcBorders/>
            <w:shd w:fill="CCEEFF" w:val="clear"/>
            <w:tcMar>
              <w:bottom w:w="0" w:type="dxa"/>
            </w:tcMar>
            <w:vAlign w:val="bottom"/>
          </w:tcPr>
          <w:p>
            <w:pPr>
              <w:pStyle w:val="TableContents"/>
              <w:bidi w:val="0"/>
              <w:spacing w:before="0" w:after="283"/>
              <w:jc w:val="right"/>
              <w:rPr/>
            </w:pPr>
            <w:r>
              <w:rPr/>
              <w:t>(3,497</w:t>
            </w:r>
          </w:p>
        </w:tc>
        <w:tc>
          <w:tcPr>
            <w:tcW w:w="9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w:t>
            </w:r>
          </w:p>
        </w:tc>
        <w:tc>
          <w:tcPr>
            <w:tcW w:w="755" w:type="dxa"/>
            <w:tcBorders/>
            <w:shd w:fill="CCEEFF" w:val="clear"/>
            <w:tcMar>
              <w:bottom w:w="0" w:type="dxa"/>
            </w:tcMar>
            <w:vAlign w:val="bottom"/>
          </w:tcPr>
          <w:p>
            <w:pPr>
              <w:pStyle w:val="TableContents"/>
              <w:bidi w:val="0"/>
              <w:spacing w:before="0" w:after="283"/>
              <w:jc w:val="right"/>
              <w:rPr/>
            </w:pPr>
            <w:r>
              <w:rPr/>
              <w:t>14,439</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w:t>
            </w:r>
          </w:p>
        </w:tc>
        <w:tc>
          <w:tcPr>
            <w:tcW w:w="635" w:type="dxa"/>
            <w:tcBorders/>
            <w:shd w:fill="CCEEFF" w:val="clear"/>
            <w:tcMar>
              <w:bottom w:w="0" w:type="dxa"/>
            </w:tcMar>
            <w:vAlign w:val="bottom"/>
          </w:tcPr>
          <w:p>
            <w:pPr>
              <w:pStyle w:val="TableContents"/>
              <w:bidi w:val="0"/>
              <w:spacing w:before="0" w:after="283"/>
              <w:jc w:val="right"/>
              <w:rPr/>
            </w:pPr>
            <w:r>
              <w:rPr/>
              <w:t>5,710</w:t>
            </w:r>
          </w:p>
        </w:tc>
        <w:tc>
          <w:tcPr>
            <w:tcW w:w="96" w:type="dxa"/>
            <w:tcBorders/>
            <w:shd w:fill="CCEEFF" w:val="clear"/>
            <w:tcMar>
              <w:bottom w:w="0" w:type="dxa"/>
            </w:tcMar>
            <w:vAlign w:val="bottom"/>
          </w:tcPr>
          <w:p>
            <w:pPr>
              <w:pStyle w:val="TableContents"/>
              <w:bidi w:val="0"/>
              <w:spacing w:before="0" w:after="283"/>
              <w:ind w:left="180" w:right="0" w:hanging="180"/>
              <w:jc w:val="left"/>
              <w:rPr/>
            </w:pPr>
            <w:r>
              <w:rPr/>
              <w:t> </w:t>
            </w:r>
          </w:p>
        </w:tc>
      </w:tr>
      <w:tr>
        <w:trPr/>
        <w:tc>
          <w:tcPr>
            <w:tcW w:w="5153" w:type="dxa"/>
            <w:tcBorders/>
            <w:tcMar>
              <w:bottom w:w="0" w:type="dxa"/>
            </w:tcMar>
            <w:vAlign w:val="bottom"/>
          </w:tcPr>
          <w:p>
            <w:pPr>
              <w:pStyle w:val="TableContents"/>
              <w:bidi w:val="0"/>
              <w:spacing w:before="0" w:after="0"/>
              <w:ind w:left="360" w:right="0" w:hanging="180"/>
              <w:jc w:val="left"/>
              <w:rPr/>
            </w:pPr>
            <w:r>
              <w:rPr/>
              <w:t>Change in fair value of hedged investment securities</w:t>
            </w:r>
          </w:p>
        </w:tc>
        <w:tc>
          <w:tcPr>
            <w:tcW w:w="60" w:type="dxa"/>
            <w:tcBorders/>
            <w:tcMar>
              <w:bottom w:w="0" w:type="dxa"/>
            </w:tcMar>
            <w:vAlign w:val="bottom"/>
          </w:tcPr>
          <w:p>
            <w:pPr>
              <w:pStyle w:val="TableContents"/>
              <w:bidi w:val="0"/>
              <w:spacing w:before="0" w:after="283"/>
              <w:jc w:val="left"/>
              <w:rPr/>
            </w:pPr>
            <w:r>
              <w:rPr/>
              <w:t> </w:t>
            </w:r>
          </w:p>
        </w:tc>
        <w:tc>
          <w:tcPr>
            <w:tcW w:w="2081" w:type="dxa"/>
            <w:tcBorders/>
            <w:tcMar>
              <w:bottom w:w="0" w:type="dxa"/>
            </w:tcMar>
            <w:vAlign w:val="bottom"/>
          </w:tcPr>
          <w:p>
            <w:pPr>
              <w:pStyle w:val="TableContents"/>
              <w:bidi w:val="0"/>
              <w:spacing w:before="0" w:after="283"/>
              <w:jc w:val="left"/>
              <w:rPr/>
            </w:pPr>
            <w:r>
              <w:rPr/>
              <w:t>Other noninterest expense</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35" w:type="dxa"/>
            <w:tcBorders/>
            <w:tcMar>
              <w:bottom w:w="0" w:type="dxa"/>
            </w:tcMar>
            <w:vAlign w:val="bottom"/>
          </w:tcPr>
          <w:p>
            <w:pPr>
              <w:pStyle w:val="TableContents"/>
              <w:bidi w:val="0"/>
              <w:spacing w:before="0" w:after="283"/>
              <w:jc w:val="right"/>
              <w:rPr/>
            </w:pPr>
            <w:r>
              <w:rPr/>
              <w:t>3,685</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755" w:type="dxa"/>
            <w:tcBorders/>
            <w:tcMar>
              <w:bottom w:w="0" w:type="dxa"/>
            </w:tcMar>
            <w:vAlign w:val="bottom"/>
          </w:tcPr>
          <w:p>
            <w:pPr>
              <w:pStyle w:val="TableContents"/>
              <w:bidi w:val="0"/>
              <w:spacing w:before="0" w:after="283"/>
              <w:jc w:val="right"/>
              <w:rPr/>
            </w:pPr>
            <w:r>
              <w:rPr/>
              <w:t>(14,607</w:t>
            </w:r>
          </w:p>
        </w:tc>
        <w:tc>
          <w:tcPr>
            <w:tcW w:w="95" w:type="dxa"/>
            <w:tcBorders/>
            <w:tcMar>
              <w:bottom w:w="0" w:type="dxa"/>
            </w:tcMar>
            <w:vAlign w:val="bottom"/>
          </w:tcPr>
          <w:p>
            <w:pPr>
              <w:pStyle w:val="TableContents"/>
              <w:bidi w:val="0"/>
              <w:spacing w:before="0" w:after="283"/>
              <w:jc w:val="left"/>
              <w:rPr/>
            </w:pPr>
            <w:r>
              <w:rPr/>
              <w:t>)</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35" w:type="dxa"/>
            <w:tcBorders/>
            <w:tcMar>
              <w:bottom w:w="0" w:type="dxa"/>
            </w:tcMar>
            <w:vAlign w:val="bottom"/>
          </w:tcPr>
          <w:p>
            <w:pPr>
              <w:pStyle w:val="TableContents"/>
              <w:bidi w:val="0"/>
              <w:spacing w:before="0" w:after="283"/>
              <w:jc w:val="right"/>
              <w:rPr/>
            </w:pPr>
            <w:r>
              <w:rPr/>
              <w:t>(5,812</w:t>
            </w:r>
          </w:p>
        </w:tc>
        <w:tc>
          <w:tcPr>
            <w:tcW w:w="96" w:type="dxa"/>
            <w:tcBorders/>
            <w:tcMar>
              <w:bottom w:w="0" w:type="dxa"/>
            </w:tcMar>
            <w:vAlign w:val="bottom"/>
          </w:tcPr>
          <w:p>
            <w:pPr>
              <w:pStyle w:val="TableContents"/>
              <w:bidi w:val="0"/>
              <w:spacing w:before="0" w:after="283"/>
              <w:jc w:val="left"/>
              <w:rPr/>
            </w:pPr>
            <w:r>
              <w:rPr/>
              <w:t>)</w:t>
            </w:r>
          </w:p>
        </w:tc>
      </w:tr>
      <w:tr>
        <w:trPr/>
        <w:tc>
          <w:tcPr>
            <w:tcW w:w="5153"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81"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35"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755"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35" w:type="dxa"/>
            <w:tcBorders/>
            <w:shd w:fill="CCEEFF" w:val="clear"/>
            <w:tcMar>
              <w:bottom w:w="0" w:type="dxa"/>
            </w:tcMar>
            <w:vAlign w:val="bottom"/>
          </w:tcPr>
          <w:p>
            <w:pPr>
              <w:pStyle w:val="TableContents"/>
              <w:bidi w:val="0"/>
              <w:spacing w:before="0" w:after="283"/>
              <w:jc w:val="right"/>
              <w:rPr/>
            </w:pPr>
            <w:r>
              <w:rPr/>
              <w:t> </w:t>
            </w:r>
          </w:p>
        </w:tc>
        <w:tc>
          <w:tcPr>
            <w:tcW w:w="96" w:type="dxa"/>
            <w:tcBorders/>
            <w:shd w:fill="CCEEFF" w:val="clear"/>
            <w:tcMar>
              <w:bottom w:w="0" w:type="dxa"/>
            </w:tcMar>
            <w:vAlign w:val="bottom"/>
          </w:tcPr>
          <w:p>
            <w:pPr>
              <w:pStyle w:val="TableContents"/>
              <w:bidi w:val="0"/>
              <w:spacing w:before="0" w:after="283"/>
              <w:jc w:val="left"/>
              <w:rPr/>
            </w:pPr>
            <w:r>
              <w:rPr/>
              <w:t> </w:t>
            </w:r>
          </w:p>
        </w:tc>
      </w:tr>
      <w:tr>
        <w:trPr/>
        <w:tc>
          <w:tcPr>
            <w:tcW w:w="5153" w:type="dxa"/>
            <w:tcBorders/>
            <w:tcMar>
              <w:bottom w:w="0" w:type="dxa"/>
            </w:tcMar>
            <w:vAlign w:val="bottom"/>
          </w:tcPr>
          <w:p>
            <w:pPr>
              <w:pStyle w:val="TableContents"/>
              <w:bidi w:val="0"/>
              <w:spacing w:before="0" w:after="0"/>
              <w:ind w:left="144" w:right="0" w:hanging="144"/>
              <w:jc w:val="left"/>
              <w:rPr>
                <w:color w:val="000000"/>
              </w:rPr>
            </w:pPr>
            <w:r>
              <w:rPr>
                <w:color w:val="000000"/>
              </w:rPr>
              <w:t>Change in fair value of interest rate swaps hedging fixed rate loans</w:t>
            </w:r>
          </w:p>
        </w:tc>
        <w:tc>
          <w:tcPr>
            <w:tcW w:w="60" w:type="dxa"/>
            <w:tcBorders/>
            <w:tcMar>
              <w:bottom w:w="0" w:type="dxa"/>
            </w:tcMar>
            <w:vAlign w:val="bottom"/>
          </w:tcPr>
          <w:p>
            <w:pPr>
              <w:pStyle w:val="TableContents"/>
              <w:bidi w:val="0"/>
              <w:spacing w:before="0" w:after="283"/>
              <w:jc w:val="left"/>
              <w:rPr/>
            </w:pPr>
            <w:r>
              <w:rPr/>
              <w:t> </w:t>
            </w:r>
          </w:p>
        </w:tc>
        <w:tc>
          <w:tcPr>
            <w:tcW w:w="2081" w:type="dxa"/>
            <w:tcBorders/>
            <w:tcMar>
              <w:bottom w:w="0" w:type="dxa"/>
            </w:tcMar>
            <w:vAlign w:val="bottom"/>
          </w:tcPr>
          <w:p>
            <w:pPr>
              <w:pStyle w:val="TableContents"/>
              <w:bidi w:val="0"/>
              <w:spacing w:before="0" w:after="283"/>
              <w:jc w:val="left"/>
              <w:rPr/>
            </w:pPr>
            <w:r>
              <w:rPr/>
              <w:t>Interest income - Loans</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35" w:type="dxa"/>
            <w:tcBorders/>
            <w:tcMar>
              <w:bottom w:w="0" w:type="dxa"/>
            </w:tcMar>
            <w:vAlign w:val="bottom"/>
          </w:tcPr>
          <w:p>
            <w:pPr>
              <w:pStyle w:val="TableContents"/>
              <w:bidi w:val="0"/>
              <w:spacing w:before="0" w:after="0"/>
              <w:jc w:val="right"/>
              <w:rPr>
                <w:color w:val="000000"/>
              </w:rPr>
            </w:pPr>
            <w:r>
              <w:rPr>
                <w:color w:val="000000"/>
              </w:rPr>
              <w:t>(334</w:t>
            </w:r>
          </w:p>
        </w:tc>
        <w:tc>
          <w:tcPr>
            <w:tcW w:w="9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755" w:type="dxa"/>
            <w:tcBorders/>
            <w:tcMar>
              <w:bottom w:w="0" w:type="dxa"/>
            </w:tcMar>
            <w:vAlign w:val="bottom"/>
          </w:tcPr>
          <w:p>
            <w:pPr>
              <w:pStyle w:val="TableContents"/>
              <w:bidi w:val="0"/>
              <w:spacing w:before="0" w:after="0"/>
              <w:jc w:val="right"/>
              <w:rPr>
                <w:color w:val="000000"/>
              </w:rPr>
            </w:pPr>
            <w:r>
              <w:rPr>
                <w:color w:val="000000"/>
              </w:rPr>
              <w:t>911</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35" w:type="dxa"/>
            <w:tcBorders/>
            <w:tcMar>
              <w:bottom w:w="0" w:type="dxa"/>
            </w:tcMar>
            <w:vAlign w:val="bottom"/>
          </w:tcPr>
          <w:p>
            <w:pPr>
              <w:pStyle w:val="TableContents"/>
              <w:bidi w:val="0"/>
              <w:spacing w:before="0" w:after="283"/>
              <w:jc w:val="right"/>
              <w:rPr/>
            </w:pPr>
            <w:r>
              <w:rPr/>
              <w:t>498</w:t>
            </w:r>
          </w:p>
        </w:tc>
        <w:tc>
          <w:tcPr>
            <w:tcW w:w="96" w:type="dxa"/>
            <w:tcBorders/>
            <w:tcMar>
              <w:bottom w:w="0" w:type="dxa"/>
            </w:tcMar>
            <w:vAlign w:val="bottom"/>
          </w:tcPr>
          <w:p>
            <w:pPr>
              <w:pStyle w:val="TableContents"/>
              <w:bidi w:val="0"/>
              <w:spacing w:before="0" w:after="283"/>
              <w:jc w:val="left"/>
              <w:rPr/>
            </w:pPr>
            <w:r>
              <w:rPr/>
              <w:t> </w:t>
            </w:r>
          </w:p>
        </w:tc>
      </w:tr>
      <w:tr>
        <w:trPr/>
        <w:tc>
          <w:tcPr>
            <w:tcW w:w="5153"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Change in fair value of hedged fixed rate loans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81" w:type="dxa"/>
            <w:tcBorders/>
            <w:shd w:fill="CCEEFF" w:val="clear"/>
            <w:tcMar>
              <w:bottom w:w="0" w:type="dxa"/>
            </w:tcMar>
            <w:vAlign w:val="bottom"/>
          </w:tcPr>
          <w:p>
            <w:pPr>
              <w:pStyle w:val="TableContents"/>
              <w:bidi w:val="0"/>
              <w:spacing w:before="0" w:after="283"/>
              <w:jc w:val="left"/>
              <w:rPr/>
            </w:pPr>
            <w:r>
              <w:rPr/>
              <w:t>Interest income - Loans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35" w:type="dxa"/>
            <w:tcBorders/>
            <w:shd w:fill="CCEEFF" w:val="clear"/>
            <w:tcMar>
              <w:bottom w:w="0" w:type="dxa"/>
            </w:tcMar>
            <w:vAlign w:val="bottom"/>
          </w:tcPr>
          <w:p>
            <w:pPr>
              <w:pStyle w:val="TableContents"/>
              <w:bidi w:val="0"/>
              <w:spacing w:before="0" w:after="0"/>
              <w:jc w:val="right"/>
              <w:rPr>
                <w:color w:val="000000"/>
              </w:rPr>
            </w:pPr>
            <w:r>
              <w:rPr>
                <w:color w:val="000000"/>
              </w:rPr>
              <w:t>335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755" w:type="dxa"/>
            <w:tcBorders/>
            <w:shd w:fill="CCEEFF" w:val="clear"/>
            <w:tcMar>
              <w:bottom w:w="0" w:type="dxa"/>
            </w:tcMar>
            <w:vAlign w:val="bottom"/>
          </w:tcPr>
          <w:p>
            <w:pPr>
              <w:pStyle w:val="TableContents"/>
              <w:bidi w:val="0"/>
              <w:spacing w:before="0" w:after="0"/>
              <w:jc w:val="right"/>
              <w:rPr>
                <w:color w:val="000000"/>
              </w:rPr>
            </w:pPr>
            <w:r>
              <w:rPr>
                <w:color w:val="000000"/>
              </w:rPr>
              <w:t>(918</w:t>
            </w:r>
          </w:p>
        </w:tc>
        <w:tc>
          <w:tcPr>
            <w:tcW w:w="9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35" w:type="dxa"/>
            <w:tcBorders/>
            <w:shd w:fill="CCEEFF" w:val="clear"/>
            <w:tcMar>
              <w:bottom w:w="0" w:type="dxa"/>
            </w:tcMar>
            <w:vAlign w:val="bottom"/>
          </w:tcPr>
          <w:p>
            <w:pPr>
              <w:pStyle w:val="TableContents"/>
              <w:bidi w:val="0"/>
              <w:spacing w:before="0" w:after="283"/>
              <w:jc w:val="right"/>
              <w:rPr/>
            </w:pPr>
            <w:r>
              <w:rPr/>
              <w:t>(512</w:t>
            </w:r>
          </w:p>
        </w:tc>
        <w:tc>
          <w:tcPr>
            <w:tcW w:w="96" w:type="dxa"/>
            <w:tcBorders/>
            <w:shd w:fill="CCEEFF" w:val="clear"/>
            <w:tcMar>
              <w:bottom w:w="0" w:type="dxa"/>
            </w:tcMar>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fair value hedges included in the Consolidated Balance Sheets as of December 31:</w:t>
      </w:r>
    </w:p>
    <w:p>
      <w:pPr>
        <w:pStyle w:val="TextBody"/>
        <w:bidi w:val="0"/>
        <w:spacing w:before="0" w:after="0"/>
        <w:jc w:val="left"/>
        <w:rPr>
          <w:rFonts w:ascii="Times New Roman" w:hAnsi="Times New Roman"/>
          <w:sz w:val="20"/>
        </w:rPr>
      </w:pPr>
      <w:r>
        <w:rPr>
          <w:rFonts w:ascii="Times New Roman" w:hAnsi="Times New Roman"/>
          <w:sz w:val="20"/>
        </w:rPr>
      </w:r>
    </w:p>
    <w:tbl>
      <w:tblPr>
        <w:tblW w:w="9495" w:type="dxa"/>
        <w:jc w:val="left"/>
        <w:tblInd w:w="0" w:type="dxa"/>
        <w:tblLayout w:type="fixed"/>
        <w:tblCellMar>
          <w:top w:w="0" w:type="dxa"/>
          <w:left w:w="0" w:type="dxa"/>
          <w:bottom w:w="0" w:type="dxa"/>
          <w:right w:w="0" w:type="dxa"/>
        </w:tblCellMar>
      </w:tblPr>
      <w:tblGrid>
        <w:gridCol w:w="5495"/>
        <w:gridCol w:w="60"/>
        <w:gridCol w:w="140"/>
        <w:gridCol w:w="800"/>
        <w:gridCol w:w="60"/>
        <w:gridCol w:w="60"/>
        <w:gridCol w:w="140"/>
        <w:gridCol w:w="680"/>
        <w:gridCol w:w="60"/>
        <w:gridCol w:w="60"/>
        <w:gridCol w:w="140"/>
        <w:gridCol w:w="800"/>
        <w:gridCol w:w="60"/>
        <w:gridCol w:w="60"/>
        <w:gridCol w:w="140"/>
        <w:gridCol w:w="680"/>
        <w:gridCol w:w="60"/>
      </w:tblGrid>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ind w:left="180" w:right="0" w:hanging="180"/>
              <w:jc w:val="left"/>
              <w:rPr/>
            </w:pPr>
            <w:r>
              <w:rPr/>
              <w:t> </w:t>
            </w:r>
          </w:p>
        </w:tc>
      </w:tr>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0"/>
              <w:jc w:val="left"/>
              <w:rPr>
                <w:color w:val="000000"/>
              </w:rPr>
            </w:pPr>
            <w:r>
              <w:rPr>
                <w:color w:val="000000"/>
              </w:rPr>
              <w:t>Included in other liabilities: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360" w:right="0" w:hanging="180"/>
              <w:jc w:val="left"/>
              <w:rPr>
                <w:color w:val="000000"/>
              </w:rPr>
            </w:pPr>
            <w:r>
              <w:rPr>
                <w:color w:val="000000"/>
              </w:rPr>
              <w:t>Interest rate swaps related to fixed rate loans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0"/>
              <w:jc w:val="left"/>
              <w:rPr/>
            </w:pPr>
            <w:r>
              <w:rPr/>
              <w:t>Interest rate swaps related to state and municipal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283"/>
              <w:jc w:val="left"/>
              <w:rPr/>
            </w:pPr>
            <w:r>
              <w:rPr/>
              <w:t>Included in other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0"/>
              <w:jc w:val="left"/>
              <w:rPr/>
            </w:pPr>
            <w:r>
              <w:rPr/>
              <w:t>Interest rate swaps related to fixed rate loans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9,493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482</w:t>
            </w:r>
          </w:p>
        </w:tc>
        <w:tc>
          <w:tcPr>
            <w:tcW w:w="60"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180" w:right="0" w:hanging="0"/>
              <w:jc w:val="left"/>
              <w:rPr/>
            </w:pPr>
            <w:r>
              <w:rPr/>
              <w:t>Interest rate swaps related to state and municipal securities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123,760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16,628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123,760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20,125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Mortgage banking derivatives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net gains (losses) relating to free standing derivative instruments used for risk management are summarized below for the periods indicated (dollars in thousands):</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Layout w:type="fixed"/>
        <w:tblCellMar>
          <w:top w:w="0" w:type="dxa"/>
          <w:left w:w="0" w:type="dxa"/>
          <w:bottom w:w="0" w:type="dxa"/>
          <w:right w:w="0" w:type="dxa"/>
        </w:tblCellMar>
      </w:tblPr>
      <w:tblGrid>
        <w:gridCol w:w="3802"/>
        <w:gridCol w:w="2857"/>
        <w:gridCol w:w="60"/>
        <w:gridCol w:w="193"/>
        <w:gridCol w:w="628"/>
        <w:gridCol w:w="130"/>
        <w:gridCol w:w="82"/>
        <w:gridCol w:w="193"/>
        <w:gridCol w:w="877"/>
        <w:gridCol w:w="130"/>
        <w:gridCol w:w="82"/>
        <w:gridCol w:w="193"/>
        <w:gridCol w:w="877"/>
        <w:gridCol w:w="101"/>
      </w:tblGrid>
      <w:tr>
        <w:trPr/>
        <w:tc>
          <w:tcPr>
            <w:tcW w:w="3802" w:type="dxa"/>
            <w:tcBorders/>
            <w:vAlign w:val="bottom"/>
          </w:tcPr>
          <w:p>
            <w:pPr>
              <w:pStyle w:val="TableContents"/>
              <w:bidi w:val="0"/>
              <w:spacing w:before="0" w:after="283"/>
              <w:jc w:val="left"/>
              <w:rPr/>
            </w:pPr>
            <w:r>
              <w:rPr/>
              <w:t> </w:t>
            </w:r>
          </w:p>
        </w:tc>
        <w:tc>
          <w:tcPr>
            <w:tcW w:w="2857" w:type="dxa"/>
            <w:tcBorders>
              <w:bottom w:val="single" w:sz="12" w:space="0" w:color="000000"/>
            </w:tcBorders>
            <w:tcMar>
              <w:bottom w:w="28" w:type="dxa"/>
            </w:tcMar>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3385"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For the Year Ended December 31,</w:t>
            </w:r>
          </w:p>
        </w:tc>
        <w:tc>
          <w:tcPr>
            <w:tcW w:w="101" w:type="dxa"/>
            <w:tcBorders/>
            <w:vAlign w:val="bottom"/>
          </w:tcPr>
          <w:p>
            <w:pPr>
              <w:pStyle w:val="TableContents"/>
              <w:bidi w:val="0"/>
              <w:spacing w:before="0" w:after="283"/>
              <w:jc w:val="left"/>
              <w:rPr/>
            </w:pPr>
            <w:r>
              <w:rPr/>
              <w:t> </w:t>
            </w:r>
          </w:p>
        </w:tc>
      </w:tr>
      <w:tr>
        <w:trPr/>
        <w:tc>
          <w:tcPr>
            <w:tcW w:w="3802" w:type="dxa"/>
            <w:tcBorders/>
            <w:vAlign w:val="bottom"/>
          </w:tcPr>
          <w:p>
            <w:pPr>
              <w:pStyle w:val="TableContents"/>
              <w:bidi w:val="0"/>
              <w:spacing w:before="0" w:after="283"/>
              <w:jc w:val="left"/>
              <w:rPr/>
            </w:pPr>
            <w:r>
              <w:rPr/>
              <w:t> </w:t>
            </w:r>
          </w:p>
        </w:tc>
        <w:tc>
          <w:tcPr>
            <w:tcW w:w="2857" w:type="dxa"/>
            <w:tcBorders>
              <w:bottom w:val="single" w:sz="12" w:space="0" w:color="000000"/>
            </w:tcBorders>
            <w:tcMar>
              <w:bottom w:w="28" w:type="dxa"/>
            </w:tcMar>
            <w:vAlign w:val="bottom"/>
          </w:tcPr>
          <w:p>
            <w:pPr>
              <w:pStyle w:val="TableContents"/>
              <w:bidi w:val="0"/>
              <w:spacing w:before="0" w:after="283"/>
              <w:jc w:val="center"/>
              <w:rPr>
                <w:b/>
              </w:rPr>
            </w:pPr>
            <w:r>
              <w:rPr>
                <w:b/>
              </w:rPr>
              <w:t>Location</w:t>
            </w:r>
          </w:p>
        </w:tc>
        <w:tc>
          <w:tcPr>
            <w:tcW w:w="60" w:type="dxa"/>
            <w:tcBorders/>
            <w:vAlign w:val="bottom"/>
          </w:tcPr>
          <w:p>
            <w:pPr>
              <w:pStyle w:val="TableContents"/>
              <w:bidi w:val="0"/>
              <w:spacing w:before="0" w:after="283"/>
              <w:jc w:val="center"/>
              <w:rPr/>
            </w:pPr>
            <w:r>
              <w:rPr/>
              <w:t> </w:t>
            </w:r>
          </w:p>
        </w:tc>
        <w:tc>
          <w:tcPr>
            <w:tcW w:w="821"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2021</w:t>
            </w:r>
          </w:p>
        </w:tc>
        <w:tc>
          <w:tcPr>
            <w:tcW w:w="101" w:type="dxa"/>
            <w:tcBorders/>
            <w:vAlign w:val="bottom"/>
          </w:tcPr>
          <w:p>
            <w:pPr>
              <w:pStyle w:val="TableContents"/>
              <w:bidi w:val="0"/>
              <w:spacing w:before="0" w:after="283"/>
              <w:jc w:val="left"/>
              <w:rPr/>
            </w:pPr>
            <w:r>
              <w:rPr/>
              <w:t> </w:t>
            </w:r>
          </w:p>
        </w:tc>
      </w:tr>
      <w:tr>
        <w:trPr/>
        <w:tc>
          <w:tcPr>
            <w:tcW w:w="3802" w:type="dxa"/>
            <w:tcBorders/>
            <w:shd w:fill="CCEEFF" w:val="clear"/>
            <w:vAlign w:val="bottom"/>
          </w:tcPr>
          <w:p>
            <w:pPr>
              <w:pStyle w:val="TableContents"/>
              <w:bidi w:val="0"/>
              <w:spacing w:before="0" w:after="283"/>
              <w:jc w:val="left"/>
              <w:rPr/>
            </w:pPr>
            <w:r>
              <w:rPr/>
              <w:t>Gain (loss) on mortgage banking derivatives</w:t>
            </w:r>
          </w:p>
        </w:tc>
        <w:tc>
          <w:tcPr>
            <w:tcW w:w="2857" w:type="dxa"/>
            <w:tcBorders/>
            <w:shd w:fill="CCEEFF" w:val="clear"/>
            <w:vAlign w:val="bottom"/>
          </w:tcPr>
          <w:p>
            <w:pPr>
              <w:pStyle w:val="TableContents"/>
              <w:bidi w:val="0"/>
              <w:spacing w:before="0" w:after="283"/>
              <w:jc w:val="left"/>
              <w:rPr/>
            </w:pPr>
            <w:r>
              <w:rPr/>
              <w:t xml:space="preserve">Net gain (loss) on sales of loans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(405</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82"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color w:val="000000"/>
              </w:rPr>
            </w:pPr>
            <w:r>
              <w:rPr>
                <w:color w:val="000000"/>
              </w:rPr>
              <w:t>$</w:t>
            </w:r>
          </w:p>
        </w:tc>
        <w:tc>
          <w:tcPr>
            <w:tcW w:w="877" w:type="dxa"/>
            <w:tcBorders/>
            <w:shd w:fill="CCEEFF" w:val="clear"/>
            <w:vAlign w:val="bottom"/>
          </w:tcPr>
          <w:p>
            <w:pPr>
              <w:pStyle w:val="TableContents"/>
              <w:bidi w:val="0"/>
              <w:spacing w:before="0" w:after="0"/>
              <w:jc w:val="right"/>
              <w:rPr>
                <w:color w:val="000000"/>
              </w:rPr>
            </w:pPr>
            <w:r>
              <w:rPr>
                <w:color w:val="000000"/>
              </w:rPr>
              <w:t>(1,109</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82"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(1,792</w:t>
            </w:r>
          </w:p>
        </w:tc>
        <w:tc>
          <w:tcPr>
            <w:tcW w:w="101"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amount and fair value of mortgage banking derivatives in the Consolidated Balance Sheets as of December 31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9519" w:type="dxa"/>
        <w:jc w:val="left"/>
        <w:tblInd w:w="0" w:type="dxa"/>
        <w:tblLayout w:type="fixed"/>
        <w:tblCellMar>
          <w:top w:w="0" w:type="dxa"/>
          <w:left w:w="0" w:type="dxa"/>
          <w:bottom w:w="0" w:type="dxa"/>
          <w:right w:w="0" w:type="dxa"/>
        </w:tblCellMar>
      </w:tblPr>
      <w:tblGrid>
        <w:gridCol w:w="5375"/>
        <w:gridCol w:w="60"/>
        <w:gridCol w:w="187"/>
        <w:gridCol w:w="910"/>
        <w:gridCol w:w="80"/>
        <w:gridCol w:w="80"/>
        <w:gridCol w:w="187"/>
        <w:gridCol w:w="508"/>
        <w:gridCol w:w="60"/>
        <w:gridCol w:w="60"/>
        <w:gridCol w:w="187"/>
        <w:gridCol w:w="910"/>
        <w:gridCol w:w="80"/>
        <w:gridCol w:w="80"/>
        <w:gridCol w:w="187"/>
        <w:gridCol w:w="508"/>
        <w:gridCol w:w="60"/>
      </w:tblGrid>
      <w:tr>
        <w:trPr/>
        <w:tc>
          <w:tcPr>
            <w:tcW w:w="5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2022</w:t>
            </w:r>
          </w:p>
        </w:tc>
        <w:tc>
          <w:tcPr>
            <w:tcW w:w="60" w:type="dxa"/>
            <w:tcBorders/>
            <w:vAlign w:val="bottom"/>
          </w:tcPr>
          <w:p>
            <w:pPr>
              <w:pStyle w:val="TableContents"/>
              <w:bidi w:val="0"/>
              <w:spacing w:before="0" w:after="283"/>
              <w:ind w:left="180" w:right="0" w:hanging="180"/>
              <w:jc w:val="left"/>
              <w:rPr/>
            </w:pPr>
            <w:r>
              <w:rPr/>
              <w:t> </w:t>
            </w:r>
          </w:p>
        </w:tc>
      </w:tr>
      <w:tr>
        <w:trPr/>
        <w:tc>
          <w:tcPr>
            <w:tcW w:w="5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r>
      <w:tr>
        <w:trPr/>
        <w:tc>
          <w:tcPr>
            <w:tcW w:w="5375" w:type="dxa"/>
            <w:tcBorders/>
            <w:vAlign w:val="bottom"/>
          </w:tcPr>
          <w:p>
            <w:pPr>
              <w:pStyle w:val="TableContents"/>
              <w:bidi w:val="0"/>
              <w:spacing w:before="0" w:after="0"/>
              <w:ind w:left="180" w:right="0" w:hanging="180"/>
              <w:jc w:val="left"/>
              <w:rPr>
                <w:color w:val="000000"/>
              </w:rPr>
            </w:pPr>
            <w:r>
              <w:rPr>
                <w:color w:val="000000"/>
              </w:rPr>
              <w:t>Included in other assets:</w:t>
            </w:r>
          </w:p>
        </w:tc>
        <w:tc>
          <w:tcPr>
            <w:tcW w:w="60"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5375" w:type="dxa"/>
            <w:tcBorders/>
            <w:shd w:fill="CCEEFF" w:val="clear"/>
            <w:vAlign w:val="bottom"/>
          </w:tcPr>
          <w:p>
            <w:pPr>
              <w:pStyle w:val="TableContents"/>
              <w:bidi w:val="0"/>
              <w:spacing w:before="0" w:after="0"/>
              <w:ind w:left="360" w:right="0" w:hanging="180"/>
              <w:jc w:val="left"/>
              <w:rPr>
                <w:color w:val="000000"/>
              </w:rPr>
            </w:pPr>
            <w:r>
              <w:rPr>
                <w:color w:val="000000"/>
              </w:rPr>
              <w:t>Forward contracts related to mortgage loans held for sale</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91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5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910" w:type="dxa"/>
            <w:tcBorders/>
            <w:shd w:fill="CCEEFF" w:val="clear"/>
            <w:vAlign w:val="bottom"/>
          </w:tcPr>
          <w:p>
            <w:pPr>
              <w:pStyle w:val="TableContents"/>
              <w:bidi w:val="0"/>
              <w:spacing w:before="0" w:after="0"/>
              <w:jc w:val="right"/>
              <w:rPr>
                <w:color w:val="000000"/>
              </w:rPr>
            </w:pPr>
            <w:r>
              <w:rPr>
                <w:color w:val="000000"/>
              </w:rPr>
              <w:t>23,500</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508" w:type="dxa"/>
            <w:tcBorders/>
            <w:shd w:fill="CCEEFF" w:val="clear"/>
            <w:vAlign w:val="bottom"/>
          </w:tcPr>
          <w:p>
            <w:pPr>
              <w:pStyle w:val="TableContents"/>
              <w:bidi w:val="0"/>
              <w:spacing w:before="0" w:after="0"/>
              <w:jc w:val="right"/>
              <w:rPr>
                <w:color w:val="000000"/>
              </w:rPr>
            </w:pPr>
            <w:r>
              <w:rPr>
                <w:color w:val="000000"/>
              </w:rPr>
              <w:t>186</w:t>
            </w:r>
          </w:p>
        </w:tc>
        <w:tc>
          <w:tcPr>
            <w:tcW w:w="60" w:type="dxa"/>
            <w:tcBorders/>
            <w:shd w:fill="CCEEFF" w:val="clear"/>
            <w:vAlign w:val="bottom"/>
          </w:tcPr>
          <w:p>
            <w:pPr>
              <w:pStyle w:val="TableContents"/>
              <w:bidi w:val="0"/>
              <w:spacing w:before="0" w:after="283"/>
              <w:jc w:val="left"/>
              <w:rPr/>
            </w:pPr>
            <w:r>
              <w:rPr/>
              <w:t> </w:t>
            </w:r>
          </w:p>
        </w:tc>
      </w:tr>
      <w:tr>
        <w:trPr/>
        <w:tc>
          <w:tcPr>
            <w:tcW w:w="5375" w:type="dxa"/>
            <w:tcBorders/>
            <w:vAlign w:val="bottom"/>
          </w:tcPr>
          <w:p>
            <w:pPr>
              <w:pStyle w:val="TableContents"/>
              <w:bidi w:val="0"/>
              <w:spacing w:before="0" w:after="0"/>
              <w:ind w:left="360" w:right="0" w:hanging="180"/>
              <w:jc w:val="left"/>
              <w:rPr>
                <w:color w:val="000000"/>
              </w:rPr>
            </w:pPr>
            <w:r>
              <w:rPr>
                <w:color w:val="000000"/>
              </w:rPr>
              <w:t>Interest rate lock commitments</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16,887</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27,348</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369</w:t>
            </w:r>
          </w:p>
        </w:tc>
        <w:tc>
          <w:tcPr>
            <w:tcW w:w="60" w:type="dxa"/>
            <w:tcBorders/>
            <w:vAlign w:val="bottom"/>
          </w:tcPr>
          <w:p>
            <w:pPr>
              <w:pStyle w:val="TableContents"/>
              <w:bidi w:val="0"/>
              <w:spacing w:before="0" w:after="283"/>
              <w:jc w:val="left"/>
              <w:rPr/>
            </w:pPr>
            <w:r>
              <w:rPr/>
              <w:t> </w:t>
            </w:r>
          </w:p>
        </w:tc>
      </w:tr>
      <w:tr>
        <w:trPr/>
        <w:tc>
          <w:tcPr>
            <w:tcW w:w="5375" w:type="dxa"/>
            <w:tcBorders/>
            <w:shd w:fill="CCEEFF" w:val="clear"/>
            <w:vAlign w:val="bottom"/>
          </w:tcPr>
          <w:p>
            <w:pPr>
              <w:pStyle w:val="TableContents"/>
              <w:bidi w:val="0"/>
              <w:spacing w:before="0" w:after="0"/>
              <w:ind w:left="540" w:right="0" w:hanging="180"/>
              <w:jc w:val="left"/>
              <w:rPr>
                <w:color w:val="000000"/>
              </w:rPr>
            </w:pPr>
            <w:r>
              <w:rPr>
                <w:color w:val="000000"/>
              </w:rPr>
              <w:t>Total included in other assets</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16,887</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0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50,848</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0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555</w:t>
            </w:r>
          </w:p>
        </w:tc>
        <w:tc>
          <w:tcPr>
            <w:tcW w:w="60" w:type="dxa"/>
            <w:tcBorders/>
            <w:shd w:fill="CCEEFF" w:val="clear"/>
            <w:vAlign w:val="bottom"/>
          </w:tcPr>
          <w:p>
            <w:pPr>
              <w:pStyle w:val="TableContents"/>
              <w:bidi w:val="0"/>
              <w:spacing w:before="0" w:after="283"/>
              <w:ind w:left="180" w:right="0" w:hanging="180"/>
              <w:jc w:val="left"/>
              <w:rPr/>
            </w:pPr>
            <w:r>
              <w:rPr/>
              <w:t> </w:t>
            </w:r>
          </w:p>
        </w:tc>
      </w:tr>
      <w:tr>
        <w:trPr/>
        <w:tc>
          <w:tcPr>
            <w:tcW w:w="5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5375" w:type="dxa"/>
            <w:tcBorders/>
            <w:shd w:fill="CCEEFF" w:val="clear"/>
            <w:vAlign w:val="bottom"/>
          </w:tcPr>
          <w:p>
            <w:pPr>
              <w:pStyle w:val="TableContents"/>
              <w:bidi w:val="0"/>
              <w:spacing w:before="0" w:after="0"/>
              <w:ind w:left="180" w:right="0" w:hanging="180"/>
              <w:jc w:val="left"/>
              <w:rPr>
                <w:color w:val="000000"/>
              </w:rPr>
            </w:pPr>
            <w:r>
              <w:rPr>
                <w:color w:val="000000"/>
              </w:rPr>
              <w:t>Included in other liabilities: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5375" w:type="dxa"/>
            <w:tcBorders/>
            <w:vAlign w:val="bottom"/>
          </w:tcPr>
          <w:p>
            <w:pPr>
              <w:pStyle w:val="TableContents"/>
              <w:bidi w:val="0"/>
              <w:spacing w:before="0" w:after="0"/>
              <w:ind w:left="180" w:right="0" w:hanging="0"/>
              <w:jc w:val="left"/>
              <w:rPr>
                <w:color w:val="000000"/>
              </w:rPr>
            </w:pPr>
            <w:r>
              <w:rPr>
                <w:color w:val="000000"/>
              </w:rPr>
              <w:t>Forward contracts related to mortgage loans held for sale</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color w:val="000000"/>
              </w:rPr>
            </w:pPr>
            <w:r>
              <w:rPr>
                <w:color w:val="000000"/>
              </w:rPr>
              <w:t>$</w:t>
            </w:r>
          </w:p>
        </w:tc>
        <w:tc>
          <w:tcPr>
            <w:tcW w:w="910" w:type="dxa"/>
            <w:tcBorders/>
            <w:vAlign w:val="bottom"/>
          </w:tcPr>
          <w:p>
            <w:pPr>
              <w:pStyle w:val="TableContents"/>
              <w:bidi w:val="0"/>
              <w:spacing w:before="0" w:after="0"/>
              <w:jc w:val="right"/>
              <w:rPr>
                <w:color w:val="000000"/>
              </w:rPr>
            </w:pPr>
            <w:r>
              <w:rPr>
                <w:color w:val="000000"/>
              </w:rPr>
              <w:t>19,021</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color w:val="000000"/>
              </w:rPr>
            </w:pPr>
            <w:r>
              <w:rPr>
                <w:color w:val="000000"/>
              </w:rPr>
              <w:t>$</w:t>
            </w:r>
          </w:p>
        </w:tc>
        <w:tc>
          <w:tcPr>
            <w:tcW w:w="508" w:type="dxa"/>
            <w:tcBorders/>
            <w:vAlign w:val="bottom"/>
          </w:tcPr>
          <w:p>
            <w:pPr>
              <w:pStyle w:val="TableContents"/>
              <w:bidi w:val="0"/>
              <w:spacing w:before="0" w:after="0"/>
              <w:jc w:val="right"/>
              <w:rPr>
                <w:color w:val="000000"/>
              </w:rPr>
            </w:pPr>
            <w:r>
              <w:rPr>
                <w:color w:val="000000"/>
              </w:rPr>
              <w:t>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color w:val="000000"/>
              </w:rPr>
            </w:pPr>
            <w:r>
              <w:rPr>
                <w:color w:val="000000"/>
              </w:rPr>
              <w:t>$</w:t>
            </w:r>
          </w:p>
        </w:tc>
        <w:tc>
          <w:tcPr>
            <w:tcW w:w="910" w:type="dxa"/>
            <w:tcBorders/>
            <w:vAlign w:val="bottom"/>
          </w:tcPr>
          <w:p>
            <w:pPr>
              <w:pStyle w:val="TableContents"/>
              <w:bidi w:val="0"/>
              <w:spacing w:before="0" w:after="0"/>
              <w:jc w:val="right"/>
              <w:rPr>
                <w:color w:val="000000"/>
              </w:rPr>
            </w:pPr>
            <w:r>
              <w:rPr>
                <w:color w:val="000000"/>
              </w:rPr>
              <w:t>5,615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color w:val="000000"/>
              </w:rPr>
            </w:pPr>
            <w:r>
              <w:rPr>
                <w:color w:val="000000"/>
              </w:rPr>
              <w:t>$</w:t>
            </w:r>
          </w:p>
        </w:tc>
        <w:tc>
          <w:tcPr>
            <w:tcW w:w="508" w:type="dxa"/>
            <w:tcBorders/>
            <w:vAlign w:val="bottom"/>
          </w:tcPr>
          <w:p>
            <w:pPr>
              <w:pStyle w:val="TableContents"/>
              <w:bidi w:val="0"/>
              <w:spacing w:before="0" w:after="0"/>
              <w:jc w:val="right"/>
              <w:rPr>
                <w:color w:val="000000"/>
              </w:rPr>
            </w:pPr>
            <w:r>
              <w:rPr>
                <w:color w:val="000000"/>
              </w:rPr>
              <w:t>128</w:t>
            </w:r>
          </w:p>
        </w:tc>
        <w:tc>
          <w:tcPr>
            <w:tcW w:w="60" w:type="dxa"/>
            <w:tcBorders/>
            <w:vAlign w:val="bottom"/>
          </w:tcPr>
          <w:p>
            <w:pPr>
              <w:pStyle w:val="TableContents"/>
              <w:bidi w:val="0"/>
              <w:spacing w:before="0" w:after="283"/>
              <w:jc w:val="left"/>
              <w:rPr/>
            </w:pPr>
            <w:r>
              <w:rPr/>
              <w:t> </w:t>
            </w:r>
          </w:p>
        </w:tc>
      </w:tr>
      <w:tr>
        <w:trPr/>
        <w:tc>
          <w:tcPr>
            <w:tcW w:w="5375" w:type="dxa"/>
            <w:tcBorders/>
            <w:shd w:fill="CCEEFF" w:val="clear"/>
            <w:vAlign w:val="bottom"/>
          </w:tcPr>
          <w:p>
            <w:pPr>
              <w:pStyle w:val="TableContents"/>
              <w:bidi w:val="0"/>
              <w:spacing w:before="0" w:after="0"/>
              <w:ind w:left="180" w:right="0" w:hanging="0"/>
              <w:jc w:val="left"/>
              <w:rPr>
                <w:color w:val="000000"/>
              </w:rPr>
            </w:pPr>
            <w:r>
              <w:rPr>
                <w:color w:val="000000"/>
              </w:rPr>
              <w:t>Interest rate lock commitments</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r>
      <w:tr>
        <w:trPr/>
        <w:tc>
          <w:tcPr>
            <w:tcW w:w="5375" w:type="dxa"/>
            <w:tcBorders/>
            <w:vAlign w:val="bottom"/>
          </w:tcPr>
          <w:p>
            <w:pPr>
              <w:pStyle w:val="TableContents"/>
              <w:bidi w:val="0"/>
              <w:spacing w:before="0" w:after="0"/>
              <w:ind w:left="360" w:right="0" w:hanging="0"/>
              <w:jc w:val="left"/>
              <w:rPr>
                <w:color w:val="000000"/>
              </w:rPr>
            </w:pPr>
            <w:r>
              <w:rPr>
                <w:color w:val="000000"/>
              </w:rPr>
              <w:t>Total included in other liabilities</w:t>
            </w:r>
          </w:p>
        </w:tc>
        <w:tc>
          <w:tcPr>
            <w:tcW w:w="6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19,021</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0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5,615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0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had received cash collateral of $18.3 million and $18.9 million to offset asset derivative positions on its interest rate swaps at December 31, 2023 and 2022, respectively. This amount is reported in other liabilities in the Consolidated Balance Sheets. The Company had advanced $1.1 million and $1.1 million to offset liability derivative positions on its interest rate swaps at December 31, 2023 and 2022, respectively. Additionally, the Company had advanced $440 thousand and $440 thousand on its mortgage forward contracts at December 31, 2023 and 2022, respectively. The advanced cash collateral amounts are reported in cash and due from banks in the Consolidated Balance Sheets.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8140" w:type="dxa"/>
        <w:jc w:val="left"/>
        <w:tblInd w:w="0" w:type="dxa"/>
        <w:tblLayout w:type="fixed"/>
        <w:tblCellMar>
          <w:top w:w="0" w:type="dxa"/>
          <w:left w:w="0" w:type="dxa"/>
          <w:bottom w:w="0" w:type="dxa"/>
          <w:right w:w="0" w:type="dxa"/>
        </w:tblCellMar>
      </w:tblPr>
      <w:tblGrid>
        <w:gridCol w:w="335"/>
        <w:gridCol w:w="7805"/>
      </w:tblGrid>
      <w:tr>
        <w:trPr/>
        <w:tc>
          <w:tcPr>
            <w:tcW w:w="335" w:type="dxa"/>
            <w:tcBorders/>
            <w:vAlign w:val="center"/>
          </w:tcPr>
          <w:p>
            <w:pPr>
              <w:pStyle w:val="TableContents"/>
              <w:bidi w:val="0"/>
              <w:spacing w:before="0" w:after="0"/>
              <w:jc w:val="both"/>
              <w:rPr>
                <w:b/>
                <w:i/>
                <w:color w:val="000000"/>
              </w:rPr>
            </w:pPr>
            <w:r>
              <w:rPr>
                <w:b/>
                <w:i/>
                <w:color w:val="000000"/>
              </w:rPr>
              <w:t>18.</w:t>
            </w:r>
          </w:p>
        </w:tc>
        <w:tc>
          <w:tcPr>
            <w:tcW w:w="7805" w:type="dxa"/>
            <w:tcBorders/>
            <w:vAlign w:val="center"/>
          </w:tcPr>
          <w:p>
            <w:pPr>
              <w:pStyle w:val="TableContents"/>
              <w:bidi w:val="0"/>
              <w:spacing w:before="0" w:after="0"/>
              <w:jc w:val="both"/>
              <w:rPr>
                <w:b/>
                <w:i/>
                <w:color w:val="000000"/>
              </w:rPr>
            </w:pPr>
            <w:r>
              <w:rPr>
                <w:b/>
                <w:i/>
                <w:color w:val="000000"/>
              </w:rPr>
              <w:t>PARENT COMPANY ONLY CONDENSED FINANCIAL INFORMATION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Condensed financial information of South Plains Financial, Inc. follows (dollars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CONDENSED BALANCE SHEETS</w:t>
      </w:r>
    </w:p>
    <w:p>
      <w:pPr>
        <w:pStyle w:val="TextBody"/>
        <w:bidi w:val="0"/>
        <w:spacing w:before="0" w:after="0"/>
        <w:jc w:val="left"/>
        <w:rPr>
          <w:rFonts w:ascii="Times New Roman" w:hAnsi="Times New Roman"/>
          <w:sz w:val="20"/>
        </w:rPr>
      </w:pPr>
      <w:r>
        <w:rPr>
          <w:rFonts w:ascii="Times New Roman" w:hAnsi="Times New Roman"/>
          <w:sz w:val="20"/>
        </w:rPr>
      </w:r>
    </w:p>
    <w:tbl>
      <w:tblPr>
        <w:tblW w:w="7180" w:type="dxa"/>
        <w:jc w:val="left"/>
        <w:tblInd w:w="0" w:type="dxa"/>
        <w:tblLayout w:type="fixed"/>
        <w:tblCellMar>
          <w:top w:w="0" w:type="dxa"/>
          <w:left w:w="0" w:type="dxa"/>
          <w:bottom w:w="0" w:type="dxa"/>
          <w:right w:w="0" w:type="dxa"/>
        </w:tblCellMar>
      </w:tblPr>
      <w:tblGrid>
        <w:gridCol w:w="5060"/>
        <w:gridCol w:w="60"/>
        <w:gridCol w:w="140"/>
        <w:gridCol w:w="800"/>
        <w:gridCol w:w="60"/>
        <w:gridCol w:w="60"/>
        <w:gridCol w:w="140"/>
        <w:gridCol w:w="800"/>
        <w:gridCol w:w="60"/>
      </w:tblGrid>
      <w:tr>
        <w:trPr/>
        <w:tc>
          <w:tcPr>
            <w:tcW w:w="5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60" w:type="dxa"/>
            <w:tcBorders/>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0"/>
              <w:ind w:left="180" w:right="0" w:hanging="180"/>
              <w:jc w:val="left"/>
              <w:rPr>
                <w:color w:val="000000"/>
                <w:u w:val="single"/>
              </w:rPr>
            </w:pPr>
            <w:r>
              <w:rPr>
                <w:color w:val="000000"/>
                <w:u w:val="single"/>
              </w:rPr>
              <w:t>ASSETS</w:t>
            </w:r>
          </w:p>
        </w:tc>
        <w:tc>
          <w:tcPr>
            <w:tcW w:w="60" w:type="dxa"/>
            <w:tcBorders/>
            <w:vAlign w:val="bottom"/>
          </w:tcPr>
          <w:p>
            <w:pPr>
              <w:pStyle w:val="TableContents"/>
              <w:bidi w:val="0"/>
              <w:spacing w:before="0" w:after="283"/>
              <w:jc w:val="left"/>
              <w:rPr/>
            </w:pPr>
            <w:r>
              <w:rPr/>
              <w:t> </w:t>
            </w:r>
          </w:p>
        </w:tc>
        <w:tc>
          <w:tcPr>
            <w:tcW w:w="2000" w:type="dxa"/>
            <w:gridSpan w:val="6"/>
            <w:tcBorders/>
            <w:vAlign w:val="bottom"/>
          </w:tcPr>
          <w:p>
            <w:pPr>
              <w:pStyle w:val="TableContents"/>
              <w:bidi w:val="0"/>
              <w:spacing w:before="0" w:after="0"/>
              <w:jc w:val="center"/>
              <w:rPr>
                <w:color w:val="000000"/>
              </w:rPr>
            </w:pPr>
            <w:r>
              <w:rPr>
                <w:color w:val="000000"/>
              </w:rPr>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ind w:left="180" w:right="0" w:hanging="180"/>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87,167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98,996</w:t>
            </w:r>
          </w:p>
        </w:tc>
        <w:tc>
          <w:tcPr>
            <w:tcW w:w="60" w:type="dxa"/>
            <w:tcBorders/>
            <w:shd w:fill="CCEEFF" w:val="clear"/>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0"/>
              <w:ind w:left="180" w:right="0" w:hanging="180"/>
              <w:jc w:val="left"/>
              <w:rPr>
                <w:color w:val="000000"/>
              </w:rPr>
            </w:pPr>
            <w:r>
              <w:rPr>
                <w:color w:val="000000"/>
              </w:rPr>
              <w:t>Investment in banking subsidiary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420,677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373,308</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ind w:left="180" w:right="0" w:hanging="180"/>
              <w:jc w:val="left"/>
              <w:rPr>
                <w:color w:val="000000"/>
              </w:rPr>
            </w:pPr>
            <w:r>
              <w:rPr>
                <w:color w:val="000000"/>
              </w:rPr>
              <w:t>Investment in other subsidiary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51</w:t>
            </w:r>
          </w:p>
        </w:tc>
        <w:tc>
          <w:tcPr>
            <w:tcW w:w="60" w:type="dxa"/>
            <w:tcBorders/>
            <w:shd w:fill="CCEEFF" w:val="clear"/>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0"/>
              <w:ind w:left="180" w:right="0" w:hanging="180"/>
              <w:jc w:val="left"/>
              <w:rPr>
                <w:color w:val="000000"/>
              </w:rPr>
            </w:pPr>
            <w:r>
              <w:rPr>
                <w:color w:val="000000"/>
              </w:rPr>
              <w:t>Other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9,214</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ind w:left="360" w:right="0" w:hanging="180"/>
              <w:jc w:val="left"/>
              <w:rPr>
                <w:color w:val="000000"/>
              </w:rPr>
            </w:pPr>
            <w:r>
              <w:rPr>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520,487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481,569</w:t>
            </w:r>
          </w:p>
        </w:tc>
        <w:tc>
          <w:tcPr>
            <w:tcW w:w="60" w:type="dxa"/>
            <w:tcBorders/>
            <w:shd w:fill="CCEEFF" w:val="clear"/>
            <w:vAlign w:val="bottom"/>
          </w:tcPr>
          <w:p>
            <w:pPr>
              <w:pStyle w:val="TableContents"/>
              <w:bidi w:val="0"/>
              <w:spacing w:before="0" w:after="283"/>
              <w:ind w:left="180" w:right="0" w:hanging="180"/>
              <w:jc w:val="left"/>
              <w:rPr/>
            </w:pPr>
            <w:r>
              <w:rPr/>
              <w:t> </w:t>
            </w:r>
          </w:p>
        </w:tc>
      </w:tr>
      <w:tr>
        <w:trPr/>
        <w:tc>
          <w:tcPr>
            <w:tcW w:w="50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ind w:left="180" w:right="0" w:hanging="180"/>
              <w:jc w:val="left"/>
              <w:rPr>
                <w:color w:val="000000"/>
                <w:u w:val="single"/>
              </w:rPr>
            </w:pPr>
            <w:r>
              <w:rPr>
                <w:color w:val="000000"/>
                <w:u w:val="single"/>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0"/>
              <w:ind w:left="180" w:right="0" w:hanging="180"/>
              <w:jc w:val="left"/>
              <w:rPr>
                <w:color w:val="000000"/>
              </w:rPr>
            </w:pPr>
            <w:r>
              <w:rPr>
                <w:color w:val="000000"/>
              </w:rPr>
              <w:t>Debt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110,168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122,354</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ind w:left="180" w:right="0" w:hanging="180"/>
              <w:jc w:val="left"/>
              <w:rPr>
                <w:color w:val="000000"/>
              </w:rPr>
            </w:pPr>
            <w:r>
              <w:rPr>
                <w:color w:val="000000"/>
              </w:rPr>
              <w:t>Accrued expenses and other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3,205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2,201</w:t>
            </w:r>
          </w:p>
        </w:tc>
        <w:tc>
          <w:tcPr>
            <w:tcW w:w="60" w:type="dxa"/>
            <w:tcBorders/>
            <w:shd w:fill="CCEEFF" w:val="clear"/>
            <w:vAlign w:val="bottom"/>
          </w:tcPr>
          <w:p>
            <w:pPr>
              <w:pStyle w:val="TableContents"/>
              <w:bidi w:val="0"/>
              <w:spacing w:before="0" w:after="283"/>
              <w:jc w:val="left"/>
              <w:rPr/>
            </w:pPr>
            <w:r>
              <w:rPr/>
              <w:t> </w:t>
            </w:r>
          </w:p>
        </w:tc>
      </w:tr>
      <w:tr>
        <w:trPr/>
        <w:tc>
          <w:tcPr>
            <w:tcW w:w="5060" w:type="dxa"/>
            <w:tcBorders/>
            <w:vAlign w:val="bottom"/>
          </w:tcPr>
          <w:p>
            <w:pPr>
              <w:pStyle w:val="TableContents"/>
              <w:bidi w:val="0"/>
              <w:spacing w:before="0" w:after="0"/>
              <w:ind w:left="180" w:right="0" w:hanging="180"/>
              <w:jc w:val="left"/>
              <w:rPr>
                <w:color w:val="000000"/>
              </w:rPr>
            </w:pPr>
            <w:r>
              <w:rPr>
                <w:color w:val="000000"/>
              </w:rPr>
              <w:t>Stockholders’ equity</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407,114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357,014</w:t>
            </w:r>
          </w:p>
        </w:tc>
        <w:tc>
          <w:tcPr>
            <w:tcW w:w="60" w:type="dxa"/>
            <w:tcBorders/>
            <w:vAlign w:val="bottom"/>
          </w:tcPr>
          <w:p>
            <w:pPr>
              <w:pStyle w:val="TableContents"/>
              <w:bidi w:val="0"/>
              <w:spacing w:before="0" w:after="283"/>
              <w:jc w:val="left"/>
              <w:rPr/>
            </w:pPr>
            <w:r>
              <w:rPr/>
              <w:t> </w:t>
            </w:r>
          </w:p>
        </w:tc>
      </w:tr>
      <w:tr>
        <w:trPr/>
        <w:tc>
          <w:tcPr>
            <w:tcW w:w="5060" w:type="dxa"/>
            <w:tcBorders/>
            <w:shd w:fill="CCEEFF" w:val="clear"/>
            <w:vAlign w:val="bottom"/>
          </w:tcPr>
          <w:p>
            <w:pPr>
              <w:pStyle w:val="TableContents"/>
              <w:bidi w:val="0"/>
              <w:spacing w:before="0" w:after="0"/>
              <w:ind w:left="540" w:right="0" w:hanging="180"/>
              <w:jc w:val="left"/>
              <w:rPr>
                <w:color w:val="000000"/>
              </w:rPr>
            </w:pPr>
            <w:r>
              <w:rPr>
                <w:color w:val="000000"/>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520,487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481,569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CONDENSED STATEMENTS OF INCOME</w:t>
      </w:r>
    </w:p>
    <w:p>
      <w:pPr>
        <w:pStyle w:val="TextBody"/>
        <w:bidi w:val="0"/>
        <w:spacing w:before="0" w:after="0"/>
        <w:jc w:val="center"/>
        <w:rPr>
          <w:rFonts w:ascii="Times New Roman" w:hAnsi="Times New Roman"/>
          <w:b/>
          <w:i/>
          <w:caps w:val="false"/>
          <w:smallCaps w:val="false"/>
          <w:color w:val="000000"/>
          <w:sz w:val="20"/>
        </w:rPr>
      </w:pPr>
      <w:r>
        <w:rPr>
          <w:rFonts w:ascii="Times New Roman" w:hAnsi="Times New Roman"/>
          <w:b/>
          <w:i/>
          <w:caps w:val="false"/>
          <w:smallCaps w:val="false"/>
          <w:color w:val="000000"/>
          <w:sz w:val="20"/>
        </w:rPr>
      </w:r>
    </w:p>
    <w:tbl>
      <w:tblPr>
        <w:tblW w:w="7730" w:type="dxa"/>
        <w:jc w:val="center"/>
        <w:tblInd w:w="0" w:type="dxa"/>
        <w:tblLayout w:type="fixed"/>
        <w:tblCellMar>
          <w:top w:w="0" w:type="dxa"/>
          <w:left w:w="0" w:type="dxa"/>
          <w:bottom w:w="0" w:type="dxa"/>
          <w:right w:w="0" w:type="dxa"/>
        </w:tblCellMar>
      </w:tblPr>
      <w:tblGrid>
        <w:gridCol w:w="5150"/>
        <w:gridCol w:w="60"/>
        <w:gridCol w:w="125"/>
        <w:gridCol w:w="590"/>
        <w:gridCol w:w="80"/>
        <w:gridCol w:w="60"/>
        <w:gridCol w:w="125"/>
        <w:gridCol w:w="590"/>
        <w:gridCol w:w="80"/>
        <w:gridCol w:w="60"/>
        <w:gridCol w:w="125"/>
        <w:gridCol w:w="590"/>
        <w:gridCol w:w="95"/>
      </w:tblGrid>
      <w:tr>
        <w:trPr/>
        <w:tc>
          <w:tcPr>
            <w:tcW w:w="51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2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 Ended December 31,</w:t>
            </w:r>
          </w:p>
        </w:tc>
        <w:tc>
          <w:tcPr>
            <w:tcW w:w="95"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2023</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2022</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95" w:type="dxa"/>
            <w:tcBorders/>
            <w:vAlign w:val="bottom"/>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Dividends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35,000</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40,375</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48,250</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5150"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Other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100</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59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52</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59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26</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5150"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(7,294</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(5,689</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(4,936</w:t>
            </w:r>
          </w:p>
        </w:tc>
        <w:tc>
          <w:tcPr>
            <w:tcW w:w="9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5150"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Other expense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(1,897</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(1,768</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(1,466</w:t>
            </w:r>
          </w:p>
        </w:tc>
        <w:tc>
          <w:tcPr>
            <w:tcW w:w="95"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5150"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Income before income tax and undistributed subsidiary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25,909</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32,970</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41,874</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5150"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Income tax benefit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(1,904</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59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(1,555</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59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(1,339</w:t>
            </w:r>
          </w:p>
        </w:tc>
        <w:tc>
          <w:tcPr>
            <w:tcW w:w="95"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5150"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Equity in undistributed subsidiary income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34,932</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23,715</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15,401</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5150"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Net income</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62,745</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58,240</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58,614</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CONDENSED STATEMENTS OF CASH FLOWS</w:t>
      </w:r>
    </w:p>
    <w:p>
      <w:pPr>
        <w:pStyle w:val="TextBody"/>
        <w:bidi w:val="0"/>
        <w:spacing w:before="0" w:after="0"/>
        <w:jc w:val="center"/>
        <w:rPr>
          <w:rFonts w:ascii="Times New Roman" w:hAnsi="Times New Roman"/>
          <w:b/>
          <w:i/>
          <w:caps w:val="false"/>
          <w:smallCaps w:val="false"/>
          <w:color w:val="000000"/>
          <w:sz w:val="20"/>
        </w:rPr>
      </w:pPr>
      <w:r>
        <w:rPr>
          <w:rFonts w:ascii="Times New Roman" w:hAnsi="Times New Roman"/>
          <w:b/>
          <w:i/>
          <w:caps w:val="false"/>
          <w:smallCaps w:val="false"/>
          <w:color w:val="000000"/>
          <w:sz w:val="20"/>
        </w:rPr>
      </w:r>
    </w:p>
    <w:tbl>
      <w:tblPr>
        <w:tblW w:w="7460" w:type="dxa"/>
        <w:jc w:val="center"/>
        <w:tblInd w:w="0" w:type="dxa"/>
        <w:tblLayout w:type="fixed"/>
        <w:tblCellMar>
          <w:top w:w="0" w:type="dxa"/>
          <w:left w:w="0" w:type="dxa"/>
          <w:bottom w:w="0" w:type="dxa"/>
          <w:right w:w="0" w:type="dxa"/>
        </w:tblCellMar>
      </w:tblPr>
      <w:tblGrid>
        <w:gridCol w:w="4700"/>
        <w:gridCol w:w="60"/>
        <w:gridCol w:w="125"/>
        <w:gridCol w:w="650"/>
        <w:gridCol w:w="80"/>
        <w:gridCol w:w="60"/>
        <w:gridCol w:w="125"/>
        <w:gridCol w:w="650"/>
        <w:gridCol w:w="80"/>
        <w:gridCol w:w="60"/>
        <w:gridCol w:w="125"/>
        <w:gridCol w:w="650"/>
        <w:gridCol w:w="95"/>
      </w:tblGrid>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Year Ended December 31,</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2023</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2022</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2021</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Cash flows from operating activities:</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288"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62,745</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58,240</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58,614</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bottom"/>
          </w:tcPr>
          <w:p>
            <w:pPr>
              <w:pStyle w:val="TableContents"/>
              <w:bidi w:val="0"/>
              <w:spacing w:before="0" w:after="0"/>
              <w:ind w:left="288"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Adjustments: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Equity in undistributed subsidiary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(34,932</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(23,715</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(15,401</w:t>
            </w:r>
          </w:p>
        </w:tc>
        <w:tc>
          <w:tcPr>
            <w:tcW w:w="9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4700" w:type="dxa"/>
            <w:tcBorders/>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Amortization of debt issuance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186</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186</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186</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Stock 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2,157</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2,753</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1,639</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Change in other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(3,378</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(3,201</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(1,765</w:t>
            </w:r>
          </w:p>
        </w:tc>
        <w:tc>
          <w:tcPr>
            <w:tcW w:w="95"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4700" w:type="dxa"/>
            <w:tcBorders/>
            <w:shd w:fill="CCEEFF" w:val="clear"/>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Change in 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1,004</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369</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317</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bottom"/>
          </w:tcPr>
          <w:p>
            <w:pPr>
              <w:pStyle w:val="TableContents"/>
              <w:bidi w:val="0"/>
              <w:spacing w:before="0" w:after="0"/>
              <w:ind w:left="360" w:right="0" w:hanging="0"/>
              <w:jc w:val="left"/>
              <w:rPr>
                <w:rFonts w:ascii="Times New Roman" w:hAnsi="Times New Roman"/>
                <w:i w:val="false"/>
                <w:caps w:val="false"/>
                <w:smallCaps w:val="false"/>
                <w:sz w:val="20"/>
              </w:rPr>
            </w:pPr>
            <w:r>
              <w:rPr>
                <w:rFonts w:ascii="Times New Roman" w:hAnsi="Times New Roman"/>
                <w:i w:val="false"/>
                <w:caps w:val="false"/>
                <w:smallCaps w:val="false"/>
                <w:sz w:val="20"/>
              </w:rPr>
              <w:t>Net cash provided by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27,782</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34,632</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43,590</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Repayments of long-term borrowings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(12,372</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caps w:val="false"/>
                <w:smallCaps w:val="false"/>
              </w:rPr>
            </w:pPr>
            <w:r>
              <w:rPr>
                <w:caps w:val="false"/>
                <w:smallCaps w:val="false"/>
              </w:rPr>
              <w:t>—</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Payments to tax authorities for stock-based compensation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(731</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(1,168</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(625</w:t>
            </w:r>
          </w:p>
        </w:tc>
        <w:tc>
          <w:tcPr>
            <w:tcW w:w="95"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4700" w:type="dxa"/>
            <w:tcBorders/>
            <w:shd w:fill="CCEEFF" w:val="clear"/>
            <w:vAlign w:val="bottom"/>
          </w:tcPr>
          <w:p>
            <w:pPr>
              <w:pStyle w:val="TableContents"/>
              <w:bidi w:val="0"/>
              <w:spacing w:before="0" w:after="0"/>
              <w:ind w:left="50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Payments to repurchase 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(17,763</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(22,699</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(9,227</w:t>
            </w:r>
          </w:p>
        </w:tc>
        <w:tc>
          <w:tcPr>
            <w:tcW w:w="9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4700" w:type="dxa"/>
            <w:tcBorders/>
            <w:vAlign w:val="bottom"/>
          </w:tcPr>
          <w:p>
            <w:pPr>
              <w:pStyle w:val="TableContents"/>
              <w:bidi w:val="0"/>
              <w:spacing w:before="0" w:after="0"/>
              <w:ind w:left="360" w:right="0" w:hanging="0"/>
              <w:jc w:val="left"/>
              <w:rPr>
                <w:rFonts w:ascii="Times New Roman" w:hAnsi="Times New Roman"/>
                <w:i w:val="false"/>
                <w:caps w:val="false"/>
                <w:smallCaps w:val="false"/>
                <w:sz w:val="20"/>
              </w:rPr>
            </w:pPr>
            <w:r>
              <w:rPr>
                <w:rFonts w:ascii="Times New Roman" w:hAnsi="Times New Roman"/>
                <w:i w:val="false"/>
                <w:caps w:val="false"/>
                <w:smallCaps w:val="false"/>
                <w:sz w:val="20"/>
              </w:rPr>
              <w:t>Cash dividends paid on common stock</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(8,745</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(8,012</w:t>
            </w:r>
          </w:p>
        </w:tc>
        <w:tc>
          <w:tcPr>
            <w:tcW w:w="80"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(5,385</w:t>
            </w:r>
          </w:p>
        </w:tc>
        <w:tc>
          <w:tcPr>
            <w:tcW w:w="95" w:type="dxa"/>
            <w:tcBorders/>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4700" w:type="dxa"/>
            <w:tcBorders/>
            <w:shd w:fill="CCEEFF" w:val="clear"/>
            <w:vAlign w:val="bottom"/>
          </w:tcPr>
          <w:p>
            <w:pPr>
              <w:pStyle w:val="TableContents"/>
              <w:bidi w:val="0"/>
              <w:spacing w:before="0" w:after="0"/>
              <w:ind w:left="540" w:right="0" w:hanging="0"/>
              <w:jc w:val="left"/>
              <w:rPr>
                <w:rFonts w:ascii="Times New Roman" w:hAnsi="Times New Roman"/>
                <w:i w:val="false"/>
                <w:caps w:val="false"/>
                <w:smallCaps w:val="false"/>
                <w:sz w:val="20"/>
              </w:rPr>
            </w:pPr>
            <w:r>
              <w:rPr>
                <w:rFonts w:ascii="Times New Roman" w:hAnsi="Times New Roman"/>
                <w:i w:val="false"/>
                <w:caps w:val="false"/>
                <w:smallCaps w:val="false"/>
                <w:sz w:val="20"/>
              </w:rPr>
              <w:t>Net cash provided by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(39,611</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(31,879</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(15,237</w:t>
            </w:r>
          </w:p>
        </w:tc>
        <w:tc>
          <w:tcPr>
            <w:tcW w:w="95"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r>
      <w:tr>
        <w:trPr/>
        <w:tc>
          <w:tcPr>
            <w:tcW w:w="470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vAlign w:val="bottom"/>
          </w:tcPr>
          <w:p>
            <w:pPr>
              <w:pStyle w:val="TableContents"/>
              <w:bidi w:val="0"/>
              <w:spacing w:before="0" w:after="283"/>
              <w:jc w:val="left"/>
              <w:rPr>
                <w:caps w:val="false"/>
                <w:smallCaps w:val="false"/>
              </w:rPr>
            </w:pPr>
            <w:r>
              <w:rPr>
                <w:caps w:val="false"/>
                <w:smallCaps w:val="false"/>
              </w:rPr>
              <w:t> </w:t>
            </w:r>
          </w:p>
        </w:tc>
        <w:tc>
          <w:tcPr>
            <w:tcW w:w="650" w:type="dxa"/>
            <w:tcBorders/>
            <w:vAlign w:val="bottom"/>
          </w:tcPr>
          <w:p>
            <w:pPr>
              <w:pStyle w:val="TableContents"/>
              <w:bidi w:val="0"/>
              <w:spacing w:before="0" w:after="283"/>
              <w:jc w:val="right"/>
              <w:rPr>
                <w:caps w:val="false"/>
                <w:smallCaps w:val="false"/>
              </w:rPr>
            </w:pPr>
            <w:r>
              <w:rPr>
                <w:caps w:val="false"/>
                <w:smallCaps w:val="false"/>
              </w:rPr>
              <w:t> </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Net change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(11,829</w:t>
            </w:r>
          </w:p>
        </w:tc>
        <w:tc>
          <w:tcPr>
            <w:tcW w:w="80" w:type="dxa"/>
            <w:tcBorders/>
            <w:shd w:fill="CCEEFF" w:val="cle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2,753</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28,353</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Beginning cash and cash equivalents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98,996</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96,243</w:t>
            </w:r>
          </w:p>
        </w:tc>
        <w:tc>
          <w:tcPr>
            <w:tcW w:w="8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single" w:sz="12" w:space="0" w:color="000000"/>
            </w:tcBorders>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67,890</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4700" w:type="dxa"/>
            <w:tcBorders/>
            <w:shd w:fill="CCEEFF" w:val="clear"/>
            <w:vAlign w:val="bottom"/>
          </w:tcPr>
          <w:p>
            <w:pPr>
              <w:pStyle w:val="TableContents"/>
              <w:bidi w:val="0"/>
              <w:spacing w:before="0" w:after="0"/>
              <w:ind w:left="144" w:right="0" w:hanging="144"/>
              <w:jc w:val="left"/>
              <w:rPr>
                <w:rFonts w:ascii="Times New Roman" w:hAnsi="Times New Roman"/>
                <w:i w:val="false"/>
                <w:caps w:val="false"/>
                <w:smallCaps w:val="false"/>
                <w:sz w:val="20"/>
              </w:rPr>
            </w:pPr>
            <w:r>
              <w:rPr>
                <w:rFonts w:ascii="Times New Roman" w:hAnsi="Times New Roman"/>
                <w:i w:val="false"/>
                <w:caps w:val="false"/>
                <w:smallCaps w:val="false"/>
                <w:sz w:val="20"/>
              </w:rPr>
              <w:t>Ending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87,167</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98,996</w:t>
            </w:r>
          </w:p>
        </w:tc>
        <w:tc>
          <w:tcPr>
            <w:tcW w:w="8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right"/>
              <w:rPr>
                <w:caps w:val="false"/>
                <w:smallCaps w:val="false"/>
              </w:rPr>
            </w:pPr>
            <w:r>
              <w:rPr>
                <w:caps w:val="false"/>
                <w:smallCaps w:val="false"/>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i w:val="false"/>
                <w:caps w:val="false"/>
                <w:smallCaps w:val="false"/>
                <w:sz w:val="20"/>
              </w:rPr>
            </w:pPr>
            <w:r>
              <w:rPr>
                <w:rFonts w:ascii="Times New Roman" w:hAnsi="Times New Roman"/>
                <w:i w:val="false"/>
                <w:caps w:val="false"/>
                <w:smallCaps w:val="false"/>
                <w:sz w:val="20"/>
              </w:rPr>
              <w:t>96,243</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r>
    </w:p>
    <w:tbl>
      <w:tblPr>
        <w:tblW w:w="3040" w:type="dxa"/>
        <w:jc w:val="left"/>
        <w:tblInd w:w="0" w:type="dxa"/>
        <w:tblLayout w:type="fixed"/>
        <w:tblCellMar>
          <w:top w:w="0" w:type="dxa"/>
          <w:left w:w="0" w:type="dxa"/>
          <w:bottom w:w="0" w:type="dxa"/>
          <w:right w:w="0" w:type="dxa"/>
        </w:tblCellMar>
      </w:tblPr>
      <w:tblGrid>
        <w:gridCol w:w="335"/>
        <w:gridCol w:w="2705"/>
      </w:tblGrid>
      <w:tr>
        <w:trPr/>
        <w:tc>
          <w:tcPr>
            <w:tcW w:w="335" w:type="dxa"/>
            <w:tcBorders/>
            <w:vAlign w:val="center"/>
          </w:tcPr>
          <w:p>
            <w:pPr>
              <w:pStyle w:val="TableContents"/>
              <w:bidi w:val="0"/>
              <w:spacing w:before="0" w:after="0"/>
              <w:jc w:val="both"/>
              <w:rPr>
                <w:b/>
                <w:i/>
                <w:color w:val="000000"/>
              </w:rPr>
            </w:pPr>
            <w:r>
              <w:rPr>
                <w:b/>
                <w:i/>
                <w:color w:val="000000"/>
              </w:rPr>
              <w:t>19.</w:t>
            </w:r>
          </w:p>
        </w:tc>
        <w:tc>
          <w:tcPr>
            <w:tcW w:w="2705" w:type="dxa"/>
            <w:tcBorders/>
            <w:vAlign w:val="center"/>
          </w:tcPr>
          <w:p>
            <w:pPr>
              <w:pStyle w:val="TableContents"/>
              <w:bidi w:val="0"/>
              <w:spacing w:before="0" w:after="0"/>
              <w:ind w:left="720" w:right="0" w:hanging="720"/>
              <w:jc w:val="both"/>
              <w:rPr>
                <w:b/>
                <w:i/>
                <w:color w:val="000000"/>
              </w:rPr>
            </w:pPr>
            <w:r>
              <w:rPr>
                <w:b/>
                <w:i/>
                <w:color w:val="000000"/>
              </w:rPr>
              <w:t>EARNINGS PER SHARE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factors used in the earnings per share computation follow (dollars in thousands, except per share data):</w:t>
      </w:r>
    </w:p>
    <w:p>
      <w:pPr>
        <w:pStyle w:val="TextBody"/>
        <w:bidi w:val="0"/>
        <w:spacing w:before="0" w:after="0"/>
        <w:jc w:val="left"/>
        <w:rPr>
          <w:rFonts w:ascii="Times New Roman" w:hAnsi="Times New Roman"/>
          <w:sz w:val="20"/>
        </w:rPr>
      </w:pPr>
      <w:r>
        <w:rPr>
          <w:rFonts w:ascii="Times New Roman" w:hAnsi="Times New Roman"/>
          <w:sz w:val="20"/>
        </w:rPr>
      </w:r>
    </w:p>
    <w:tbl>
      <w:tblPr>
        <w:tblW w:w="8150" w:type="dxa"/>
        <w:jc w:val="left"/>
        <w:tblInd w:w="0" w:type="dxa"/>
        <w:tblLayout w:type="fixed"/>
        <w:tblCellMar>
          <w:top w:w="0" w:type="dxa"/>
          <w:left w:w="0" w:type="dxa"/>
          <w:bottom w:w="0" w:type="dxa"/>
          <w:right w:w="0" w:type="dxa"/>
        </w:tblCellMar>
      </w:tblPr>
      <w:tblGrid>
        <w:gridCol w:w="4550"/>
        <w:gridCol w:w="60"/>
        <w:gridCol w:w="125"/>
        <w:gridCol w:w="950"/>
        <w:gridCol w:w="60"/>
        <w:gridCol w:w="60"/>
        <w:gridCol w:w="125"/>
        <w:gridCol w:w="950"/>
        <w:gridCol w:w="60"/>
        <w:gridCol w:w="60"/>
        <w:gridCol w:w="125"/>
        <w:gridCol w:w="950"/>
        <w:gridCol w:w="75"/>
      </w:tblGrid>
      <w:tr>
        <w:trPr/>
        <w:tc>
          <w:tcPr>
            <w:tcW w:w="455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46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2021</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58,614</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common shares outstanding - basic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16,843,753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17,373,138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17,953,624</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Effect of dilutive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283"/>
              <w:jc w:val="left"/>
              <w:rPr/>
            </w:pPr>
            <w:r>
              <w:rPr/>
              <w:t xml:space="preserve">Stock based compensation awards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489,459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646,690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538,594</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common shares outstanding - diluted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17,333,212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18,019,828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18,492,218</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3.26</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180" w:type="dxa"/>
        <w:jc w:val="left"/>
        <w:tblInd w:w="0" w:type="dxa"/>
        <w:tblLayout w:type="fixed"/>
        <w:tblCellMar>
          <w:top w:w="0" w:type="dxa"/>
          <w:left w:w="0" w:type="dxa"/>
          <w:bottom w:w="0" w:type="dxa"/>
          <w:right w:w="0" w:type="dxa"/>
        </w:tblCellMar>
      </w:tblPr>
      <w:tblGrid>
        <w:gridCol w:w="335"/>
        <w:gridCol w:w="6845"/>
      </w:tblGrid>
      <w:tr>
        <w:trPr/>
        <w:tc>
          <w:tcPr>
            <w:tcW w:w="335" w:type="dxa"/>
            <w:tcBorders/>
            <w:vAlign w:val="center"/>
          </w:tcPr>
          <w:p>
            <w:pPr>
              <w:pStyle w:val="TableContents"/>
              <w:bidi w:val="0"/>
              <w:spacing w:before="0" w:after="0"/>
              <w:jc w:val="both"/>
              <w:rPr>
                <w:b/>
                <w:i/>
                <w:color w:val="000000"/>
              </w:rPr>
            </w:pPr>
            <w:r>
              <w:rPr>
                <w:b/>
                <w:i/>
                <w:color w:val="000000"/>
              </w:rPr>
              <w:t>20.</w:t>
            </w:r>
          </w:p>
        </w:tc>
        <w:tc>
          <w:tcPr>
            <w:tcW w:w="6845" w:type="dxa"/>
            <w:tcBorders/>
            <w:vAlign w:val="center"/>
          </w:tcPr>
          <w:p>
            <w:pPr>
              <w:pStyle w:val="TableContents"/>
              <w:bidi w:val="0"/>
              <w:spacing w:before="0" w:after="0"/>
              <w:ind w:left="720" w:right="0" w:hanging="720"/>
              <w:jc w:val="both"/>
              <w:rPr>
                <w:b/>
                <w:i/>
                <w:color w:val="000000"/>
              </w:rPr>
            </w:pPr>
            <w:r>
              <w:rPr>
                <w:b/>
                <w:i/>
                <w:color w:val="000000"/>
              </w:rPr>
              <w:t>ACCUMULATED OTHER COMPREHENSIVE INCOME (LOSS)</w:t>
            </w:r>
          </w:p>
        </w:tc>
      </w:tr>
    </w:tbl>
    <w:p>
      <w:pPr>
        <w:pStyle w:val="TextBody"/>
        <w:bidi w:val="0"/>
        <w:spacing w:before="0" w:after="0"/>
        <w:jc w:val="left"/>
        <w:rPr/>
      </w:pPr>
      <w:r>
        <w:rPr/>
      </w:r>
    </w:p>
    <w:p>
      <w:pPr>
        <w:pStyle w:val="TextBody"/>
        <w:bidi w:val="0"/>
        <w:spacing w:before="0" w:after="0"/>
        <w:ind w:left="720" w:right="0" w:hanging="72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details the changes in accumulated other comprehensive income (loss) by component, net of tax for the periods indicated (dollars in thousands):</w:t>
      </w:r>
    </w:p>
    <w:p>
      <w:pPr>
        <w:pStyle w:val="TextBody"/>
        <w:bidi w:val="0"/>
        <w:spacing w:before="0" w:after="0"/>
        <w:jc w:val="left"/>
        <w:rPr/>
      </w:pPr>
      <w:r>
        <w:rPr/>
      </w:r>
    </w:p>
    <w:tbl>
      <w:tblPr>
        <w:tblW w:w="9368" w:type="dxa"/>
        <w:jc w:val="left"/>
        <w:tblInd w:w="0" w:type="dxa"/>
        <w:tblLayout w:type="fixed"/>
        <w:tblCellMar>
          <w:top w:w="0" w:type="dxa"/>
          <w:left w:w="0" w:type="dxa"/>
          <w:bottom w:w="0" w:type="dxa"/>
          <w:right w:w="0" w:type="dxa"/>
        </w:tblCellMar>
      </w:tblPr>
      <w:tblGrid>
        <w:gridCol w:w="4715"/>
        <w:gridCol w:w="60"/>
        <w:gridCol w:w="314"/>
        <w:gridCol w:w="1325"/>
        <w:gridCol w:w="95"/>
        <w:gridCol w:w="60"/>
        <w:gridCol w:w="267"/>
        <w:gridCol w:w="1447"/>
        <w:gridCol w:w="95"/>
        <w:gridCol w:w="60"/>
        <w:gridCol w:w="140"/>
        <w:gridCol w:w="680"/>
        <w:gridCol w:w="110"/>
      </w:tblGrid>
      <w:tr>
        <w:trPr/>
        <w:tc>
          <w:tcPr>
            <w:tcW w:w="47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Gains and (Losses) </w:t>
            </w:r>
          </w:p>
          <w:p>
            <w:pPr>
              <w:pStyle w:val="TableContents"/>
              <w:bidi w:val="0"/>
              <w:spacing w:before="0" w:after="0"/>
              <w:jc w:val="center"/>
              <w:rPr>
                <w:rFonts w:ascii="Times New Roman" w:hAnsi="Times New Roman"/>
                <w:b/>
                <w:sz w:val="20"/>
              </w:rPr>
            </w:pPr>
            <w:r>
              <w:rPr>
                <w:rFonts w:ascii="Times New Roman" w:hAnsi="Times New Roman"/>
                <w:b/>
                <w:sz w:val="20"/>
              </w:rPr>
              <w:t xml:space="preserve">on Fair Value </w:t>
            </w:r>
          </w:p>
          <w:p>
            <w:pPr>
              <w:pStyle w:val="TableContents"/>
              <w:bidi w:val="0"/>
              <w:spacing w:before="0" w:after="0"/>
              <w:jc w:val="center"/>
              <w:rPr>
                <w:rFonts w:ascii="Times New Roman" w:hAnsi="Times New Roman"/>
                <w:b/>
                <w:sz w:val="20"/>
              </w:rPr>
            </w:pPr>
            <w:r>
              <w:rPr>
                <w:rFonts w:ascii="Times New Roman" w:hAnsi="Times New Roman"/>
                <w:b/>
                <w:sz w:val="20"/>
              </w:rPr>
              <w:t>Hedges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Unrealized Gains</w:t>
            </w:r>
          </w:p>
          <w:p>
            <w:pPr>
              <w:pStyle w:val="TableContents"/>
              <w:bidi w:val="0"/>
              <w:spacing w:before="0" w:after="0"/>
              <w:jc w:val="center"/>
              <w:rPr>
                <w:rFonts w:ascii="Times New Roman" w:hAnsi="Times New Roman"/>
                <w:b/>
                <w:sz w:val="20"/>
              </w:rPr>
            </w:pPr>
            <w:r>
              <w:rPr>
                <w:rFonts w:ascii="Times New Roman" w:hAnsi="Times New Roman"/>
                <w:b/>
                <w:sz w:val="20"/>
              </w:rPr>
              <w:t xml:space="preserve">and (Losses) on </w:t>
            </w:r>
          </w:p>
          <w:p>
            <w:pPr>
              <w:pStyle w:val="TableContents"/>
              <w:bidi w:val="0"/>
              <w:spacing w:before="0" w:after="0"/>
              <w:jc w:val="center"/>
              <w:rPr>
                <w:rFonts w:ascii="Times New Roman" w:hAnsi="Times New Roman"/>
                <w:b/>
                <w:sz w:val="20"/>
              </w:rPr>
            </w:pPr>
            <w:r>
              <w:rPr>
                <w:rFonts w:ascii="Times New Roman" w:hAnsi="Times New Roman"/>
                <w:b/>
                <w:sz w:val="20"/>
              </w:rPr>
              <w:t>Securities Available</w:t>
            </w:r>
          </w:p>
          <w:p>
            <w:pPr>
              <w:pStyle w:val="TableContents"/>
              <w:bidi w:val="0"/>
              <w:spacing w:before="0" w:after="0"/>
              <w:jc w:val="center"/>
              <w:rPr>
                <w:rFonts w:ascii="Times New Roman" w:hAnsi="Times New Roman"/>
                <w:b/>
                <w:sz w:val="20"/>
              </w:rPr>
            </w:pPr>
            <w:r>
              <w:rPr>
                <w:rFonts w:ascii="Times New Roman" w:hAnsi="Times New Roman"/>
                <w:b/>
                <w:sz w:val="20"/>
              </w:rPr>
              <w:t>for Sale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110"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44" w:right="0" w:hanging="0"/>
              <w:jc w:val="left"/>
              <w:rPr>
                <w:rFonts w:ascii="Times New Roman" w:hAnsi="Times New Roman"/>
                <w:sz w:val="20"/>
                <w:u w:val="single"/>
              </w:rPr>
            </w:pPr>
            <w:r>
              <w:rPr>
                <w:rFonts w:ascii="Times New Roman" w:hAnsi="Times New Roman"/>
                <w:sz w:val="20"/>
                <w:u w:val="single"/>
              </w:rPr>
              <w:t xml:space="preserve">For the Year Ended December 31, 2023 </w:t>
            </w:r>
          </w:p>
        </w:tc>
        <w:tc>
          <w:tcPr>
            <w:tcW w:w="60" w:type="dxa"/>
            <w:tcBorders/>
            <w:vAlign w:val="bottom"/>
          </w:tcPr>
          <w:p>
            <w:pPr>
              <w:pStyle w:val="TableContents"/>
              <w:bidi w:val="0"/>
              <w:spacing w:before="0" w:after="283"/>
              <w:jc w:val="left"/>
              <w:rPr/>
            </w:pPr>
            <w:r>
              <w:rPr/>
              <w:t> </w:t>
            </w:r>
          </w:p>
        </w:tc>
        <w:tc>
          <w:tcPr>
            <w:tcW w:w="163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3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(81,180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(65,108</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comprehensive income (loss) before reclassification</w:t>
            </w:r>
          </w:p>
        </w:tc>
        <w:tc>
          <w:tcPr>
            <w:tcW w:w="60" w:type="dxa"/>
            <w:tcBorders/>
            <w:vAlign w:val="bottom"/>
          </w:tcPr>
          <w:p>
            <w:pPr>
              <w:pStyle w:val="TableContents"/>
              <w:bidi w:val="0"/>
              <w:spacing w:before="0" w:after="283"/>
              <w:jc w:val="right"/>
              <w:rPr/>
            </w:pPr>
            <w:r>
              <w:rPr/>
              <w:t> </w:t>
            </w:r>
          </w:p>
        </w:tc>
        <w:tc>
          <w:tcPr>
            <w:tcW w:w="314"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(2,912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10,741</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Amounts reclassified from other comprehensive</w:t>
            </w:r>
          </w:p>
        </w:tc>
        <w:tc>
          <w:tcPr>
            <w:tcW w:w="60" w:type="dxa"/>
            <w:tcBorders/>
            <w:shd w:fill="CCEEFF" w:val="clear"/>
            <w:vAlign w:val="bottom"/>
          </w:tcPr>
          <w:p>
            <w:pPr>
              <w:pStyle w:val="TableContents"/>
              <w:bidi w:val="0"/>
              <w:spacing w:before="0" w:after="283"/>
              <w:jc w:val="right"/>
              <w:rPr/>
            </w:pPr>
            <w:r>
              <w:rPr/>
              <w:t> </w:t>
            </w:r>
          </w:p>
        </w:tc>
        <w:tc>
          <w:tcPr>
            <w:tcW w:w="3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2,693</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current period other comprehensive income (loss)</w:t>
            </w:r>
          </w:p>
        </w:tc>
        <w:tc>
          <w:tcPr>
            <w:tcW w:w="60" w:type="dxa"/>
            <w:tcBorders/>
            <w:vAlign w:val="bottom"/>
          </w:tcPr>
          <w:p>
            <w:pPr>
              <w:pStyle w:val="TableContents"/>
              <w:bidi w:val="0"/>
              <w:spacing w:before="0" w:after="283"/>
              <w:jc w:val="right"/>
              <w:rPr/>
            </w:pPr>
            <w:r>
              <w:rPr/>
              <w:t> </w:t>
            </w:r>
          </w:p>
        </w:tc>
        <w:tc>
          <w:tcPr>
            <w:tcW w:w="3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(2,912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6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16,346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13,434</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shd w:fill="CCEEFF" w:val="clear"/>
            <w:vAlign w:val="bottom"/>
          </w:tcPr>
          <w:p>
            <w:pPr>
              <w:pStyle w:val="TableContents"/>
              <w:bidi w:val="0"/>
              <w:spacing w:before="0" w:after="283"/>
              <w:jc w:val="right"/>
              <w:rPr/>
            </w:pPr>
            <w:r>
              <w:rPr/>
              <w:t> </w:t>
            </w:r>
          </w:p>
        </w:tc>
        <w:tc>
          <w:tcPr>
            <w:tcW w:w="31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(64,834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(51,674</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4"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283"/>
              <w:jc w:val="left"/>
              <w:rPr>
                <w:u w:val="single"/>
              </w:rPr>
            </w:pPr>
            <w:r>
              <w:rPr>
                <w:u w:val="single"/>
              </w:rPr>
              <w:t>For the Year Ended December 31, 2022</w:t>
            </w:r>
          </w:p>
        </w:tc>
        <w:tc>
          <w:tcPr>
            <w:tcW w:w="60" w:type="dxa"/>
            <w:tcBorders/>
            <w:shd w:fill="CCEEFF" w:val="clear"/>
            <w:vAlign w:val="bottom"/>
          </w:tcPr>
          <w:p>
            <w:pPr>
              <w:pStyle w:val="TableContents"/>
              <w:bidi w:val="0"/>
              <w:spacing w:before="0" w:after="283"/>
              <w:jc w:val="right"/>
              <w:rPr/>
            </w:pPr>
            <w:r>
              <w:rPr/>
              <w:t> </w:t>
            </w:r>
          </w:p>
        </w:tc>
        <w:tc>
          <w:tcPr>
            <w:tcW w:w="314"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vAlign w:val="bottom"/>
          </w:tcPr>
          <w:p>
            <w:pPr>
              <w:pStyle w:val="TableContents"/>
              <w:bidi w:val="0"/>
              <w:spacing w:before="0" w:after="283"/>
              <w:jc w:val="right"/>
              <w:rPr/>
            </w:pPr>
            <w:r>
              <w:rPr/>
              <w:t> </w:t>
            </w:r>
          </w:p>
        </w:tc>
        <w:tc>
          <w:tcPr>
            <w:tcW w:w="3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13,702</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comprehensive income (loss) before reclassification</w:t>
            </w:r>
          </w:p>
        </w:tc>
        <w:tc>
          <w:tcPr>
            <w:tcW w:w="60" w:type="dxa"/>
            <w:tcBorders/>
            <w:shd w:fill="CCEEFF" w:val="clear"/>
            <w:vAlign w:val="bottom"/>
          </w:tcPr>
          <w:p>
            <w:pPr>
              <w:pStyle w:val="TableContents"/>
              <w:bidi w:val="0"/>
              <w:spacing w:before="0" w:after="283"/>
              <w:jc w:val="right"/>
              <w:rPr/>
            </w:pPr>
            <w:r>
              <w:rPr/>
              <w:t> </w:t>
            </w:r>
          </w:p>
        </w:tc>
        <w:tc>
          <w:tcPr>
            <w:tcW w:w="314"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(90,350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(78,810</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Amounts reclassified from other comprehensive</w:t>
            </w:r>
          </w:p>
        </w:tc>
        <w:tc>
          <w:tcPr>
            <w:tcW w:w="60" w:type="dxa"/>
            <w:tcBorders/>
            <w:vAlign w:val="bottom"/>
          </w:tcPr>
          <w:p>
            <w:pPr>
              <w:pStyle w:val="TableContents"/>
              <w:bidi w:val="0"/>
              <w:spacing w:before="0" w:after="283"/>
              <w:jc w:val="right"/>
              <w:rPr/>
            </w:pPr>
            <w:r>
              <w:rPr/>
              <w:t> </w:t>
            </w:r>
          </w:p>
        </w:tc>
        <w:tc>
          <w:tcPr>
            <w:tcW w:w="3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7"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current period other comprehensive income (loss)</w:t>
            </w:r>
          </w:p>
        </w:tc>
        <w:tc>
          <w:tcPr>
            <w:tcW w:w="60" w:type="dxa"/>
            <w:tcBorders/>
            <w:shd w:fill="CCEEFF" w:val="clear"/>
            <w:vAlign w:val="bottom"/>
          </w:tcPr>
          <w:p>
            <w:pPr>
              <w:pStyle w:val="TableContents"/>
              <w:bidi w:val="0"/>
              <w:spacing w:before="0" w:after="283"/>
              <w:jc w:val="right"/>
              <w:rPr/>
            </w:pPr>
            <w:r>
              <w:rPr/>
              <w:t> </w:t>
            </w:r>
          </w:p>
        </w:tc>
        <w:tc>
          <w:tcPr>
            <w:tcW w:w="3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(90,350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(78,810</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7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31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(81,180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(65,108</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7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4"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u w:val="single"/>
              </w:rPr>
            </w:pPr>
            <w:r>
              <w:rPr>
                <w:u w:val="single"/>
              </w:rPr>
              <w:t>For the Year Ended December 31, 2021</w:t>
            </w:r>
          </w:p>
        </w:tc>
        <w:tc>
          <w:tcPr>
            <w:tcW w:w="60" w:type="dxa"/>
            <w:tcBorders/>
            <w:vAlign w:val="bottom"/>
          </w:tcPr>
          <w:p>
            <w:pPr>
              <w:pStyle w:val="TableContents"/>
              <w:bidi w:val="0"/>
              <w:spacing w:before="0" w:after="283"/>
              <w:jc w:val="right"/>
              <w:rPr/>
            </w:pPr>
            <w:r>
              <w:rPr/>
              <w:t> </w:t>
            </w:r>
          </w:p>
        </w:tc>
        <w:tc>
          <w:tcPr>
            <w:tcW w:w="314"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314"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(60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21,399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21,339</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comprehensive income (loss) before reclassification</w:t>
            </w:r>
          </w:p>
        </w:tc>
        <w:tc>
          <w:tcPr>
            <w:tcW w:w="60" w:type="dxa"/>
            <w:tcBorders/>
            <w:vAlign w:val="bottom"/>
          </w:tcPr>
          <w:p>
            <w:pPr>
              <w:pStyle w:val="TableContents"/>
              <w:bidi w:val="0"/>
              <w:spacing w:before="0" w:after="283"/>
              <w:jc w:val="right"/>
              <w:rPr/>
            </w:pPr>
            <w:r>
              <w:rPr/>
              <w:t> </w:t>
            </w:r>
          </w:p>
        </w:tc>
        <w:tc>
          <w:tcPr>
            <w:tcW w:w="314"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4,592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(12,229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(7,637</w:t>
            </w:r>
          </w:p>
        </w:tc>
        <w:tc>
          <w:tcPr>
            <w:tcW w:w="110" w:type="dxa"/>
            <w:tcBorders/>
            <w:vAlign w:val="bottom"/>
          </w:tcPr>
          <w:p>
            <w:pPr>
              <w:pStyle w:val="TableContents"/>
              <w:bidi w:val="0"/>
              <w:spacing w:before="0" w:after="283"/>
              <w:jc w:val="left"/>
              <w:rPr/>
            </w:pPr>
            <w:r>
              <w:rPr/>
              <w:t>)</w:t>
            </w:r>
          </w:p>
        </w:tc>
      </w:tr>
      <w:tr>
        <w:trPr/>
        <w:tc>
          <w:tcPr>
            <w:tcW w:w="47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Amounts reclassified from other comprehensive</w:t>
            </w:r>
          </w:p>
        </w:tc>
        <w:tc>
          <w:tcPr>
            <w:tcW w:w="60" w:type="dxa"/>
            <w:tcBorders/>
            <w:shd w:fill="CCEEFF" w:val="clear"/>
            <w:vAlign w:val="bottom"/>
          </w:tcPr>
          <w:p>
            <w:pPr>
              <w:pStyle w:val="TableContents"/>
              <w:bidi w:val="0"/>
              <w:spacing w:before="0" w:after="283"/>
              <w:jc w:val="right"/>
              <w:rPr/>
            </w:pPr>
            <w:r>
              <w:rPr/>
              <w:t> </w:t>
            </w:r>
          </w:p>
        </w:tc>
        <w:tc>
          <w:tcPr>
            <w:tcW w:w="3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current period other comprehensive income (loss)</w:t>
            </w:r>
          </w:p>
        </w:tc>
        <w:tc>
          <w:tcPr>
            <w:tcW w:w="60" w:type="dxa"/>
            <w:tcBorders/>
            <w:vAlign w:val="bottom"/>
          </w:tcPr>
          <w:p>
            <w:pPr>
              <w:pStyle w:val="TableContents"/>
              <w:bidi w:val="0"/>
              <w:spacing w:before="0" w:after="283"/>
              <w:jc w:val="right"/>
              <w:rPr/>
            </w:pPr>
            <w:r>
              <w:rPr/>
              <w:t> </w:t>
            </w:r>
          </w:p>
        </w:tc>
        <w:tc>
          <w:tcPr>
            <w:tcW w:w="3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283"/>
              <w:jc w:val="right"/>
              <w:rPr/>
            </w:pPr>
            <w:r>
              <w:rPr/>
              <w:t>4,592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single" w:sz="12" w:space="0" w:color="000000"/>
            </w:tcBorders>
            <w:tcMar>
              <w:bottom w:w="28" w:type="dxa"/>
            </w:tcMar>
            <w:vAlign w:val="bottom"/>
          </w:tcPr>
          <w:p>
            <w:pPr>
              <w:pStyle w:val="TableContents"/>
              <w:bidi w:val="0"/>
              <w:spacing w:before="0" w:after="283"/>
              <w:jc w:val="left"/>
              <w:rPr/>
            </w:pPr>
            <w:r>
              <w:rPr/>
              <w:t> </w:t>
            </w:r>
          </w:p>
        </w:tc>
        <w:tc>
          <w:tcPr>
            <w:tcW w:w="1447" w:type="dxa"/>
            <w:tcBorders>
              <w:bottom w:val="single" w:sz="12" w:space="0" w:color="000000"/>
            </w:tcBorders>
            <w:tcMar>
              <w:bottom w:w="28" w:type="dxa"/>
            </w:tcMar>
            <w:vAlign w:val="bottom"/>
          </w:tcPr>
          <w:p>
            <w:pPr>
              <w:pStyle w:val="TableContents"/>
              <w:bidi w:val="0"/>
              <w:spacing w:before="0" w:after="283"/>
              <w:jc w:val="right"/>
              <w:rPr/>
            </w:pPr>
            <w:r>
              <w:rPr/>
              <w:t>(12,229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(7,637</w:t>
            </w:r>
          </w:p>
        </w:tc>
        <w:tc>
          <w:tcPr>
            <w:tcW w:w="110" w:type="dxa"/>
            <w:tcBorders/>
            <w:vAlign w:val="bottom"/>
          </w:tcPr>
          <w:p>
            <w:pPr>
              <w:pStyle w:val="TableContents"/>
              <w:bidi w:val="0"/>
              <w:spacing w:before="0" w:after="283"/>
              <w:jc w:val="left"/>
              <w:rPr/>
            </w:pPr>
            <w:r>
              <w:rPr/>
              <w:t>)</w:t>
            </w:r>
          </w:p>
        </w:tc>
      </w:tr>
      <w:tr>
        <w:trPr/>
        <w:tc>
          <w:tcPr>
            <w:tcW w:w="47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shd w:fill="CCEEFF" w:val="clear"/>
            <w:vAlign w:val="bottom"/>
          </w:tcPr>
          <w:p>
            <w:pPr>
              <w:pStyle w:val="TableContents"/>
              <w:bidi w:val="0"/>
              <w:spacing w:before="0" w:after="283"/>
              <w:jc w:val="right"/>
              <w:rPr/>
            </w:pPr>
            <w:r>
              <w:rPr/>
              <w:t> </w:t>
            </w:r>
          </w:p>
        </w:tc>
        <w:tc>
          <w:tcPr>
            <w:tcW w:w="314"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325" w:type="dxa"/>
            <w:tcBorders>
              <w:bottom w:val="double" w:sz="8" w:space="0" w:color="000000"/>
            </w:tcBorders>
            <w:shd w:fill="CCEEFF" w:val="clear"/>
            <w:tcMar>
              <w:bottom w:w="28" w:type="dxa"/>
            </w:tcMar>
            <w:vAlign w:val="bottom"/>
          </w:tcPr>
          <w:p>
            <w:pPr>
              <w:pStyle w:val="TableContents"/>
              <w:bidi w:val="0"/>
              <w:spacing w:before="0" w:after="283"/>
              <w:jc w:val="right"/>
              <w:rPr/>
            </w:pPr>
            <w:r>
              <w:rPr/>
              <w:t>4,532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447" w:type="dxa"/>
            <w:tcBorders>
              <w:bottom w:val="double" w:sz="8" w:space="0" w:color="000000"/>
            </w:tcBorders>
            <w:shd w:fill="CCEEFF" w:val="clear"/>
            <w:tcMar>
              <w:bottom w:w="28" w:type="dxa"/>
            </w:tcMar>
            <w:vAlign w:val="bottom"/>
          </w:tcPr>
          <w:p>
            <w:pPr>
              <w:pStyle w:val="TableContents"/>
              <w:bidi w:val="0"/>
              <w:spacing w:before="0" w:after="283"/>
              <w:jc w:val="right"/>
              <w:rPr/>
            </w:pPr>
            <w:r>
              <w:rPr/>
              <w:t>9,170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13,702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Amounts reclassified are shown on the Consolidated Statements of Comprehensive Income (Loss).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0"/>
              <w:jc w:val="both"/>
              <w:rPr>
                <w:b/>
                <w:i/>
                <w:color w:val="000000"/>
              </w:rPr>
            </w:pPr>
            <w:r>
              <w:rPr>
                <w:b/>
                <w:i/>
                <w:color w:val="000000"/>
              </w:rPr>
              <w:t>21.</w:t>
            </w:r>
          </w:p>
        </w:tc>
        <w:tc>
          <w:tcPr>
            <w:tcW w:w="3245" w:type="dxa"/>
            <w:tcBorders/>
            <w:vAlign w:val="center"/>
          </w:tcPr>
          <w:p>
            <w:pPr>
              <w:pStyle w:val="TableContents"/>
              <w:bidi w:val="0"/>
              <w:spacing w:before="0" w:after="0"/>
              <w:ind w:left="720" w:right="0" w:hanging="720"/>
              <w:jc w:val="both"/>
              <w:rPr>
                <w:b/>
                <w:i/>
                <w:color w:val="000000"/>
              </w:rPr>
            </w:pPr>
            <w:r>
              <w:rPr>
                <w:b/>
                <w:i/>
                <w:color w:val="000000"/>
              </w:rPr>
              <w:t>FAIR VALUE DISCLOSURES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i/>
                <w:color w:val="000000"/>
              </w:rPr>
              <w:t>Level 1 Inputs</w:t>
            </w:r>
            <w:r>
              <w:rPr>
                <w:color w:val="000000"/>
              </w:rPr>
              <w:t xml:space="preserve"> - Unadjusted quoted prices in active markets for identical assets or liabilities that the reporting entity has the ability to access at the measurement date.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i/>
                <w:color w:val="000000"/>
              </w:rPr>
              <w:t>Level 2 Inputs</w:t>
            </w:r>
            <w:r>
              <w:rPr>
                <w:color w:val="000000"/>
              </w:rPr>
              <w:t xml:space="preserve">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i/>
                <w:color w:val="000000"/>
              </w:rPr>
              <w:t>Level 3 Inputs</w:t>
            </w:r>
            <w:r>
              <w:rPr>
                <w:color w:val="000000"/>
              </w:rPr>
              <w:t xml:space="preserve"> - Significant unobservable inputs for determining the fair values of assets or liabilities that reflect an entity’s own assumptions about the assumptions that market participants would use in pricing the assets or liabilities.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fair value measurements as of the dates indicated below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9994" w:type="dxa"/>
        <w:jc w:val="left"/>
        <w:tblInd w:w="0" w:type="dxa"/>
        <w:tblLayout w:type="fixed"/>
        <w:tblCellMar>
          <w:top w:w="0" w:type="dxa"/>
          <w:left w:w="0" w:type="dxa"/>
          <w:bottom w:w="0" w:type="dxa"/>
          <w:right w:w="0" w:type="dxa"/>
        </w:tblCellMar>
      </w:tblPr>
      <w:tblGrid>
        <w:gridCol w:w="5795"/>
        <w:gridCol w:w="60"/>
        <w:gridCol w:w="263"/>
        <w:gridCol w:w="491"/>
        <w:gridCol w:w="60"/>
        <w:gridCol w:w="60"/>
        <w:gridCol w:w="200"/>
        <w:gridCol w:w="800"/>
        <w:gridCol w:w="95"/>
        <w:gridCol w:w="60"/>
        <w:gridCol w:w="200"/>
        <w:gridCol w:w="680"/>
        <w:gridCol w:w="60"/>
        <w:gridCol w:w="60"/>
        <w:gridCol w:w="200"/>
        <w:gridCol w:w="800"/>
        <w:gridCol w:w="110"/>
      </w:tblGrid>
      <w:tr>
        <w:trPr/>
        <w:tc>
          <w:tcPr>
            <w:tcW w:w="5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10"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jc w:val="left"/>
              <w:rPr>
                <w:color w:val="000000"/>
                <w:u w:val="single"/>
              </w:rPr>
            </w:pPr>
            <w:r>
              <w:rPr>
                <w:color w:val="000000"/>
                <w:u w:val="single"/>
              </w:rPr>
              <w:t>December 31, 2023</w:t>
            </w:r>
          </w:p>
        </w:tc>
        <w:tc>
          <w:tcPr>
            <w:tcW w:w="60"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jc w:val="left"/>
              <w:rPr>
                <w:color w:val="000000"/>
              </w:rPr>
            </w:pPr>
            <w:r>
              <w:rPr>
                <w:color w:val="000000"/>
              </w:rPr>
              <w:t>Assets (liabilities) measured at fair value on a recurring basis:</w:t>
            </w:r>
          </w:p>
        </w:tc>
        <w:tc>
          <w:tcPr>
            <w:tcW w:w="60"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0"/>
              <w:jc w:val="left"/>
              <w:rPr>
                <w:color w:val="000000"/>
              </w:rPr>
            </w:pPr>
            <w:r>
              <w:rPr>
                <w:color w:val="000000"/>
              </w:rPr>
              <w:t>Securities available for sale:</w:t>
            </w:r>
          </w:p>
        </w:tc>
        <w:tc>
          <w:tcPr>
            <w:tcW w:w="60" w:type="dxa"/>
            <w:tcBorders/>
            <w:vAlign w:val="bottom"/>
          </w:tcPr>
          <w:p>
            <w:pPr>
              <w:pStyle w:val="TableContents"/>
              <w:bidi w:val="0"/>
              <w:spacing w:before="0" w:after="283"/>
              <w:jc w:val="left"/>
              <w:rPr/>
            </w:pPr>
            <w:r>
              <w:rPr/>
              <w:t> </w:t>
            </w:r>
          </w:p>
        </w:tc>
        <w:tc>
          <w:tcPr>
            <w:tcW w:w="7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360" w:right="0" w:hanging="0"/>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xml:space="preserve">$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800" w:type="dxa"/>
            <w:tcBorders/>
            <w:shd w:fill="CCEEFF" w:val="clear"/>
            <w:vAlign w:val="bottom"/>
          </w:tcPr>
          <w:p>
            <w:pPr>
              <w:pStyle w:val="TableContents"/>
              <w:bidi w:val="0"/>
              <w:spacing w:before="0" w:after="0"/>
              <w:jc w:val="right"/>
              <w:rPr>
                <w:color w:val="000000"/>
              </w:rPr>
            </w:pPr>
            <w:r>
              <w:rPr>
                <w:color w:val="000000"/>
              </w:rPr>
              <w:t>180,575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800" w:type="dxa"/>
            <w:tcBorders/>
            <w:shd w:fill="CCEEFF" w:val="clear"/>
            <w:vAlign w:val="bottom"/>
          </w:tcPr>
          <w:p>
            <w:pPr>
              <w:pStyle w:val="TableContents"/>
              <w:bidi w:val="0"/>
              <w:spacing w:before="0" w:after="0"/>
              <w:jc w:val="right"/>
              <w:rPr>
                <w:color w:val="000000"/>
              </w:rPr>
            </w:pPr>
            <w:r>
              <w:rPr>
                <w:color w:val="000000"/>
              </w:rPr>
              <w:t>180,575</w:t>
            </w:r>
          </w:p>
        </w:tc>
        <w:tc>
          <w:tcPr>
            <w:tcW w:w="11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360" w:right="0" w:hanging="0"/>
              <w:jc w:val="left"/>
              <w:rPr/>
            </w:pPr>
            <w:r>
              <w:rPr/>
              <w:t>Residential mortgage-backed securities</w:t>
            </w:r>
          </w:p>
        </w:tc>
        <w:tc>
          <w:tcPr>
            <w:tcW w:w="6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300,704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300,704</w:t>
            </w:r>
          </w:p>
        </w:tc>
        <w:tc>
          <w:tcPr>
            <w:tcW w:w="11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360" w:right="0" w:hanging="0"/>
              <w:jc w:val="left"/>
              <w:rPr/>
            </w:pPr>
            <w:r>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41,748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41,748</w:t>
            </w:r>
          </w:p>
        </w:tc>
        <w:tc>
          <w:tcPr>
            <w:tcW w:w="11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360" w:right="0" w:hanging="0"/>
              <w:jc w:val="left"/>
              <w:rPr/>
            </w:pPr>
            <w:r>
              <w:rPr/>
              <w:t>Commercial collateralized mortgage obligations</w:t>
            </w:r>
          </w:p>
        </w:tc>
        <w:tc>
          <w:tcPr>
            <w:tcW w:w="6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71,930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71,930</w:t>
            </w:r>
          </w:p>
        </w:tc>
        <w:tc>
          <w:tcPr>
            <w:tcW w:w="11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360" w:right="0" w:hanging="0"/>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17,040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17,040</w:t>
            </w:r>
          </w:p>
        </w:tc>
        <w:tc>
          <w:tcPr>
            <w:tcW w:w="11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360" w:right="0" w:hanging="0"/>
              <w:jc w:val="left"/>
              <w:rPr>
                <w:color w:val="000000"/>
              </w:rPr>
            </w:pPr>
            <w:r>
              <w:rPr>
                <w:color w:val="000000"/>
              </w:rPr>
              <w:t>Other securities</w:t>
            </w:r>
          </w:p>
        </w:tc>
        <w:tc>
          <w:tcPr>
            <w:tcW w:w="6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10,765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10,765</w:t>
            </w:r>
          </w:p>
        </w:tc>
        <w:tc>
          <w:tcPr>
            <w:tcW w:w="11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180" w:right="0" w:hanging="0"/>
              <w:jc w:val="left"/>
              <w:rPr>
                <w:color w:val="000000"/>
              </w:rPr>
            </w:pPr>
            <w:r>
              <w:rPr>
                <w:color w:val="000000"/>
              </w:rPr>
              <w:t>Loans held for sale (mandatory)</w:t>
            </w:r>
          </w:p>
        </w:tc>
        <w:tc>
          <w:tcPr>
            <w:tcW w:w="6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6,615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6,615</w:t>
            </w:r>
          </w:p>
        </w:tc>
        <w:tc>
          <w:tcPr>
            <w:tcW w:w="11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0"/>
              <w:jc w:val="left"/>
              <w:rPr>
                <w:color w:val="000000"/>
              </w:rPr>
            </w:pPr>
            <w:r>
              <w:rPr>
                <w:color w:val="000000"/>
              </w:rPr>
              <w:t>Mortgage servicing rights</w:t>
            </w:r>
          </w:p>
        </w:tc>
        <w:tc>
          <w:tcPr>
            <w:tcW w:w="6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26,569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26,569</w:t>
            </w:r>
          </w:p>
        </w:tc>
        <w:tc>
          <w:tcPr>
            <w:tcW w:w="11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180" w:right="0" w:hanging="0"/>
              <w:jc w:val="left"/>
              <w:rPr>
                <w:color w:val="000000"/>
              </w:rPr>
            </w:pPr>
            <w:r>
              <w:rPr>
                <w:color w:val="000000"/>
              </w:rPr>
              <w:t>Asset derivatives</w:t>
            </w:r>
          </w:p>
        </w:tc>
        <w:tc>
          <w:tcPr>
            <w:tcW w:w="6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17,230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17,230</w:t>
            </w:r>
          </w:p>
        </w:tc>
        <w:tc>
          <w:tcPr>
            <w:tcW w:w="11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ind w:left="180" w:right="0" w:hanging="0"/>
              <w:jc w:val="left"/>
              <w:rPr>
                <w:color w:val="000000"/>
              </w:rPr>
            </w:pPr>
            <w:r>
              <w:rPr>
                <w:color w:val="000000"/>
              </w:rPr>
              <w:t>Liability derivatives</w:t>
            </w:r>
          </w:p>
        </w:tc>
        <w:tc>
          <w:tcPr>
            <w:tcW w:w="6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(432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(432</w:t>
            </w:r>
          </w:p>
        </w:tc>
        <w:tc>
          <w:tcPr>
            <w:tcW w:w="110" w:type="dxa"/>
            <w:tcBorders/>
            <w:vAlign w:val="bottom"/>
          </w:tcPr>
          <w:p>
            <w:pPr>
              <w:pStyle w:val="TableContents"/>
              <w:bidi w:val="0"/>
              <w:spacing w:before="0" w:after="0"/>
              <w:jc w:val="left"/>
              <w:rPr>
                <w:color w:val="000000"/>
              </w:rPr>
            </w:pPr>
            <w:r>
              <w:rPr>
                <w:color w:val="000000"/>
              </w:rPr>
              <w:t>)</w:t>
            </w:r>
          </w:p>
        </w:tc>
      </w:tr>
      <w:tr>
        <w:trPr/>
        <w:tc>
          <w:tcPr>
            <w:tcW w:w="57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795" w:type="dxa"/>
            <w:tcBorders/>
            <w:vAlign w:val="bottom"/>
          </w:tcPr>
          <w:p>
            <w:pPr>
              <w:pStyle w:val="TableContents"/>
              <w:bidi w:val="0"/>
              <w:spacing w:before="0" w:after="0"/>
              <w:jc w:val="left"/>
              <w:rPr>
                <w:color w:val="000000"/>
              </w:rPr>
            </w:pPr>
            <w:r>
              <w:rPr>
                <w:color w:val="000000"/>
              </w:rPr>
              <w:t>Assets measured at fair value on a non-recurring basis:</w:t>
            </w:r>
          </w:p>
        </w:tc>
        <w:tc>
          <w:tcPr>
            <w:tcW w:w="6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5795" w:type="dxa"/>
            <w:tcBorders/>
            <w:shd w:fill="CCEEFF" w:val="clear"/>
            <w:vAlign w:val="bottom"/>
          </w:tcPr>
          <w:p>
            <w:pPr>
              <w:pStyle w:val="TableContents"/>
              <w:bidi w:val="0"/>
              <w:spacing w:before="0" w:after="0"/>
              <w:ind w:left="180" w:right="0" w:hanging="0"/>
              <w:jc w:val="left"/>
              <w:rPr>
                <w:color w:val="000000"/>
              </w:rPr>
            </w:pPr>
            <w:r>
              <w:rPr>
                <w:color w:val="000000"/>
              </w:rPr>
              <w:t>Loans held for investment</w:t>
            </w:r>
          </w:p>
        </w:tc>
        <w:tc>
          <w:tcPr>
            <w:tcW w:w="6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1,482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1,482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702"/>
        <w:gridCol w:w="60"/>
        <w:gridCol w:w="261"/>
        <w:gridCol w:w="488"/>
        <w:gridCol w:w="60"/>
        <w:gridCol w:w="60"/>
        <w:gridCol w:w="198"/>
        <w:gridCol w:w="800"/>
        <w:gridCol w:w="95"/>
        <w:gridCol w:w="60"/>
        <w:gridCol w:w="198"/>
        <w:gridCol w:w="680"/>
        <w:gridCol w:w="60"/>
        <w:gridCol w:w="60"/>
        <w:gridCol w:w="198"/>
        <w:gridCol w:w="800"/>
        <w:gridCol w:w="425"/>
      </w:tblGrid>
      <w:tr>
        <w:trPr/>
        <w:tc>
          <w:tcPr>
            <w:tcW w:w="57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425" w:type="dxa"/>
            <w:tcBorders/>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180" w:right="0" w:hanging="0"/>
              <w:jc w:val="left"/>
              <w:rPr>
                <w:color w:val="000000"/>
                <w:u w:val="single"/>
              </w:rPr>
            </w:pPr>
            <w:r>
              <w:rPr>
                <w:color w:val="000000"/>
                <w:u w:val="single"/>
              </w:rPr>
              <w:t>December 31, 2022</w:t>
            </w:r>
          </w:p>
        </w:tc>
        <w:tc>
          <w:tcPr>
            <w:tcW w:w="60" w:type="dxa"/>
            <w:tcBorders/>
            <w:vAlign w:val="bottom"/>
          </w:tcPr>
          <w:p>
            <w:pPr>
              <w:pStyle w:val="TableContents"/>
              <w:bidi w:val="0"/>
              <w:spacing w:before="0" w:after="283"/>
              <w:jc w:val="left"/>
              <w:rPr/>
            </w:pPr>
            <w:r>
              <w:rPr/>
              <w:t> </w:t>
            </w:r>
          </w:p>
        </w:tc>
        <w:tc>
          <w:tcPr>
            <w:tcW w:w="7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180" w:right="0" w:hanging="180"/>
              <w:jc w:val="left"/>
              <w:rPr>
                <w:color w:val="000000"/>
              </w:rPr>
            </w:pPr>
            <w:r>
              <w:rPr>
                <w:color w:val="000000"/>
              </w:rPr>
              <w:t>Assets (liabilities) measured at fair value on a recurring basis:</w:t>
            </w:r>
          </w:p>
        </w:tc>
        <w:tc>
          <w:tcPr>
            <w:tcW w:w="60" w:type="dxa"/>
            <w:tcBorders/>
            <w:vAlign w:val="bottom"/>
          </w:tcPr>
          <w:p>
            <w:pPr>
              <w:pStyle w:val="TableContents"/>
              <w:bidi w:val="0"/>
              <w:spacing w:before="0" w:after="283"/>
              <w:jc w:val="left"/>
              <w:rPr/>
            </w:pPr>
            <w:r>
              <w:rPr/>
              <w:t> </w:t>
            </w:r>
          </w:p>
        </w:tc>
        <w:tc>
          <w:tcPr>
            <w:tcW w:w="7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360" w:right="0" w:hanging="180"/>
              <w:jc w:val="left"/>
              <w:rPr>
                <w:color w:val="000000"/>
              </w:rPr>
            </w:pPr>
            <w:r>
              <w:rPr>
                <w:color w:val="000000"/>
              </w:rPr>
              <w:t>Securities available for sale:</w:t>
            </w:r>
          </w:p>
        </w:tc>
        <w:tc>
          <w:tcPr>
            <w:tcW w:w="60" w:type="dxa"/>
            <w:tcBorders/>
            <w:vAlign w:val="bottom"/>
          </w:tcPr>
          <w:p>
            <w:pPr>
              <w:pStyle w:val="TableContents"/>
              <w:bidi w:val="0"/>
              <w:spacing w:before="0" w:after="283"/>
              <w:jc w:val="left"/>
              <w:rPr/>
            </w:pPr>
            <w:r>
              <w:rPr/>
              <w:t> </w:t>
            </w:r>
          </w:p>
        </w:tc>
        <w:tc>
          <w:tcPr>
            <w:tcW w:w="7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r>
      <w:tr>
        <w:trPr/>
        <w:tc>
          <w:tcPr>
            <w:tcW w:w="5702" w:type="dxa"/>
            <w:tcBorders/>
            <w:shd w:fill="CCEEFF" w:val="clear"/>
            <w:vAlign w:val="bottom"/>
          </w:tcPr>
          <w:p>
            <w:pPr>
              <w:pStyle w:val="TableContents"/>
              <w:bidi w:val="0"/>
              <w:spacing w:before="0" w:after="0"/>
              <w:ind w:left="540" w:right="0" w:hanging="180"/>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xml:space="preserve">$ </w:t>
            </w:r>
          </w:p>
        </w:tc>
        <w:tc>
          <w:tcPr>
            <w:tcW w:w="48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xml:space="preserve">$ </w:t>
            </w:r>
          </w:p>
        </w:tc>
        <w:tc>
          <w:tcPr>
            <w:tcW w:w="800" w:type="dxa"/>
            <w:tcBorders/>
            <w:shd w:fill="CCEEFF" w:val="clear"/>
            <w:vAlign w:val="bottom"/>
          </w:tcPr>
          <w:p>
            <w:pPr>
              <w:pStyle w:val="TableContents"/>
              <w:bidi w:val="0"/>
              <w:spacing w:before="0" w:after="0"/>
              <w:jc w:val="right"/>
              <w:rPr>
                <w:color w:val="000000"/>
              </w:rPr>
            </w:pPr>
            <w:r>
              <w:rPr>
                <w:color w:val="000000"/>
              </w:rPr>
              <w:t>225,055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xml:space="preserve">$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xml:space="preserve">$ </w:t>
            </w:r>
          </w:p>
        </w:tc>
        <w:tc>
          <w:tcPr>
            <w:tcW w:w="800" w:type="dxa"/>
            <w:tcBorders/>
            <w:shd w:fill="CCEEFF" w:val="clear"/>
            <w:vAlign w:val="bottom"/>
          </w:tcPr>
          <w:p>
            <w:pPr>
              <w:pStyle w:val="TableContents"/>
              <w:bidi w:val="0"/>
              <w:spacing w:before="0" w:after="0"/>
              <w:jc w:val="right"/>
              <w:rPr>
                <w:color w:val="000000"/>
              </w:rPr>
            </w:pPr>
            <w:r>
              <w:rPr>
                <w:color w:val="000000"/>
              </w:rPr>
              <w:t>225,055</w:t>
            </w:r>
          </w:p>
        </w:tc>
        <w:tc>
          <w:tcPr>
            <w:tcW w:w="425" w:type="dxa"/>
            <w:tcBorders/>
            <w:shd w:fill="CCEEFF" w:val="clear"/>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360" w:right="0" w:hanging="0"/>
              <w:jc w:val="left"/>
              <w:rPr/>
            </w:pPr>
            <w:r>
              <w:rPr/>
              <w:t>Residential mortgage-backed securities</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328,845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328,845</w:t>
            </w:r>
          </w:p>
        </w:tc>
        <w:tc>
          <w:tcPr>
            <w:tcW w:w="425" w:type="dxa"/>
            <w:tcBorders/>
            <w:vAlign w:val="bottom"/>
          </w:tcPr>
          <w:p>
            <w:pPr>
              <w:pStyle w:val="TableContents"/>
              <w:bidi w:val="0"/>
              <w:spacing w:before="0" w:after="283"/>
              <w:jc w:val="left"/>
              <w:rPr/>
            </w:pPr>
            <w:r>
              <w:rPr/>
              <w:t> </w:t>
            </w:r>
          </w:p>
        </w:tc>
      </w:tr>
      <w:tr>
        <w:trPr/>
        <w:tc>
          <w:tcPr>
            <w:tcW w:w="5702" w:type="dxa"/>
            <w:tcBorders/>
            <w:shd w:fill="CCEEFF" w:val="clear"/>
            <w:vAlign w:val="bottom"/>
          </w:tcPr>
          <w:p>
            <w:pPr>
              <w:pStyle w:val="TableContents"/>
              <w:bidi w:val="0"/>
              <w:spacing w:before="0" w:after="0"/>
              <w:ind w:left="360" w:right="0" w:hanging="0"/>
              <w:jc w:val="left"/>
              <w:rPr/>
            </w:pPr>
            <w:r>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41,967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41,967</w:t>
            </w:r>
          </w:p>
        </w:tc>
        <w:tc>
          <w:tcPr>
            <w:tcW w:w="425" w:type="dxa"/>
            <w:tcBorders/>
            <w:shd w:fill="CCEEFF" w:val="clear"/>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540" w:right="0" w:hanging="180"/>
              <w:jc w:val="left"/>
              <w:rPr>
                <w:color w:val="000000"/>
              </w:rPr>
            </w:pPr>
            <w:r>
              <w:rPr>
                <w:color w:val="000000"/>
              </w:rPr>
              <w:t>Commercial collateralized mortgage obligations</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75,638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75,638</w:t>
            </w:r>
          </w:p>
        </w:tc>
        <w:tc>
          <w:tcPr>
            <w:tcW w:w="425" w:type="dxa"/>
            <w:tcBorders/>
            <w:vAlign w:val="bottom"/>
          </w:tcPr>
          <w:p>
            <w:pPr>
              <w:pStyle w:val="TableContents"/>
              <w:bidi w:val="0"/>
              <w:spacing w:before="0" w:after="283"/>
              <w:jc w:val="left"/>
              <w:rPr/>
            </w:pPr>
            <w:r>
              <w:rPr/>
              <w:t> </w:t>
            </w:r>
          </w:p>
        </w:tc>
      </w:tr>
      <w:tr>
        <w:trPr/>
        <w:tc>
          <w:tcPr>
            <w:tcW w:w="5702" w:type="dxa"/>
            <w:tcBorders/>
            <w:shd w:fill="CCEEFF" w:val="clear"/>
            <w:vAlign w:val="bottom"/>
          </w:tcPr>
          <w:p>
            <w:pPr>
              <w:pStyle w:val="TableContents"/>
              <w:bidi w:val="0"/>
              <w:spacing w:before="0" w:after="0"/>
              <w:ind w:left="540" w:right="0" w:hanging="180"/>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19,094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19,094</w:t>
            </w:r>
          </w:p>
        </w:tc>
        <w:tc>
          <w:tcPr>
            <w:tcW w:w="425" w:type="dxa"/>
            <w:tcBorders/>
            <w:shd w:fill="CCEEFF" w:val="clear"/>
            <w:vAlign w:val="bottom"/>
          </w:tcPr>
          <w:p>
            <w:pPr>
              <w:pStyle w:val="TableContents"/>
              <w:bidi w:val="0"/>
              <w:spacing w:before="0" w:after="283"/>
              <w:ind w:left="180" w:right="0" w:firstLine="360"/>
              <w:jc w:val="left"/>
              <w:rPr/>
            </w:pPr>
            <w:r>
              <w:rPr/>
              <w:t> </w:t>
            </w:r>
          </w:p>
        </w:tc>
      </w:tr>
      <w:tr>
        <w:trPr/>
        <w:tc>
          <w:tcPr>
            <w:tcW w:w="5702" w:type="dxa"/>
            <w:tcBorders/>
            <w:vAlign w:val="bottom"/>
          </w:tcPr>
          <w:p>
            <w:pPr>
              <w:pStyle w:val="TableContents"/>
              <w:bidi w:val="0"/>
              <w:spacing w:before="0" w:after="283"/>
              <w:jc w:val="left"/>
              <w:rPr/>
            </w:pPr>
            <w:r>
              <w:rPr/>
              <w:t>Other securities</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11,112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11,112</w:t>
            </w:r>
          </w:p>
        </w:tc>
        <w:tc>
          <w:tcPr>
            <w:tcW w:w="425" w:type="dxa"/>
            <w:tcBorders/>
            <w:vAlign w:val="bottom"/>
          </w:tcPr>
          <w:p>
            <w:pPr>
              <w:pStyle w:val="TableContents"/>
              <w:bidi w:val="0"/>
              <w:spacing w:before="0" w:after="283"/>
              <w:jc w:val="left"/>
              <w:rPr/>
            </w:pPr>
            <w:r>
              <w:rPr/>
              <w:t> </w:t>
            </w:r>
          </w:p>
        </w:tc>
      </w:tr>
      <w:tr>
        <w:trPr/>
        <w:tc>
          <w:tcPr>
            <w:tcW w:w="5702" w:type="dxa"/>
            <w:tcBorders/>
            <w:shd w:fill="CCEEFF" w:val="clear"/>
            <w:vAlign w:val="bottom"/>
          </w:tcPr>
          <w:p>
            <w:pPr>
              <w:pStyle w:val="TableContents"/>
              <w:bidi w:val="0"/>
              <w:spacing w:before="0" w:after="0"/>
              <w:ind w:left="360" w:right="0" w:hanging="180"/>
              <w:jc w:val="left"/>
              <w:rPr>
                <w:color w:val="000000"/>
              </w:rPr>
            </w:pPr>
            <w:r>
              <w:rPr>
                <w:color w:val="000000"/>
              </w:rPr>
              <w:t>Loans held for sale (mandatory)</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10,038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10,038</w:t>
            </w:r>
          </w:p>
        </w:tc>
        <w:tc>
          <w:tcPr>
            <w:tcW w:w="425" w:type="dxa"/>
            <w:tcBorders/>
            <w:shd w:fill="CCEEFF" w:val="clear"/>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360" w:right="0" w:hanging="180"/>
              <w:jc w:val="left"/>
              <w:rPr>
                <w:color w:val="000000"/>
              </w:rPr>
            </w:pPr>
            <w:r>
              <w:rPr>
                <w:color w:val="000000"/>
              </w:rPr>
              <w:t>Mortgage servicing rights</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27,474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27,474</w:t>
            </w:r>
          </w:p>
        </w:tc>
        <w:tc>
          <w:tcPr>
            <w:tcW w:w="425" w:type="dxa"/>
            <w:tcBorders/>
            <w:vAlign w:val="bottom"/>
          </w:tcPr>
          <w:p>
            <w:pPr>
              <w:pStyle w:val="TableContents"/>
              <w:bidi w:val="0"/>
              <w:spacing w:before="0" w:after="283"/>
              <w:jc w:val="left"/>
              <w:rPr/>
            </w:pPr>
            <w:r>
              <w:rPr/>
              <w:t> </w:t>
            </w:r>
          </w:p>
        </w:tc>
      </w:tr>
      <w:tr>
        <w:trPr/>
        <w:tc>
          <w:tcPr>
            <w:tcW w:w="5702" w:type="dxa"/>
            <w:tcBorders/>
            <w:shd w:fill="CCEEFF" w:val="clear"/>
            <w:vAlign w:val="bottom"/>
          </w:tcPr>
          <w:p>
            <w:pPr>
              <w:pStyle w:val="TableContents"/>
              <w:bidi w:val="0"/>
              <w:spacing w:before="0" w:after="0"/>
              <w:ind w:left="360" w:right="0" w:hanging="180"/>
              <w:jc w:val="left"/>
              <w:rPr>
                <w:color w:val="000000"/>
              </w:rPr>
            </w:pPr>
            <w:r>
              <w:rPr>
                <w:color w:val="000000"/>
              </w:rPr>
              <w:t>Asset derivatives</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21,162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21,162</w:t>
            </w:r>
          </w:p>
        </w:tc>
        <w:tc>
          <w:tcPr>
            <w:tcW w:w="425" w:type="dxa"/>
            <w:tcBorders/>
            <w:shd w:fill="CCEEFF" w:val="clear"/>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360" w:right="0" w:hanging="180"/>
              <w:jc w:val="left"/>
              <w:rPr>
                <w:color w:val="000000"/>
              </w:rPr>
            </w:pPr>
            <w:r>
              <w:rPr>
                <w:color w:val="000000"/>
              </w:rPr>
              <w:t>Liability derivatives</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(128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(128</w:t>
            </w:r>
          </w:p>
        </w:tc>
        <w:tc>
          <w:tcPr>
            <w:tcW w:w="425" w:type="dxa"/>
            <w:tcBorders/>
            <w:vAlign w:val="bottom"/>
          </w:tcPr>
          <w:p>
            <w:pPr>
              <w:pStyle w:val="TableContents"/>
              <w:bidi w:val="0"/>
              <w:spacing w:before="0" w:after="0"/>
              <w:ind w:left="180" w:right="0" w:hanging="180"/>
              <w:jc w:val="left"/>
              <w:rPr>
                <w:color w:val="000000"/>
              </w:rPr>
            </w:pPr>
            <w:r>
              <w:rPr>
                <w:color w:val="000000"/>
              </w:rPr>
              <w:t>)</w:t>
            </w:r>
          </w:p>
        </w:tc>
      </w:tr>
      <w:tr>
        <w:trPr/>
        <w:tc>
          <w:tcPr>
            <w:tcW w:w="57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r>
      <w:tr>
        <w:trPr/>
        <w:tc>
          <w:tcPr>
            <w:tcW w:w="5702" w:type="dxa"/>
            <w:tcBorders/>
            <w:vAlign w:val="bottom"/>
          </w:tcPr>
          <w:p>
            <w:pPr>
              <w:pStyle w:val="TableContents"/>
              <w:bidi w:val="0"/>
              <w:spacing w:before="0" w:after="0"/>
              <w:ind w:left="180" w:right="0" w:hanging="180"/>
              <w:jc w:val="left"/>
              <w:rPr>
                <w:color w:val="000000"/>
              </w:rPr>
            </w:pPr>
            <w:r>
              <w:rPr>
                <w:color w:val="000000"/>
              </w:rPr>
              <w:t>Assets measured at fair value on a non-recurring basis:</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r>
      <w:tr>
        <w:trPr/>
        <w:tc>
          <w:tcPr>
            <w:tcW w:w="5702" w:type="dxa"/>
            <w:tcBorders/>
            <w:shd w:fill="CCEEFF" w:val="clear"/>
            <w:vAlign w:val="bottom"/>
          </w:tcPr>
          <w:p>
            <w:pPr>
              <w:pStyle w:val="TableContents"/>
              <w:bidi w:val="0"/>
              <w:spacing w:before="0" w:after="0"/>
              <w:ind w:left="360" w:right="0" w:hanging="180"/>
              <w:jc w:val="left"/>
              <w:rPr>
                <w:color w:val="000000"/>
              </w:rPr>
            </w:pPr>
            <w:r>
              <w:rPr>
                <w:color w:val="000000"/>
              </w:rPr>
              <w:t>Loans held for investment</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4,821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4,821</w:t>
            </w:r>
          </w:p>
        </w:tc>
        <w:tc>
          <w:tcPr>
            <w:tcW w:w="42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Securities</w:t>
      </w:r>
      <w:r>
        <w:rPr>
          <w:rFonts w:ascii="Times New Roman" w:hAnsi="Times New Roman"/>
          <w:color w:val="000000"/>
          <w:sz w:val="20"/>
          <w:shd w:fill="FFFFFF" w:val="clear"/>
        </w:rPr>
        <w:t xml:space="preserve"> – Fair value is calculated based on market prices of similar securities using matrix pricing. Matrix pricing is a mathematical technique commonly used to price debt securities that are not actively traded.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u w:val="single"/>
          <w:shd w:fill="FFFFFF" w:val="clear"/>
        </w:rPr>
        <w:t>Mortgage servicing rights</w:t>
      </w:r>
      <w:r>
        <w:rPr>
          <w:rFonts w:ascii="Times New Roman" w:hAnsi="Times New Roman"/>
          <w:color w:val="000000"/>
          <w:sz w:val="20"/>
          <w:shd w:fill="FFFFFF" w:val="clear"/>
        </w:rPr>
        <w:t xml:space="preserve"> – </w:t>
      </w:r>
      <w:r>
        <w:rPr>
          <w:rFonts w:ascii="Times New Roman;Times;serif" w:hAnsi="Times New Roman;Times;serif"/>
          <w:b w:val="false"/>
          <w:i w:val="false"/>
          <w:caps w:val="false"/>
          <w:smallCaps w:val="false"/>
          <w:color w:val="000000"/>
          <w:spacing w:val="0"/>
          <w:sz w:val="20"/>
          <w:shd w:fill="FFFFFF" w:val="clear"/>
        </w:rPr>
        <w:t>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8 for the Level 3 change activity for the years ended December 31, 2023,2022 and 2021.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Derivatives</w:t>
      </w:r>
      <w:r>
        <w:rPr>
          <w:rFonts w:ascii="Times New Roman" w:hAnsi="Times New Roman"/>
          <w:color w:val="000000"/>
          <w:sz w:val="20"/>
          <w:shd w:fill="FFFFFF" w:val="clear"/>
        </w:rPr>
        <w:t xml:space="preserve"> – Fair value of derivatives is based on valuation models using observable market data as of the measurement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investment</w:t>
      </w:r>
      <w:r>
        <w:rPr>
          <w:rFonts w:ascii="Times New Roman" w:hAnsi="Times New Roman"/>
          <w:color w:val="000000"/>
          <w:sz w:val="20"/>
          <w:shd w:fill="FFFFFF" w:val="clear"/>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Fair Values of Assets Recorded on a Recurring Basis for which the Fair Value Option has been Elected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sale (mandatory)</w:t>
      </w:r>
      <w:r>
        <w:rPr>
          <w:rFonts w:ascii="Times New Roman" w:hAnsi="Times New Roman"/>
          <w:color w:val="000000"/>
          <w:sz w:val="20"/>
          <w:shd w:fill="FFFFFF" w:val="clear"/>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hAnsi="Times New Roman"/>
          <w:i/>
          <w:color w:val="000000"/>
          <w:sz w:val="20"/>
          <w:shd w:fill="FFFFFF" w:val="clear"/>
        </w:rPr>
        <w:t>Derivatives and Hedging</w:t>
      </w:r>
      <w:r>
        <w:rPr>
          <w:rFonts w:ascii="Times New Roman" w:hAnsi="Times New Roman"/>
          <w:color w:val="000000"/>
          <w:sz w:val="20"/>
          <w:shd w:fill="FFFFFF" w:val="clear"/>
        </w:rPr>
        <w:t>. For assets for which the fair value option has been elected, the earned current contractual interest payment is recognized in interest income, loan origination costs and fees on fair value option loans are recognized in earnings as incurred and not deferred. At December 31, 2023, and 2022, there were no gains or losses recorded attributable to changes in instrument-specific credit risk. Fair value is determined using quoted prices for similar assets, adjusted for specific attributes of that loan. At December 31,2023 and 2022 the aggregate fair value of loans held for sale for mandatory delivery was $6.6 million and $10.0 million, respectively. The aggregate unpaid principal balance as of the same dates was $6.4 million and $9.9 million, respectively, representing differences between fair value and unpaid principal balance of $190 thousand and $163 thousand, respectively. The Company had no loans held for sale for mandatory delivery designated as nonaccrual or 90 days or more past due at December 31, 2023 and 2022.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left"/>
        <w:rPr>
          <w:rFonts w:ascii="Times New Roman" w:hAnsi="Times New Roman"/>
          <w:color w:val="000000"/>
          <w:sz w:val="20"/>
          <w:shd w:fill="FFFFFF" w:val="clear"/>
        </w:rPr>
      </w:pPr>
      <w:r>
        <w:rPr>
          <w:rFonts w:ascii="Times New Roman;Times;serif" w:hAnsi="Times New Roman;Times;serif"/>
          <w:b w:val="false"/>
          <w:i w:val="false"/>
          <w:caps w:val="false"/>
          <w:smallCaps w:val="false"/>
          <w:color w:val="000000"/>
          <w:spacing w:val="0"/>
          <w:sz w:val="20"/>
          <w:shd w:fill="FFFFFF" w:val="clear"/>
        </w:rPr>
        <w:t>The total fair value option impact on noninterest income for loans held for sale for mandatory delivery is included in Net gain on sales of loans in the consolidated statements of comprehensive income (loss). For the years ended December 31, 2023, 2022, and 2021 this amount totaled</w:t>
      </w:r>
      <w:r>
        <w:rPr>
          <w:rFonts w:ascii="Times New Roman" w:hAnsi="Times New Roman"/>
          <w:color w:val="000000"/>
          <w:sz w:val="20"/>
          <w:shd w:fill="FFFFFF" w:val="clear"/>
        </w:rPr>
        <w:t xml:space="preserve"> $(424) thousand, $(2.1) million, and $(3.4) million, respectively.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quantitative information about recurring and non-recurring Level 3 fair value measurements at December 31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016"/>
        <w:gridCol w:w="60"/>
        <w:gridCol w:w="169"/>
        <w:gridCol w:w="822"/>
        <w:gridCol w:w="60"/>
        <w:gridCol w:w="2501"/>
        <w:gridCol w:w="60"/>
        <w:gridCol w:w="2662"/>
        <w:gridCol w:w="60"/>
        <w:gridCol w:w="151"/>
        <w:gridCol w:w="1426"/>
        <w:gridCol w:w="218"/>
      </w:tblGrid>
      <w:tr>
        <w:trPr/>
        <w:tc>
          <w:tcPr>
            <w:tcW w:w="2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60" w:type="dxa"/>
            <w:tcBorders/>
            <w:vAlign w:val="bottom"/>
          </w:tcPr>
          <w:p>
            <w:pPr>
              <w:pStyle w:val="TableContents"/>
              <w:bidi w:val="0"/>
              <w:spacing w:before="0" w:after="283"/>
              <w:jc w:val="left"/>
              <w:rPr/>
            </w:pPr>
            <w:r>
              <w:rPr/>
              <w:t> </w:t>
            </w:r>
          </w:p>
        </w:tc>
        <w:tc>
          <w:tcPr>
            <w:tcW w:w="2501"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Valuation Techniques</w:t>
            </w:r>
          </w:p>
        </w:tc>
        <w:tc>
          <w:tcPr>
            <w:tcW w:w="60" w:type="dxa"/>
            <w:tcBorders/>
            <w:vAlign w:val="bottom"/>
          </w:tcPr>
          <w:p>
            <w:pPr>
              <w:pStyle w:val="TableContents"/>
              <w:bidi w:val="0"/>
              <w:spacing w:before="0" w:after="283"/>
              <w:jc w:val="center"/>
              <w:rPr/>
            </w:pPr>
            <w:r>
              <w:rPr/>
              <w:t> </w:t>
            </w:r>
          </w:p>
        </w:tc>
        <w:tc>
          <w:tcPr>
            <w:tcW w:w="2662" w:type="dxa"/>
            <w:tcBorders>
              <w:bottom w:val="single" w:sz="12" w:space="0" w:color="000000"/>
            </w:tcBorders>
            <w:tcMar>
              <w:bottom w:w="28" w:type="dxa"/>
            </w:tcMar>
            <w:vAlign w:val="bottom"/>
          </w:tcPr>
          <w:p>
            <w:pPr>
              <w:pStyle w:val="TableContents"/>
              <w:bidi w:val="0"/>
              <w:spacing w:before="0" w:after="283"/>
              <w:jc w:val="center"/>
              <w:rPr>
                <w:b/>
              </w:rPr>
            </w:pPr>
            <w:r>
              <w:rPr>
                <w:b/>
              </w:rPr>
              <w:t>Unobservable Inputs</w:t>
            </w:r>
          </w:p>
        </w:tc>
        <w:tc>
          <w:tcPr>
            <w:tcW w:w="60" w:type="dxa"/>
            <w:tcBorders/>
            <w:vAlign w:val="bottom"/>
          </w:tcPr>
          <w:p>
            <w:pPr>
              <w:pStyle w:val="TableContents"/>
              <w:bidi w:val="0"/>
              <w:spacing w:before="0" w:after="283"/>
              <w:jc w:val="left"/>
              <w:rPr/>
            </w:pPr>
            <w:r>
              <w:rPr/>
              <w:t> </w:t>
            </w:r>
          </w:p>
        </w:tc>
        <w:tc>
          <w:tcPr>
            <w:tcW w:w="15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Range of Discounts</w:t>
            </w:r>
          </w:p>
        </w:tc>
        <w:tc>
          <w:tcPr>
            <w:tcW w:w="218" w:type="dxa"/>
            <w:tcBorders/>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0"/>
              <w:ind w:left="144" w:right="0" w:hanging="0"/>
              <w:jc w:val="left"/>
              <w:rPr>
                <w:color w:val="000000"/>
                <w:u w:val="single"/>
              </w:rPr>
            </w:pPr>
            <w:r>
              <w:rPr>
                <w:color w:val="000000"/>
                <w:u w:val="single"/>
              </w:rPr>
              <w:t>December 31, 2023</w:t>
            </w:r>
          </w:p>
        </w:tc>
        <w:tc>
          <w:tcPr>
            <w:tcW w:w="60" w:type="dxa"/>
            <w:tcBorders/>
            <w:vAlign w:val="bottom"/>
          </w:tcPr>
          <w:p>
            <w:pPr>
              <w:pStyle w:val="TableContents"/>
              <w:bidi w:val="0"/>
              <w:spacing w:before="0" w:after="283"/>
              <w:jc w:val="left"/>
              <w:rPr/>
            </w:pPr>
            <w:r>
              <w:rPr/>
              <w:t> </w:t>
            </w:r>
          </w:p>
        </w:tc>
        <w:tc>
          <w:tcPr>
            <w:tcW w:w="99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r>
      <w:tr>
        <w:trPr/>
        <w:tc>
          <w:tcPr>
            <w:tcW w:w="2016" w:type="dxa"/>
            <w:tcBorders/>
            <w:vAlign w:val="bottom"/>
          </w:tcPr>
          <w:p>
            <w:pPr>
              <w:pStyle w:val="TableContents"/>
              <w:bidi w:val="0"/>
              <w:spacing w:before="0" w:after="283"/>
              <w:jc w:val="left"/>
              <w:rPr/>
            </w:pPr>
            <w:r>
              <w:rPr/>
              <w:t>Non-recurring</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r>
      <w:tr>
        <w:trPr/>
        <w:tc>
          <w:tcPr>
            <w:tcW w:w="2016" w:type="dxa"/>
            <w:tcBorders/>
            <w:shd w:fill="CCEEFF" w:val="clear"/>
            <w:vAlign w:val="bottom"/>
          </w:tcPr>
          <w:p>
            <w:pPr>
              <w:pStyle w:val="TableContents"/>
              <w:bidi w:val="0"/>
              <w:spacing w:before="0" w:after="0"/>
              <w:ind w:left="180" w:right="0" w:hanging="180"/>
              <w:jc w:val="left"/>
              <w:rPr>
                <w:color w:val="000000"/>
              </w:rPr>
            </w:pPr>
            <w:r>
              <w:rPr>
                <w:color w:val="000000"/>
              </w:rPr>
              <w:t>Loans held for investment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color w:val="000000"/>
              </w:rPr>
            </w:pPr>
            <w:r>
              <w:rPr>
                <w:color w:val="000000"/>
              </w:rPr>
              <w:t>$</w:t>
            </w:r>
          </w:p>
        </w:tc>
        <w:tc>
          <w:tcPr>
            <w:tcW w:w="822" w:type="dxa"/>
            <w:tcBorders/>
            <w:shd w:fill="CCEEFF" w:val="clear"/>
            <w:vAlign w:val="bottom"/>
          </w:tcPr>
          <w:p>
            <w:pPr>
              <w:pStyle w:val="TableContents"/>
              <w:bidi w:val="0"/>
              <w:spacing w:before="0" w:after="0"/>
              <w:jc w:val="right"/>
              <w:rPr>
                <w:color w:val="000000"/>
              </w:rPr>
            </w:pPr>
            <w:r>
              <w:rPr>
                <w:color w:val="000000"/>
              </w:rPr>
              <w:t>1,482</w:t>
            </w:r>
          </w:p>
        </w:tc>
        <w:tc>
          <w:tcPr>
            <w:tcW w:w="60" w:type="dxa"/>
            <w:tcBorders/>
            <w:shd w:fill="CCEEFF" w:val="clear"/>
            <w:vAlign w:val="bottom"/>
          </w:tcPr>
          <w:p>
            <w:pPr>
              <w:pStyle w:val="TableContents"/>
              <w:bidi w:val="0"/>
              <w:spacing w:before="0" w:after="283"/>
              <w:jc w:val="left"/>
              <w:rPr/>
            </w:pPr>
            <w:r>
              <w:rPr/>
              <w:t> </w:t>
            </w:r>
          </w:p>
        </w:tc>
        <w:tc>
          <w:tcPr>
            <w:tcW w:w="2501" w:type="dxa"/>
            <w:tcBorders/>
            <w:shd w:fill="CCEEFF" w:val="clear"/>
            <w:vAlign w:val="bottom"/>
          </w:tcPr>
          <w:p>
            <w:pPr>
              <w:pStyle w:val="TableContents"/>
              <w:bidi w:val="0"/>
              <w:spacing w:before="0" w:after="0"/>
              <w:jc w:val="left"/>
              <w:rPr>
                <w:color w:val="000000"/>
              </w:rPr>
            </w:pPr>
            <w:r>
              <w:rPr>
                <w:color w:val="000000"/>
              </w:rPr>
              <w:t>Third party appraisals or inspections</w:t>
            </w:r>
          </w:p>
        </w:tc>
        <w:tc>
          <w:tcPr>
            <w:tcW w:w="60" w:type="dxa"/>
            <w:tcBorders/>
            <w:shd w:fill="CCEEFF" w:val="clear"/>
            <w:vAlign w:val="bottom"/>
          </w:tcPr>
          <w:p>
            <w:pPr>
              <w:pStyle w:val="TableContents"/>
              <w:bidi w:val="0"/>
              <w:spacing w:before="0" w:after="283"/>
              <w:jc w:val="left"/>
              <w:rPr/>
            </w:pPr>
            <w:r>
              <w:rPr/>
              <w:t> </w:t>
            </w:r>
          </w:p>
        </w:tc>
        <w:tc>
          <w:tcPr>
            <w:tcW w:w="2662" w:type="dxa"/>
            <w:tcBorders/>
            <w:shd w:fill="CCEEFF" w:val="clear"/>
            <w:vAlign w:val="bottom"/>
          </w:tcPr>
          <w:p>
            <w:pPr>
              <w:pStyle w:val="TableContents"/>
              <w:bidi w:val="0"/>
              <w:spacing w:before="0" w:after="283"/>
              <w:jc w:val="left"/>
              <w:rPr/>
            </w:pPr>
            <w:r>
              <w:rPr/>
              <w:t> </w:t>
            </w:r>
            <w:r>
              <w:rPr/>
              <w:t>Collateral discounts and selling costs</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0"/>
              <w:jc w:val="right"/>
              <w:rPr>
                <w:color w:val="000000"/>
              </w:rPr>
            </w:pPr>
            <w:r>
              <w:rPr>
                <w:color w:val="000000"/>
              </w:rPr>
              <w:t>20%-100</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2016" w:type="dxa"/>
            <w:tcBorders/>
            <w:vAlign w:val="bottom"/>
          </w:tcPr>
          <w:p>
            <w:pPr>
              <w:pStyle w:val="TableContents"/>
              <w:bidi w:val="0"/>
              <w:spacing w:before="0" w:after="283"/>
              <w:jc w:val="left"/>
              <w:rPr/>
            </w:pPr>
            <w:r>
              <w:rPr/>
              <w:t>Recurring:</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r>
          </w:p>
        </w:tc>
      </w:tr>
      <w:tr>
        <w:trPr/>
        <w:tc>
          <w:tcPr>
            <w:tcW w:w="2016" w:type="dxa"/>
            <w:tcBorders/>
            <w:shd w:fill="CCEEFF" w:val="clear"/>
            <w:vAlign w:val="bottom"/>
          </w:tcPr>
          <w:p>
            <w:pPr>
              <w:pStyle w:val="TableContents"/>
              <w:bidi w:val="0"/>
              <w:spacing w:before="0" w:after="0"/>
              <w:ind w:left="180" w:right="0" w:hanging="180"/>
              <w:jc w:val="left"/>
              <w:rPr>
                <w:color w:val="000000"/>
              </w:rPr>
            </w:pPr>
            <w:r>
              <w:rPr>
                <w:color w:val="000000"/>
              </w:rPr>
              <w:t>Mortgage servicing rights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rPr>
            </w:pPr>
            <w:r>
              <w:rPr>
                <w:color w:val="000000"/>
              </w:rPr>
              <w:t>26,569</w:t>
            </w:r>
          </w:p>
        </w:tc>
        <w:tc>
          <w:tcPr>
            <w:tcW w:w="60" w:type="dxa"/>
            <w:tcBorders/>
            <w:shd w:fill="CCEEFF" w:val="clear"/>
            <w:vAlign w:val="bottom"/>
          </w:tcPr>
          <w:p>
            <w:pPr>
              <w:pStyle w:val="TableContents"/>
              <w:bidi w:val="0"/>
              <w:spacing w:before="0" w:after="283"/>
              <w:jc w:val="left"/>
              <w:rPr/>
            </w:pPr>
            <w:r>
              <w:rPr/>
              <w:t> </w:t>
            </w:r>
          </w:p>
        </w:tc>
        <w:tc>
          <w:tcPr>
            <w:tcW w:w="2501" w:type="dxa"/>
            <w:tcBorders/>
            <w:shd w:fill="CCEEFF" w:val="clear"/>
            <w:vAlign w:val="bottom"/>
          </w:tcPr>
          <w:p>
            <w:pPr>
              <w:pStyle w:val="TableContents"/>
              <w:bidi w:val="0"/>
              <w:spacing w:before="0" w:after="0"/>
              <w:jc w:val="left"/>
              <w:rPr>
                <w:color w:val="000000"/>
              </w:rPr>
            </w:pPr>
            <w:r>
              <w:rPr>
                <w:color w:val="000000"/>
              </w:rPr>
              <w:t>Discounted cash flows</w:t>
            </w:r>
          </w:p>
        </w:tc>
        <w:tc>
          <w:tcPr>
            <w:tcW w:w="60" w:type="dxa"/>
            <w:tcBorders/>
            <w:shd w:fill="CCEEFF" w:val="clear"/>
            <w:vAlign w:val="bottom"/>
          </w:tcPr>
          <w:p>
            <w:pPr>
              <w:pStyle w:val="TableContents"/>
              <w:bidi w:val="0"/>
              <w:spacing w:before="0" w:after="283"/>
              <w:jc w:val="left"/>
              <w:rPr/>
            </w:pPr>
            <w:r>
              <w:rPr/>
              <w:t> </w:t>
            </w:r>
          </w:p>
        </w:tc>
        <w:tc>
          <w:tcPr>
            <w:tcW w:w="2662" w:type="dxa"/>
            <w:tcBorders/>
            <w:shd w:fill="CCEEFF" w:val="clear"/>
            <w:vAlign w:val="bottom"/>
          </w:tcPr>
          <w:p>
            <w:pPr>
              <w:pStyle w:val="TableContents"/>
              <w:bidi w:val="0"/>
              <w:spacing w:before="0" w:after="283"/>
              <w:jc w:val="left"/>
              <w:rPr/>
            </w:pPr>
            <w:r>
              <w:rPr/>
              <w:t> </w:t>
            </w:r>
            <w:r>
              <w:rPr/>
              <w:t>Constant prepayment rate</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0"/>
              <w:jc w:val="right"/>
              <w:rPr>
                <w:color w:val="000000"/>
              </w:rPr>
            </w:pPr>
            <w:r>
              <w:rPr>
                <w:color w:val="000000"/>
              </w:rPr>
              <w:t>7.46</w:t>
            </w:r>
          </w:p>
        </w:tc>
        <w:tc>
          <w:tcPr>
            <w:tcW w:w="218" w:type="dxa"/>
            <w:tcBorders/>
            <w:shd w:fill="CCEEFF" w:val="clear"/>
            <w:vAlign w:val="bottom"/>
          </w:tcPr>
          <w:p>
            <w:pPr>
              <w:pStyle w:val="TableContents"/>
              <w:bidi w:val="0"/>
              <w:spacing w:before="0" w:after="0"/>
              <w:jc w:val="left"/>
              <w:rPr>
                <w:color w:val="000000"/>
              </w:rPr>
            </w:pPr>
            <w:r>
              <w:rPr>
                <w:color w:val="000000"/>
              </w:rPr>
              <w:t>%</w:t>
            </w:r>
          </w:p>
        </w:tc>
      </w:tr>
      <w:tr>
        <w:trPr/>
        <w:tc>
          <w:tcPr>
            <w:tcW w:w="2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283"/>
              <w:jc w:val="left"/>
              <w:rPr/>
            </w:pPr>
            <w:r>
              <w:rPr/>
              <w:t> </w:t>
            </w:r>
            <w:r>
              <w:rPr/>
              <w:t>Discount rate</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0"/>
              <w:jc w:val="right"/>
              <w:rPr>
                <w:color w:val="000000"/>
              </w:rPr>
            </w:pPr>
            <w:r>
              <w:rPr>
                <w:color w:val="000000"/>
              </w:rPr>
              <w:t>10.66</w:t>
            </w:r>
          </w:p>
        </w:tc>
        <w:tc>
          <w:tcPr>
            <w:tcW w:w="218" w:type="dxa"/>
            <w:tcBorders/>
            <w:vAlign w:val="bottom"/>
          </w:tcPr>
          <w:p>
            <w:pPr>
              <w:pStyle w:val="TableContents"/>
              <w:bidi w:val="0"/>
              <w:spacing w:before="0" w:after="0"/>
              <w:jc w:val="left"/>
              <w:rPr>
                <w:color w:val="000000"/>
              </w:rPr>
            </w:pPr>
            <w:r>
              <w:rPr>
                <w:color w:val="000000"/>
              </w:rPr>
              <w:t>%</w:t>
            </w:r>
          </w:p>
        </w:tc>
      </w:tr>
      <w:tr>
        <w:trPr/>
        <w:tc>
          <w:tcPr>
            <w:tcW w:w="20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r>
          </w:p>
        </w:tc>
      </w:tr>
      <w:tr>
        <w:trPr/>
        <w:tc>
          <w:tcPr>
            <w:tcW w:w="2016" w:type="dxa"/>
            <w:tcBorders/>
            <w:vAlign w:val="bottom"/>
          </w:tcPr>
          <w:p>
            <w:pPr>
              <w:pStyle w:val="TableContents"/>
              <w:bidi w:val="0"/>
              <w:spacing w:before="0" w:after="0"/>
              <w:ind w:left="144" w:right="0" w:hanging="0"/>
              <w:jc w:val="left"/>
              <w:rPr>
                <w:color w:val="000000"/>
                <w:u w:val="single"/>
              </w:rPr>
            </w:pPr>
            <w:r>
              <w:rPr>
                <w:color w:val="000000"/>
                <w:u w:val="single"/>
              </w:rPr>
              <w:t>December 31, 2022</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r>
          </w:p>
        </w:tc>
      </w:tr>
      <w:tr>
        <w:trPr/>
        <w:tc>
          <w:tcPr>
            <w:tcW w:w="2016" w:type="dxa"/>
            <w:tcBorders/>
            <w:shd w:fill="CCEEFF" w:val="clear"/>
            <w:vAlign w:val="bottom"/>
          </w:tcPr>
          <w:p>
            <w:pPr>
              <w:pStyle w:val="TableContents"/>
              <w:bidi w:val="0"/>
              <w:spacing w:before="0" w:after="283"/>
              <w:jc w:val="left"/>
              <w:rPr/>
            </w:pPr>
            <w:r>
              <w:rPr/>
              <w:t>Non-recurring</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r>
          </w:p>
        </w:tc>
      </w:tr>
      <w:tr>
        <w:trPr/>
        <w:tc>
          <w:tcPr>
            <w:tcW w:w="2016" w:type="dxa"/>
            <w:tcBorders/>
            <w:vAlign w:val="bottom"/>
          </w:tcPr>
          <w:p>
            <w:pPr>
              <w:pStyle w:val="TableContents"/>
              <w:bidi w:val="0"/>
              <w:spacing w:before="0" w:after="0"/>
              <w:ind w:left="180" w:right="0" w:hanging="180"/>
              <w:jc w:val="left"/>
              <w:rPr>
                <w:color w:val="000000"/>
              </w:rPr>
            </w:pPr>
            <w:r>
              <w:rPr>
                <w:color w:val="000000"/>
              </w:rPr>
              <w:t>Loans held for investment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color w:val="000000"/>
              </w:rPr>
            </w:pPr>
            <w:r>
              <w:rPr>
                <w:color w:val="000000"/>
              </w:rPr>
              <w:t>$</w:t>
            </w:r>
          </w:p>
        </w:tc>
        <w:tc>
          <w:tcPr>
            <w:tcW w:w="822" w:type="dxa"/>
            <w:tcBorders/>
            <w:vAlign w:val="bottom"/>
          </w:tcPr>
          <w:p>
            <w:pPr>
              <w:pStyle w:val="TableContents"/>
              <w:bidi w:val="0"/>
              <w:spacing w:before="0" w:after="0"/>
              <w:jc w:val="right"/>
              <w:rPr>
                <w:color w:val="000000"/>
              </w:rPr>
            </w:pPr>
            <w:r>
              <w:rPr>
                <w:color w:val="000000"/>
              </w:rPr>
              <w:t>4,821</w:t>
            </w:r>
          </w:p>
        </w:tc>
        <w:tc>
          <w:tcPr>
            <w:tcW w:w="60"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0"/>
              <w:jc w:val="left"/>
              <w:rPr>
                <w:color w:val="000000"/>
              </w:rPr>
            </w:pPr>
            <w:r>
              <w:rPr>
                <w:color w:val="000000"/>
              </w:rPr>
              <w:t>Third party appraisals or inspections</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283"/>
              <w:jc w:val="left"/>
              <w:rPr/>
            </w:pPr>
            <w:r>
              <w:rPr/>
              <w:t> </w:t>
            </w:r>
            <w:r>
              <w:rPr/>
              <w:t>Collateral discounts and selling costs</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0"/>
              <w:jc w:val="right"/>
              <w:rPr>
                <w:color w:val="000000"/>
              </w:rPr>
            </w:pPr>
            <w:r>
              <w:rPr>
                <w:color w:val="000000"/>
              </w:rPr>
              <w:t>20%-100</w:t>
            </w:r>
          </w:p>
        </w:tc>
        <w:tc>
          <w:tcPr>
            <w:tcW w:w="218" w:type="dxa"/>
            <w:tcBorders/>
            <w:vAlign w:val="bottom"/>
          </w:tcPr>
          <w:p>
            <w:pPr>
              <w:pStyle w:val="TableContents"/>
              <w:bidi w:val="0"/>
              <w:spacing w:before="0" w:after="0"/>
              <w:jc w:val="left"/>
              <w:rPr>
                <w:color w:val="000000"/>
              </w:rPr>
            </w:pPr>
            <w:r>
              <w:rPr>
                <w:color w:val="000000"/>
              </w:rPr>
              <w:t>%</w:t>
            </w:r>
          </w:p>
        </w:tc>
      </w:tr>
      <w:tr>
        <w:trPr/>
        <w:tc>
          <w:tcPr>
            <w:tcW w:w="2016" w:type="dxa"/>
            <w:tcBorders/>
            <w:shd w:fill="CCEEFF" w:val="clear"/>
            <w:vAlign w:val="bottom"/>
          </w:tcPr>
          <w:p>
            <w:pPr>
              <w:pStyle w:val="TableContents"/>
              <w:bidi w:val="0"/>
              <w:spacing w:before="0" w:after="283"/>
              <w:jc w:val="left"/>
              <w:rPr/>
            </w:pPr>
            <w:r>
              <w:rPr/>
              <w:t>Recurring:</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r>
          </w:p>
        </w:tc>
      </w:tr>
      <w:tr>
        <w:trPr/>
        <w:tc>
          <w:tcPr>
            <w:tcW w:w="2016" w:type="dxa"/>
            <w:tcBorders/>
            <w:vAlign w:val="bottom"/>
          </w:tcPr>
          <w:p>
            <w:pPr>
              <w:pStyle w:val="TableContents"/>
              <w:bidi w:val="0"/>
              <w:spacing w:before="0" w:after="0"/>
              <w:ind w:left="180" w:right="0" w:hanging="180"/>
              <w:jc w:val="left"/>
              <w:rPr>
                <w:color w:val="000000"/>
              </w:rPr>
            </w:pPr>
            <w:r>
              <w:rPr>
                <w:color w:val="000000"/>
              </w:rPr>
              <w:t>Mortgage servicing rights</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color w:val="000000"/>
              </w:rPr>
            </w:pPr>
            <w:r>
              <w:rPr>
                <w:color w:val="000000"/>
              </w:rPr>
              <w:t>27,474</w:t>
            </w:r>
          </w:p>
        </w:tc>
        <w:tc>
          <w:tcPr>
            <w:tcW w:w="60" w:type="dxa"/>
            <w:tcBorders/>
            <w:vAlign w:val="bottom"/>
          </w:tcPr>
          <w:p>
            <w:pPr>
              <w:pStyle w:val="TableContents"/>
              <w:bidi w:val="0"/>
              <w:spacing w:before="0" w:after="283"/>
              <w:jc w:val="left"/>
              <w:rPr/>
            </w:pPr>
            <w:r>
              <w:rPr/>
              <w:t> </w:t>
            </w:r>
          </w:p>
        </w:tc>
        <w:tc>
          <w:tcPr>
            <w:tcW w:w="2501" w:type="dxa"/>
            <w:tcBorders/>
            <w:vAlign w:val="bottom"/>
          </w:tcPr>
          <w:p>
            <w:pPr>
              <w:pStyle w:val="TableContents"/>
              <w:bidi w:val="0"/>
              <w:spacing w:before="0" w:after="0"/>
              <w:jc w:val="left"/>
              <w:rPr>
                <w:color w:val="000000"/>
              </w:rPr>
            </w:pPr>
            <w:r>
              <w:rPr>
                <w:color w:val="000000"/>
              </w:rPr>
              <w:t>Discounted cash flows</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283"/>
              <w:jc w:val="left"/>
              <w:rPr/>
            </w:pPr>
            <w:r>
              <w:rPr/>
              <w:t>Constant prepayment rate</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0"/>
              <w:jc w:val="right"/>
              <w:rPr>
                <w:color w:val="000000"/>
              </w:rPr>
            </w:pPr>
            <w:r>
              <w:rPr>
                <w:color w:val="000000"/>
              </w:rPr>
              <w:t>7.47</w:t>
            </w:r>
          </w:p>
        </w:tc>
        <w:tc>
          <w:tcPr>
            <w:tcW w:w="218" w:type="dxa"/>
            <w:tcBorders/>
            <w:vAlign w:val="bottom"/>
          </w:tcPr>
          <w:p>
            <w:pPr>
              <w:pStyle w:val="TableContents"/>
              <w:bidi w:val="0"/>
              <w:spacing w:before="0" w:after="0"/>
              <w:jc w:val="left"/>
              <w:rPr>
                <w:color w:val="000000"/>
              </w:rPr>
            </w:pPr>
            <w:r>
              <w:rPr>
                <w:color w:val="000000"/>
              </w:rPr>
              <w:t>%</w:t>
            </w:r>
          </w:p>
        </w:tc>
      </w:tr>
      <w:tr>
        <w:trPr/>
        <w:tc>
          <w:tcPr>
            <w:tcW w:w="20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2" w:type="dxa"/>
            <w:tcBorders/>
            <w:shd w:fill="CCEEFF" w:val="clear"/>
            <w:vAlign w:val="bottom"/>
          </w:tcPr>
          <w:p>
            <w:pPr>
              <w:pStyle w:val="TableContents"/>
              <w:bidi w:val="0"/>
              <w:spacing w:before="0" w:after="283"/>
              <w:jc w:val="left"/>
              <w:rPr/>
            </w:pPr>
            <w:r>
              <w:rPr/>
              <w:t> </w:t>
            </w:r>
            <w:r>
              <w:rPr/>
              <w:t>Discount rate</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0"/>
              <w:jc w:val="right"/>
              <w:rPr>
                <w:color w:val="000000"/>
              </w:rPr>
            </w:pPr>
            <w:r>
              <w:rPr>
                <w:color w:val="000000"/>
              </w:rPr>
              <w:t>9.15</w:t>
            </w:r>
          </w:p>
        </w:tc>
        <w:tc>
          <w:tcPr>
            <w:tcW w:w="218"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fair values, and related carrying amounts, of the Company’s financial instruments that are not previously disclosed in the recurring fair values section are as follows as of December 31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4170"/>
        <w:gridCol w:w="60"/>
        <w:gridCol w:w="140"/>
        <w:gridCol w:w="980"/>
        <w:gridCol w:w="60"/>
        <w:gridCol w:w="60"/>
        <w:gridCol w:w="140"/>
        <w:gridCol w:w="800"/>
        <w:gridCol w:w="60"/>
        <w:gridCol w:w="60"/>
        <w:gridCol w:w="140"/>
        <w:gridCol w:w="980"/>
        <w:gridCol w:w="60"/>
        <w:gridCol w:w="60"/>
        <w:gridCol w:w="140"/>
        <w:gridCol w:w="980"/>
        <w:gridCol w:w="60"/>
        <w:gridCol w:w="60"/>
        <w:gridCol w:w="140"/>
        <w:gridCol w:w="980"/>
        <w:gridCol w:w="75"/>
      </w:tblGrid>
      <w:tr>
        <w:trPr/>
        <w:tc>
          <w:tcPr>
            <w:tcW w:w="4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w:t>
            </w:r>
          </w:p>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5" w:type="dxa"/>
            <w:tcBorders/>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144" w:right="0" w:hanging="0"/>
              <w:jc w:val="left"/>
              <w:rPr>
                <w:color w:val="000000"/>
                <w:u w:val="single"/>
              </w:rPr>
            </w:pPr>
            <w:r>
              <w:rPr>
                <w:color w:val="000000"/>
                <w:u w:val="single"/>
              </w:rPr>
              <w:t>December 31, 2023</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180" w:right="0" w:hanging="180"/>
              <w:jc w:val="left"/>
              <w:rPr>
                <w:color w:val="000000"/>
              </w:rPr>
            </w:pPr>
            <w:r>
              <w:rPr>
                <w:color w:val="000000"/>
              </w:rPr>
              <w:t>Financial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360" w:right="0" w:hanging="180"/>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330,158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330,158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330,158</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180" w:right="0" w:hanging="0"/>
              <w:jc w:val="left"/>
              <w:rPr/>
            </w:pPr>
            <w:r>
              <w:rPr/>
              <w:t>Loans held for investment,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2,971,797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2,848,536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2,848,536</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180" w:right="0" w:hanging="0"/>
              <w:jc w:val="left"/>
              <w:rPr/>
            </w:pPr>
            <w:r>
              <w:rPr/>
              <w:t>Loans held for sale (best efforts)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7,977</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360" w:right="0" w:hanging="180"/>
              <w:jc w:val="left"/>
              <w:rPr>
                <w:color w:val="000000"/>
              </w:rPr>
            </w:pPr>
            <w:r>
              <w:rPr>
                <w:color w:val="000000"/>
              </w:rPr>
              <w:t>Accrued interest receivable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20,881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20,881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20,881</w:t>
            </w:r>
          </w:p>
        </w:tc>
        <w:tc>
          <w:tcPr>
            <w:tcW w:w="75" w:type="dxa"/>
            <w:tcBorders/>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180" w:right="0" w:hanging="180"/>
              <w:jc w:val="left"/>
              <w:rPr>
                <w:color w:val="000000"/>
              </w:rPr>
            </w:pPr>
            <w:r>
              <w:rPr>
                <w:color w:val="000000"/>
              </w:rPr>
              <w:t>Financial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360" w:right="0" w:hanging="180"/>
              <w:jc w:val="left"/>
              <w:rPr>
                <w:color w:val="000000"/>
              </w:rPr>
            </w:pPr>
            <w:r>
              <w:rPr>
                <w:color w:val="000000"/>
              </w:rPr>
              <w:t>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3,626,153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3,625,321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3,625,321</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360" w:right="0" w:hanging="180"/>
              <w:jc w:val="left"/>
              <w:rPr>
                <w:color w:val="000000"/>
              </w:rPr>
            </w:pPr>
            <w:r>
              <w:rPr>
                <w:color w:val="000000"/>
              </w:rPr>
              <w:t>Accrued interest payable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5,057</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33,098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33,098</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360" w:right="0" w:hanging="180"/>
              <w:jc w:val="left"/>
              <w:rPr>
                <w:color w:val="000000"/>
              </w:rPr>
            </w:pPr>
            <w:r>
              <w:rPr>
                <w:color w:val="000000"/>
              </w:rPr>
              <w:t>Subordinated debt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63,775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57,497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57,497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4170"/>
        <w:gridCol w:w="60"/>
        <w:gridCol w:w="140"/>
        <w:gridCol w:w="980"/>
        <w:gridCol w:w="60"/>
        <w:gridCol w:w="60"/>
        <w:gridCol w:w="140"/>
        <w:gridCol w:w="800"/>
        <w:gridCol w:w="60"/>
        <w:gridCol w:w="60"/>
        <w:gridCol w:w="140"/>
        <w:gridCol w:w="980"/>
        <w:gridCol w:w="60"/>
        <w:gridCol w:w="60"/>
        <w:gridCol w:w="140"/>
        <w:gridCol w:w="980"/>
        <w:gridCol w:w="60"/>
        <w:gridCol w:w="60"/>
        <w:gridCol w:w="140"/>
        <w:gridCol w:w="980"/>
        <w:gridCol w:w="75"/>
      </w:tblGrid>
      <w:tr>
        <w:trPr/>
        <w:tc>
          <w:tcPr>
            <w:tcW w:w="4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w:t>
            </w:r>
          </w:p>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5" w:type="dxa"/>
            <w:tcBorders/>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144" w:right="0" w:hanging="0"/>
              <w:jc w:val="left"/>
              <w:rPr>
                <w:color w:val="000000"/>
                <w:u w:val="single"/>
              </w:rPr>
            </w:pPr>
            <w:r>
              <w:rPr>
                <w:color w:val="000000"/>
                <w:u w:val="single"/>
              </w:rPr>
              <w:t>December 31, 2022</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144" w:right="0" w:hanging="144"/>
              <w:jc w:val="left"/>
              <w:rPr>
                <w:color w:val="000000"/>
              </w:rPr>
            </w:pPr>
            <w:r>
              <w:rPr>
                <w:color w:val="000000"/>
              </w:rPr>
              <w:t>Financial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360" w:right="0" w:hanging="180"/>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234,883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234,883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234,883</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180" w:right="0" w:hanging="0"/>
              <w:jc w:val="left"/>
              <w:rPr/>
            </w:pPr>
            <w:r>
              <w:rPr/>
              <w:t>Loans held for investment,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2,708,793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2,662,609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2,662,609</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180" w:right="0" w:hanging="0"/>
              <w:jc w:val="left"/>
              <w:rPr/>
            </w:pPr>
            <w:r>
              <w:rPr/>
              <w:t>Loans held for sale (best efforts)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20,745</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360" w:right="0" w:hanging="180"/>
              <w:jc w:val="left"/>
              <w:rPr>
                <w:color w:val="000000"/>
              </w:rPr>
            </w:pPr>
            <w:r>
              <w:rPr>
                <w:color w:val="000000"/>
              </w:rPr>
              <w:t>Accrued interest receivable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16,432</w:t>
            </w:r>
          </w:p>
        </w:tc>
        <w:tc>
          <w:tcPr>
            <w:tcW w:w="75" w:type="dxa"/>
            <w:tcBorders/>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180" w:right="0" w:hanging="180"/>
              <w:jc w:val="left"/>
              <w:rPr>
                <w:color w:val="000000"/>
              </w:rPr>
            </w:pPr>
            <w:r>
              <w:rPr>
                <w:color w:val="000000"/>
              </w:rPr>
              <w:t>Financial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360" w:right="0" w:hanging="180"/>
              <w:jc w:val="left"/>
              <w:rPr>
                <w:color w:val="000000"/>
              </w:rPr>
            </w:pPr>
            <w:r>
              <w:rPr>
                <w:color w:val="000000"/>
              </w:rPr>
              <w:t>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3,406,430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3,405,222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3,405,222</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360" w:right="0" w:hanging="180"/>
              <w:jc w:val="left"/>
              <w:rPr>
                <w:color w:val="000000"/>
              </w:rPr>
            </w:pPr>
            <w:r>
              <w:rPr>
                <w:color w:val="000000"/>
              </w:rPr>
              <w:t>Accrued interest payable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2,836</w:t>
            </w:r>
          </w:p>
        </w:tc>
        <w:tc>
          <w:tcPr>
            <w:tcW w:w="75"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34,606</w:t>
            </w:r>
          </w:p>
        </w:tc>
        <w:tc>
          <w:tcPr>
            <w:tcW w:w="75" w:type="dxa"/>
            <w:tcBorders/>
            <w:vAlign w:val="bottom"/>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ind w:left="180" w:right="0" w:hanging="0"/>
              <w:jc w:val="left"/>
              <w:rPr>
                <w:color w:val="000000"/>
              </w:rPr>
            </w:pPr>
            <w:r>
              <w:rPr>
                <w:color w:val="000000"/>
              </w:rPr>
              <w:t>Subordinated debt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75,961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70,835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70,835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z w:val="20"/>
          <w:shd w:fill="FFFFFF" w:val="clear"/>
        </w:rPr>
      </w:pPr>
      <w:r>
        <w:rPr>
          <w:rFonts w:ascii="Times New Roman" w:hAnsi="Times New Roman"/>
          <w:b/>
          <w:i/>
          <w:color w:val="000000"/>
          <w:sz w:val="20"/>
          <w:shd w:fill="FFFFFF" w:val="clear"/>
        </w:rPr>
        <w:t>22.  IMMATERIAL CORRECTION OF PRIOR PERIOD ERROR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identified an immaterial prior period error in the Consolidated Statements of Cash Flows related to cash flow activity of certain of the Company’s portfolio mortgage loans and third-party brokered loans erroneously being included in the cash flow activity for loans held for sale. The Company assessed the materiality of this change in presentation on prior period consolidated financial statements in accordance with SEC Staff Accounting Bulletin No. 99, “Materiality,” (ASC Topic 250, Accounting Changes and Error Corrections). Based on this assessment, the Company concluded that these error corrections in its Consolidated Statements of Cash Flows are not material to any previously presented consolidated financial statements. The corrections had no impact on the Consolidated Balance Sheets, Consolidated Statements of Comprehensive Income (Loss), or Consolidated Statements of Changes in Stockholders’ Equity, or notes to these consolidated financial statements, for any previously presented interim or annual consolidated financial statements. Accordingly, the Company corrected the previously reported immaterial errors for the years ended December 31, 2022 and 2021 in this Annual Report on Form 10-K.</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financial reporting periods affected by this error include the Company’s previously reported audited consolidated financial statements for the fiscal years ended December 31, 2021 and 2022, and the Company’s previously reported interim unaudited consolidated financial statements for each of the fiscal year-to-date periods ended March 31, 2023; June 30, 2023; and September 30, 2023. In addition, the Company expects to present the corrected interim 2023 amounts in its 2024 consolidated interim financial statements upon the filing of each of its Quarterly Reports on Form 10-Q on a year-to-date basis as a correction to applicable 2023 periods. A summary of the immaterial corrections to the Company’s previously reported audited consolidated financial statements follows. </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Corrected Consolidated Statement of Cash Flows for the Year Ended December 31, 2022 (in thousands):</w:t>
      </w:r>
    </w:p>
    <w:p>
      <w:pPr>
        <w:pStyle w:val="TextBody"/>
        <w:bidi w:val="0"/>
        <w:spacing w:before="0" w:after="0"/>
        <w:jc w:val="left"/>
        <w:rPr/>
      </w:pPr>
      <w:r>
        <w:rPr/>
      </w:r>
    </w:p>
    <w:tbl>
      <w:tblPr>
        <w:tblW w:w="8777" w:type="dxa"/>
        <w:jc w:val="left"/>
        <w:tblInd w:w="0" w:type="dxa"/>
        <w:tblLayout w:type="fixed"/>
        <w:tblCellMar>
          <w:top w:w="0" w:type="dxa"/>
          <w:left w:w="0" w:type="dxa"/>
          <w:bottom w:w="0" w:type="dxa"/>
          <w:right w:w="0" w:type="dxa"/>
        </w:tblCellMar>
      </w:tblPr>
      <w:tblGrid>
        <w:gridCol w:w="3335"/>
        <w:gridCol w:w="60"/>
        <w:gridCol w:w="185"/>
        <w:gridCol w:w="1124"/>
        <w:gridCol w:w="80"/>
        <w:gridCol w:w="60"/>
        <w:gridCol w:w="327"/>
        <w:gridCol w:w="1987"/>
        <w:gridCol w:w="80"/>
        <w:gridCol w:w="60"/>
        <w:gridCol w:w="195"/>
        <w:gridCol w:w="1189"/>
        <w:gridCol w:w="95"/>
      </w:tblGrid>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 2022</w:t>
            </w:r>
          </w:p>
        </w:tc>
        <w:tc>
          <w:tcPr>
            <w:tcW w:w="9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0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As Reported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31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Immaterial Correction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As Corrected</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sales of loans held for sale</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783,212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(120,918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662,294</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Loans originated for sale</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(719,413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8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120,918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(598,495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Corrected Consolidated Statement of Cash Flows for the Year Ended December 31, 2021 (in thousands):</w:t>
      </w:r>
    </w:p>
    <w:p>
      <w:pPr>
        <w:pStyle w:val="TextBody"/>
        <w:bidi w:val="0"/>
        <w:spacing w:before="0" w:after="0"/>
        <w:jc w:val="left"/>
        <w:rPr/>
      </w:pPr>
      <w:r>
        <w:rPr/>
      </w:r>
    </w:p>
    <w:tbl>
      <w:tblPr>
        <w:tblW w:w="8777" w:type="dxa"/>
        <w:jc w:val="left"/>
        <w:tblInd w:w="0" w:type="dxa"/>
        <w:tblLayout w:type="fixed"/>
        <w:tblCellMar>
          <w:top w:w="0" w:type="dxa"/>
          <w:left w:w="0" w:type="dxa"/>
          <w:bottom w:w="0" w:type="dxa"/>
          <w:right w:w="0" w:type="dxa"/>
        </w:tblCellMar>
      </w:tblPr>
      <w:tblGrid>
        <w:gridCol w:w="3335"/>
        <w:gridCol w:w="60"/>
        <w:gridCol w:w="158"/>
        <w:gridCol w:w="1151"/>
        <w:gridCol w:w="80"/>
        <w:gridCol w:w="60"/>
        <w:gridCol w:w="372"/>
        <w:gridCol w:w="1942"/>
        <w:gridCol w:w="80"/>
        <w:gridCol w:w="60"/>
        <w:gridCol w:w="168"/>
        <w:gridCol w:w="1216"/>
        <w:gridCol w:w="95"/>
      </w:tblGrid>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8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 2021</w:t>
            </w:r>
          </w:p>
        </w:tc>
        <w:tc>
          <w:tcPr>
            <w:tcW w:w="9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0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As Reported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31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Immaterial Correction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As Corrected</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sales of loans held for sale</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1,577,953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(63,992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1,513,961</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Loans originated for sale</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(1,500,995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63,992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(1,437,003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3025" w:type="dxa"/>
        <w:jc w:val="left"/>
        <w:tblInd w:w="0" w:type="dxa"/>
        <w:tblLayout w:type="fixed"/>
        <w:tblCellMar>
          <w:top w:w="0" w:type="dxa"/>
          <w:left w:w="0" w:type="dxa"/>
          <w:bottom w:w="0" w:type="dxa"/>
          <w:right w:w="0" w:type="dxa"/>
        </w:tblCellMar>
      </w:tblPr>
      <w:tblGrid>
        <w:gridCol w:w="335"/>
        <w:gridCol w:w="2690"/>
      </w:tblGrid>
      <w:tr>
        <w:trPr/>
        <w:tc>
          <w:tcPr>
            <w:tcW w:w="335" w:type="dxa"/>
            <w:tcBorders/>
            <w:vAlign w:val="center"/>
          </w:tcPr>
          <w:p>
            <w:pPr>
              <w:pStyle w:val="TableContents"/>
              <w:bidi w:val="0"/>
              <w:spacing w:before="0" w:after="0"/>
              <w:jc w:val="both"/>
              <w:rPr>
                <w:b/>
                <w:i/>
                <w:color w:val="000000"/>
              </w:rPr>
            </w:pPr>
            <w:r>
              <w:rPr>
                <w:b/>
                <w:i/>
                <w:color w:val="000000"/>
              </w:rPr>
              <w:t>23.</w:t>
            </w:r>
          </w:p>
        </w:tc>
        <w:tc>
          <w:tcPr>
            <w:tcW w:w="2690" w:type="dxa"/>
            <w:tcBorders/>
            <w:vAlign w:val="center"/>
          </w:tcPr>
          <w:p>
            <w:pPr>
              <w:pStyle w:val="TableContents"/>
              <w:bidi w:val="0"/>
              <w:spacing w:before="0" w:after="0"/>
              <w:ind w:left="720" w:right="0" w:hanging="720"/>
              <w:jc w:val="both"/>
              <w:rPr>
                <w:b/>
                <w:i/>
                <w:color w:val="000000"/>
              </w:rPr>
            </w:pPr>
            <w:r>
              <w:rPr>
                <w:b/>
                <w:i/>
                <w:color w:val="000000"/>
              </w:rPr>
              <w:t>SUBSEQUENT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Dividend Declaration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January 18, 2024, the Company declared a cash dividend of $0.13 per share of common stock to be paid on February 12, 2024 to all shareholders of record as of January 29,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Stock Repurchase Program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February 21, 2024, the Company’s board of directors approved a stock repurchase program authorizing the repurchase of up to $10.0 million shares of the Company’s outstanding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5" w:name="Item9.ChangesinandDisagre"/>
      <w:bookmarkStart w:id="26" w:name="Item9.ChangesinandDisagre"/>
      <w:bookmarkEnd w:id="26"/>
    </w:p>
    <w:tbl>
      <w:tblPr>
        <w:tblW w:w="9925" w:type="dxa"/>
        <w:jc w:val="left"/>
        <w:tblInd w:w="0" w:type="dxa"/>
        <w:tblLayout w:type="fixed"/>
        <w:tblCellMar>
          <w:top w:w="0" w:type="dxa"/>
          <w:left w:w="0" w:type="dxa"/>
          <w:bottom w:w="0" w:type="dxa"/>
          <w:right w:w="0" w:type="dxa"/>
        </w:tblCellMar>
      </w:tblPr>
      <w:tblGrid>
        <w:gridCol w:w="740"/>
        <w:gridCol w:w="9185"/>
      </w:tblGrid>
      <w:tr>
        <w:trPr/>
        <w:tc>
          <w:tcPr>
            <w:tcW w:w="740" w:type="dxa"/>
            <w:tcBorders/>
            <w:vAlign w:val="center"/>
          </w:tcPr>
          <w:p>
            <w:pPr>
              <w:pStyle w:val="TableContents"/>
              <w:bidi w:val="0"/>
              <w:spacing w:before="0" w:after="283"/>
              <w:jc w:val="left"/>
              <w:rPr>
                <w:b/>
                <w:color w:val="000000"/>
              </w:rPr>
            </w:pPr>
            <w:r>
              <w:rPr>
                <w:b/>
                <w:color w:val="000000"/>
              </w:rPr>
              <w:t>Item 9.</w:t>
            </w:r>
          </w:p>
        </w:tc>
        <w:tc>
          <w:tcPr>
            <w:tcW w:w="9185" w:type="dxa"/>
            <w:tcBorders/>
            <w:vAlign w:val="center"/>
          </w:tcPr>
          <w:p>
            <w:pPr>
              <w:pStyle w:val="TableContents"/>
              <w:bidi w:val="0"/>
              <w:spacing w:before="0" w:after="0"/>
              <w:jc w:val="both"/>
              <w:rPr>
                <w:b/>
                <w:color w:val="000000"/>
              </w:rPr>
            </w:pPr>
            <w:r>
              <w:rPr>
                <w:b/>
                <w:color w:val="000000"/>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ind w:left="0" w:right="0" w:firstLine="720"/>
        <w:jc w:val="left"/>
        <w:rPr>
          <w:color w:val="000000"/>
        </w:rPr>
      </w:pPr>
      <w:r>
        <w:rPr>
          <w:color w:val="000000"/>
        </w:rPr>
      </w:r>
    </w:p>
    <w:p>
      <w:pPr>
        <w:pStyle w:val="Normal"/>
        <w:bidi w:val="0"/>
        <w:spacing w:before="0" w:after="0"/>
        <w:jc w:val="left"/>
        <w:rPr>
          <w:sz w:val="4"/>
          <w:szCs w:val="4"/>
        </w:rPr>
      </w:pPr>
      <w:r>
        <w:rPr>
          <w:sz w:val="4"/>
          <w:szCs w:val="4"/>
        </w:rPr>
      </w:r>
      <w:bookmarkStart w:id="27" w:name="Item9A.ControlsandProcedu"/>
      <w:bookmarkStart w:id="28" w:name="Item9A.ControlsandProcedu"/>
      <w:bookmarkEnd w:id="28"/>
    </w:p>
    <w:tbl>
      <w:tblPr>
        <w:tblW w:w="3565" w:type="dxa"/>
        <w:jc w:val="left"/>
        <w:tblInd w:w="0" w:type="dxa"/>
        <w:tblLayout w:type="fixed"/>
        <w:tblCellMar>
          <w:top w:w="0" w:type="dxa"/>
          <w:left w:w="0" w:type="dxa"/>
          <w:bottom w:w="0" w:type="dxa"/>
          <w:right w:w="0" w:type="dxa"/>
        </w:tblCellMar>
      </w:tblPr>
      <w:tblGrid>
        <w:gridCol w:w="920"/>
        <w:gridCol w:w="2645"/>
      </w:tblGrid>
      <w:tr>
        <w:trPr/>
        <w:tc>
          <w:tcPr>
            <w:tcW w:w="920" w:type="dxa"/>
            <w:tcBorders/>
            <w:vAlign w:val="center"/>
          </w:tcPr>
          <w:p>
            <w:pPr>
              <w:pStyle w:val="TableContents"/>
              <w:bidi w:val="0"/>
              <w:spacing w:before="0" w:after="283"/>
              <w:jc w:val="left"/>
              <w:rPr>
                <w:b/>
                <w:color w:val="000000"/>
              </w:rPr>
            </w:pPr>
            <w:r>
              <w:rPr>
                <w:b/>
                <w:color w:val="000000"/>
              </w:rPr>
              <w:t>Item 9A.</w:t>
            </w:r>
          </w:p>
        </w:tc>
        <w:tc>
          <w:tcPr>
            <w:tcW w:w="2645" w:type="dxa"/>
            <w:tcBorders/>
            <w:vAlign w:val="center"/>
          </w:tcPr>
          <w:p>
            <w:pPr>
              <w:pStyle w:val="TableContents"/>
              <w:bidi w:val="0"/>
              <w:spacing w:before="0" w:after="0"/>
              <w:jc w:val="both"/>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have been no significant changes in our internal control over financial reporting during the three months ended December 31, 2023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Report of Management on Internal Control over Financial Reporting</w:t>
      </w:r>
      <w:r>
        <w:rPr>
          <w:rFonts w:ascii="Times New Roman;Times;serif" w:hAnsi="Times New Roman;Times;serif"/>
          <w:color w:val="000000"/>
          <w:sz w:val="20"/>
          <w:shd w:fill="FFFFFF" w:val="clear"/>
        </w:rPr>
        <w:t>. 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Management conducted an assessment of the effectiveness of the Company’s internal control over financial reporting as of December 31, 2023, utilizing the framework established in Internal Control – Integrated Framework 2013, issued by the Committee of Sponsoring Organizations of the Treadway Commission (“COSO”).</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Based on this assessment, management has determined that the Company’s internal control over financial reporting as of December 31, 2023 was effective.</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GAAP;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Report does not include an attestation report of the Company’s independent registered public accounting firm regarding internal control over financial reporting. As an emerging growth company, management’s report was not subject to attestation by the Company’s independent registered public accounting firm in accordance with the JOBS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Item9B.OtherInformation."/>
      <w:bookmarkStart w:id="30" w:name="Item9B.OtherInformation."/>
      <w:bookmarkEnd w:id="30"/>
    </w:p>
    <w:tbl>
      <w:tblPr>
        <w:tblW w:w="2890" w:type="dxa"/>
        <w:jc w:val="left"/>
        <w:tblInd w:w="0" w:type="dxa"/>
        <w:tblLayout w:type="fixed"/>
        <w:tblCellMar>
          <w:top w:w="0" w:type="dxa"/>
          <w:left w:w="0" w:type="dxa"/>
          <w:bottom w:w="0" w:type="dxa"/>
          <w:right w:w="0" w:type="dxa"/>
        </w:tblCellMar>
      </w:tblPr>
      <w:tblGrid>
        <w:gridCol w:w="905"/>
        <w:gridCol w:w="1985"/>
      </w:tblGrid>
      <w:tr>
        <w:trPr/>
        <w:tc>
          <w:tcPr>
            <w:tcW w:w="905" w:type="dxa"/>
            <w:tcBorders/>
            <w:vAlign w:val="center"/>
          </w:tcPr>
          <w:p>
            <w:pPr>
              <w:pStyle w:val="TableContents"/>
              <w:bidi w:val="0"/>
              <w:spacing w:before="0" w:after="283"/>
              <w:jc w:val="left"/>
              <w:rPr>
                <w:b/>
                <w:color w:val="000000"/>
              </w:rPr>
            </w:pPr>
            <w:r>
              <w:rPr>
                <w:b/>
                <w:color w:val="000000"/>
              </w:rPr>
              <w:t>Item 9B.</w:t>
            </w:r>
          </w:p>
        </w:tc>
        <w:tc>
          <w:tcPr>
            <w:tcW w:w="198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three months ended December 31, 2023, none of the directors or officers of the Company adopted or terminated a “Rule 10b5-1 trading arrangement” or a “non-Rule 10b5-1 trading arrangement,” as each term is defined in Item 408 of Regulation S-K.</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March 15, 2024, the Bank entered into the Amendment (the “Amendment”) to the Steve Crockett Deferred Compensation Plan Adoption Agreement (the “Plan”), dated as of March 6, 2008, as amended by that certain Amendment to the Plan, dated as of December 19, 2014 (the “2014 Amendment”), by and between Mr. Steven B. Crockett, the Chief Financial Officer of the Bank and the Company, and the Bank. The Plan is a nonqualified deferred compensation arrangement maintained primarily to provide supplemental retirement benefits for Mr. Crockett.</w:t>
      </w:r>
    </w:p>
    <w:p>
      <w:pPr>
        <w:pStyle w:val="TextBody"/>
        <w:bidi w:val="0"/>
        <w:spacing w:before="0" w:after="0"/>
        <w:ind w:left="0" w:right="0" w:firstLine="36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Amendment increases the annual normal retirement benefit and the benefit upon a separation of service following a change in control payable to Mr. Crockett to from $50,000 to $100,000. In addition, the Amendment provides that, in the event of Mr. Crockett’s death, Mr. Crockett’s beneficiary will receive the lump sum amount of the separation from service benefit or disability benefit, as applicable, on the first day of the second month following Mr. Crockett’s death, provided that Mr. Crockett dies before such payment is made.</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foregoing description of the Amendment is only a summary and is qualified in its entirety by reference to the full text of the Amendment, the Plan, as amended by the 2014 Amendment, and the Nonqualified Deferred Compensation Basic Plan Document, which are attached hereto as Exhibit 10.19, Exhibit 10.18, and Exhibit 10.11, respectively, and incorporated herein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Item9C.DisclosureRegardin"/>
      <w:bookmarkStart w:id="32" w:name="Item9C.DisclosureRegardin"/>
      <w:bookmarkEnd w:id="32"/>
    </w:p>
    <w:tbl>
      <w:tblPr>
        <w:tblW w:w="7930" w:type="dxa"/>
        <w:jc w:val="left"/>
        <w:tblInd w:w="0" w:type="dxa"/>
        <w:tblLayout w:type="fixed"/>
        <w:tblCellMar>
          <w:top w:w="0" w:type="dxa"/>
          <w:left w:w="0" w:type="dxa"/>
          <w:bottom w:w="0" w:type="dxa"/>
          <w:right w:w="0" w:type="dxa"/>
        </w:tblCellMar>
      </w:tblPr>
      <w:tblGrid>
        <w:gridCol w:w="920"/>
        <w:gridCol w:w="7010"/>
      </w:tblGrid>
      <w:tr>
        <w:trPr/>
        <w:tc>
          <w:tcPr>
            <w:tcW w:w="920" w:type="dxa"/>
            <w:tcBorders/>
            <w:vAlign w:val="center"/>
          </w:tcPr>
          <w:p>
            <w:pPr>
              <w:pStyle w:val="TableContents"/>
              <w:bidi w:val="0"/>
              <w:spacing w:before="0" w:after="283"/>
              <w:jc w:val="left"/>
              <w:rPr>
                <w:b/>
                <w:color w:val="000000"/>
              </w:rPr>
            </w:pPr>
            <w:r>
              <w:rPr>
                <w:b/>
                <w:color w:val="000000"/>
              </w:rPr>
              <w:t>Item 9C.</w:t>
            </w:r>
          </w:p>
        </w:tc>
        <w:tc>
          <w:tcPr>
            <w:tcW w:w="7010" w:type="dxa"/>
            <w:tcBorders/>
            <w:vAlign w:val="center"/>
          </w:tcPr>
          <w:p>
            <w:pPr>
              <w:pStyle w:val="TableContents"/>
              <w:bidi w:val="0"/>
              <w:spacing w:before="0" w:after="0"/>
              <w:jc w:val="left"/>
              <w:rPr>
                <w:b/>
                <w:color w:val="000000"/>
              </w:rPr>
            </w:pPr>
            <w:r>
              <w:rPr>
                <w:b/>
                <w:color w:val="000000"/>
              </w:rPr>
              <w:t>Disclosure Regarding Foreign Jurisdictions that Prevent Inspections.</w:t>
            </w:r>
          </w:p>
        </w:tc>
      </w:tr>
    </w:tbl>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Item10.DirectorsExecutive"/>
      <w:bookmarkStart w:id="34" w:name="Item10.DirectorsExecutive"/>
      <w:bookmarkEnd w:id="34"/>
    </w:p>
    <w:tbl>
      <w:tblPr>
        <w:tblW w:w="6730" w:type="dxa"/>
        <w:jc w:val="left"/>
        <w:tblInd w:w="0" w:type="dxa"/>
        <w:tblLayout w:type="fixed"/>
        <w:tblCellMar>
          <w:top w:w="0" w:type="dxa"/>
          <w:left w:w="0" w:type="dxa"/>
          <w:bottom w:w="0" w:type="dxa"/>
          <w:right w:w="0" w:type="dxa"/>
        </w:tblCellMar>
      </w:tblPr>
      <w:tblGrid>
        <w:gridCol w:w="860"/>
        <w:gridCol w:w="5870"/>
      </w:tblGrid>
      <w:tr>
        <w:trPr/>
        <w:tc>
          <w:tcPr>
            <w:tcW w:w="860" w:type="dxa"/>
            <w:tcBorders/>
            <w:vAlign w:val="center"/>
          </w:tcPr>
          <w:p>
            <w:pPr>
              <w:pStyle w:val="TableContents"/>
              <w:bidi w:val="0"/>
              <w:spacing w:before="0" w:after="283"/>
              <w:jc w:val="left"/>
              <w:rPr>
                <w:b/>
                <w:color w:val="000000"/>
              </w:rPr>
            </w:pPr>
            <w:r>
              <w:rPr>
                <w:b/>
                <w:color w:val="000000"/>
              </w:rPr>
              <w:t>Item 10.</w:t>
            </w:r>
          </w:p>
        </w:tc>
        <w:tc>
          <w:tcPr>
            <w:tcW w:w="5870" w:type="dxa"/>
            <w:tcBorders/>
            <w:vAlign w:val="center"/>
          </w:tcPr>
          <w:p>
            <w:pPr>
              <w:pStyle w:val="TableContents"/>
              <w:bidi w:val="0"/>
              <w:spacing w:before="0" w:after="0"/>
              <w:jc w:val="left"/>
              <w:rPr>
                <w:b/>
                <w:color w:val="000000"/>
              </w:rPr>
            </w:pPr>
            <w:r>
              <w:rPr>
                <w:b/>
                <w:color w:val="000000"/>
              </w:rPr>
              <w:t>Directors, Executive Officers and Corporate Governance.</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required by this Item is incorporated herein by reference to our Definitive Proxy Statement for the 2024 Annual Meeting of Shareholders to be filed with the Securities and Exchange Commission within 120 days after our fiscal year end (the “Proxy Statement”).</w:t>
      </w:r>
    </w:p>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accordance with Item 406 of Regulation S-K, we have adopted a Code of Business Conduct and Ethics that applies to Company executives, directors and employees. The Code of Business Conduct and Ethics is posted on our website at </w:t>
      </w:r>
      <w:r>
        <w:rPr>
          <w:rFonts w:ascii="Times New Roman;Times;serif" w:hAnsi="Times New Roman;Times;serif"/>
          <w:color w:val="000000"/>
          <w:sz w:val="20"/>
          <w:u w:val="single"/>
          <w:shd w:fill="FFFFFF" w:val="clear"/>
        </w:rPr>
        <w:t>www.spfi.bank</w:t>
      </w:r>
      <w:r>
        <w:rPr>
          <w:rFonts w:ascii="Times New Roman;Times;serif" w:hAnsi="Times New Roman;Times;serif"/>
          <w:color w:val="000000"/>
          <w:sz w:val="20"/>
          <w:shd w:fill="FFFFFF" w:val="clear"/>
        </w:rPr>
        <w:t xml:space="preserve"> under “Governance.” Within the time period required by the SEC, we will post on our website any amendment to the Code of Business Conduct and Ethics and any waiver applicable to our principal executive officer, principal financial officer, and principal accounting officer or controller.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Item11.ExecutiveCompensat"/>
      <w:bookmarkStart w:id="36" w:name="Item11.ExecutiveCompensat"/>
      <w:bookmarkEnd w:id="36"/>
    </w:p>
    <w:tbl>
      <w:tblPr>
        <w:tblW w:w="3475" w:type="dxa"/>
        <w:jc w:val="left"/>
        <w:tblInd w:w="0" w:type="dxa"/>
        <w:tblLayout w:type="fixed"/>
        <w:tblCellMar>
          <w:top w:w="0" w:type="dxa"/>
          <w:left w:w="0" w:type="dxa"/>
          <w:bottom w:w="0" w:type="dxa"/>
          <w:right w:w="0" w:type="dxa"/>
        </w:tblCellMar>
      </w:tblPr>
      <w:tblGrid>
        <w:gridCol w:w="860"/>
        <w:gridCol w:w="2615"/>
      </w:tblGrid>
      <w:tr>
        <w:trPr/>
        <w:tc>
          <w:tcPr>
            <w:tcW w:w="860" w:type="dxa"/>
            <w:tcBorders/>
            <w:vAlign w:val="center"/>
          </w:tcPr>
          <w:p>
            <w:pPr>
              <w:pStyle w:val="TableContents"/>
              <w:bidi w:val="0"/>
              <w:spacing w:before="0" w:after="283"/>
              <w:jc w:val="left"/>
              <w:rPr>
                <w:b/>
                <w:color w:val="000000"/>
              </w:rPr>
            </w:pPr>
            <w:r>
              <w:rPr>
                <w:b/>
                <w:color w:val="000000"/>
              </w:rPr>
              <w:t>Item 11.</w:t>
            </w:r>
          </w:p>
        </w:tc>
        <w:tc>
          <w:tcPr>
            <w:tcW w:w="2615" w:type="dxa"/>
            <w:tcBorders/>
            <w:vAlign w:val="center"/>
          </w:tcPr>
          <w:p>
            <w:pPr>
              <w:pStyle w:val="TableContents"/>
              <w:bidi w:val="0"/>
              <w:spacing w:before="0" w:after="0"/>
              <w:jc w:val="left"/>
              <w:rPr>
                <w:b/>
                <w:color w:val="000000"/>
              </w:rPr>
            </w:pPr>
            <w:r>
              <w:rPr>
                <w:b/>
                <w:color w:val="000000"/>
              </w:rPr>
              <w:t>Executive Compensation.</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Item12.SecurityOwnershipo"/>
      <w:bookmarkStart w:id="38" w:name="Item12.SecurityOwnershipo"/>
      <w:bookmarkEnd w:id="38"/>
    </w:p>
    <w:tbl>
      <w:tblPr>
        <w:tblW w:w="10205" w:type="dxa"/>
        <w:jc w:val="left"/>
        <w:tblInd w:w="0" w:type="dxa"/>
        <w:tblLayout w:type="fixed"/>
        <w:tblCellMar>
          <w:top w:w="0" w:type="dxa"/>
          <w:left w:w="0" w:type="dxa"/>
          <w:bottom w:w="0" w:type="dxa"/>
          <w:right w:w="0" w:type="dxa"/>
        </w:tblCellMar>
      </w:tblPr>
      <w:tblGrid>
        <w:gridCol w:w="819"/>
        <w:gridCol w:w="9386"/>
      </w:tblGrid>
      <w:tr>
        <w:trPr/>
        <w:tc>
          <w:tcPr>
            <w:tcW w:w="819" w:type="dxa"/>
            <w:tcBorders/>
            <w:vAlign w:val="center"/>
          </w:tcPr>
          <w:p>
            <w:pPr>
              <w:pStyle w:val="TableContents"/>
              <w:bidi w:val="0"/>
              <w:spacing w:before="0" w:after="283"/>
              <w:jc w:val="left"/>
              <w:rPr>
                <w:b/>
                <w:color w:val="000000"/>
              </w:rPr>
            </w:pPr>
            <w:r>
              <w:rPr>
                <w:b/>
                <w:color w:val="000000"/>
              </w:rPr>
              <w:t>Item 12.</w:t>
            </w:r>
          </w:p>
        </w:tc>
        <w:tc>
          <w:tcPr>
            <w:tcW w:w="9386" w:type="dxa"/>
            <w:tcBorders/>
            <w:vAlign w:val="center"/>
          </w:tcPr>
          <w:p>
            <w:pPr>
              <w:pStyle w:val="TableContents"/>
              <w:bidi w:val="0"/>
              <w:spacing w:before="0" w:after="0"/>
              <w:jc w:val="both"/>
              <w:rPr>
                <w:b/>
                <w:color w:val="000000"/>
              </w:rPr>
            </w:pPr>
            <w:r>
              <w:rPr>
                <w:b/>
                <w:color w:val="000000"/>
              </w:rPr>
              <w:t>Security Ownership of Certain Beneficial Owners and Management and Related Stockholder Matters.</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Item13.CertainRelationshi"/>
      <w:bookmarkStart w:id="40" w:name="Item13.CertainRelationshi"/>
      <w:bookmarkEnd w:id="40"/>
    </w:p>
    <w:tbl>
      <w:tblPr>
        <w:tblW w:w="8740" w:type="dxa"/>
        <w:jc w:val="left"/>
        <w:tblInd w:w="0" w:type="dxa"/>
        <w:tblLayout w:type="fixed"/>
        <w:tblCellMar>
          <w:top w:w="0" w:type="dxa"/>
          <w:left w:w="0" w:type="dxa"/>
          <w:bottom w:w="0" w:type="dxa"/>
          <w:right w:w="0" w:type="dxa"/>
        </w:tblCellMar>
      </w:tblPr>
      <w:tblGrid>
        <w:gridCol w:w="860"/>
        <w:gridCol w:w="7880"/>
      </w:tblGrid>
      <w:tr>
        <w:trPr/>
        <w:tc>
          <w:tcPr>
            <w:tcW w:w="860" w:type="dxa"/>
            <w:tcBorders/>
            <w:vAlign w:val="center"/>
          </w:tcPr>
          <w:p>
            <w:pPr>
              <w:pStyle w:val="TableContents"/>
              <w:bidi w:val="0"/>
              <w:spacing w:before="0" w:after="283"/>
              <w:jc w:val="left"/>
              <w:rPr>
                <w:b/>
                <w:color w:val="000000"/>
              </w:rPr>
            </w:pPr>
            <w:r>
              <w:rPr>
                <w:b/>
                <w:color w:val="000000"/>
              </w:rPr>
              <w:t>Item 13.</w:t>
            </w:r>
          </w:p>
        </w:tc>
        <w:tc>
          <w:tcPr>
            <w:tcW w:w="7880" w:type="dxa"/>
            <w:tcBorders/>
            <w:vAlign w:val="center"/>
          </w:tcPr>
          <w:p>
            <w:pPr>
              <w:pStyle w:val="TableContents"/>
              <w:bidi w:val="0"/>
              <w:spacing w:before="0" w:after="0"/>
              <w:jc w:val="both"/>
              <w:rPr>
                <w:b/>
                <w:color w:val="000000"/>
              </w:rPr>
            </w:pPr>
            <w:r>
              <w:rPr>
                <w:b/>
                <w:color w:val="000000"/>
              </w:rPr>
              <w:t>Certain Relationships and Related Transactions, and Director Independence.</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Item14.PrincipalAccountin"/>
      <w:bookmarkStart w:id="42" w:name="Item14.PrincipalAccountin"/>
      <w:bookmarkEnd w:id="42"/>
    </w:p>
    <w:tbl>
      <w:tblPr>
        <w:tblW w:w="4960" w:type="dxa"/>
        <w:jc w:val="left"/>
        <w:tblInd w:w="0" w:type="dxa"/>
        <w:tblLayout w:type="fixed"/>
        <w:tblCellMar>
          <w:top w:w="0" w:type="dxa"/>
          <w:left w:w="0" w:type="dxa"/>
          <w:bottom w:w="0" w:type="dxa"/>
          <w:right w:w="0" w:type="dxa"/>
        </w:tblCellMar>
      </w:tblPr>
      <w:tblGrid>
        <w:gridCol w:w="860"/>
        <w:gridCol w:w="4100"/>
      </w:tblGrid>
      <w:tr>
        <w:trPr/>
        <w:tc>
          <w:tcPr>
            <w:tcW w:w="860" w:type="dxa"/>
            <w:tcBorders/>
            <w:vAlign w:val="center"/>
          </w:tcPr>
          <w:p>
            <w:pPr>
              <w:pStyle w:val="TableContents"/>
              <w:bidi w:val="0"/>
              <w:spacing w:before="0" w:after="283"/>
              <w:jc w:val="left"/>
              <w:rPr>
                <w:b/>
                <w:color w:val="000000"/>
              </w:rPr>
            </w:pPr>
            <w:r>
              <w:rPr>
                <w:b/>
                <w:color w:val="000000"/>
              </w:rPr>
              <w:t>Item 14.</w:t>
            </w:r>
          </w:p>
        </w:tc>
        <w:tc>
          <w:tcPr>
            <w:tcW w:w="4100" w:type="dxa"/>
            <w:tcBorders/>
            <w:vAlign w:val="center"/>
          </w:tcPr>
          <w:p>
            <w:pPr>
              <w:pStyle w:val="TableContents"/>
              <w:bidi w:val="0"/>
              <w:spacing w:before="0" w:after="0"/>
              <w:jc w:val="left"/>
              <w:rPr>
                <w:b/>
                <w:color w:val="000000"/>
              </w:rPr>
            </w:pPr>
            <w:r>
              <w:rPr>
                <w:b/>
                <w:color w:val="000000"/>
              </w:rPr>
              <w:t>Principal Accounting Fees and Services.</w:t>
            </w:r>
          </w:p>
        </w:tc>
      </w:tr>
    </w:tbl>
    <w:p>
      <w:pPr>
        <w:pStyle w:val="TextBody"/>
        <w:bidi w:val="0"/>
        <w:spacing w:before="0" w:after="0"/>
        <w:jc w:val="left"/>
        <w:rPr/>
      </w:pPr>
      <w:r>
        <w:rPr/>
      </w:r>
    </w:p>
    <w:p>
      <w:pPr>
        <w:pStyle w:val="TextBody"/>
        <w:bidi w:val="0"/>
        <w:spacing w:before="0" w:after="0"/>
        <w:ind w:left="0" w:right="0" w:firstLine="36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required by this Item is incorporated herein by reference to our Proxy Statement to be filed with the Securities and Exchange Commission within 120 days after our fiscal year end.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Item15.ExhibitsFinancialS"/>
      <w:bookmarkStart w:id="44" w:name="Item15.ExhibitsFinancialS"/>
      <w:bookmarkEnd w:id="44"/>
    </w:p>
    <w:tbl>
      <w:tblPr>
        <w:tblW w:w="5005" w:type="dxa"/>
        <w:jc w:val="left"/>
        <w:tblInd w:w="0" w:type="dxa"/>
        <w:tblLayout w:type="fixed"/>
        <w:tblCellMar>
          <w:top w:w="0" w:type="dxa"/>
          <w:left w:w="0" w:type="dxa"/>
          <w:bottom w:w="0" w:type="dxa"/>
          <w:right w:w="0" w:type="dxa"/>
        </w:tblCellMar>
      </w:tblPr>
      <w:tblGrid>
        <w:gridCol w:w="860"/>
        <w:gridCol w:w="4145"/>
      </w:tblGrid>
      <w:tr>
        <w:trPr/>
        <w:tc>
          <w:tcPr>
            <w:tcW w:w="860" w:type="dxa"/>
            <w:tcBorders/>
            <w:vAlign w:val="center"/>
          </w:tcPr>
          <w:p>
            <w:pPr>
              <w:pStyle w:val="TableContents"/>
              <w:bidi w:val="0"/>
              <w:spacing w:before="0" w:after="283"/>
              <w:jc w:val="left"/>
              <w:rPr>
                <w:b/>
                <w:color w:val="000000"/>
              </w:rPr>
            </w:pPr>
            <w:r>
              <w:rPr>
                <w:b/>
                <w:color w:val="000000"/>
              </w:rPr>
              <w:t>Item 15.</w:t>
            </w:r>
          </w:p>
        </w:tc>
        <w:tc>
          <w:tcPr>
            <w:tcW w:w="4145" w:type="dxa"/>
            <w:tcBorders/>
            <w:vAlign w:val="center"/>
          </w:tcPr>
          <w:p>
            <w:pPr>
              <w:pStyle w:val="TableContents"/>
              <w:bidi w:val="0"/>
              <w:spacing w:before="0" w:after="0"/>
              <w:jc w:val="left"/>
              <w:rPr>
                <w:b/>
                <w:color w:val="000000"/>
              </w:rPr>
            </w:pPr>
            <w:r>
              <w:rPr>
                <w:b/>
                <w:color w:val="000000"/>
              </w:rPr>
              <w:t>Exhibits, Financial Statement Schedules.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color w:val="000000"/>
              </w:rPr>
            </w:pPr>
            <w:r>
              <w:rPr>
                <w:color w:val="000000"/>
              </w:rPr>
              <w:t>(1)</w:t>
            </w:r>
          </w:p>
        </w:tc>
        <w:tc>
          <w:tcPr>
            <w:tcW w:w="9918" w:type="dxa"/>
            <w:tcBorders/>
            <w:vAlign w:val="center"/>
          </w:tcPr>
          <w:p>
            <w:pPr>
              <w:pStyle w:val="TableContents"/>
              <w:bidi w:val="0"/>
              <w:spacing w:before="0" w:after="0"/>
              <w:jc w:val="both"/>
              <w:rPr>
                <w:color w:val="000000"/>
              </w:rPr>
            </w:pPr>
            <w:r>
              <w:rPr>
                <w:color w:val="000000"/>
              </w:rPr>
              <w:t>The consolidated financial statements, notes thereto and independent auditors’ report thereon, filed as part hereof, are listed in Item 8.</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color w:val="000000"/>
              </w:rPr>
            </w:pPr>
            <w:r>
              <w:rPr>
                <w:color w:val="000000"/>
              </w:rPr>
              <w:t>(2)</w:t>
            </w:r>
          </w:p>
        </w:tc>
        <w:tc>
          <w:tcPr>
            <w:tcW w:w="9935" w:type="dxa"/>
            <w:tcBorders/>
            <w:vAlign w:val="center"/>
          </w:tcPr>
          <w:p>
            <w:pPr>
              <w:pStyle w:val="TableContents"/>
              <w:bidi w:val="0"/>
              <w:spacing w:before="0" w:after="0"/>
              <w:jc w:val="both"/>
              <w:rPr>
                <w:color w:val="000000"/>
              </w:rPr>
            </w:pPr>
            <w:r>
              <w:rPr>
                <w:color w:val="000000"/>
              </w:rPr>
              <w:t>All financial statement schedules are omitted because they are not required or applicable, or the required information is shown in the consolidated financial statements or the notes thereto.</w:t>
            </w:r>
          </w:p>
        </w:tc>
      </w:tr>
    </w:tbl>
    <w:p>
      <w:pPr>
        <w:pStyle w:val="TextBody"/>
        <w:bidi w:val="0"/>
        <w:spacing w:before="0" w:after="0"/>
        <w:jc w:val="left"/>
        <w:rPr/>
      </w:pPr>
      <w:r>
        <w:rPr/>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color w:val="000000"/>
              </w:rPr>
            </w:pPr>
            <w:r>
              <w:rPr>
                <w:color w:val="000000"/>
              </w:rPr>
              <w:t>(3)</w:t>
            </w:r>
          </w:p>
        </w:tc>
        <w:tc>
          <w:tcPr>
            <w:tcW w:w="815" w:type="dxa"/>
            <w:tcBorders/>
            <w:vAlign w:val="center"/>
          </w:tcPr>
          <w:p>
            <w:pPr>
              <w:pStyle w:val="TableContents"/>
              <w:bidi w:val="0"/>
              <w:spacing w:before="0" w:after="0"/>
              <w:jc w:val="left"/>
              <w:rPr>
                <w:color w:val="000000"/>
              </w:rPr>
            </w:pPr>
            <w:r>
              <w:rPr>
                <w:color w:val="00000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852"/>
        <w:gridCol w:w="60"/>
        <w:gridCol w:w="9293"/>
      </w:tblGrid>
      <w:tr>
        <w:trPr/>
        <w:tc>
          <w:tcPr>
            <w:tcW w:w="852" w:type="dxa"/>
            <w:tcBorders>
              <w:bottom w:val="single" w:sz="12" w:space="0" w:color="000000"/>
            </w:tcBorders>
            <w:vAlign w:val="center"/>
          </w:tcPr>
          <w:p>
            <w:pPr>
              <w:pStyle w:val="TableContents"/>
              <w:bidi w:val="0"/>
              <w:spacing w:before="0" w:after="0"/>
              <w:jc w:val="left"/>
              <w:rPr>
                <w:b/>
                <w:color w:val="000000"/>
              </w:rPr>
            </w:pPr>
            <w:r>
              <w:rPr>
                <w:b/>
                <w:color w:val="000000"/>
              </w:rPr>
              <w:t>Exhibit No.</w:t>
            </w:r>
          </w:p>
        </w:tc>
        <w:tc>
          <w:tcPr>
            <w:tcW w:w="60" w:type="dxa"/>
            <w:tcBorders/>
            <w:tcMar>
              <w:bottom w:w="0" w:type="dxa"/>
            </w:tcMar>
            <w:vAlign w:val="center"/>
          </w:tcPr>
          <w:p>
            <w:pPr>
              <w:pStyle w:val="TableContents"/>
              <w:bidi w:val="0"/>
              <w:spacing w:before="0" w:after="283"/>
              <w:jc w:val="left"/>
              <w:rPr/>
            </w:pPr>
            <w:r>
              <w:rPr/>
              <w:t> </w:t>
            </w:r>
          </w:p>
        </w:tc>
        <w:tc>
          <w:tcPr>
            <w:tcW w:w="9293"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852" w:type="dxa"/>
            <w:tcBorders/>
            <w:shd w:fill="CCEEFF" w:val="clear"/>
            <w:tcMar>
              <w:bottom w:w="0" w:type="dxa"/>
            </w:tcMar>
            <w:vAlign w:val="center"/>
          </w:tcPr>
          <w:p>
            <w:pPr>
              <w:pStyle w:val="TableContents"/>
              <w:bidi w:val="0"/>
              <w:spacing w:before="0" w:after="0"/>
              <w:jc w:val="left"/>
              <w:rPr/>
            </w:pPr>
            <w:hyperlink r:id="rId3">
              <w:r>
                <w:rPr>
                  <w:rStyle w:val="InternetLink"/>
                  <w:color w:val="0000FF"/>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Agreement and Plan of Merger by and between South Plains Financial, Inc., SPFI Merger Sub, Inc., City Bank, and West Texas State Bank, dated as of July 25, 2019, (incorporated herein by reference to Exhibit 2.1 to the Current Report on Form 8-K filed with the SEC on July 25, 2019 (File No. 38895)) (schedules to which have been omitted pursuant to Item 601(b)(2) of Regulation S-K and will be provided to the SEC upon request).</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4">
              <w:r>
                <w:rPr>
                  <w:rStyle w:val="InternetLink"/>
                  <w:color w:val="0000FF"/>
                </w:rPr>
                <w:t>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Securities Purchase Agreement, dated April 1, 2023, by and among South Plains Financial, Inc., City Bank and Alliant Insurance Services, Inc. (incorporated by reference to Exhibit 2.1 to the Company’s Current Report on Form 8-K filed with the SEC on April 4, 2023) (File No. 001-38895) (schedules to which have been omitted pursuant to Item 601(b)(2) of Regulation S-K and will be provided to the SEC upon request).</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5">
              <w:r>
                <w:rPr>
                  <w:rStyle w:val="InternetLink"/>
                  <w:color w:val="0000FF"/>
                </w:rPr>
                <w:t>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Amended and Restated Certificate of Formation of South Plains Financial, Inc. (incorporated herein by reference to Exhibit 3.1 to the Registration Statement on Form S-1 of South Plains Financial, Inc. (Registration No. 333-230851) filed April 29, 2019).</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6">
              <w:r>
                <w:rPr>
                  <w:rStyle w:val="InternetLink"/>
                  <w:color w:val="0000FF"/>
                </w:rPr>
                <w:t>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Second Amended and Restated Bylaws of South Plains Financial, Inc. (incorporated herein by reference to Exhibit 3.1 to the Current Report on Form 8-K filed with the SEC on November 1, 2021 (File No. 001-38895)).</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7">
              <w:r>
                <w:rPr>
                  <w:rStyle w:val="InternetLink"/>
                  <w:color w:val="0000FF"/>
                </w:rPr>
                <w:t>4.1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Specimen common stock certificate of South Plains Financial, Inc. (incorporated herein by reference to Exhibit 4.1 to the Registration Statement on Form S-1 of South Plains Financial, Inc. (Registration No. 333-230851) filed April 29, 2019).</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8">
              <w:r>
                <w:rPr>
                  <w:rStyle w:val="InternetLink"/>
                  <w:color w:val="0000FF"/>
                </w:rPr>
                <w:t>4.2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Indenture, dated September 29, 2020, by and between South Plains Financial, Inc. and UMB Bank, National Association, as trustee (incorporated herein by reference to Exhibit 4.1 to the Current Report on Form 8-K filed with the SEC on September 30, 2020 (File No. 001-38895)).</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9">
              <w:r>
                <w:rPr>
                  <w:rStyle w:val="InternetLink"/>
                  <w:color w:val="0000FF"/>
                </w:rPr>
                <w:t>4.3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Form of Fixed to Floating Rate Subordinated Note due September 30, 2030 (included as Exhibit A-2 to the Indenture incorporated herein by reference as Exhibit 4.2 hereto).</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10">
              <w:r>
                <w:rPr>
                  <w:rStyle w:val="InternetLink"/>
                  <w:color w:val="0000FF"/>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Form of Voting Agreement, dated as of July 25, 2019, by and among South Plains Financial, Inc., West Texas State Bank and the shareholders of West Texas State Bank party thereto (incorporated herein by reference to Exhibit 10.1 to the Current Report on Form 8-K filed with the SEC on July 25, 2019 (File No. 38895)).</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11">
              <w:r>
                <w:rPr>
                  <w:rStyle w:val="InternetLink"/>
                  <w:color w:val="0000FF"/>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Form of Director Support Agreement, dated as of July 25, 2019, by and among South Plains Financial, Inc. and each non-employee director of West Texas State Bank (incorporated herein by reference to Exhibit 10.2 to the Current Report on Form 8-K filed with the SEC on July 25, 2019 (File No. 38895)).</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12">
              <w:r>
                <w:rPr>
                  <w:rStyle w:val="InternetLink"/>
                </w:rPr>
                <w:t>10.3</w:t>
              </w:r>
            </w:hyperlink>
            <w:r>
              <w:rPr>
                <w:color w:val="00000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Executive Employment Agreement, dated December 18, 2019, by and between South Plains Financial, Inc., City Bank, and Curtis C. Griffith (incorporated herein by reference to Exhibit 10.1 to the Current Report on Form 8-K filed with the SEC on December 19, 2019 (File No. 001-38895)).</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13">
              <w:r>
                <w:rPr>
                  <w:rStyle w:val="InternetLink"/>
                </w:rPr>
                <w:t>10.4</w:t>
              </w:r>
            </w:hyperlink>
            <w:r>
              <w:rPr>
                <w:color w:val="00000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Executive Employment Agreement, dated March 6, 2019, by and between South Plains Financial, Inc. and Cory T. Newsom (incorporated herein by reference to Exhibit 10.4 to the Registration Statement on Form S-1/A of South Plains Financial, Inc. (Registration No. 333-230851) filed April 29, 2019).</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14">
              <w:r>
                <w:rPr>
                  <w:rStyle w:val="InternetLink"/>
                </w:rPr>
                <w:t>10.5</w:t>
              </w:r>
            </w:hyperlink>
            <w:r>
              <w:rPr>
                <w:color w:val="00000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Amendment No. 1 to Executive Employment Agreement, dated December 15, 2021, by and among City Bank, Curtis C. Griffith and South Plains Financial, Inc. (incorporated herein by reference to Exhibit 10.1 to the Current Report on Form 8-K filed with the SEC on December 21, 2021 (File No. 001-38895)).</w:t>
            </w:r>
          </w:p>
        </w:tc>
      </w:tr>
      <w:tr>
        <w:trPr/>
        <w:tc>
          <w:tcPr>
            <w:tcW w:w="8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3" w:type="dxa"/>
            <w:tcBorders/>
            <w:tcMar>
              <w:bottom w:w="0" w:type="dxa"/>
            </w:tcMar>
            <w:vAlign w:val="center"/>
          </w:tcPr>
          <w:p>
            <w:pPr>
              <w:pStyle w:val="TableContents"/>
              <w:bidi w:val="0"/>
              <w:spacing w:before="0" w:after="283"/>
              <w:jc w:val="left"/>
              <w:rPr/>
            </w:pPr>
            <w:r>
              <w:rPr/>
              <w:t> </w:t>
            </w:r>
          </w:p>
        </w:tc>
      </w:tr>
      <w:tr>
        <w:trPr/>
        <w:tc>
          <w:tcPr>
            <w:tcW w:w="852" w:type="dxa"/>
            <w:tcBorders/>
            <w:shd w:fill="CCEEFF" w:val="clear"/>
            <w:tcMar>
              <w:bottom w:w="0" w:type="dxa"/>
            </w:tcMar>
            <w:vAlign w:val="center"/>
          </w:tcPr>
          <w:p>
            <w:pPr>
              <w:pStyle w:val="TableContents"/>
              <w:bidi w:val="0"/>
              <w:spacing w:before="0" w:after="0"/>
              <w:jc w:val="left"/>
              <w:rPr/>
            </w:pPr>
            <w:hyperlink r:id="rId15">
              <w:r>
                <w:rPr>
                  <w:rStyle w:val="InternetLink"/>
                </w:rPr>
                <w:t>10.6</w:t>
              </w:r>
            </w:hyperlink>
            <w:r>
              <w:rPr>
                <w:color w:val="00000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3" w:type="dxa"/>
            <w:tcBorders/>
            <w:shd w:fill="CCEEFF" w:val="clear"/>
            <w:tcMar>
              <w:bottom w:w="0" w:type="dxa"/>
            </w:tcMar>
            <w:vAlign w:val="center"/>
          </w:tcPr>
          <w:p>
            <w:pPr>
              <w:pStyle w:val="TableContents"/>
              <w:bidi w:val="0"/>
              <w:spacing w:before="0" w:after="0"/>
              <w:jc w:val="both"/>
              <w:rPr>
                <w:color w:val="000000"/>
              </w:rPr>
            </w:pPr>
            <w:r>
              <w:rPr>
                <w:color w:val="000000"/>
              </w:rPr>
              <w:t>Amendment No. 1 to Executive Employment Agreement, dated December 15, 2021, by and among City Bank, Cory T. Newsom and South Plains Financial, Inc. (incorporated herein by reference to Exhibit 10.2 to the Current Report on Form 8-K filed with the SEC on December 21, 2021 (File No. 001-38895)).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96"/>
        <w:gridCol w:w="60"/>
        <w:gridCol w:w="9549"/>
      </w:tblGrid>
      <w:tr>
        <w:trPr/>
        <w:tc>
          <w:tcPr>
            <w:tcW w:w="596" w:type="dxa"/>
            <w:tcBorders/>
            <w:shd w:fill="CCEEFF" w:val="clear"/>
            <w:vAlign w:val="center"/>
          </w:tcPr>
          <w:p>
            <w:pPr>
              <w:pStyle w:val="TableContents"/>
              <w:bidi w:val="0"/>
              <w:spacing w:before="0" w:after="0"/>
              <w:jc w:val="left"/>
              <w:rPr/>
            </w:pPr>
            <w:hyperlink r:id="rId16">
              <w:r>
                <w:rPr>
                  <w:rStyle w:val="InternetLink"/>
                </w:rPr>
                <w:t>10.7</w:t>
              </w:r>
            </w:hyperlink>
            <w:r>
              <w:rPr>
                <w:color w:val="000000"/>
              </w:rPr>
              <w:t>†</w:t>
            </w:r>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South Plains Financial, Inc. 2019 Equity Incentive Plan (incorporated herein by reference to Exhibit 10.1 to the Registration Statement on Form S-1/A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17">
              <w:r>
                <w:rPr>
                  <w:rStyle w:val="InternetLink"/>
                </w:rPr>
                <w:t>10.8</w:t>
              </w:r>
            </w:hyperlink>
            <w:r>
              <w:rPr>
                <w:color w:val="000000"/>
              </w:rPr>
              <w:t>†</w:t>
            </w:r>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Form of Stock Option Award Agreement under the South Plains Financial, Inc. 2019 Equity Incentive Plan (incorporated herein by reference to Exhibit 10.2 to the Registration Statement on Form S-1/A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18">
              <w:r>
                <w:rPr>
                  <w:rStyle w:val="InternetLink"/>
                </w:rPr>
                <w:t>10.9</w:t>
              </w:r>
            </w:hyperlink>
            <w:r>
              <w:rPr>
                <w:color w:val="000000"/>
              </w:rPr>
              <w:t>†</w:t>
            </w:r>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Form of Restricted Stock Unit Award Agreement under the South Plains Financial, Inc. 2019 Equity Incentive Plan (incorporated herein by reference to Exhibit 10.3 to the Registration Statement on Form S-1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19">
              <w:r>
                <w:rPr>
                  <w:rStyle w:val="InternetLink"/>
                </w:rPr>
                <w:t>10.10</w:t>
              </w:r>
            </w:hyperlink>
            <w:r>
              <w:rPr>
                <w:color w:val="000000"/>
              </w:rPr>
              <w:t>†</w:t>
            </w:r>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Form of Indemnification Agreement (incorporated herein by reference to Exhibit 10.9 to the Registration Statement on Form S-1/A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15269_ex10-11.htm">
              <w:r>
                <w:rPr>
                  <w:rStyle w:val="InternetLink"/>
                  <w:color w:val="000000"/>
                </w:rPr>
                <w:t>10.11*</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Nonqualified Deferred Compensation Plan Basic Plan Document.</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0">
              <w:r>
                <w:rPr>
                  <w:rStyle w:val="InternetLink"/>
                </w:rPr>
                <w:t>10.12</w:t>
              </w:r>
            </w:hyperlink>
            <w:r>
              <w:rPr>
                <w:color w:val="000000"/>
              </w:rPr>
              <w:t>†</w:t>
            </w:r>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Deferred Compensation Plan Adoption Agreement of Cory T. Newsom (incorporated herein by reference to Exhibit 10.5 to the Registration Statement on Form S-1/A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1">
              <w:r>
                <w:rPr>
                  <w:rStyle w:val="InternetLink"/>
                </w:rPr>
                <w:t>10.13</w:t>
              </w:r>
            </w:hyperlink>
            <w:r>
              <w:rPr>
                <w:color w:val="000000"/>
              </w:rPr>
              <w:t>†</w:t>
            </w:r>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Joint Beneficiary Designation Agreement of Cory Newsom, effective January 1, 2008 (incorporated herein by reference to Exhibit 10.6 to the Registration Statement on Form S-1/A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2">
              <w:r>
                <w:rPr>
                  <w:rStyle w:val="InternetLink"/>
                </w:rPr>
                <w:t>10.14</w:t>
              </w:r>
            </w:hyperlink>
            <w:r>
              <w:rPr>
                <w:color w:val="000000"/>
              </w:rPr>
              <w:t>†</w:t>
            </w:r>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Joint Beneficiary Designation Agreement of Cory Newsom, effective April 1, 2014 (incorporated herein by reference to Exhibit 10.7 to the Registration Statement on Form S-1/A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3">
              <w:r>
                <w:rPr>
                  <w:rStyle w:val="InternetLink"/>
                  <w:color w:val="0000FF"/>
                </w:rPr>
                <w:t>10.15</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Board Representation Agreement between South Plains Financial, Inc. and James C. Henry (incorporated herein by reference to Exhibit 10.8 to the Registration Statement on Form S-1/A of South Plains Financial, Inc. (Registration No. 333-230851) filed April 29, 2019).</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4">
              <w:r>
                <w:rPr>
                  <w:rStyle w:val="InternetLink"/>
                  <w:color w:val="0000FF"/>
                </w:rPr>
                <w:t>10.16</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Form of Note Purchase Agreement, dated as of September 29, 2020, by and among South Plains Financial, Inc. and the Purchasers (incorporated herein by reference to Exhibit 10.1 of the Current Report on Form 8-K filed with the SEC on September 30, 2020 (File No. 001-38895)).</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5">
              <w:r>
                <w:rPr>
                  <w:rStyle w:val="InternetLink"/>
                  <w:color w:val="0000FF"/>
                </w:rPr>
                <w:t>10.17</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Form of Registration Rights Agreement, dated as of September 29, 2020, by and among South Plains Financial, Inc. and the Purchasers (incorporated herein by reference to Exhibit 10.2 of the Current Report on Form 8-K filed with the SEC on September 30, 2020 (File No. 001-38895)).</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15269_ex10-18.htm">
              <w:r>
                <w:rPr>
                  <w:rStyle w:val="InternetLink"/>
                  <w:color w:val="000000"/>
                </w:rPr>
                <w:t>10.18*</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Deferred Compensation Plan Adoption Agreement of Steven Crockett, effective January 1, 2008, as amended effective January 1, 2015.</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15269_ex10-19.htm">
              <w:r>
                <w:rPr>
                  <w:rStyle w:val="InternetLink"/>
                  <w:color w:val="000000"/>
                </w:rPr>
                <w:t>10.19*</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Second Amendment to Steven Crockett Deferred Compensation Plan Adoption Agreement, effective March 15, 2024.</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6">
              <w:r>
                <w:rPr>
                  <w:rStyle w:val="InternetLink"/>
                  <w:color w:val="0000FF"/>
                </w:rPr>
                <w:t>16.1</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Letter from Weaver and Tidwell, L.L.P., dated October 26, 2021, to the U.S. Securities and Exchange Commission (incorporated herein by reference to Exhibit 16.1 of the Current Report on form 8-K filed with the SEC on October 26, 2021 (File No. 001-38895)).</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r:id="rId27">
              <w:r>
                <w:rPr>
                  <w:rStyle w:val="InternetLink"/>
                  <w:color w:val="0000FF"/>
                </w:rPr>
                <w:t>16.2</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Letter from Weaver and Tidwell, L.L.P., dated March 11, 2022, to the U.S. Securities and Exchange Commission (incorporated herein by reference to Exhibit 16.1 of the Current Report on form 8-K filed with the SEC on March 11, 2022 (File No. 001-38895)).</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23760_ex21-1.htm">
              <w:r>
                <w:rPr>
                  <w:rStyle w:val="InternetLink"/>
                  <w:color w:val="000000"/>
                </w:rPr>
                <w:t>21.1*</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Subsidiaries of South Plains Financial, Inc.</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23760_ex23-1.htm">
              <w:r>
                <w:rPr>
                  <w:rStyle w:val="InternetLink"/>
                  <w:color w:val="000000"/>
                </w:rPr>
                <w:t>23.1*</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Consent of FORVIS.</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23760_ex23-2.htm">
              <w:r>
                <w:rPr>
                  <w:rStyle w:val="InternetLink"/>
                  <w:color w:val="000000"/>
                </w:rPr>
                <w:t>23.2*</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Consent of Weaver and Tidwell, LLP.</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23760_ex31-1.htm">
              <w:r>
                <w:rPr>
                  <w:rStyle w:val="InternetLink"/>
                  <w:color w:val="000000"/>
                </w:rPr>
                <w:t>31.1*</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Certification by Chief Executive Officer pursuant to Rule 13a-14(a) under the Securities Exchange Act of 1934, as amended.</w:t>
            </w:r>
          </w:p>
        </w:tc>
      </w:tr>
      <w:tr>
        <w:trPr/>
        <w:tc>
          <w:tcPr>
            <w:tcW w:w="5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9" w:type="dxa"/>
            <w:tcBorders/>
            <w:vAlign w:val="center"/>
          </w:tcPr>
          <w:p>
            <w:pPr>
              <w:pStyle w:val="TableContents"/>
              <w:bidi w:val="0"/>
              <w:spacing w:before="0" w:after="283"/>
              <w:jc w:val="left"/>
              <w:rPr/>
            </w:pPr>
            <w:r>
              <w:rPr/>
              <w:t> </w:t>
            </w:r>
          </w:p>
        </w:tc>
      </w:tr>
      <w:tr>
        <w:trPr/>
        <w:tc>
          <w:tcPr>
            <w:tcW w:w="596" w:type="dxa"/>
            <w:tcBorders/>
            <w:shd w:fill="CCEEFF" w:val="clear"/>
            <w:vAlign w:val="center"/>
          </w:tcPr>
          <w:p>
            <w:pPr>
              <w:pStyle w:val="TableContents"/>
              <w:bidi w:val="0"/>
              <w:spacing w:before="0" w:after="0"/>
              <w:jc w:val="left"/>
              <w:rPr/>
            </w:pPr>
            <w:hyperlink w:anchor="ef20023760_ex31-2.htm">
              <w:r>
                <w:rPr>
                  <w:rStyle w:val="InternetLink"/>
                  <w:color w:val="000000"/>
                </w:rPr>
                <w:t>31.2*</w:t>
              </w:r>
            </w:hyperlink>
          </w:p>
        </w:tc>
        <w:tc>
          <w:tcPr>
            <w:tcW w:w="60" w:type="dxa"/>
            <w:tcBorders/>
            <w:shd w:fill="CCEEFF" w:val="clear"/>
            <w:vAlign w:val="center"/>
          </w:tcPr>
          <w:p>
            <w:pPr>
              <w:pStyle w:val="TableContents"/>
              <w:bidi w:val="0"/>
              <w:spacing w:before="0" w:after="283"/>
              <w:jc w:val="left"/>
              <w:rPr/>
            </w:pPr>
            <w:r>
              <w:rPr/>
              <w:t> </w:t>
            </w:r>
          </w:p>
        </w:tc>
        <w:tc>
          <w:tcPr>
            <w:tcW w:w="9549" w:type="dxa"/>
            <w:tcBorders/>
            <w:shd w:fill="CCEEFF" w:val="clear"/>
            <w:vAlign w:val="center"/>
          </w:tcPr>
          <w:p>
            <w:pPr>
              <w:pStyle w:val="TableContents"/>
              <w:bidi w:val="0"/>
              <w:spacing w:before="0" w:after="0"/>
              <w:jc w:val="both"/>
              <w:rPr>
                <w:color w:val="000000"/>
              </w:rPr>
            </w:pPr>
            <w:r>
              <w:rPr>
                <w:color w:val="000000"/>
              </w:rPr>
              <w:t>Certification by Chief Financial Officer pursuant to Rule 13a-14(a) under the Securities Exchange Act of 1934, as amended.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814"/>
        <w:gridCol w:w="60"/>
        <w:gridCol w:w="9331"/>
      </w:tblGrid>
      <w:tr>
        <w:trPr/>
        <w:tc>
          <w:tcPr>
            <w:tcW w:w="814" w:type="dxa"/>
            <w:tcBorders/>
            <w:shd w:fill="CCEEFF" w:val="clear"/>
            <w:vAlign w:val="center"/>
          </w:tcPr>
          <w:p>
            <w:pPr>
              <w:pStyle w:val="TableContents"/>
              <w:bidi w:val="0"/>
              <w:spacing w:before="0" w:after="0"/>
              <w:jc w:val="left"/>
              <w:rPr/>
            </w:pPr>
            <w:hyperlink w:anchor="ef20023760_ex32-1.htm">
              <w:r>
                <w:rPr>
                  <w:rStyle w:val="InternetLink"/>
                  <w:color w:val="000000"/>
                </w:rPr>
                <w:t>32.1**</w:t>
              </w:r>
            </w:hyperlink>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Section 1350 Certification of Chief Executive Officer.</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pPr>
            <w:hyperlink w:anchor="ef20023760_ex32-2.htm">
              <w:r>
                <w:rPr>
                  <w:rStyle w:val="InternetLink"/>
                  <w:color w:val="000000"/>
                </w:rPr>
                <w:t>32.2**</w:t>
              </w:r>
            </w:hyperlink>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Section 1350 Certification of Chief Financial Officer.</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97.0*</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South Plains Financial, Inc. Incentive Award Recoupment Policy.</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101.INS*</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Inline XBRL Instance Document (the instance document does not appear in the Interactive Data File because its XBRL tags are embedded within the Inline XBRL document).</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101.SCH*</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Inline XBRL Taxonomy Extension Schema Document.</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101.CAL*</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Inline XBRL Taxonomy Extension Calculation Linkbase Document.</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101.DEF*</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Inline XBRL Taxonomy Extension Definition Linkbase Document.</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101.LAB*</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Inline XBRL Taxonomy Extension Label Linkbase Document.</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101.PRE*</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Inline XBRL Taxonomy Extension Presentation Linkbase Document.</w:t>
            </w:r>
          </w:p>
        </w:tc>
      </w:tr>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jc w:val="left"/>
              <w:rPr>
                <w:color w:val="000000"/>
              </w:rPr>
            </w:pPr>
            <w:r>
              <w:rPr>
                <w:color w:val="000000"/>
              </w:rPr>
              <w:t>104*</w:t>
            </w:r>
          </w:p>
        </w:tc>
        <w:tc>
          <w:tcPr>
            <w:tcW w:w="60" w:type="dxa"/>
            <w:tcBorders/>
            <w:shd w:fill="CCEEFF" w:val="clear"/>
            <w:vAlign w:val="center"/>
          </w:tcPr>
          <w:p>
            <w:pPr>
              <w:pStyle w:val="TableContents"/>
              <w:bidi w:val="0"/>
              <w:spacing w:before="0" w:after="283"/>
              <w:jc w:val="left"/>
              <w:rPr/>
            </w:pPr>
            <w:r>
              <w:rPr/>
              <w:t> </w:t>
            </w:r>
          </w:p>
        </w:tc>
        <w:tc>
          <w:tcPr>
            <w:tcW w:w="9331" w:type="dxa"/>
            <w:tcBorders/>
            <w:shd w:fill="CCEEFF" w:val="clear"/>
            <w:vAlign w:val="center"/>
          </w:tcPr>
          <w:p>
            <w:pPr>
              <w:pStyle w:val="TableContents"/>
              <w:bidi w:val="0"/>
              <w:spacing w:before="0" w:after="0"/>
              <w:jc w:val="both"/>
              <w:rPr>
                <w:color w:val="000000"/>
              </w:rPr>
            </w:pPr>
            <w:r>
              <w:rPr>
                <w:color w:val="000000"/>
              </w:rPr>
              <w:t>Cover Page Interactive Data File (formatted as inline XBRL and contained in Exhibit 101).</w:t>
            </w:r>
          </w:p>
        </w:tc>
      </w:tr>
    </w:tbl>
    <w:p>
      <w:pPr>
        <w:pStyle w:val="TextBody"/>
        <w:bidi w:val="0"/>
        <w:spacing w:before="0" w:after="0"/>
        <w:jc w:val="left"/>
        <w:rPr/>
      </w:pPr>
      <w:r>
        <w:rPr/>
      </w:r>
    </w:p>
    <w:tbl>
      <w:tblPr>
        <w:tblW w:w="4495" w:type="dxa"/>
        <w:jc w:val="left"/>
        <w:tblInd w:w="0" w:type="dxa"/>
        <w:tblLayout w:type="fixed"/>
        <w:tblCellMar>
          <w:top w:w="0" w:type="dxa"/>
          <w:left w:w="0" w:type="dxa"/>
          <w:bottom w:w="0" w:type="dxa"/>
          <w:right w:w="0" w:type="dxa"/>
        </w:tblCellMar>
      </w:tblPr>
      <w:tblGrid>
        <w:gridCol w:w="155"/>
        <w:gridCol w:w="4340"/>
      </w:tblGrid>
      <w:tr>
        <w:trPr/>
        <w:tc>
          <w:tcPr>
            <w:tcW w:w="155"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jc w:val="left"/>
              <w:rPr>
                <w:color w:val="000000"/>
              </w:rPr>
            </w:pPr>
            <w:r>
              <w:rPr>
                <w:color w:val="000000"/>
              </w:rPr>
              <w:t>Filed with this Annual Report on Form 10-K.</w:t>
            </w:r>
          </w:p>
        </w:tc>
      </w:tr>
    </w:tbl>
    <w:p>
      <w:pPr>
        <w:pStyle w:val="TextBody"/>
        <w:bidi w:val="0"/>
        <w:spacing w:before="0" w:after="0"/>
        <w:jc w:val="left"/>
        <w:rPr/>
      </w:pPr>
      <w:r>
        <w:rPr/>
      </w:r>
    </w:p>
    <w:tbl>
      <w:tblPr>
        <w:tblW w:w="5080" w:type="dxa"/>
        <w:jc w:val="left"/>
        <w:tblInd w:w="0" w:type="dxa"/>
        <w:tblLayout w:type="fixed"/>
        <w:tblCellMar>
          <w:top w:w="0" w:type="dxa"/>
          <w:left w:w="0" w:type="dxa"/>
          <w:bottom w:w="0" w:type="dxa"/>
          <w:right w:w="0" w:type="dxa"/>
        </w:tblCellMar>
      </w:tblPr>
      <w:tblGrid>
        <w:gridCol w:w="275"/>
        <w:gridCol w:w="4805"/>
      </w:tblGrid>
      <w:tr>
        <w:trPr/>
        <w:tc>
          <w:tcPr>
            <w:tcW w:w="275" w:type="dxa"/>
            <w:tcBorders/>
            <w:vAlign w:val="center"/>
          </w:tcPr>
          <w:p>
            <w:pPr>
              <w:pStyle w:val="TableContents"/>
              <w:bidi w:val="0"/>
              <w:spacing w:before="0" w:after="283"/>
              <w:jc w:val="left"/>
              <w:rPr>
                <w:color w:val="000000"/>
              </w:rPr>
            </w:pPr>
            <w:r>
              <w:rPr>
                <w:color w:val="000000"/>
              </w:rPr>
              <w:t>**</w:t>
            </w:r>
          </w:p>
        </w:tc>
        <w:tc>
          <w:tcPr>
            <w:tcW w:w="4805" w:type="dxa"/>
            <w:tcBorders/>
            <w:vAlign w:val="center"/>
          </w:tcPr>
          <w:p>
            <w:pPr>
              <w:pStyle w:val="TableContents"/>
              <w:bidi w:val="0"/>
              <w:spacing w:before="0" w:after="0"/>
              <w:jc w:val="left"/>
              <w:rPr>
                <w:color w:val="000000"/>
              </w:rPr>
            </w:pPr>
            <w:r>
              <w:rPr>
                <w:color w:val="000000"/>
              </w:rPr>
              <w:t>Furnished with this Annual Report on Form 10-K.</w:t>
            </w:r>
          </w:p>
        </w:tc>
      </w:tr>
    </w:tbl>
    <w:p>
      <w:pPr>
        <w:pStyle w:val="TextBody"/>
        <w:bidi w:val="0"/>
        <w:spacing w:before="0" w:after="0"/>
        <w:jc w:val="left"/>
        <w:rPr/>
      </w:pPr>
      <w:r>
        <w:rPr/>
      </w:r>
    </w:p>
    <w:tbl>
      <w:tblPr>
        <w:tblW w:w="5425" w:type="dxa"/>
        <w:jc w:val="left"/>
        <w:tblInd w:w="0" w:type="dxa"/>
        <w:tblLayout w:type="fixed"/>
        <w:tblCellMar>
          <w:top w:w="0" w:type="dxa"/>
          <w:left w:w="0" w:type="dxa"/>
          <w:bottom w:w="0" w:type="dxa"/>
          <w:right w:w="0" w:type="dxa"/>
        </w:tblCellMar>
      </w:tblPr>
      <w:tblGrid>
        <w:gridCol w:w="155"/>
        <w:gridCol w:w="5270"/>
      </w:tblGrid>
      <w:tr>
        <w:trPr/>
        <w:tc>
          <w:tcPr>
            <w:tcW w:w="155" w:type="dxa"/>
            <w:tcBorders/>
            <w:vAlign w:val="center"/>
          </w:tcPr>
          <w:p>
            <w:pPr>
              <w:pStyle w:val="TableContents"/>
              <w:bidi w:val="0"/>
              <w:spacing w:before="0" w:after="283"/>
              <w:jc w:val="left"/>
              <w:rPr>
                <w:color w:val="000000"/>
              </w:rPr>
            </w:pPr>
            <w:r>
              <w:rPr>
                <w:color w:val="000000"/>
              </w:rPr>
              <w:t>†</w:t>
            </w:r>
          </w:p>
        </w:tc>
        <w:tc>
          <w:tcPr>
            <w:tcW w:w="5270" w:type="dxa"/>
            <w:tcBorders/>
            <w:vAlign w:val="center"/>
          </w:tcPr>
          <w:p>
            <w:pPr>
              <w:pStyle w:val="TableContents"/>
              <w:bidi w:val="0"/>
              <w:spacing w:before="0" w:after="0"/>
              <w:jc w:val="left"/>
              <w:rPr>
                <w:color w:val="000000"/>
              </w:rPr>
            </w:pPr>
            <w:r>
              <w:rPr>
                <w:color w:val="000000"/>
              </w:rPr>
              <w:t>Indicates a management contract or compensatory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Item16.Form10-KSummary"/>
      <w:bookmarkStart w:id="46" w:name="Item16.Form10-KSummary"/>
      <w:bookmarkEnd w:id="46"/>
    </w:p>
    <w:tbl>
      <w:tblPr>
        <w:tblW w:w="3085" w:type="dxa"/>
        <w:jc w:val="left"/>
        <w:tblInd w:w="0" w:type="dxa"/>
        <w:tblLayout w:type="fixed"/>
        <w:tblCellMar>
          <w:top w:w="0" w:type="dxa"/>
          <w:left w:w="0" w:type="dxa"/>
          <w:bottom w:w="0" w:type="dxa"/>
          <w:right w:w="0" w:type="dxa"/>
        </w:tblCellMar>
      </w:tblPr>
      <w:tblGrid>
        <w:gridCol w:w="860"/>
        <w:gridCol w:w="2225"/>
      </w:tblGrid>
      <w:tr>
        <w:trPr/>
        <w:tc>
          <w:tcPr>
            <w:tcW w:w="860" w:type="dxa"/>
            <w:tcBorders/>
            <w:vAlign w:val="center"/>
          </w:tcPr>
          <w:p>
            <w:pPr>
              <w:pStyle w:val="TableContents"/>
              <w:bidi w:val="0"/>
              <w:spacing w:before="0" w:after="283"/>
              <w:jc w:val="left"/>
              <w:rPr>
                <w:b/>
                <w:color w:val="000000"/>
              </w:rPr>
            </w:pPr>
            <w:r>
              <w:rPr>
                <w:b/>
                <w:color w:val="000000"/>
              </w:rPr>
              <w:t>Item 16.</w:t>
            </w:r>
          </w:p>
        </w:tc>
        <w:tc>
          <w:tcPr>
            <w:tcW w:w="2225" w:type="dxa"/>
            <w:tcBorders/>
            <w:vAlign w:val="center"/>
          </w:tcPr>
          <w:p>
            <w:pPr>
              <w:pStyle w:val="TableContents"/>
              <w:bidi w:val="0"/>
              <w:spacing w:before="0" w:after="0"/>
              <w:jc w:val="left"/>
              <w:rPr>
                <w:b/>
                <w:color w:val="000000"/>
              </w:rPr>
            </w:pPr>
            <w:r>
              <w:rPr>
                <w:b/>
                <w:color w:val="000000"/>
              </w:rPr>
              <w:t>Form 10-K Summary</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None.</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p>
      <w:pPr>
        <w:pStyle w:val="TextBody"/>
        <w:bidi w:val="0"/>
        <w:spacing w:before="0" w:after="0"/>
        <w:jc w:val="center"/>
        <w:rPr>
          <w:rFonts w:ascii="Times New Roman;Times;serif" w:hAnsi="Times New Roman;Times;serif"/>
          <w:b/>
          <w:color w:val="000000"/>
          <w:sz w:val="20"/>
          <w:shd w:fill="FFFFFF" w:val="clear"/>
        </w:rPr>
      </w:pPr>
      <w:bookmarkStart w:id="47" w:name="SIGNATURES"/>
      <w:bookmarkEnd w:id="47"/>
      <w:r>
        <w:rPr>
          <w:rFonts w:ascii="Times New Roman;Times;serif" w:hAnsi="Times New Roman;Times;serif"/>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Section 13 or 15(d) of the Securities Exchange Act of 1934, the registrant has duly caused this report to be signed on its behalf by the undersigned, thereunto duly authorized</w:t>
      </w:r>
      <w:r>
        <w:rPr>
          <w:rFonts w:ascii="Times New Roman;Times;serif" w:hAnsi="Times New Roman;Times;serif"/>
          <w:b/>
          <w:color w:val="000000"/>
          <w:sz w:val="20"/>
          <w:shd w:fill="FFFFFF" w:val="clear"/>
        </w:rPr>
        <w:t>.</w:t>
      </w:r>
    </w:p>
    <w:p>
      <w:pPr>
        <w:pStyle w:val="TextBody"/>
        <w:bidi w:val="0"/>
        <w:spacing w:before="0" w:after="0"/>
        <w:jc w:val="left"/>
        <w:rPr/>
      </w:pPr>
      <w:r>
        <w:rPr/>
      </w:r>
    </w:p>
    <w:tbl>
      <w:tblPr>
        <w:tblW w:w="6150" w:type="dxa"/>
        <w:jc w:val="left"/>
        <w:tblInd w:w="0" w:type="dxa"/>
        <w:tblLayout w:type="fixed"/>
        <w:tblCellMar>
          <w:top w:w="0" w:type="dxa"/>
          <w:left w:w="0" w:type="dxa"/>
          <w:bottom w:w="0" w:type="dxa"/>
          <w:right w:w="0" w:type="dxa"/>
        </w:tblCellMar>
      </w:tblPr>
      <w:tblGrid>
        <w:gridCol w:w="2105"/>
        <w:gridCol w:w="365"/>
        <w:gridCol w:w="3680"/>
      </w:tblGrid>
      <w:tr>
        <w:trPr/>
        <w:tc>
          <w:tcPr>
            <w:tcW w:w="2105" w:type="dxa"/>
            <w:tcBorders/>
            <w:vAlign w:val="center"/>
          </w:tcPr>
          <w:p>
            <w:pPr>
              <w:pStyle w:val="TableContents"/>
              <w:bidi w:val="0"/>
              <w:spacing w:before="0" w:after="283"/>
              <w:jc w:val="left"/>
              <w:rPr/>
            </w:pPr>
            <w:r>
              <w:rPr/>
            </w:r>
          </w:p>
        </w:tc>
        <w:tc>
          <w:tcPr>
            <w:tcW w:w="4045" w:type="dxa"/>
            <w:gridSpan w:val="2"/>
            <w:tcBorders/>
            <w:vAlign w:val="center"/>
          </w:tcPr>
          <w:p>
            <w:pPr>
              <w:pStyle w:val="TableContents"/>
              <w:bidi w:val="0"/>
              <w:spacing w:before="0" w:after="0"/>
              <w:jc w:val="left"/>
              <w:rPr>
                <w:b/>
                <w:color w:val="000000"/>
              </w:rPr>
            </w:pPr>
            <w:r>
              <w:rPr>
                <w:b/>
                <w:color w:val="000000"/>
              </w:rPr>
              <w:t>South Plains Financial, Inc.</w:t>
            </w:r>
          </w:p>
        </w:tc>
      </w:tr>
      <w:tr>
        <w:trPr/>
        <w:tc>
          <w:tcPr>
            <w:tcW w:w="210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3680" w:type="dxa"/>
            <w:tcBorders/>
            <w:vAlign w:val="center"/>
          </w:tcPr>
          <w:p>
            <w:pPr>
              <w:pStyle w:val="TableContents"/>
              <w:bidi w:val="0"/>
              <w:spacing w:before="0" w:after="283"/>
              <w:jc w:val="left"/>
              <w:rPr/>
            </w:pPr>
            <w:r>
              <w:rPr/>
            </w:r>
          </w:p>
        </w:tc>
      </w:tr>
      <w:tr>
        <w:trPr/>
        <w:tc>
          <w:tcPr>
            <w:tcW w:w="2105" w:type="dxa"/>
            <w:tcBorders/>
            <w:vAlign w:val="center"/>
          </w:tcPr>
          <w:p>
            <w:pPr>
              <w:pStyle w:val="TableContents"/>
              <w:bidi w:val="0"/>
              <w:spacing w:before="0" w:after="0"/>
              <w:jc w:val="left"/>
              <w:rPr>
                <w:color w:val="000000"/>
              </w:rPr>
            </w:pPr>
            <w:r>
              <w:rPr>
                <w:color w:val="000000"/>
              </w:rPr>
              <w:t>Date: March 15, 2024</w:t>
            </w:r>
          </w:p>
        </w:tc>
        <w:tc>
          <w:tcPr>
            <w:tcW w:w="365" w:type="dxa"/>
            <w:tcBorders/>
            <w:vAlign w:val="center"/>
          </w:tcPr>
          <w:p>
            <w:pPr>
              <w:pStyle w:val="TableContents"/>
              <w:bidi w:val="0"/>
              <w:spacing w:before="0" w:after="0"/>
              <w:jc w:val="left"/>
              <w:rPr>
                <w:color w:val="000000"/>
              </w:rPr>
            </w:pPr>
            <w:r>
              <w:rPr>
                <w:color w:val="000000"/>
              </w:rPr>
              <w:t>By:</w:t>
            </w:r>
          </w:p>
        </w:tc>
        <w:tc>
          <w:tcPr>
            <w:tcW w:w="368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Curtis C. Griffith</w:t>
            </w:r>
          </w:p>
        </w:tc>
      </w:tr>
      <w:tr>
        <w:trPr/>
        <w:tc>
          <w:tcPr>
            <w:tcW w:w="210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3680" w:type="dxa"/>
            <w:tcBorders/>
            <w:vAlign w:val="center"/>
          </w:tcPr>
          <w:p>
            <w:pPr>
              <w:pStyle w:val="TableContents"/>
              <w:bidi w:val="0"/>
              <w:spacing w:before="0" w:after="0"/>
              <w:jc w:val="left"/>
              <w:rPr>
                <w:color w:val="000000"/>
              </w:rPr>
            </w:pPr>
            <w:r>
              <w:rPr>
                <w:color w:val="000000"/>
              </w:rPr>
              <w:t>Curtis C. Griffith</w:t>
            </w:r>
          </w:p>
        </w:tc>
      </w:tr>
      <w:tr>
        <w:trPr/>
        <w:tc>
          <w:tcPr>
            <w:tcW w:w="210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3680" w:type="dxa"/>
            <w:tcBorders/>
            <w:vAlign w:val="center"/>
          </w:tcPr>
          <w:p>
            <w:pPr>
              <w:pStyle w:val="TableContents"/>
              <w:bidi w:val="0"/>
              <w:spacing w:before="0" w:after="0"/>
              <w:jc w:val="left"/>
              <w:rPr>
                <w:color w:val="000000"/>
              </w:rPr>
            </w:pPr>
            <w:r>
              <w:rPr>
                <w:color w:val="000000"/>
              </w:rPr>
              <w:t>Chairman and Chief Executive Officer</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requirements of the Securities Exchange Act of 1934, this report has been signed below by the following persons on behalf of the registrant in the capacities and on the dates indicated.</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157"/>
        <w:gridCol w:w="23"/>
        <w:gridCol w:w="6610"/>
        <w:gridCol w:w="23"/>
        <w:gridCol w:w="1392"/>
      </w:tblGrid>
      <w:tr>
        <w:trPr/>
        <w:tc>
          <w:tcPr>
            <w:tcW w:w="2157" w:type="dxa"/>
            <w:tcBorders>
              <w:bottom w:val="single" w:sz="12" w:space="0" w:color="000000"/>
            </w:tcBorders>
            <w:vAlign w:val="center"/>
          </w:tcPr>
          <w:p>
            <w:pPr>
              <w:pStyle w:val="TableContents"/>
              <w:bidi w:val="0"/>
              <w:spacing w:before="0" w:after="0"/>
              <w:jc w:val="center"/>
              <w:rPr>
                <w:b/>
                <w:color w:val="000000"/>
              </w:rPr>
            </w:pPr>
            <w:r>
              <w:rPr>
                <w:b/>
                <w:color w:val="000000"/>
              </w:rPr>
              <w:t>Signature</w:t>
            </w:r>
          </w:p>
        </w:tc>
        <w:tc>
          <w:tcPr>
            <w:tcW w:w="23" w:type="dxa"/>
            <w:tcBorders/>
            <w:tcMar>
              <w:bottom w:w="0" w:type="dxa"/>
            </w:tcMar>
            <w:vAlign w:val="center"/>
          </w:tcPr>
          <w:p>
            <w:pPr>
              <w:pStyle w:val="TableContents"/>
              <w:bidi w:val="0"/>
              <w:spacing w:before="0" w:after="283"/>
              <w:jc w:val="left"/>
              <w:rPr/>
            </w:pPr>
            <w:r>
              <w:rPr/>
            </w:r>
          </w:p>
        </w:tc>
        <w:tc>
          <w:tcPr>
            <w:tcW w:w="6610" w:type="dxa"/>
            <w:tcBorders>
              <w:bottom w:val="single" w:sz="12" w:space="0" w:color="000000"/>
            </w:tcBorders>
            <w:vAlign w:val="center"/>
          </w:tcPr>
          <w:p>
            <w:pPr>
              <w:pStyle w:val="TableContents"/>
              <w:bidi w:val="0"/>
              <w:spacing w:before="0" w:after="0"/>
              <w:jc w:val="center"/>
              <w:rPr>
                <w:b/>
                <w:color w:val="000000"/>
              </w:rPr>
            </w:pPr>
            <w:r>
              <w:rPr>
                <w:b/>
                <w:color w:val="000000"/>
              </w:rPr>
              <w:t>Title</w:t>
            </w:r>
          </w:p>
        </w:tc>
        <w:tc>
          <w:tcPr>
            <w:tcW w:w="23" w:type="dxa"/>
            <w:tcBorders/>
            <w:tcMar>
              <w:bottom w:w="0" w:type="dxa"/>
            </w:tcMar>
            <w:vAlign w:val="center"/>
          </w:tcPr>
          <w:p>
            <w:pPr>
              <w:pStyle w:val="TableContents"/>
              <w:bidi w:val="0"/>
              <w:spacing w:before="0" w:after="283"/>
              <w:jc w:val="left"/>
              <w:rPr/>
            </w:pPr>
            <w:r>
              <w:rPr/>
            </w:r>
          </w:p>
        </w:tc>
        <w:tc>
          <w:tcPr>
            <w:tcW w:w="1392" w:type="dxa"/>
            <w:tcBorders>
              <w:bottom w:val="single" w:sz="12" w:space="0" w:color="000000"/>
            </w:tcBorders>
            <w:vAlign w:val="center"/>
          </w:tcPr>
          <w:p>
            <w:pPr>
              <w:pStyle w:val="TableContents"/>
              <w:bidi w:val="0"/>
              <w:spacing w:before="0" w:after="0"/>
              <w:jc w:val="center"/>
              <w:rPr>
                <w:b/>
                <w:color w:val="000000"/>
              </w:rPr>
            </w:pPr>
            <w:r>
              <w:rPr>
                <w:b/>
                <w:color w:val="000000"/>
              </w:rPr>
              <w:t>Date</w:t>
            </w:r>
          </w:p>
        </w:tc>
      </w:tr>
      <w:tr>
        <w:trPr/>
        <w:tc>
          <w:tcPr>
            <w:tcW w:w="2157"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bottom w:val="single" w:sz="12" w:space="0" w:color="000000"/>
            </w:tcBorders>
            <w:vAlign w:val="center"/>
          </w:tcPr>
          <w:p>
            <w:pPr>
              <w:pStyle w:val="TableContents"/>
              <w:bidi w:val="0"/>
              <w:spacing w:before="0" w:after="0"/>
              <w:jc w:val="left"/>
              <w:rPr>
                <w:color w:val="000000"/>
              </w:rPr>
            </w:pPr>
            <w:r>
              <w:rPr>
                <w:color w:val="000000"/>
              </w:rPr>
              <w:t>/s/ Curtis C. Griffith</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tcMar>
              <w:bottom w:w="0" w:type="dxa"/>
            </w:tcMar>
            <w:vAlign w:val="center"/>
          </w:tcPr>
          <w:p>
            <w:pPr>
              <w:pStyle w:val="TableContents"/>
              <w:bidi w:val="0"/>
              <w:spacing w:before="0" w:after="0"/>
              <w:jc w:val="left"/>
              <w:rPr>
                <w:color w:val="000000"/>
              </w:rPr>
            </w:pPr>
            <w:r>
              <w:rPr>
                <w:color w:val="000000"/>
              </w:rPr>
              <w:t>Curtis C. Griffith</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0"/>
              <w:jc w:val="left"/>
              <w:rPr>
                <w:color w:val="000000"/>
              </w:rPr>
            </w:pPr>
            <w:r>
              <w:rPr>
                <w:color w:val="000000"/>
              </w:rPr>
              <w:t>Director (Chairman); Chief Executive Officer (principal executive officer)</w:t>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0"/>
              <w:jc w:val="center"/>
              <w:rPr>
                <w:color w:val="000000"/>
              </w:rPr>
            </w:pPr>
            <w:r>
              <w:rPr>
                <w:color w:val="000000"/>
              </w:rPr>
              <w:t>March 15, 2024</w:t>
            </w:r>
          </w:p>
        </w:tc>
      </w:tr>
      <w:tr>
        <w:trPr/>
        <w:tc>
          <w:tcPr>
            <w:tcW w:w="2157"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bottom w:val="single" w:sz="12" w:space="0" w:color="000000"/>
            </w:tcBorders>
            <w:vAlign w:val="center"/>
          </w:tcPr>
          <w:p>
            <w:pPr>
              <w:pStyle w:val="TableContents"/>
              <w:bidi w:val="0"/>
              <w:spacing w:before="0" w:after="0"/>
              <w:jc w:val="left"/>
              <w:rPr>
                <w:color w:val="000000"/>
              </w:rPr>
            </w:pPr>
            <w:r>
              <w:rPr>
                <w:color w:val="000000"/>
              </w:rPr>
              <w:t>/s/ Cory T. Newsom</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tcMar>
              <w:bottom w:w="0" w:type="dxa"/>
            </w:tcMar>
            <w:vAlign w:val="center"/>
          </w:tcPr>
          <w:p>
            <w:pPr>
              <w:pStyle w:val="TableContents"/>
              <w:bidi w:val="0"/>
              <w:spacing w:before="0" w:after="0"/>
              <w:jc w:val="left"/>
              <w:rPr>
                <w:color w:val="000000"/>
              </w:rPr>
            </w:pPr>
            <w:r>
              <w:rPr>
                <w:color w:val="000000"/>
              </w:rPr>
              <w:t>Cory T. Newsom</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0"/>
              <w:jc w:val="left"/>
              <w:rPr>
                <w:color w:val="000000"/>
              </w:rPr>
            </w:pPr>
            <w:r>
              <w:rPr>
                <w:color w:val="000000"/>
              </w:rPr>
              <w:t>Director and President</w:t>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0"/>
              <w:jc w:val="center"/>
              <w:rPr>
                <w:color w:val="000000"/>
              </w:rPr>
            </w:pPr>
            <w:r>
              <w:rPr>
                <w:color w:val="000000"/>
              </w:rPr>
              <w:t>March 15, 2024</w:t>
            </w:r>
          </w:p>
        </w:tc>
      </w:tr>
      <w:tr>
        <w:trPr/>
        <w:tc>
          <w:tcPr>
            <w:tcW w:w="2157"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bottom w:val="single" w:sz="12" w:space="0" w:color="000000"/>
            </w:tcBorders>
            <w:vAlign w:val="center"/>
          </w:tcPr>
          <w:p>
            <w:pPr>
              <w:pStyle w:val="TableContents"/>
              <w:bidi w:val="0"/>
              <w:spacing w:before="0" w:after="0"/>
              <w:jc w:val="left"/>
              <w:rPr>
                <w:color w:val="000000"/>
              </w:rPr>
            </w:pPr>
            <w:r>
              <w:rPr>
                <w:color w:val="000000"/>
              </w:rPr>
              <w:t>/s/ Steven B. Crockett</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tcMar>
              <w:bottom w:w="0" w:type="dxa"/>
            </w:tcMar>
            <w:vAlign w:val="center"/>
          </w:tcPr>
          <w:p>
            <w:pPr>
              <w:pStyle w:val="TableContents"/>
              <w:bidi w:val="0"/>
              <w:spacing w:before="0" w:after="0"/>
              <w:jc w:val="left"/>
              <w:rPr>
                <w:color w:val="000000"/>
              </w:rPr>
            </w:pPr>
            <w:r>
              <w:rPr>
                <w:color w:val="000000"/>
              </w:rPr>
              <w:t>Steven B. Crockett</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0"/>
              <w:jc w:val="left"/>
              <w:rPr>
                <w:color w:val="000000"/>
              </w:rPr>
            </w:pPr>
            <w:r>
              <w:rPr>
                <w:color w:val="000000"/>
              </w:rPr>
              <w:t>Chief Financial Officer and Treasurer (principal financial and accounting officer)</w:t>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0"/>
              <w:jc w:val="center"/>
              <w:rPr>
                <w:color w:val="000000"/>
              </w:rPr>
            </w:pPr>
            <w:r>
              <w:rPr>
                <w:color w:val="000000"/>
              </w:rPr>
              <w:t>March 15, 2024</w:t>
            </w:r>
          </w:p>
        </w:tc>
      </w:tr>
      <w:tr>
        <w:trPr/>
        <w:tc>
          <w:tcPr>
            <w:tcW w:w="2157"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bottom w:val="single" w:sz="12" w:space="0" w:color="000000"/>
            </w:tcBorders>
            <w:vAlign w:val="center"/>
          </w:tcPr>
          <w:p>
            <w:pPr>
              <w:pStyle w:val="TableContents"/>
              <w:bidi w:val="0"/>
              <w:spacing w:before="0" w:after="0"/>
              <w:jc w:val="left"/>
              <w:rPr>
                <w:color w:val="000000"/>
              </w:rPr>
            </w:pPr>
            <w:r>
              <w:rPr>
                <w:color w:val="000000"/>
              </w:rPr>
              <w:t>/s/ Richard D. Campbell</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tcMar>
              <w:bottom w:w="0" w:type="dxa"/>
            </w:tcMar>
            <w:vAlign w:val="center"/>
          </w:tcPr>
          <w:p>
            <w:pPr>
              <w:pStyle w:val="TableContents"/>
              <w:bidi w:val="0"/>
              <w:spacing w:before="0" w:after="0"/>
              <w:jc w:val="left"/>
              <w:rPr>
                <w:color w:val="000000"/>
              </w:rPr>
            </w:pPr>
            <w:r>
              <w:rPr>
                <w:color w:val="000000"/>
              </w:rPr>
              <w:t>Richard D. Campbell</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0"/>
              <w:jc w:val="left"/>
              <w:rPr>
                <w:color w:val="000000"/>
              </w:rPr>
            </w:pPr>
            <w:r>
              <w:rPr>
                <w:color w:val="000000"/>
              </w:rPr>
              <w:t>Director</w:t>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0"/>
              <w:jc w:val="center"/>
              <w:rPr>
                <w:color w:val="000000"/>
              </w:rPr>
            </w:pPr>
            <w:r>
              <w:rPr>
                <w:color w:val="000000"/>
              </w:rPr>
              <w:t>March 15, 2024</w:t>
            </w:r>
          </w:p>
        </w:tc>
      </w:tr>
      <w:tr>
        <w:trPr/>
        <w:tc>
          <w:tcPr>
            <w:tcW w:w="2157"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bottom w:val="single" w:sz="12" w:space="0" w:color="000000"/>
            </w:tcBorders>
            <w:vAlign w:val="center"/>
          </w:tcPr>
          <w:p>
            <w:pPr>
              <w:pStyle w:val="TableContents"/>
              <w:bidi w:val="0"/>
              <w:spacing w:before="0" w:after="0"/>
              <w:jc w:val="left"/>
              <w:rPr>
                <w:color w:val="000000"/>
              </w:rPr>
            </w:pPr>
            <w:r>
              <w:rPr>
                <w:color w:val="000000"/>
              </w:rPr>
              <w:t>/s/ Noe G. Valles</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tcMar>
              <w:bottom w:w="0" w:type="dxa"/>
            </w:tcMar>
            <w:vAlign w:val="center"/>
          </w:tcPr>
          <w:p>
            <w:pPr>
              <w:pStyle w:val="TableContents"/>
              <w:bidi w:val="0"/>
              <w:spacing w:before="0" w:after="0"/>
              <w:jc w:val="left"/>
              <w:rPr>
                <w:color w:val="000000"/>
              </w:rPr>
            </w:pPr>
            <w:r>
              <w:rPr>
                <w:color w:val="000000"/>
              </w:rPr>
              <w:t>Noe G. Valles</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0"/>
              <w:jc w:val="left"/>
              <w:rPr>
                <w:color w:val="000000"/>
              </w:rPr>
            </w:pPr>
            <w:r>
              <w:rPr>
                <w:color w:val="000000"/>
              </w:rPr>
              <w:t>Director</w:t>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0"/>
              <w:jc w:val="center"/>
              <w:rPr>
                <w:color w:val="000000"/>
              </w:rPr>
            </w:pPr>
            <w:r>
              <w:rPr>
                <w:color w:val="000000"/>
              </w:rPr>
              <w:t>March 15, 2024</w:t>
            </w:r>
          </w:p>
        </w:tc>
      </w:tr>
      <w:tr>
        <w:trPr/>
        <w:tc>
          <w:tcPr>
            <w:tcW w:w="2157"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bottom w:val="single" w:sz="12" w:space="0" w:color="000000"/>
            </w:tcBorders>
            <w:vAlign w:val="center"/>
          </w:tcPr>
          <w:p>
            <w:pPr>
              <w:pStyle w:val="TableContents"/>
              <w:bidi w:val="0"/>
              <w:spacing w:before="0" w:after="0"/>
              <w:jc w:val="left"/>
              <w:rPr>
                <w:color w:val="000000"/>
              </w:rPr>
            </w:pPr>
            <w:r>
              <w:rPr>
                <w:color w:val="000000"/>
              </w:rPr>
              <w:t>/s/ Kyle R. Wargo</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tcMar>
              <w:bottom w:w="0" w:type="dxa"/>
            </w:tcMar>
            <w:vAlign w:val="center"/>
          </w:tcPr>
          <w:p>
            <w:pPr>
              <w:pStyle w:val="TableContents"/>
              <w:bidi w:val="0"/>
              <w:spacing w:before="0" w:after="0"/>
              <w:jc w:val="left"/>
              <w:rPr>
                <w:color w:val="000000"/>
              </w:rPr>
            </w:pPr>
            <w:r>
              <w:rPr>
                <w:color w:val="000000"/>
              </w:rPr>
              <w:t>Kyle R. Wargo</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0"/>
              <w:jc w:val="left"/>
              <w:rPr>
                <w:color w:val="000000"/>
              </w:rPr>
            </w:pPr>
            <w:r>
              <w:rPr>
                <w:color w:val="000000"/>
              </w:rPr>
              <w:t>Director</w:t>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0"/>
              <w:jc w:val="center"/>
              <w:rPr>
                <w:color w:val="000000"/>
              </w:rPr>
            </w:pPr>
            <w:r>
              <w:rPr>
                <w:color w:val="000000"/>
              </w:rPr>
              <w:t>March 15, 2024</w:t>
            </w:r>
          </w:p>
        </w:tc>
      </w:tr>
      <w:tr>
        <w:trPr/>
        <w:tc>
          <w:tcPr>
            <w:tcW w:w="2157"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bottom w:val="single" w:sz="12" w:space="0" w:color="000000"/>
            </w:tcBorders>
            <w:vAlign w:val="center"/>
          </w:tcPr>
          <w:p>
            <w:pPr>
              <w:pStyle w:val="TableContents"/>
              <w:bidi w:val="0"/>
              <w:spacing w:before="0" w:after="0"/>
              <w:jc w:val="left"/>
              <w:rPr>
                <w:color w:val="000000"/>
              </w:rPr>
            </w:pPr>
            <w:r>
              <w:rPr>
                <w:color w:val="000000"/>
              </w:rPr>
              <w:t>/s/ LaDana R. Washburn</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283"/>
              <w:jc w:val="left"/>
              <w:rPr/>
            </w:pPr>
            <w:r>
              <w:rPr/>
            </w:r>
          </w:p>
        </w:tc>
      </w:tr>
      <w:tr>
        <w:trPr/>
        <w:tc>
          <w:tcPr>
            <w:tcW w:w="2157" w:type="dxa"/>
            <w:tcBorders/>
            <w:tcMar>
              <w:bottom w:w="0" w:type="dxa"/>
            </w:tcMar>
            <w:vAlign w:val="center"/>
          </w:tcPr>
          <w:p>
            <w:pPr>
              <w:pStyle w:val="TableContents"/>
              <w:bidi w:val="0"/>
              <w:spacing w:before="0" w:after="0"/>
              <w:jc w:val="left"/>
              <w:rPr>
                <w:color w:val="000000"/>
              </w:rPr>
            </w:pPr>
            <w:r>
              <w:rPr>
                <w:color w:val="000000"/>
              </w:rPr>
              <w:t>LaDana R. Washburn</w:t>
            </w:r>
          </w:p>
        </w:tc>
        <w:tc>
          <w:tcPr>
            <w:tcW w:w="23" w:type="dxa"/>
            <w:tcBorders/>
            <w:tcMar>
              <w:bottom w:w="0" w:type="dxa"/>
            </w:tcMar>
            <w:vAlign w:val="center"/>
          </w:tcPr>
          <w:p>
            <w:pPr>
              <w:pStyle w:val="TableContents"/>
              <w:bidi w:val="0"/>
              <w:spacing w:before="0" w:after="283"/>
              <w:jc w:val="left"/>
              <w:rPr/>
            </w:pPr>
            <w:r>
              <w:rPr/>
            </w:r>
          </w:p>
        </w:tc>
        <w:tc>
          <w:tcPr>
            <w:tcW w:w="6610" w:type="dxa"/>
            <w:tcBorders/>
            <w:tcMar>
              <w:bottom w:w="0" w:type="dxa"/>
            </w:tcMar>
            <w:vAlign w:val="center"/>
          </w:tcPr>
          <w:p>
            <w:pPr>
              <w:pStyle w:val="TableContents"/>
              <w:bidi w:val="0"/>
              <w:spacing w:before="0" w:after="0"/>
              <w:jc w:val="left"/>
              <w:rPr>
                <w:color w:val="000000"/>
              </w:rPr>
            </w:pPr>
            <w:r>
              <w:rPr>
                <w:color w:val="000000"/>
              </w:rPr>
              <w:t>Director</w:t>
            </w:r>
          </w:p>
        </w:tc>
        <w:tc>
          <w:tcPr>
            <w:tcW w:w="23" w:type="dxa"/>
            <w:tcBorders/>
            <w:tcMar>
              <w:bottom w:w="0" w:type="dxa"/>
            </w:tcMar>
            <w:vAlign w:val="center"/>
          </w:tcPr>
          <w:p>
            <w:pPr>
              <w:pStyle w:val="TableContents"/>
              <w:bidi w:val="0"/>
              <w:spacing w:before="0" w:after="283"/>
              <w:jc w:val="left"/>
              <w:rPr/>
            </w:pPr>
            <w:r>
              <w:rPr/>
            </w:r>
          </w:p>
        </w:tc>
        <w:tc>
          <w:tcPr>
            <w:tcW w:w="1392" w:type="dxa"/>
            <w:tcBorders/>
            <w:tcMar>
              <w:bottom w:w="0" w:type="dxa"/>
            </w:tcMar>
            <w:vAlign w:val="center"/>
          </w:tcPr>
          <w:p>
            <w:pPr>
              <w:pStyle w:val="TableContents"/>
              <w:bidi w:val="0"/>
              <w:spacing w:before="0" w:after="0"/>
              <w:jc w:val="center"/>
              <w:rPr>
                <w:color w:val="000000"/>
              </w:rPr>
            </w:pPr>
            <w:r>
              <w:rPr>
                <w:color w:val="000000"/>
              </w:rPr>
              <w:t>March 15,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 w:hAnsi="Times New Roman"/>
          <w:b w:val="false"/>
          <w:i w:val="false"/>
          <w:caps w:val="false"/>
          <w:smallCaps w:val="false"/>
          <w:color w:val="000000"/>
          <w:sz w:val="16"/>
          <w:shd w:fill="FFFFFF" w:val="clear"/>
        </w:rPr>
        <w:t>111</w:t>
      </w:r>
      <w:r>
        <w:rPr>
          <w:rFonts w:ascii="Times New Roman;Times;serif" w:hAnsi="Times New Roman;Times;serif"/>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48" w:name="ef20015269_ex10-11.htm"/>
      <w:bookmarkStart w:id="49" w:name="ksef20015269_ex1011"/>
      <w:bookmarkStart w:id="50" w:name="ef20015269_ex10-11.htm"/>
      <w:bookmarkStart w:id="51" w:name="ksef20015269_ex1011"/>
      <w:bookmarkEnd w:id="50"/>
      <w:bookmarkEnd w:id="5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10.11</w:t>
      </w:r>
    </w:p>
    <w:p>
      <w:pPr>
        <w:pStyle w:val="TextBody"/>
        <w:bidi w:val="0"/>
        <w:spacing w:before="0" w:after="0"/>
        <w:jc w:val="center"/>
        <w:rPr/>
      </w:pPr>
      <w:r>
        <w:rPr/>
      </w:r>
    </w:p>
    <w:p>
      <w:pPr>
        <w:pStyle w:val="TextBody"/>
        <w:bidi w:val="0"/>
        <w:spacing w:before="0" w:after="0"/>
        <w:ind w:left="20" w:right="0" w:hanging="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NONQUALIFIED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DEFERRED COMPENSATION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BASIC PLAN DOCUMENT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(Including Code §409A provisions)</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jc w:val="center"/>
        <w:rPr>
          <w:color w:val="000000"/>
        </w:rPr>
      </w:pPr>
      <w:r>
        <w:rPr>
          <w:color w:val="000000"/>
        </w:rPr>
        <w:t xml:space="preserve">  </w:t>
      </w:r>
      <w:r>
        <w:rPr>
          <w:rFonts w:ascii="Times New Roman" w:hAnsi="Times New Roman"/>
          <w:b/>
          <w:color w:val="000000"/>
          <w:sz w:val="20"/>
        </w:rPr>
        <w:t>NONQUALIFIED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DEFERRED COMPENSATION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BASIC PLAN DOCUMENT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By execution of the Adoption Agreement associated with this Basic Plan Document, the Employer establishes this Nonqualified Deferred Compensation Plan (“Plan”) for the benefit of Employee. The primary purpose of the Plan is to provide additional compensation to Participant upon termination of employment with the Employer, death, or the attainment of Normal Retirement Age. The Employer will pay Benefits under the Plan only in accordance with the terms and conditions set forth in the Plan.</w:t>
      </w:r>
    </w:p>
    <w:p>
      <w:pPr>
        <w:pStyle w:val="TextBody"/>
        <w:bidi w:val="0"/>
        <w:spacing w:before="0" w:after="0"/>
        <w:ind w:left="0" w:right="1" w:hanging="0"/>
        <w:jc w:val="center"/>
        <w:rPr>
          <w:rFonts w:ascii="Times New Roman" w:hAnsi="Times New Roman"/>
          <w:b/>
          <w:color w:val="000000"/>
          <w:sz w:val="20"/>
        </w:rPr>
      </w:pPr>
      <w:r>
        <w:rPr>
          <w:rFonts w:ascii="Times New Roman" w:hAnsi="Times New Roman"/>
          <w:b/>
          <w:color w:val="000000"/>
          <w:sz w:val="20"/>
        </w:rPr>
        <w:t>PREAMBLE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ERISA/Code Plan Type</w:t>
      </w:r>
      <w:r>
        <w:rPr>
          <w:rFonts w:ascii="Times New Roman" w:hAnsi="Times New Roman"/>
          <w:color w:val="000000"/>
          <w:sz w:val="20"/>
        </w:rPr>
        <w:t>. The Employer establishes the Plan as a nonqualified deferred compensation plan that is a plan maintained “primarily for the purpose of providing deferred compensation for a select group of management or highly compensated employees” (“top-hat plan”) under ERISA §§201(2), 301(a)(3) and 401(a)(1).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 DEFINITIONS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1.01 “</w:t>
      </w:r>
      <w:r>
        <w:rPr>
          <w:rFonts w:ascii="Times New Roman" w:hAnsi="Times New Roman"/>
          <w:b/>
          <w:color w:val="000000"/>
          <w:sz w:val="20"/>
        </w:rPr>
        <w:t xml:space="preserve">Adoption Agreement” </w:t>
      </w:r>
      <w:r>
        <w:rPr>
          <w:rFonts w:ascii="Times New Roman" w:hAnsi="Times New Roman"/>
          <w:color w:val="000000"/>
          <w:sz w:val="20"/>
        </w:rPr>
        <w:t>means the document the Employer executes to establish the Plan and includes all Exhibits and other documents referenced therein.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1.02 “</w:t>
      </w:r>
      <w:r>
        <w:rPr>
          <w:rFonts w:ascii="Times New Roman" w:hAnsi="Times New Roman"/>
          <w:b/>
          <w:color w:val="000000"/>
          <w:sz w:val="20"/>
        </w:rPr>
        <w:t xml:space="preserve">Aggregated Plans” </w:t>
      </w:r>
      <w:r>
        <w:rPr>
          <w:rFonts w:ascii="Times New Roman" w:hAnsi="Times New Roman"/>
          <w:color w:val="000000"/>
          <w:sz w:val="20"/>
        </w:rPr>
        <w:t>means this Plan and any other like-type plan of the Employer in which a given Participant participates and as to which the Plan (see Section 6.03(B)) or Treas. Reg. §1.409A-1 (c)(2) requires the aggregation of all such nonqualified deferred compensation in applying Code §409A. For this purpose, the following rules apply:</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Participants in Separate Plans</w:t>
      </w:r>
      <w:r>
        <w:rPr>
          <w:rFonts w:ascii="Times New Roman" w:hAnsi="Times New Roman"/>
          <w:color w:val="000000"/>
          <w:sz w:val="20"/>
        </w:rPr>
        <w:t>. The plan for a Participant is treated as a separate plan from the plan for any other Participant.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Dual Status</w:t>
      </w:r>
      <w:r>
        <w:rPr>
          <w:rFonts w:ascii="Times New Roman" w:hAnsi="Times New Roman"/>
          <w:color w:val="000000"/>
          <w:sz w:val="20"/>
        </w:rPr>
        <w:t>. If a Participant in two like-type plans participates in one plan as an Employee and in the other as a Contractor, the plans are not Aggregated Plans. If an Employee also serves on the Employer’s board of directors (or in a similar capacity with regard to a non-corporate entity) and participates in like-type plans but participates in one plan as an Employee and in the other as a director (or similar capacity with regard to a non-corporate entity) [a “director plan”], the plans are not Aggregated Plans provided that the director plan is substantially similar to a plan the maintains for non-employee directors. If the director plan is not substantially similar, for purposes of aggregation, the director plan is treated as a plan for Employees. Director plans and plans for Contractors are subject to aggregation under this Section 1.02.</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1.03 “</w:t>
      </w:r>
      <w:r>
        <w:rPr>
          <w:rFonts w:ascii="Times New Roman" w:hAnsi="Times New Roman"/>
          <w:b/>
          <w:color w:val="000000"/>
          <w:sz w:val="20"/>
        </w:rPr>
        <w:t xml:space="preserve">Applicable Guidance” </w:t>
      </w:r>
      <w:r>
        <w:rPr>
          <w:rFonts w:ascii="Times New Roman" w:hAnsi="Times New Roman"/>
          <w:color w:val="000000"/>
          <w:sz w:val="20"/>
        </w:rPr>
        <w:t xml:space="preserve">means as the context requires Code §§83, 409A and 457, Treas. Reg. §1.83, Treas. Reg. §§1.409A-1 through -6, Treas. Reg. §1.457-11, or other written Treasury or IRS guidance regarding or affecting Code §§83, 409A or 457(f), including, as applicable, any Code §409A guidance in effect prior to January 1, 2008. </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1.04 “</w:t>
      </w:r>
      <w:r>
        <w:rPr>
          <w:rFonts w:ascii="Times New Roman" w:hAnsi="Times New Roman"/>
          <w:b/>
          <w:color w:val="000000"/>
          <w:sz w:val="20"/>
        </w:rPr>
        <w:t xml:space="preserve">Basic Plan Document” </w:t>
      </w:r>
      <w:r>
        <w:rPr>
          <w:rFonts w:ascii="Times New Roman" w:hAnsi="Times New Roman"/>
          <w:color w:val="000000"/>
          <w:sz w:val="20"/>
        </w:rPr>
        <w:t>means this Nonqualified Deferred Compensation Plan document.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1.05 “</w:t>
      </w:r>
      <w:r>
        <w:rPr>
          <w:rFonts w:ascii="Times New Roman" w:hAnsi="Times New Roman"/>
          <w:b/>
          <w:color w:val="000000"/>
          <w:sz w:val="20"/>
        </w:rPr>
        <w:t xml:space="preserve">Benefit” </w:t>
      </w:r>
      <w:r>
        <w:rPr>
          <w:rFonts w:ascii="Times New Roman" w:hAnsi="Times New Roman"/>
          <w:color w:val="000000"/>
          <w:sz w:val="20"/>
        </w:rPr>
        <w:t>means the Participant’s benefit under the Plan only as determined pursuant to Section 4.01 of the Adoption Agreement.</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1.06 “</w:t>
      </w:r>
      <w:r>
        <w:rPr>
          <w:rFonts w:ascii="Times New Roman" w:hAnsi="Times New Roman"/>
          <w:b/>
          <w:color w:val="000000"/>
          <w:sz w:val="20"/>
        </w:rPr>
        <w:t xml:space="preserve">Change in Control” </w:t>
      </w:r>
      <w:r>
        <w:rPr>
          <w:rFonts w:ascii="Times New Roman" w:hAnsi="Times New Roman"/>
          <w:color w:val="000000"/>
          <w:sz w:val="20"/>
        </w:rPr>
        <w:t>means, as to an Employer which is a corporation, a change: (i) in the ownership of the Employer (acquisition by one or more persons acting as a group of more than 50% of the total voting power or fair market value of the Employer); (ii) in the effective control of the Employer (acquisition or acquisition during a 12-month period ending on the date of the latest acquisition, by one or more persons acting as a group of 30% or more of the total voting power of the Employer or replacement of a majority of the members of the board of directors of the Employer [described below, but including only the entity for which no other corporation is a majority shareholder] during any 12-month period by directors not endorsed by a majority of the board before the appointment or election); or (iii) in the ownership of a substantial portion of the assets of the Employer (acquisition or acquisition during a 12-month period ending on the date of the latest acquisition, by one or more persons [other than related persons described in Treas. Reg. §1.409A-3(i)(5)(vii)(B)] acting as a group of assets with a total gross fair market value of 40% or more of the total gross fair market value of all assets of the Employer immediately before such acquisition or acquisitions), each within the meaning of Treas. Reg. §1.409A-3(i)(5) or in Applicable Guidance. For this purpose, the Employer includes the Employer, the corporation which is liable for the payment of the Deferred Compensation, a majority shareholder (more than 50% of total fair market value and voting power) of the foregoing or a corporation in a chain of corporations in which each is a majority owner of another corporation in the chain, ending in the Employer or in the corporation that is liable for payment of the Deferred Compensation, all in accordance with Treas. Reg. §1.409A-3(i)(5)(ii). An event constituting a Change in Control must be objectively determinable and any certification thereof by the Employer or its agents may not subject to the discretion of such person. For purposes of applying this Section 1.06, stock ownership is determined in accordance with Code §318(a) as modified under Treas. Reg. §1.409A-3(i)(5)(iii). The Employer in its Adoption Agreement will elect whether a Change in Control includes any or all the events described in clauses (i), (ii) or (iii) and also may elect to increase the percentage change required under any such event to constitute a Change in Control.</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1.07 “</w:t>
      </w:r>
      <w:r>
        <w:rPr>
          <w:rFonts w:ascii="Times New Roman" w:hAnsi="Times New Roman"/>
          <w:b/>
          <w:color w:val="000000"/>
          <w:sz w:val="20"/>
        </w:rPr>
        <w:t xml:space="preserve">Code” </w:t>
      </w:r>
      <w:r>
        <w:rPr>
          <w:rFonts w:ascii="Times New Roman" w:hAnsi="Times New Roman"/>
          <w:color w:val="000000"/>
          <w:sz w:val="20"/>
        </w:rPr>
        <w:t>means the Internal Revenue Code of 1986, as amended.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1.08 “</w:t>
      </w:r>
      <w:r>
        <w:rPr>
          <w:rFonts w:ascii="Times New Roman" w:hAnsi="Times New Roman"/>
          <w:b/>
          <w:color w:val="000000"/>
          <w:sz w:val="20"/>
        </w:rPr>
        <w:t xml:space="preserve">Deferred Compensation” </w:t>
      </w:r>
      <w:r>
        <w:rPr>
          <w:rFonts w:ascii="Times New Roman" w:hAnsi="Times New Roman"/>
          <w:color w:val="000000"/>
          <w:sz w:val="20"/>
        </w:rPr>
        <w:t xml:space="preserve">means the Benefits set forth in the Adoption Agreement. Compensation is Deferred Compensation if: (i) under the terms of the Plan and the relevant facts and circumstances, the Participant has a Legally Binding Right to Compensation during a Taxable Year that the Participant has not actually or constructively received and included in gross income; and (ii) pursuant to the Plan terms, the Compensation is or may be payable to or on behalf of the Participant in a later Taxable Year. Deferred Compensation </w:t>
      </w:r>
      <w:r>
        <w:rPr>
          <w:rFonts w:ascii="Times New Roman" w:hAnsi="Times New Roman"/>
          <w:color w:val="000000"/>
          <w:sz w:val="20"/>
          <w:u w:val="single"/>
        </w:rPr>
        <w:t>includes</w:t>
      </w:r>
      <w:r>
        <w:rPr>
          <w:rFonts w:ascii="Times New Roman" w:hAnsi="Times New Roman"/>
          <w:color w:val="000000"/>
          <w:sz w:val="20"/>
        </w:rPr>
        <w:t xml:space="preserve"> Separation Pay paid pursuant to a Separation Pay Plan except as otherwise described in Treas. Reg. §1.409A-1(b)(9) relating to certain excluded Involuntary or Voluntary Separation from Service or Window Programs and certain reimbursements, medical benefits, in-kind benefits and limited payments. Deferred Compensation </w:t>
      </w:r>
      <w:r>
        <w:rPr>
          <w:rFonts w:ascii="Times New Roman" w:hAnsi="Times New Roman"/>
          <w:color w:val="000000"/>
          <w:sz w:val="20"/>
          <w:u w:val="single"/>
        </w:rPr>
        <w:t>excludes</w:t>
      </w:r>
      <w:r>
        <w:rPr>
          <w:rFonts w:ascii="Times New Roman" w:hAnsi="Times New Roman"/>
          <w:color w:val="000000"/>
          <w:sz w:val="20"/>
        </w:rPr>
        <w:t xml:space="preserve"> certain “short-term deferrals” and all other items described in Treas. Reg. §§1.409A-1(b)(3), (4), (5), (6), (8), (10), (11) and (12) or in other Applicable Guidance.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1.09 “</w:t>
      </w:r>
      <w:r>
        <w:rPr>
          <w:rFonts w:ascii="Times New Roman" w:hAnsi="Times New Roman"/>
          <w:b/>
          <w:color w:val="000000"/>
          <w:sz w:val="20"/>
        </w:rPr>
        <w:t xml:space="preserve">Disability” </w:t>
      </w:r>
      <w:r>
        <w:rPr>
          <w:rFonts w:ascii="Times New Roman" w:hAnsi="Times New Roman"/>
          <w:color w:val="000000"/>
          <w:sz w:val="20"/>
        </w:rPr>
        <w:t>means a condition of a Participant who by reason of any medically determinable physical or mental impairment which can be expected to result in death or can be expected to last for a continuous period of not less than 12 months: (i) is unable to engage in any substantial gainful activity; or (ii) is receiving income replacement benefits for a period of not less than 3 months under an accident and health plan covering Employees. The Employer will determine whether a Participant has incurred a Disability based on its own good faith determination and may require a Participant to submit to reasonable physical and mental examinations for this purpose. A Participant will be deemed to have incurred a Disability if: (i) the Social Security Administration or Railroad Retirement Board determines the Participant is totally disabled; or (ii) the applicable insurance company providing disability insurance to the Participant under an Employer sponsored disability program determines a Participant is disabled under the insurance contract definition of disability, provided such definition complies with the definition in this Section 1.09.</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1.10 “</w:t>
      </w:r>
      <w:r>
        <w:rPr>
          <w:rFonts w:ascii="Times New Roman" w:hAnsi="Times New Roman"/>
          <w:b/>
          <w:color w:val="000000"/>
          <w:sz w:val="20"/>
        </w:rPr>
        <w:t xml:space="preserve">Effective Date” </w:t>
      </w:r>
      <w:r>
        <w:rPr>
          <w:rFonts w:ascii="Times New Roman" w:hAnsi="Times New Roman"/>
          <w:color w:val="000000"/>
          <w:sz w:val="20"/>
        </w:rPr>
        <w:t>of the Plan is the date the Employer specifies in the Adoption Agreement. If this Plan restates a Plan (written or otherwise) which was in effect before January 1, 2008, for periods before January 1, 2008, as to 409A Amounts, the standards and transition rules in effect under Notices 2006-79, 2006-64, 2003-33, 2006-4, Prop. Treas. Reg. §1.409A, Preamble, Section XI and Notice 2005-1 apply. See also the Treas. Reg. §1.409A Preamble, Section XII as to the treatment of certain actions which were in compliance with Applicable Guidance in effect before the issuance of such 409A Regulations on April 17, 2007, but which are not in compliance with such Regulations.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1.11 “</w:t>
      </w:r>
      <w:r>
        <w:rPr>
          <w:rFonts w:ascii="Times New Roman" w:hAnsi="Times New Roman"/>
          <w:b/>
          <w:color w:val="000000"/>
          <w:sz w:val="20"/>
        </w:rPr>
        <w:t xml:space="preserve">Employee” </w:t>
      </w:r>
      <w:r>
        <w:rPr>
          <w:rFonts w:ascii="Times New Roman" w:hAnsi="Times New Roman"/>
          <w:color w:val="000000"/>
          <w:sz w:val="20"/>
        </w:rPr>
        <w:t>means a person providing services to the Employer as a common law employee as described in Treas. Reg. §1.409A-1(f)(1) and who, for any Taxable Year of the Employee, is on the cash receipts and disbursements method of accounting for Federal income tax purposes.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1.12 “</w:t>
      </w:r>
      <w:r>
        <w:rPr>
          <w:rFonts w:ascii="Times New Roman" w:hAnsi="Times New Roman"/>
          <w:b/>
          <w:color w:val="000000"/>
          <w:sz w:val="20"/>
        </w:rPr>
        <w:t xml:space="preserve">Employer” </w:t>
      </w:r>
      <w:r>
        <w:rPr>
          <w:rFonts w:ascii="Times New Roman" w:hAnsi="Times New Roman"/>
          <w:color w:val="000000"/>
          <w:sz w:val="20"/>
        </w:rPr>
        <w:t>means the person or entity: (i) receiving the services of the Participant (even if another person pays the Deferred Compensation); (ii) with respect to whom the Legally Binding Right to Compensation arises; and (iii) who or which executes an Adoption Agreement establishing the Plan. The Employer includes all persons with whom the Employer would be considered a single employer under Code §§414(b) or (c). For purposes of this Plan, “Employer” means “service recipient” as that term in used in Treas. Reg. §1.409A-1 through -6.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1.13 “</w:t>
      </w:r>
      <w:r>
        <w:rPr>
          <w:rFonts w:ascii="Times New Roman" w:hAnsi="Times New Roman"/>
          <w:b/>
          <w:color w:val="000000"/>
          <w:sz w:val="20"/>
        </w:rPr>
        <w:t xml:space="preserve">ERISA” </w:t>
      </w:r>
      <w:r>
        <w:rPr>
          <w:rFonts w:ascii="Times New Roman" w:hAnsi="Times New Roman"/>
          <w:color w:val="000000"/>
          <w:sz w:val="20"/>
        </w:rPr>
        <w:t>means the Employee Retirement Income Security Act of 1974, as amended.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1.14 “</w:t>
      </w:r>
      <w:r>
        <w:rPr>
          <w:rFonts w:ascii="Times New Roman" w:hAnsi="Times New Roman"/>
          <w:b/>
          <w:color w:val="000000"/>
          <w:sz w:val="20"/>
        </w:rPr>
        <w:t xml:space="preserve">409A Amount” </w:t>
      </w:r>
      <w:r>
        <w:rPr>
          <w:rFonts w:ascii="Times New Roman" w:hAnsi="Times New Roman"/>
          <w:color w:val="000000"/>
          <w:sz w:val="20"/>
        </w:rPr>
        <w:t>means: (i) any Compensation Deferred prior to January 1, 2005, unless such Deferred Compensation is a Grandfathered Amount; and (ii) any Compensation Deferred in Taxable Years beginning after December 31, 2004. In determining 409A Amounts, the rules of Section 1.02 regarding Aggregated Plans apply.</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1.15 “</w:t>
      </w:r>
      <w:r>
        <w:rPr>
          <w:rFonts w:ascii="Times New Roman" w:hAnsi="Times New Roman"/>
          <w:b/>
          <w:color w:val="000000"/>
          <w:sz w:val="20"/>
        </w:rPr>
        <w:t xml:space="preserve">Grandfathered Amount” </w:t>
      </w:r>
      <w:r>
        <w:rPr>
          <w:rFonts w:ascii="Times New Roman" w:hAnsi="Times New Roman"/>
          <w:color w:val="000000"/>
          <w:sz w:val="20"/>
        </w:rPr>
        <w:t>means an amount of Deferred Compensation hereunder as to which, prior to January 1, 2005, a Participant: (i) had a Legally Binding Right to be paid Deferred Compensation; and (ii) was Vested. However, if the Employer after October 3, 2004, materially modifies the Plan as described in Treas. Reg. 1.409A-6(a)(4), then such amount ceases to be a Grandfathered Amount. In determining Grandfathered Amounts, the rules of Section 1.02 regarding Aggregated Plans apply.</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1.16 “</w:t>
      </w:r>
      <w:r>
        <w:rPr>
          <w:rFonts w:ascii="Times New Roman" w:hAnsi="Times New Roman"/>
          <w:b/>
          <w:color w:val="000000"/>
          <w:sz w:val="20"/>
        </w:rPr>
        <w:t xml:space="preserve">Legally Binding Right” </w:t>
      </w:r>
      <w:r>
        <w:rPr>
          <w:rFonts w:ascii="Times New Roman" w:hAnsi="Times New Roman"/>
          <w:color w:val="000000"/>
          <w:sz w:val="20"/>
        </w:rPr>
        <w:t>means, in reference to Compensation, the grant by the Employer to the Participant of an enforceable right (under contract, statute or other applicable law) to Compensation where, after the Participant has performed the services which created the Legally Binding Right, the Compensation is not subject to unilateral reduction or elimination by the Employer or any other person. The Employer, based on the facts and circumstances and in accordance with Treas. Reg. §1.409A-1(b)(1), will determine: (i) whether a Legally Binding Right exists; or (ii) whether a Legally Binding Right does not exist on account of the existence of negative discretion which has substantive significance to reduce or eliminate the Compensation. Negative discretion does not exist where the Participant has effective control over the person with the negative discretion, has effective control over any portion of compensation of the decision maker or is a family member of the decision maker (within the meaning of Code §267(c)(4) applied as if the family of an individual includes the spouse of any member of the family). Compensation is not subject to unilateral reduction or elimination merely because: (i) it may be reduced or eliminated by operation of objective Plan terms, such as a Substantial Risk of Forfeiture; (ii) the Compensation is determined under a formula that provides for an offset based on benefits provided under another plan, including a qualified plan; or (iii) benefits are reduced on account of actual or notional investment losses, or, in a final average pay plan, because of subsequent decreases in compensation.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1.17 “</w:t>
      </w:r>
      <w:r>
        <w:rPr>
          <w:rFonts w:ascii="Times New Roman" w:hAnsi="Times New Roman"/>
          <w:b/>
          <w:color w:val="000000"/>
          <w:sz w:val="20"/>
        </w:rPr>
        <w:t xml:space="preserve">Participant” </w:t>
      </w:r>
      <w:r>
        <w:rPr>
          <w:rFonts w:ascii="Times New Roman" w:hAnsi="Times New Roman"/>
          <w:color w:val="000000"/>
          <w:sz w:val="20"/>
        </w:rPr>
        <w:t>means the Employee designated under Adoption Agreement Section 2.01. For purposes of this Plan, “Participant” means a “service provider” as that term in used in Treas. Reg. 1.409A-1 through-6, who is a participant in the Plan. A reference herein to “service provider” means another service provider to the Employer, whether or not that person is a Participant.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1.18 “</w:t>
      </w:r>
      <w:r>
        <w:rPr>
          <w:rFonts w:ascii="Times New Roman" w:hAnsi="Times New Roman"/>
          <w:b/>
          <w:color w:val="000000"/>
          <w:sz w:val="20"/>
        </w:rPr>
        <w:t xml:space="preserve">Plan” </w:t>
      </w:r>
      <w:r>
        <w:rPr>
          <w:rFonts w:ascii="Times New Roman" w:hAnsi="Times New Roman"/>
          <w:color w:val="000000"/>
          <w:sz w:val="20"/>
        </w:rPr>
        <w:t>means the Nonqualified Deferred Compensation Plan of the Employer established by and including the Adoption Agreement, the Basic Plan Document, the Trust, if any, and all notices, forms, elections and other written documentation to which the Plan refers. The Employer will set forth the name of the Plan in its Adoption Agreement</w:t>
      </w:r>
      <w:r>
        <w:rPr>
          <w:rFonts w:ascii="Times New Roman" w:hAnsi="Times New Roman"/>
          <w:b/>
          <w:color w:val="000000"/>
          <w:sz w:val="20"/>
        </w:rPr>
        <w:t xml:space="preserve">. </w:t>
      </w:r>
      <w:r>
        <w:rPr>
          <w:rFonts w:ascii="Times New Roman" w:hAnsi="Times New Roman"/>
          <w:color w:val="000000"/>
          <w:sz w:val="20"/>
        </w:rPr>
        <w:t>For purposes of applying Code §409A requirements this Plan is a non- account balance plan. This Plan does not constitute: (i) a Code §401(a) plan with and exempt trust under Code §501(a); (ii) a Code §403(a) annuity plan; (iii) a Code §403(b) annuity; (iv) a Code §408(k) SEP; (v) a Code §408(p) Simple IRA; (vi) a Code §501(c)(18) trust to which an active participant makes deductible contributions; (vii) a Code §457(b) plan; or (viii) a Code §415(m) plan.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1.19 “</w:t>
      </w:r>
      <w:r>
        <w:rPr>
          <w:rFonts w:ascii="Times New Roman" w:hAnsi="Times New Roman"/>
          <w:b/>
          <w:color w:val="000000"/>
          <w:sz w:val="20"/>
        </w:rPr>
        <w:t xml:space="preserve">Retirement Age” </w:t>
      </w:r>
      <w:r>
        <w:rPr>
          <w:rFonts w:ascii="Times New Roman" w:hAnsi="Times New Roman"/>
          <w:color w:val="000000"/>
          <w:sz w:val="20"/>
        </w:rPr>
        <w:t>means the date (if any) the Employer elects in the Adoption Agreement.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b/>
          <w:color w:val="000000"/>
          <w:sz w:val="20"/>
        </w:rPr>
      </w:pPr>
      <w:r>
        <w:rPr>
          <w:rFonts w:ascii="Times New Roman" w:hAnsi="Times New Roman"/>
          <w:b w:val="false"/>
          <w:color w:val="000000"/>
          <w:sz w:val="20"/>
        </w:rPr>
        <w:t>1.20</w:t>
      </w:r>
      <w:r>
        <w:rPr>
          <w:rFonts w:ascii="Times New Roman" w:hAnsi="Times New Roman"/>
          <w:b/>
          <w:color w:val="000000"/>
          <w:sz w:val="20"/>
        </w:rPr>
        <w:t xml:space="preserve"> “Separation from Service”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Employees</w:t>
      </w:r>
      <w:r>
        <w:rPr>
          <w:rFonts w:ascii="Times New Roman" w:hAnsi="Times New Roman"/>
          <w:color w:val="000000"/>
          <w:sz w:val="20"/>
        </w:rPr>
        <w:t>. Separation from Service means in the case of an Employee, the Employee’s termination of employment with the Employer whether on account of death, retirement, Disability or otherwise.</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Insignificant or Significant Service/Presumptions</w:t>
      </w:r>
      <w:r>
        <w:rPr>
          <w:rFonts w:ascii="Times New Roman" w:hAnsi="Times New Roman"/>
          <w:color w:val="000000"/>
          <w:sz w:val="20"/>
        </w:rPr>
        <w:t>. The Employer will determine whether an Employee has terminated employment (and incurred a Separation from Service) based on whether the facts and circumstances as described in Treas. Reg. §1.409A-1(h)(1)(ii). An Employee incurs a Separation from Service if the parties reasonably anticipate, based on the facts and circumstances, the Employee will not perform any additional services after a certain date or that the level of bona fide services (whether performed as an Employee or as a Contractor) will permanently decrease to no more than 20% of the average level of bona fide services performed (whether performed as an Employee or as a Contractor) over the immediately preceding 36-month period (or, if less, the period the employee has rendered service to the Employer) (“average prior service”). An Employee is presumed to have incurred a Separation from Service if the Employee’s service level decreases to 20% or less than the average prior service and an Employee is presumed to not have incurred a Separation from Service if the Employee’s service level continues at a rate which is 50% or more of the average prior service. No presumption applies where the Employee’s service level is more than 20% and less than 50% of the average prior service.</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Effect of Leave</w:t>
      </w:r>
      <w:r>
        <w:rPr>
          <w:rFonts w:ascii="Times New Roman" w:hAnsi="Times New Roman"/>
          <w:color w:val="000000"/>
          <w:sz w:val="20"/>
        </w:rPr>
        <w:t>. An Employee does not incur a Separation from Service if the Employee is on military leave, sick leave, or other bona fide leave of absence if such leave does not exceed a period of 6 months, or if longer, the period for which a statute or contract provides the Employee with the right to reemployment with the Employer. If a Participant’s leave exceeds 6 months but the Participant is not entitled to reemployment under a statute or contract, the Participant incurs a Separation from Service on the next day following the expiration of 6 months. A leave of absence constitutes a bona fide leave of absence for this Section 1.20 only if there is a reasonable expectation that the Employee will return to perform services for the Employer. Where a leave of absence is due to any medically determinable physical or mental impairment that can be expected to result in death or to last for a continuous period of at least 6 months, and where the Participant cannot perform his/her duties or the duties of any substantially similar position, in determining when a Separation from Service occurs, the above 6 month period is 29 months unless the Employer or the Employee terminate the leave sooner. For purposes of determining average prior service under Section 1.20 (A)(1), during a paid leave of absence which is not a Separation From Service, the Employee is treated as rendering bona fide services at a level that would have been required to earn the amount paid during the leave. If the leave of absence is unpaid, the leave period is disregarded in determining average prior service.</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Contractors</w:t>
      </w:r>
      <w:r>
        <w:rPr>
          <w:rFonts w:ascii="Times New Roman" w:hAnsi="Times New Roman"/>
          <w:color w:val="000000"/>
          <w:sz w:val="20"/>
        </w:rPr>
        <w:t>. Separation from Service, in the case of a Contractor, means the expiration of the contract (or all contracts) under which the Contractor performs services for the Employer provided that the expiration constitutes a good-faith and complete termination of the contractual relationship between the Contractor and the Employer. A good-faith and complete termination does not occur if the Employer anticipates a renewal of the service contract or the Employer anticipates the Contractor becoming an Employee. The Employer anticipates the renewal of the contract if the Employer intends to contract again for the services provided under the expired contract and neither the Employer nor the Contractor has eliminated the Contractor as a possible provider of such additional services. The Employer is deemed to intend renewal of the Contractor’s expired contract if renewal is conditioned only upon incurring a need for services, the Employer’s ability to pay for the services, or both. See Section 4.01(E) as to Contractor “deemed” Separation from Service provisions.</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“Employer” for Purposes of Separation Rules</w:t>
      </w:r>
      <w:r>
        <w:rPr>
          <w:rFonts w:ascii="Times New Roman" w:hAnsi="Times New Roman"/>
          <w:color w:val="000000"/>
          <w:sz w:val="20"/>
        </w:rPr>
        <w:t>. The “Employer” for purposes of applying this Section 1.20 (determining Separation from Service under the Plan) means as defined under Section 1.12 but by applying 50% in lieu of 80% in applying Code §§414(b) and (c).</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Dual Capacity</w:t>
      </w:r>
      <w:r>
        <w:rPr>
          <w:rFonts w:ascii="Times New Roman" w:hAnsi="Times New Roman"/>
          <w:color w:val="000000"/>
          <w:sz w:val="20"/>
        </w:rPr>
        <w:t>. If a Participant renders service to the Employer both in the capacity as an Employee and as a Contractor (or changes status from Employee to Contractor or vice versa), the Participant must incur a Separation from Service in both capacities to constitute a Separation from Service. For this purpose, if a Participant renders service both as an Employee and as a member of the Employer’s board of directors (or an analogous position in the case of a non-corporate Employer) the director services (or the Employee services if this Plan relates to director services) are disregarded in determining whether the Participant has incurred a Separation from Service as to this Plan provided that the plans are not Aggregated Plans.</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Certain Asset Sales</w:t>
      </w:r>
      <w:r>
        <w:rPr>
          <w:rFonts w:ascii="Times New Roman" w:hAnsi="Times New Roman"/>
          <w:color w:val="000000"/>
          <w:sz w:val="20"/>
        </w:rPr>
        <w:t>. In accordance with and subject to Treas. Reg. §1.409A-1(h)(4), if the Employer sells its assets to an unrelated party purchaser where the Participants otherwise would incur a Separation from Service and where such Participants will provide services to the purchaser after the sale closing, the Employer and the purchaser retain discretion no later than the asset sale closing date to specify in writing whether the Participants will incur a Separation from Service. In making such determination, the Employer and the purchaser must treat all affected Participants consistently.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1.21 “</w:t>
      </w:r>
      <w:r>
        <w:rPr>
          <w:rFonts w:ascii="Times New Roman" w:hAnsi="Times New Roman"/>
          <w:b/>
          <w:color w:val="000000"/>
          <w:sz w:val="20"/>
        </w:rPr>
        <w:t xml:space="preserve">Specified Employee” </w:t>
      </w:r>
      <w:r>
        <w:rPr>
          <w:rFonts w:ascii="Times New Roman" w:hAnsi="Times New Roman"/>
          <w:color w:val="000000"/>
          <w:sz w:val="20"/>
        </w:rPr>
        <w:t>means a Participant who is a key employee as described in Code§416(i)(1)(A), disregarding paragraph (5) thereof and using compensation as defined under Treas. Reg.§1.415(c)-2(a). However, a Participant is not a Specified Employee unless any stock of the Employer is publicly traded on an established securities market or otherwise and the Participant is a Specified Employee on the date of his/her Separation from Service. If a Participant is a key employee at any time during the 12 months ending on the Specified Employee identification date, the Participant is a Specified Employee for the 12-month period commencing on the Specified Employee effective date. The Specified Employee identification date is December 31. The Specified Employee effective date is the April 1 following the Specified Employee identification date. The Employer, in determining whether this Section 1.21 and all related Plan provisions apply, will determine whether the Employer has any publicly traded stock as of the date of a Participant’s Separation from Service. In the case of certain corporate transactions (a merger, acquisition, spin-off or initial public offering), or in the case of nonresident alien Employees, the Employer will apply the Specified Employee provisions of the Plan in accordance with Treas. Reg. §1.409A-1(i) and other Applicable Guidance. The Employer will apply the Specified Employee provisions of the Plan in accordance with Treas. Reg. §1.409A-1(i) and other Applicable Guidance.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1.22 “</w:t>
      </w:r>
      <w:r>
        <w:rPr>
          <w:rFonts w:ascii="Times New Roman" w:hAnsi="Times New Roman"/>
          <w:b/>
          <w:color w:val="000000"/>
          <w:sz w:val="20"/>
        </w:rPr>
        <w:t xml:space="preserve">Specified Time or Fixed Schedule” </w:t>
      </w:r>
      <w:r>
        <w:rPr>
          <w:rFonts w:ascii="Times New Roman" w:hAnsi="Times New Roman"/>
          <w:color w:val="000000"/>
          <w:sz w:val="20"/>
        </w:rPr>
        <w:t>means, in reference to a payment of Deferred Compensation, the Employer, at the time the Benefit is deferred can objectively determine: (i) the amount payable; and (ii) the payment date or dates. An amount is objectively determinable if the Plan specifically identifies the amount or if the Employer can determine the amount at the time it is due pursuant to an objective, nondiscretionary formula specified at the time the Employer grants a Legally Binding Right to the Deferred Compensation to the Participant or, if later, by the time the Participant would have had to make such an election if the Participant were provided such an election.</w:t>
      </w:r>
    </w:p>
    <w:p>
      <w:pPr>
        <w:pStyle w:val="TextBody"/>
        <w:bidi w:val="0"/>
        <w:spacing w:before="0" w:after="0"/>
        <w:ind w:left="0" w:right="0" w:firstLine="720"/>
        <w:jc w:val="left"/>
        <w:rPr>
          <w:color w:val="000000"/>
        </w:rPr>
      </w:pPr>
      <w:r>
        <w:rPr>
          <w:color w:val="000000"/>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Dates and Period(s)</w:t>
      </w:r>
      <w:r>
        <w:rPr>
          <w:rFonts w:ascii="Times New Roman" w:hAnsi="Times New Roman"/>
          <w:color w:val="000000"/>
          <w:sz w:val="20"/>
        </w:rPr>
        <w:t>. A payment is scheduled to occur at a specified time if it is a lump sum payment on a specific date, or a specific, objectively determinable date, including following the lapse of a substantial risk of forfeiture. A payment is scheduled to occur on a fixed schedule if it is a series of payments (which may include an annuity or a series of installments) payable on specific dates or on specifically, objectively determinable dates including following the lapse of a substantial risk of forfeiture. The designation of a Taxable Year of the Participant, or a defined period within a Taxable Year of the Participant, in which payment will occur is adequate designation of a specific date. For purposes of Sections 4.01 and 4.04, if the date specified is only a designated Taxable Year of the Participant, or a period of time during such a Taxable Year, the date specified under the plan is treated as the first day of such Taxable Year or the first day of the period of time, as applicable.</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w:t>
      </w:r>
      <w:r>
        <w:rPr>
          <w:rFonts w:ascii="Times New Roman" w:hAnsi="Times New Roman"/>
          <w:color w:val="000000"/>
          <w:sz w:val="20"/>
          <w:u w:val="single"/>
        </w:rPr>
        <w:t>Limitations and Link to Employer Receipts</w:t>
      </w:r>
      <w:r>
        <w:rPr>
          <w:rFonts w:ascii="Times New Roman" w:hAnsi="Times New Roman"/>
          <w:color w:val="000000"/>
          <w:sz w:val="20"/>
        </w:rPr>
        <w:t>. A Fixed Schedule may include certain: (i) limitations on the amount payable at a specified time of during a specified period expressed either as a stated limit or based on an objective nondiscretionary formula; and (ii) payment schedules based on the timing of payments received by the Employer as described in Treas. Reg. §§1.409A-3(i)(1)(ii) and (iii) and other Applicable Guidance.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Tax Gross-Up Payments</w:t>
      </w:r>
      <w:r>
        <w:rPr>
          <w:rFonts w:ascii="Times New Roman" w:hAnsi="Times New Roman"/>
          <w:color w:val="000000"/>
          <w:sz w:val="20"/>
        </w:rPr>
        <w:t>. A Specified Time or Fixed Schedule may include tax gross-up payments made by the end of the Participant’s Taxable Year which follows the Taxable Year in which the Participant remits the related taxes resulting from compensation paid or made available to the Participant by the Employer, as described in Treas. Reg. §1.409A-3(i)(1)(v) and other Applicable Guidance.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left"/>
        <w:rPr>
          <w:rFonts w:ascii="Times New Roman" w:hAnsi="Times New Roman"/>
          <w:b/>
          <w:color w:val="000000"/>
          <w:sz w:val="20"/>
        </w:rPr>
      </w:pPr>
      <w:r>
        <w:rPr>
          <w:rFonts w:ascii="Times New Roman" w:hAnsi="Times New Roman"/>
          <w:b w:val="false"/>
          <w:color w:val="000000"/>
          <w:sz w:val="20"/>
        </w:rPr>
        <w:t xml:space="preserve">1.23 </w:t>
      </w:r>
      <w:r>
        <w:rPr>
          <w:rFonts w:ascii="Times New Roman" w:hAnsi="Times New Roman"/>
          <w:b/>
          <w:color w:val="000000"/>
          <w:sz w:val="20"/>
        </w:rPr>
        <w:t>“Substantial Risk of Forfeiture”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409A Amounts</w:t>
      </w:r>
      <w:r>
        <w:rPr>
          <w:rFonts w:ascii="Times New Roman" w:hAnsi="Times New Roman"/>
          <w:color w:val="000000"/>
          <w:sz w:val="20"/>
        </w:rPr>
        <w:t>. Substantial Risk of Forfeiture means as to 409A Amounts, and other than for purposes of application of Code §457(f), Compensation which is payable conditioned: (i) on the performance of substantial future services by any person including the Participant; or (ii) on the occurrence of a condition related to a purpose of the Compensation, and where under clause (i) or (ii) the possibility of forfeiture is substantial. A condition related to the purpose of the Compensation relates to the Participant’s performance for the Employer or to the Employer’s business activities or organizational goals. A Substantial Risk of Forfeiture includes conditioning payment on the Participant’s Involuntary Separation from Service without cause provided the possibility of not incurring such a Separation from Service is substantial. Except as to payment of Compensation related to a Change in Control, a Substantial Risk of Forfeiture does not include any addition of a condition after a Legally Binding Right to the Compensation arises or any extension of a period during which the Compensation is subject to a Substantial Risk of Forfeiture. Compensation is not subject to a Substantial Risk of Forfeiture merely because payment is conditioned on the Participant’s refraining from performing services. Compensation is not subject to a Substantial Risk of Forfeiture beyond the date or time that the Participant otherwise could have elected to receive the Compensation unless the present value of the amount subject to the Substantial Risk of Forfeiture (determined without regard to the Substantial Risk of Forfeiture) is materially greater than the present value of the amount that the Participant otherwise could have elected to receive, absent the Substantial Risk of Forfeiture. In addition, Compensation the Participant would receive for continuing to perform service for the Employer (such as through the extension of an employment contract) is disregarded in determining whether the present value of such non- Vested payment amount is materially greater than the Compensation which the Participant could have elected to receive presently. In determining whether the possibility of forfeiture is substantial in the case of rights to Compensation granted to a Participant who owns significant voting power or value in the Employer, the Employer in accordance with Treas. Reg. §1.409A-1(d)(3) and Applicable Guidance, will take into account all relevant facts and circumstances.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w:t>
      </w:r>
      <w:r>
        <w:rPr>
          <w:rFonts w:ascii="Times New Roman" w:hAnsi="Times New Roman"/>
          <w:color w:val="000000"/>
          <w:sz w:val="20"/>
          <w:u w:val="single"/>
        </w:rPr>
        <w:t>Grandfathered Amounts</w:t>
      </w:r>
      <w:r>
        <w:rPr>
          <w:rFonts w:ascii="Times New Roman" w:hAnsi="Times New Roman"/>
          <w:color w:val="000000"/>
          <w:sz w:val="20"/>
        </w:rPr>
        <w:t>. A Substantial Risk of Forfeiture for Grandfathered Amounts is defined in Treas. Reg. §1.83-3(c) and in Notice 2005-1, Q/A-16(b) or in Applicable Guidance.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1.24“</w:t>
      </w:r>
      <w:r>
        <w:rPr>
          <w:rFonts w:ascii="Times New Roman" w:hAnsi="Times New Roman"/>
          <w:b/>
          <w:color w:val="000000"/>
          <w:sz w:val="20"/>
        </w:rPr>
        <w:t xml:space="preserve">Taxable Year” </w:t>
      </w:r>
      <w:r>
        <w:rPr>
          <w:rFonts w:ascii="Times New Roman" w:hAnsi="Times New Roman"/>
          <w:color w:val="000000"/>
          <w:sz w:val="20"/>
        </w:rPr>
        <w:t>means as to the Participant, the Participant’s taxable year and means as to the Employer, the Employer’s taxable year, in each case as the Plan provides or as the context otherwise requires.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1.25 “</w:t>
      </w:r>
      <w:r>
        <w:rPr>
          <w:rFonts w:ascii="Times New Roman" w:hAnsi="Times New Roman"/>
          <w:b/>
          <w:color w:val="000000"/>
          <w:sz w:val="20"/>
        </w:rPr>
        <w:t xml:space="preserve">USERRA” </w:t>
      </w:r>
      <w:r>
        <w:rPr>
          <w:rFonts w:ascii="Times New Roman" w:hAnsi="Times New Roman"/>
          <w:color w:val="000000"/>
          <w:sz w:val="20"/>
        </w:rPr>
        <w:t>means the Uniformed Services Employment and Reemployment Rights Act of 1994, as amended.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1.26“</w:t>
      </w:r>
      <w:r>
        <w:rPr>
          <w:rFonts w:ascii="Times New Roman" w:hAnsi="Times New Roman"/>
          <w:b/>
          <w:color w:val="000000"/>
          <w:sz w:val="20"/>
        </w:rPr>
        <w:t xml:space="preserve">Vested” </w:t>
      </w:r>
      <w:r>
        <w:rPr>
          <w:rFonts w:ascii="Times New Roman" w:hAnsi="Times New Roman"/>
          <w:color w:val="000000"/>
          <w:sz w:val="20"/>
        </w:rPr>
        <w:t>means an amount of Deferred Compensation which is not subject to a Substantial Risk of Forfeiture or to a requirement to perform further services for the Employer. For purposes of determining whether an amount satisfies the vesting requirement for Grandfathered Amounts under Article VII, the definition of Substantial Risk of Forfeiture in Section 1.23(B) applies.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1.27 “</w:t>
      </w:r>
      <w:r>
        <w:rPr>
          <w:rFonts w:ascii="Times New Roman" w:hAnsi="Times New Roman"/>
          <w:b/>
          <w:color w:val="000000"/>
          <w:sz w:val="20"/>
        </w:rPr>
        <w:t xml:space="preserve">Year of Service” </w:t>
      </w:r>
      <w:r>
        <w:rPr>
          <w:rFonts w:ascii="Times New Roman" w:hAnsi="Times New Roman"/>
          <w:color w:val="000000"/>
          <w:sz w:val="20"/>
        </w:rPr>
        <w:t>means the requirements, if any, the Employer specifies in its Adoption Agreement.</w:t>
      </w:r>
    </w:p>
    <w:p>
      <w:pPr>
        <w:pStyle w:val="TextBody"/>
        <w:bidi w:val="0"/>
        <w:spacing w:before="0" w:after="0"/>
        <w:ind w:left="0" w:right="0" w:firstLine="72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II. PARTICIPATION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2.01 </w:t>
      </w:r>
      <w:r>
        <w:rPr>
          <w:rFonts w:ascii="Times New Roman" w:hAnsi="Times New Roman"/>
          <w:color w:val="000000"/>
          <w:sz w:val="20"/>
          <w:u w:val="single"/>
        </w:rPr>
        <w:t>Participants Designated</w:t>
      </w:r>
      <w:r>
        <w:rPr>
          <w:rFonts w:ascii="Times New Roman" w:hAnsi="Times New Roman"/>
          <w:color w:val="000000"/>
          <w:sz w:val="20"/>
        </w:rPr>
        <w:t>. The Employer will designate in its Adoption Agreement the Employee (by name, job title or other classification) who is a Participant in the Plan.</w:t>
      </w:r>
    </w:p>
    <w:p>
      <w:pPr>
        <w:pStyle w:val="TextBody"/>
        <w:bidi w:val="0"/>
        <w:spacing w:before="0" w:after="0"/>
        <w:ind w:left="0" w:right="0" w:firstLine="72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III. VESTING AND SUBSTANTIAL RISK OF FORFEITURE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3.01 </w:t>
      </w:r>
      <w:r>
        <w:rPr>
          <w:rFonts w:ascii="Times New Roman" w:hAnsi="Times New Roman"/>
          <w:color w:val="000000"/>
          <w:sz w:val="20"/>
          <w:u w:val="single"/>
        </w:rPr>
        <w:t>Vesting Schedule or other Substantial Risk of Forfeiture</w:t>
      </w:r>
      <w:r>
        <w:rPr>
          <w:rFonts w:ascii="Times New Roman" w:hAnsi="Times New Roman"/>
          <w:color w:val="000000"/>
          <w:sz w:val="20"/>
        </w:rPr>
        <w:t>. The Employer will specify in its Adoption Agreement any vesting schedule or other Substantial Risk of Forfeiture applicable to the Benefit.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3.02 </w:t>
      </w:r>
      <w:r>
        <w:rPr>
          <w:rFonts w:ascii="Times New Roman" w:hAnsi="Times New Roman"/>
          <w:color w:val="000000"/>
          <w:sz w:val="20"/>
          <w:u w:val="single"/>
        </w:rPr>
        <w:t>Immediate Vesting on Specified Events</w:t>
      </w:r>
      <w:r>
        <w:rPr>
          <w:rFonts w:ascii="Times New Roman" w:hAnsi="Times New Roman"/>
          <w:color w:val="000000"/>
          <w:sz w:val="20"/>
        </w:rPr>
        <w:t>. The Employer will specify in its Adoption Agreement whether a Participant is Vested in a Benefit without regard to Years of Service if the Participant Separates from Service on or following Retirement Age, or as a result of death, Disability, or other events.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3.03 </w:t>
      </w:r>
      <w:r>
        <w:rPr>
          <w:rFonts w:ascii="Times New Roman" w:hAnsi="Times New Roman"/>
          <w:color w:val="000000"/>
          <w:sz w:val="20"/>
          <w:u w:val="single"/>
        </w:rPr>
        <w:t>Forfeitures</w:t>
      </w:r>
      <w:r>
        <w:rPr>
          <w:rFonts w:ascii="Times New Roman" w:hAnsi="Times New Roman"/>
          <w:color w:val="000000"/>
          <w:sz w:val="20"/>
        </w:rPr>
        <w:t>. A Participant will forfeit any non-Vested portion of the Benefit (where vesting is based on a service condition) upon Separation from Service. A Participant will forfeit any other non-Vested portion of the Benefit when the condition constituting a Substantial Risk of Forfeiture can no longer be satisfied, such as its expiration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IV. BENEFIT PAYMENTS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4.01 </w:t>
      </w:r>
      <w:r>
        <w:rPr>
          <w:rFonts w:ascii="Times New Roman" w:hAnsi="Times New Roman"/>
          <w:color w:val="000000"/>
          <w:sz w:val="20"/>
          <w:u w:val="single"/>
        </w:rPr>
        <w:t>Payment Events</w:t>
      </w:r>
      <w:r>
        <w:rPr>
          <w:rFonts w:ascii="Times New Roman" w:hAnsi="Times New Roman"/>
          <w:color w:val="000000"/>
          <w:sz w:val="20"/>
        </w:rPr>
        <w:t>. The Employer in its Adoption Agreement will specify the Plan permissible payment events as all or some of the following payment events affecting a Participant: (i) Separation from Service; (ii) death; (iii) Disability; (iv) a Specified Time or pursuant to a Fixed Schedule; or (v) Change in Control. As to payment events (i), (ii),(iii) and (v), the Plan will pay to the Participant the Benefit provided for in the Adoption Agreement on the applicable payment event or on another specified payment date as provided in Section 4.01. Payment will commence at the time and in the form indicated in Section 4.01. Payment will be made in the medium specified under Section 4.02.</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Payment on Objective and Nondiscretionary (Specified) Payment Date(s)</w:t>
      </w:r>
      <w:r>
        <w:rPr>
          <w:rFonts w:ascii="Times New Roman" w:hAnsi="Times New Roman"/>
          <w:color w:val="000000"/>
          <w:sz w:val="20"/>
        </w:rPr>
        <w:t>. The Plan or a change payment election must provide for a payment date that the Employer, at the time of the payment event, can determine objectively and without the exercise of discretion. Such payment date may, but need not, coincide with a payment event, but any payment date must be on or following and must relate to a Plan payment event.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Payment Schedule as Payment Date</w:t>
      </w:r>
      <w:r>
        <w:rPr>
          <w:rFonts w:ascii="Times New Roman" w:hAnsi="Times New Roman"/>
          <w:color w:val="000000"/>
          <w:sz w:val="20"/>
        </w:rPr>
        <w:t>. A specified payment date may include a payment schedule which is objectively determinable and nondiscretionary based on the date of the payment event and that would qualify as a Fixed Schedule if the payment event were a fixed date. An election of a payment schedule must be made at the time of the election of the payment event.</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Designation of Year or Other Period</w:t>
      </w:r>
      <w:r>
        <w:rPr>
          <w:rFonts w:ascii="Times New Roman" w:hAnsi="Times New Roman"/>
          <w:color w:val="000000"/>
          <w:sz w:val="20"/>
        </w:rPr>
        <w:t>. A specified payment date or a specified payment schedule with regard to any payment event other than a Specified Time or pursuant to a Fixed Schedule may include: (i) a Participant’s Taxable Year or Years; or (ii) a designated period of time but only if the designated period both begins and ends within one Taxable Year of the Participant or the designated period is not more than 90 days and the Participant does not have the right to designate the Taxable Year of payment except under a change payment election under Section 4.02(B). For purposes of clause (ii), this includes designation of payment on or before the last date of the designated (maximum 90 day) period but after the payment event occurs.</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Deemed Payment Date</w:t>
      </w:r>
      <w:r>
        <w:rPr>
          <w:rFonts w:ascii="Times New Roman" w:hAnsi="Times New Roman"/>
          <w:color w:val="000000"/>
          <w:sz w:val="20"/>
        </w:rPr>
        <w:t>. If the Adoption Agreement or any such election provides for payment only in a designated Taxable Year or Years, the payment date is deemed to be January 1 of that Year or Years. If the Adoption Agreement or any such election provides for payment only in a designated period, the payment date is deemed to be the first day in the relevant period.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Payment Event Default.</w:t>
      </w:r>
      <w:r>
        <w:rPr>
          <w:rFonts w:ascii="Times New Roman" w:hAnsi="Times New Roman"/>
          <w:color w:val="000000"/>
          <w:sz w:val="20"/>
        </w:rPr>
        <w:t xml:space="preserve"> This Section 4.01(B) applies if the Employer in its Adoption Agreement fails to elect one or more payment events described in this Section 4.01. In such event, the Plan will pay the affected Participant’s Vested Benefit following the earlier of the Participant’s Separation from Service or death. See Section 4.02(A)(4) as to the applicable default for the time, form and medium of such payments. If this default provision applies, the default payment is deemed to be an initial payment election under the Plan.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Multiple Payment Events; Sequencing</w:t>
      </w:r>
      <w:r>
        <w:rPr>
          <w:rFonts w:ascii="Times New Roman" w:hAnsi="Times New Roman"/>
          <w:color w:val="000000"/>
          <w:sz w:val="20"/>
        </w:rPr>
        <w:t>. The Plan or a change of payment election may provide for more than one permissible payment event and may provide for payment upon the earliest or latest of more than one permissible payment event. See Section 4.02(A)(3) as to limitations on the number of time and form of payment elections which may apply to a single payment event.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Payment to Specified Employees</w:t>
      </w:r>
      <w:r>
        <w:rPr>
          <w:rFonts w:ascii="Times New Roman" w:hAnsi="Times New Roman"/>
          <w:color w:val="000000"/>
          <w:sz w:val="20"/>
        </w:rPr>
        <w:t>. Notwithstanding anything to the contrary in the Plan, the Plan may not make payment, based on Separation from Service to a Participant who, on the date of Separation from Service is a Specified Employee, earlier than 6 months following Separation from Service (or if earlier, upon the Specified Employee’s death), except as permitted under this Section 4.01(D). This limitation applies regardless of the Participant’s status as a Specified Employee or otherwise on any other date including the next Specified Employee effective date had the Participant continued to render services through such date. The Employer, operationally and without any direct or indirect Participant election, will elect whether any payments that otherwise would be payable to the Specified Employee during the foregoing 6 month period: (i) will be accumulated and payment delayed until the first day of the seventh month that is after the 6 month period; or (ii) will be delayed by 6 months as to each installment otherwise payable during the 6 month period. This Section 4.01(D) does not apply to payments made on account of a domestic relations order, payments made because of a conflict of interest, or payment of employment taxes, all as described in Treas. Reg. 1.409A-3(i)(2)(i). This Section 4.01(D) also does not apply to any reimbursement or in-kind benefit which is separation pay but which is not Deferred Compensation under Section 1.08.</w:t>
      </w:r>
    </w:p>
    <w:p>
      <w:pPr>
        <w:pStyle w:val="TextBody"/>
        <w:bidi w:val="0"/>
        <w:spacing w:before="0" w:after="0"/>
        <w:ind w:left="0" w:right="0" w:firstLine="72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Deemed Separation of Contractor</w:t>
      </w:r>
      <w:r>
        <w:rPr>
          <w:rFonts w:ascii="Times New Roman" w:hAnsi="Times New Roman"/>
          <w:color w:val="000000"/>
          <w:sz w:val="20"/>
        </w:rPr>
        <w:t>. The special payment timing rules in this Section 4.01(E) apply to Contractors. Compliance with this Section 4.01(E) results in the Contractor being deemed to have incurred a Separation from Service under Section 1.20. Under this Section 4.01(E): (i) the Plan will not pay a Contractor’s Benefit, or any portion thereof, before a date that is at least 12 months after the expiration of the contract (or all contracts) under which the Contractor performs services for the Employer; and (ii) no amount payable under clause (i) will be paid to the Contractor if the Contractor (whether as a Contractor or an Employee) performs services for the Employer after the contract(s)’ expiration and before the payment date.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4.02</w:t>
      </w:r>
      <w:r>
        <w:rPr>
          <w:rFonts w:ascii="Times New Roman" w:hAnsi="Times New Roman"/>
          <w:color w:val="000000"/>
          <w:sz w:val="20"/>
          <w:u w:val="single"/>
        </w:rPr>
        <w:t xml:space="preserve"> Payment Elections</w:t>
      </w:r>
      <w:r>
        <w:rPr>
          <w:rFonts w:ascii="Times New Roman" w:hAnsi="Times New Roman"/>
          <w:color w:val="000000"/>
          <w:sz w:val="20"/>
        </w:rPr>
        <w:t>. The Employer will specify in its Adoption Agreement the permissible: (i) payment timing; (ii) payment form (lump-sum, installments, annuity or other form, including a combination thereof); and (iii) payment medium (cash or property) applicable to Benefits. A permissible payment medium election may, but is not required to be, made at the same time as the initial payment election or change payment election, but must be made a reasonable time before any payment date. No election as to payment medium may change the time or form of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w:t>
      </w:r>
      <w:r>
        <w:rPr>
          <w:rFonts w:ascii="Times New Roman" w:hAnsi="Times New Roman"/>
          <w:color w:val="000000"/>
          <w:sz w:val="20"/>
          <w:u w:val="single"/>
        </w:rPr>
        <w:t>Initial Payment Election</w:t>
      </w:r>
      <w:r>
        <w:rPr>
          <w:rFonts w:ascii="Times New Roman" w:hAnsi="Times New Roman"/>
          <w:color w:val="000000"/>
          <w:sz w:val="20"/>
        </w:rPr>
        <w:t>. The Employer will make an initial payment election and the payment events, timing, form and medium are controlled by the Employer’s Adoption Agreement. If there are multiple payment events, the Plan will make payment based on the earliest event to occur.</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Initial Election</w:t>
      </w:r>
      <w:r>
        <w:rPr>
          <w:rFonts w:ascii="Times New Roman" w:hAnsi="Times New Roman"/>
          <w:color w:val="000000"/>
          <w:sz w:val="20"/>
        </w:rPr>
        <w:t>. The elected Adoption Agreement and applicable Plan provisions constitute an initial payment election under the Plan.</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Timing</w:t>
      </w:r>
      <w:r>
        <w:rPr>
          <w:rFonts w:ascii="Times New Roman" w:hAnsi="Times New Roman"/>
          <w:color w:val="000000"/>
          <w:sz w:val="20"/>
        </w:rPr>
        <w:t>. The Employer must make an initial payment election as to a Participant at the time that the Employer grants a Legally Binding Right to Deferred Compensation to the Participant, or, if later, by the time that the Participant would have had to make such election, if the Plan had permitted the Participant to make such an election. In the case of a newly eligible Participant or a new Plan, the Employer must make the initial payment election no later than 30 days after the date the Employee or Contractor becomes a Participant.</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Limitations on Payment Time and Form; Multiple Payment Events</w:t>
      </w:r>
      <w:r>
        <w:rPr>
          <w:rFonts w:ascii="Times New Roman" w:hAnsi="Times New Roman"/>
          <w:color w:val="000000"/>
          <w:sz w:val="20"/>
        </w:rPr>
        <w:t>. Except as otherwise provided in this Section 4.02(A)(3), the Plan or a payment election may designate only one time and form of payment for each of the following payment events: Separation from Service, Disability, death or Change in Control.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Disability, Death or Change in Control</w:t>
      </w:r>
      <w:r>
        <w:rPr>
          <w:rFonts w:ascii="Times New Roman" w:hAnsi="Times New Roman"/>
          <w:color w:val="000000"/>
          <w:sz w:val="20"/>
        </w:rPr>
        <w:t>. In the case of payment in the event of Disability, death or Change in Control, the Plan or payment election may provide for one time and/or method of payment if the event occurs on or before one specified date and may provide for an alternative time and form of payment if the event occurs after the specified date.</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Separation From Service</w:t>
      </w:r>
      <w:r>
        <w:rPr>
          <w:rFonts w:ascii="Times New Roman" w:hAnsi="Times New Roman"/>
          <w:color w:val="000000"/>
          <w:sz w:val="20"/>
        </w:rPr>
        <w:t>. In the case of payment in the event of Separation from Service, the Plan or payment election may provide for an alternative time and form of payment where: (i) Separation from Service occurs within a limited period of time not exceeding two years following a Change in Control; (ii) Separation from Service occurs before or after a specified date or Separation occurs before or after the combination of a specified date and a specified period of service determined under a predetermined, nondiscretionary objective formula or pursuant to the method for crediting service under a qualified plan of the Employer (but not both of the options under clause (ii)); and Separation from Service which is not described in clause (i) or (ii). However, neither the Plan nor a payment election may provide for a different time and form of payment based on whether Separation from Service is Voluntary or Involuntary or based on the Participant’s marital status at the time of Separation from Service.</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Addition, Change or Deletion of Time and Form</w:t>
      </w:r>
      <w:r>
        <w:rPr>
          <w:rFonts w:ascii="Times New Roman" w:hAnsi="Times New Roman"/>
          <w:color w:val="000000"/>
          <w:sz w:val="20"/>
        </w:rPr>
        <w:t>. The addition, change, or deletion of an alternative time and form of payment (after the initial payment election has become irrevocable) as permitted under this Section 4.02(A)(3) is a change payment election subject to Section 4.02(B) and is subject to Section 4.02(C).</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Time, Form and Medium Default</w:t>
      </w:r>
      <w:r>
        <w:rPr>
          <w:rFonts w:ascii="Times New Roman" w:hAnsi="Times New Roman"/>
          <w:color w:val="000000"/>
          <w:sz w:val="20"/>
        </w:rPr>
        <w:t>. If the Employer fails to elect the time, form and medium of Benefit payments in the Adoption Agreement, the Plan will pay the affected Participant’s Vested Benefit attributable to the non-election under this default provision, in a lump-sum cash payment 13 months following the earliest event permitting payment under Section 4.01 (including, if applicable, the default payment events under Section 4.01(B)). If this default provision applies, the default payment is deemed to be an initial payment election under the Plan.</w:t>
      </w:r>
    </w:p>
    <w:p>
      <w:pPr>
        <w:pStyle w:val="TextBody"/>
        <w:bidi w:val="0"/>
        <w:spacing w:before="0" w:after="0"/>
        <w:ind w:left="0" w:right="0" w:firstLine="72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Change Payment Election</w:t>
      </w:r>
      <w:r>
        <w:rPr>
          <w:rFonts w:ascii="Times New Roman" w:hAnsi="Times New Roman"/>
          <w:color w:val="000000"/>
          <w:sz w:val="20"/>
        </w:rPr>
        <w:t>. The Employer will elect in its Adoption Agreement whether the Employer or a Participant may make a change payment election under this Section 4.02(B). If the Plan permits change elections, the Employer in its Adoption Agreement will elect whether to limit the number of change payment elections. If the Plan permits a Participant or the Employer to change existing payment elections (initial or change payment elections) as to any or all Deferred Compensation, including any Plan specified initial payment election or a default payment applicable in the absence of an actual initial payment election, any such change payment election must comply with this Section 4.02(B). A change payment election may add or delete payment events, may delay payment and/or may change the form of payment, provided the change does not result in an impermissible acceleration under Section 4.02(C).</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Conditions on Change Payment Elections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Election Timing/Deferral of Payment</w:t>
      </w:r>
      <w:r>
        <w:rPr>
          <w:rFonts w:ascii="Times New Roman" w:hAnsi="Times New Roman"/>
          <w:color w:val="000000"/>
          <w:sz w:val="20"/>
        </w:rPr>
        <w:t>. Any change payment election: (i) may not take effect until at least 12 months following the date the change payment election is made; (ii) if the change payment election relates to a payment based on Separation from Service or on Change in Control, or if the payment is at a Specified Time or pursuant to a Fixed Schedule, the change payment election must result in payment being made not earlier than 5 years following the date upon which the payment otherwise would have been made (or, in the case of a life annuity or installment payments treated as a single payment, 5 years from the date the first amount was scheduled to be paid); and (iii) if the change payment election relates to payment at a Specified Time or pursuant to a Fixed Schedule, the Participant or Employer must make the change payment election not less than 12 months prior to the date the payment is scheduled to be made (or, in the case of a life annuity or installment payments treated as a single payment, 12 months prior to the date the first amount was scheduled to be paid).</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Application of Other Rules</w:t>
      </w:r>
      <w:r>
        <w:rPr>
          <w:rFonts w:ascii="Times New Roman" w:hAnsi="Times New Roman"/>
          <w:color w:val="000000"/>
          <w:sz w:val="20"/>
        </w:rPr>
        <w:t>. A change payment election must satisfy the Plan provisions applicable to initial payment elections under Section 4.02(A)(3) related to multiple payment events. For purposes of application of Section 4.02(A)(3), Section 4.02(B)(1)(a) applies separately as to each Payment described under Section 4.02(B)(2) and due upon each payment event.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USERRA Rights</w:t>
      </w:r>
      <w:r>
        <w:rPr>
          <w:rFonts w:ascii="Times New Roman" w:hAnsi="Times New Roman"/>
          <w:color w:val="000000"/>
          <w:sz w:val="20"/>
        </w:rPr>
        <w:t>. The requirements of Section 4.02(B) are deemed satisfied as to any change payment election which the Plan provides to satisfy the requirements of USERRA. Such elections are not an acceleration under Section 4.02(C).</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Rejection</w:t>
      </w:r>
      <w:r>
        <w:rPr>
          <w:rFonts w:ascii="Times New Roman" w:hAnsi="Times New Roman"/>
          <w:color w:val="000000"/>
          <w:sz w:val="20"/>
        </w:rPr>
        <w:t>. If the Employer under Section 4.05 rejects a Participant’s change payment election, the initial payment election continues to apply unless and until the Participant makes another change payment election which the Employer accepts.</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Definition of “Payment.”</w:t>
      </w:r>
      <w:r>
        <w:rPr>
          <w:rFonts w:ascii="Times New Roman" w:hAnsi="Times New Roman"/>
          <w:color w:val="000000"/>
          <w:sz w:val="20"/>
        </w:rPr>
        <w:t xml:space="preserve"> Except as otherwise provided in Section 4.02(B)(3), a “payment” for purposes of applying Section 4.02(B)(1) is each separately identified amount the Plan is obligated to pay to a Participant on a determinable date and includes amounts paid for the benefit of the Participant. An amount is “separately identified” only if the amount is objectively determinable under a nondiscretionary formula. A payment includes the provision of any taxable benefit, including payment in cash or in-kind. A payment includes, but is not limited to, the transfer, cancellation or reduction of an amount of Deferred Compensation in exchange for benefits under a welfare benefit plan, fringe benefits excludible under Code§§119 or 132, or any other benefit that is excluded from gross income. In the case of a Specified Time or a Fixed Schedule, “payment” for purposes of Section 4.02(B)(1) means as further described in Treas. Reg.§1.409A-3(i)(1).</w:t>
      </w:r>
    </w:p>
    <w:p>
      <w:pPr>
        <w:pStyle w:val="TextBody"/>
        <w:bidi w:val="0"/>
        <w:spacing w:before="0" w:after="0"/>
        <w:ind w:left="0" w:right="0" w:firstLine="108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1080"/>
        <w:jc w:val="left"/>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Life Annuities and Installment Payments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Life Annuities</w:t>
      </w:r>
      <w:r>
        <w:rPr>
          <w:rFonts w:ascii="Times New Roman" w:hAnsi="Times New Roman"/>
          <w:color w:val="000000"/>
          <w:sz w:val="20"/>
        </w:rPr>
        <w:t>. A life annuity is treated as a single payment. For purposes of this Section 4.02(B)(3), a “life annuity” is a series of substantially equal periodic payments, payable not less frequently than annually, for the life (or life expectancy) of the Participant. A change in the form of payment before any annuity payment has been made from one type of life annuity to another with the same scheduled date for the first payment is not subject to the change payment election requirements provided that the annuities are actuarially equivalent applying reasonable actuarial assumptions and that at any given time, the same actuarial assumptions and methods are used to value each annuity. The requirement of actuarial equivalence applies for the duration of the Participant’s participation in the Plan such that the annuity payment must be actuarially equivalent at all times for the annuity payment options to be treated as a single time and method of payment. The Plan over time may change actuarial assumptions and methods provided such methods and assumptions are reasonable. The following features are disregarded in determining if the payment is a life annuity but are taken into account in determining if one life annuity is the actuarial equivalent of another: (i) term certain features under which payments continue for the longer of the annuitant’s life or for a fixed period of time; (ii) pop-up features under which payments increase upon the death of the Beneficiary or other event which eliminates the survivor annuity; (iii) cash refund features under which there is a payment on the death of the last annuitant in an amount not greater than the excess of the present value of the annuity at the annuity starting state over the total payments before the last annuitant’s death; (iv) a feature under which the annuity provides higher periodic payments before the expected commencement of Social Security or Railroad Retirement Act benefits and lower payments after the expected commencement of such benefits, such the combined payments are approximately level before and after the expected commencement date; and (v) features providing for a cost-of-living increase in the annuity payment in accordance with Treas. Reg. §1.409A-6, Q &amp; A-14(A)(1) or (2).</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Installments</w:t>
      </w:r>
      <w:r>
        <w:rPr>
          <w:rFonts w:ascii="Times New Roman" w:hAnsi="Times New Roman"/>
          <w:color w:val="000000"/>
          <w:sz w:val="20"/>
        </w:rPr>
        <w:t>. The Employer will treat the installments which are not a life annuity as a single payment. For purposes of this Section 4.02(B)(3), a “series of installment payments” means payment of a series of substantially equal periodic amounts to be paid over a predetermined number of years. For this purpose, a series of installment payments over a predetermined period and: (i) a series of installments over a shorter or longer period; and (ii) a series of installments over the same period but with a difference commencement date, are different times and methods of payment and a change in the predetermined period or commencement date is subject to this Section 4.02(B). An installment payment does not fail to be an installment solely because the plan provides for an immediate payment of all remaining installments if the present value of the Deferred Compensation to be paid in the remaining installments falls below a predetermined amount, and the immediate payment in not an acceleration under Section 4.02(C) provided that the payment election establishes this feature, including the predetermined amount triggering immediate payment and that any change to the feature is subject to this Section 4.02(B).</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Coordination with Anti-Acceleration Rule</w:t>
      </w:r>
      <w:r>
        <w:rPr>
          <w:rFonts w:ascii="Times New Roman" w:hAnsi="Times New Roman"/>
          <w:color w:val="000000"/>
          <w:sz w:val="20"/>
        </w:rPr>
        <w:t>. The definition of “payment” in Sections 4.02(B)(2) and (3) also applies to Section 4.02(C). A change payment election may change the form of payment to a more rapid schedule (including a change from installments to a lump-sum payment) without violating Section 4.02(C), provided any such change remains subject to the change payment election provisions under this Section 4.02(B).</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Multiple Payment Events</w:t>
      </w:r>
      <w:r>
        <w:rPr>
          <w:rFonts w:ascii="Times New Roman" w:hAnsi="Times New Roman"/>
          <w:color w:val="000000"/>
          <w:sz w:val="20"/>
        </w:rPr>
        <w:t>. If the Plan permits multiple payment events, the change payment election provisions of Section 4.02(B)(1) apply separately as to each payment due upon each payment event. The addition or deletion of a permissible payment event to Deferred Compensation previously deferred is subject to the change election provisions of Section 4.02(B)(1) where the additional event may cause a change in the time or form of payment. However the addition of death, Disability or Unforeseeable Emergency as an “earliest of” payment event is not a change payment election and is not an impermissible acceleration under Section 4.02(C).</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Domestic Relations Orders</w:t>
      </w:r>
      <w:r>
        <w:rPr>
          <w:rFonts w:ascii="Times New Roman" w:hAnsi="Times New Roman"/>
          <w:color w:val="000000"/>
          <w:sz w:val="20"/>
        </w:rPr>
        <w:t>. An election, pursuant to or reflected in a domestics relations order under Code §414(p)(1)(B), by someone other than the Participant, as to payments to a person other than the Participant, is not a change payment election subject to this Section 4.02(B).</w:t>
      </w:r>
    </w:p>
    <w:p>
      <w:pPr>
        <w:pStyle w:val="TextBody"/>
        <w:bidi w:val="0"/>
        <w:spacing w:before="0" w:after="0"/>
        <w:ind w:left="0" w:right="0" w:firstLine="108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Certain Payment Delays not Subject to Change Payment Election Rules</w:t>
      </w:r>
      <w:r>
        <w:rPr>
          <w:rFonts w:ascii="Times New Roman" w:hAnsi="Times New Roman"/>
          <w:color w:val="000000"/>
          <w:sz w:val="20"/>
        </w:rPr>
        <w:t>. The Employer operationally will elect whether to apply the some or all of the following payment delay provisions. The Employer in applying such provisions must treat all payments to similarly situated service providers on a reasonably equivalent basis. If applicable, these provisions do not result in the Plan failing to provide for payment upon a permissible event as Code §409A requires nor are the delays treated as a change payment election under this Section 4.02(B).</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Non-deductible Payment</w:t>
      </w:r>
      <w:r>
        <w:rPr>
          <w:rFonts w:ascii="Times New Roman" w:hAnsi="Times New Roman"/>
          <w:color w:val="000000"/>
          <w:sz w:val="20"/>
        </w:rPr>
        <w:t>. The Plan may delay payment to a Participant if the Employer reasonably anticipates that the Employer’s deduction for the scheduled payment of the Participant’s Deferred Compensation will be barred under Code §162(m). In such event, the Plan (without any Participant election as to timing) will pay such Deferred Compensation either in the Participant’s first Taxable Year in which the Employer reasonably anticipates or should reasonably anticipate that Code §162(m) will not apply or during the period beginning on the date the affected Participant Separates from Service and ending on the later of the last day of the Participant’s Taxable Year in which the Separation occurs or the 15th day of the third month following the Separation. If the Employer fails to delay under this Section 4.02(B)(7)(a) all scheduled payments during a Taxable Year which could be so delayed, the Employer’s delay of any payment is a change payment election subject to this Section 4.02(B). If the Employer delays payment until the Participant’s Separation from Service, the payment is considered as made based on Separation from Service for purpose of application of Section 4.01(D) and payment to a Specified Employee will be made on the date that is six months after Separation from Service.</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Securities or Other Laws</w:t>
      </w:r>
      <w:r>
        <w:rPr>
          <w:rFonts w:ascii="Times New Roman" w:hAnsi="Times New Roman"/>
          <w:color w:val="000000"/>
          <w:sz w:val="20"/>
        </w:rPr>
        <w:t>. The Plan may delay payment to a Participant if the Employer reasonably anticipates that the payment will violate Federal securities law or other applicable law. The Plan will pay such Deferred Compensation at the earliest date at which the Employer reasonably anticipates that the payment will not cause a violation of such laws. For purposes of this Section 4.02(B)(7)(b), a violation of “other applicable law” does not include a payment which would cause inclusion of the Deferred Compensation in the Participant’s gross income or which would subject the Participant to any Code penalty or other Code provision.</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Change in Control</w:t>
      </w:r>
      <w:r>
        <w:rPr>
          <w:rFonts w:ascii="Times New Roman" w:hAnsi="Times New Roman"/>
          <w:color w:val="000000"/>
          <w:sz w:val="20"/>
        </w:rPr>
        <w:t>. The Plan may delay payment to a Participant related to a Change in Control and that occur under the circumstances described in Treas. Reg. 1.409A-3(i)(5)(iv).</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Other</w:t>
      </w:r>
      <w:r>
        <w:rPr>
          <w:rFonts w:ascii="Times New Roman" w:hAnsi="Times New Roman"/>
          <w:color w:val="000000"/>
          <w:sz w:val="20"/>
        </w:rPr>
        <w:t>. The Plan may delay payment to a Participant upon such other events as Applicable Guidance may permit.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No Acceleration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General Rule</w:t>
      </w:r>
      <w:r>
        <w:rPr>
          <w:rFonts w:ascii="Times New Roman" w:hAnsi="Times New Roman"/>
          <w:color w:val="000000"/>
          <w:sz w:val="20"/>
        </w:rPr>
        <w:t>. No person may accelerate the time or schedule of any Plan payment or amount scheduled to be paid under the Plan. For this purpose, the payment of an amount substituted for the Deferred Compensation is a payment of the Deferred Compensation, as provided in Treas. Reg. §1.409A-3(f).</w:t>
      </w:r>
    </w:p>
    <w:p>
      <w:pPr>
        <w:pStyle w:val="TextBody"/>
        <w:bidi w:val="0"/>
        <w:spacing w:before="0" w:after="0"/>
        <w:ind w:left="0" w:right="0" w:firstLine="234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Not an Acceleration.</w:t>
      </w:r>
      <w:r>
        <w:rPr>
          <w:rFonts w:ascii="Times New Roman" w:hAnsi="Times New Roman"/>
          <w:color w:val="000000"/>
          <w:sz w:val="20"/>
        </w:rPr>
        <w:t xml:space="preserve"> Certain actions as described in Treas. Reg. §§1.409A-3(j)(1), (2),(3),(5) and (6) are not an acceleration including: (i) certain payments made as a result of an intervening payment event and made in accordance with Plan provisions or pursuant to an initial payment election under Sections4.01 and 4.02 or a change payment election under Section 4.02(B); (ii) the Employer’s waiver or acceleration of the satisfaction of any condition constituting a Substantial Risk of Forfeiture provided that payment is made only upon a permissible payment event; or (iii) the addition of death, Disability or Unforeseeable Emergency as payment events where such addition results in an earlier payment than would have occurred without the addition of such events.</w:t>
      </w:r>
    </w:p>
    <w:p>
      <w:pPr>
        <w:pStyle w:val="TextBody"/>
        <w:bidi w:val="0"/>
        <w:spacing w:before="0" w:after="0"/>
        <w:ind w:left="0" w:right="0" w:firstLine="234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Permissible Accelerations/ Including Cash-Out</w:t>
      </w:r>
      <w:r>
        <w:rPr>
          <w:rFonts w:ascii="Times New Roman" w:hAnsi="Times New Roman"/>
          <w:color w:val="000000"/>
          <w:sz w:val="20"/>
        </w:rPr>
        <w:t>. Notwithstanding Section 4.02(C)(1), the Employer in its sole discretion and without any Participant discretion or election, operationally may elect accelerations of the time or schedule of payment from the Plan in any or all of the circumstances described in Treas. Reg. §§1.409A-3(j)(4)(ii) through (xiv). Such circumstances include, but are not limited to, the mandatory lump-sum payment of the Participant’s entire Vested portion of the Benefit at any time provided that the Employer evidences its discretion to make such payment in writing no later than the date of payment, the payment results in the termination and liquidation of the Participant’s interest under the Plan and under all Aggregated Plans, and the payment amount does not exceed the applicable dollar amount under Code§402(g)(1)(B). The Employer in applying this Section 4.02(C)(3) must treat all similarly situated service providers on a reasonably equivalent basis. See Section 6.03 as to Plan termination which also results in a permissible acceleration.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4.03 </w:t>
      </w:r>
      <w:r>
        <w:rPr>
          <w:rFonts w:ascii="Times New Roman" w:hAnsi="Times New Roman"/>
          <w:color w:val="000000"/>
          <w:sz w:val="20"/>
          <w:u w:val="single"/>
        </w:rPr>
        <w:t>Withholding</w:t>
      </w:r>
      <w:r>
        <w:rPr>
          <w:rFonts w:ascii="Times New Roman" w:hAnsi="Times New Roman"/>
          <w:color w:val="000000"/>
          <w:sz w:val="20"/>
        </w:rPr>
        <w:t>. The Employer will withhold from any payment made under the Plan and from any amount taxable under Code §409A, all applicable taxes, and any and all other amounts required to be withheld under Applicable Guidance.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4.04 </w:t>
      </w:r>
      <w:r>
        <w:rPr>
          <w:rFonts w:ascii="Times New Roman" w:hAnsi="Times New Roman"/>
          <w:color w:val="000000"/>
          <w:sz w:val="20"/>
          <w:u w:val="single"/>
        </w:rPr>
        <w:t>Payments Treated as Made on Payment Date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Certain Late Payments</w:t>
      </w:r>
      <w:r>
        <w:rPr>
          <w:rFonts w:ascii="Times New Roman" w:hAnsi="Times New Roman"/>
          <w:color w:val="000000"/>
          <w:sz w:val="20"/>
        </w:rPr>
        <w:t>. The Plan’s payment of Deferred Compensation is deemed made on the Plan required payment date or payment election required payment date even if the Plan makes payment after such date, provided the payment is made by the latest of: (i) the end of the Taxable Year in which the payment is due; (ii) the 15th day of the third calendar month following the payment due date provided that the Participant is not able, directly or indirectly, to designate the Taxable Year of payment; (iii) in case the Employer cannot calculate the payment amount on account of administrative impracticality which is beyond the Participant’s control, in the first Taxable Year of the Participant in which payment is practicable; (iv) in case the making of the payment on the specified date would jeopardize the Employer’s ability to continue as a going concern, in the first Taxable Year of the Participant in which the payment would not have such effect. The Employer may cause the Plan to pay a Participant’s Benefit on any date which satisfies this Section 4.04(A) and that is administratively practicable following any Plan specified payment date or the date specified in any valid payment election.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Change in Control</w:t>
      </w:r>
      <w:r>
        <w:rPr>
          <w:rFonts w:ascii="Times New Roman" w:hAnsi="Times New Roman"/>
          <w:color w:val="000000"/>
          <w:sz w:val="20"/>
        </w:rPr>
        <w:t>. In the case of certain Change in Control events, as described in Treas. Reg. §1.409A-3(i)(5)(iv), certain transaction based compensation paid on the same schedule and on the same terms as apply to shareholders generally with respect the Employer’s stock or as the payments to the Employer, is treated as paid on the designated payment date. Further, such payments made within 5 years after the Change in Control event are deemed compliant with Sections 4.02(A) and (B).</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Disputed Payments</w:t>
      </w:r>
      <w:r>
        <w:rPr>
          <w:rFonts w:ascii="Times New Roman" w:hAnsi="Times New Roman"/>
          <w:color w:val="000000"/>
          <w:sz w:val="20"/>
        </w:rPr>
        <w:t>. In the event of a dispute between the Employer and a Participant as to whether Deferred Compensation is payable to the Participant or as to the amount thereof, or any other failure to pay, payment is treated as paid on the designated payment date if such payment is made in accordance with Treas. Reg. §1.409A-3(g).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Early Payments</w:t>
      </w:r>
      <w:r>
        <w:rPr>
          <w:rFonts w:ascii="Times New Roman" w:hAnsi="Times New Roman"/>
          <w:color w:val="000000"/>
          <w:sz w:val="20"/>
        </w:rPr>
        <w:t>. The Employer also may cause the Plan or Trustee to pay on a date no earlier than 30 days before the specified payment date provided the Participant is not able, directly or indirectly, to designate the Taxable Year of the payment. Such “early” payments are not an accelerated payment under Section 4.02(C).</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4.05 </w:t>
      </w:r>
      <w:r>
        <w:rPr>
          <w:rFonts w:ascii="Times New Roman" w:hAnsi="Times New Roman"/>
          <w:color w:val="000000"/>
          <w:sz w:val="20"/>
          <w:u w:val="single"/>
        </w:rPr>
        <w:t>Payment Election Requirements</w:t>
      </w:r>
      <w:r>
        <w:rPr>
          <w:rFonts w:ascii="Times New Roman" w:hAnsi="Times New Roman"/>
          <w:color w:val="000000"/>
          <w:sz w:val="20"/>
        </w:rPr>
        <w:t>. The term “payment election,” for purposes of this Section 4.05(B) and the Plan generally, means either an initial payment election under Section 4.02(A) or a change payment election under Section 4.02(B).</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Compliance with Plan Terms</w:t>
      </w:r>
      <w:r>
        <w:rPr>
          <w:rFonts w:ascii="Times New Roman" w:hAnsi="Times New Roman"/>
          <w:color w:val="000000"/>
          <w:sz w:val="20"/>
        </w:rPr>
        <w:t>. All initial payment elections and change payment elections must be consistent with the Plan and with the Adoption Agreement.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When Election is Considered Made; Irrevocability</w:t>
      </w:r>
      <w:r>
        <w:rPr>
          <w:rFonts w:ascii="Times New Roman" w:hAnsi="Times New Roman"/>
          <w:color w:val="000000"/>
          <w:sz w:val="20"/>
        </w:rPr>
        <w: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Participant Elections</w:t>
      </w:r>
      <w:r>
        <w:rPr>
          <w:rFonts w:ascii="Times New Roman" w:hAnsi="Times New Roman"/>
          <w:color w:val="000000"/>
          <w:sz w:val="20"/>
        </w:rPr>
        <w:t>. A Participant’s payment election is not considered made for any purpose under the Plan until both: (i) the Employer approves the election; and (ii) the election has become irrevocable. A Participant’s payment election is always revocable until the Employer accepts the election, which acceptance must occur within the time period described in Section 4.05(C). A Participant’s payment election becomes irrevocable as the Employer elects in its Adoption Agreement.</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Employer Elections</w:t>
      </w:r>
      <w:r>
        <w:rPr>
          <w:rFonts w:ascii="Times New Roman" w:hAnsi="Times New Roman"/>
          <w:color w:val="000000"/>
          <w:sz w:val="20"/>
        </w:rPr>
        <w:t>. The Employer’s payment election is not considered made for any purpose under the Plan until the election has become irrevocable. The Employer’s initial payment election is irrevocable after the last permissible date for making the election under Section 4.02(A)(2). The Employer’s change payment election relating to payment at a Specified Time or pursuant to a Fixed Schedule is irrevocable after the last permissible date for making the election under Section 4.02(B)(1)(a). The Employer’s change payment election relating to payment based on any other payment event (not a Specified Time or Fixed Schedule) remains revocable for 30 days following the Employer’s execution of the change payment election.</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Effect of Changes While Election is Revocable</w:t>
      </w:r>
      <w:r>
        <w:rPr>
          <w:rFonts w:ascii="Times New Roman" w:hAnsi="Times New Roman"/>
          <w:color w:val="000000"/>
          <w:sz w:val="20"/>
        </w:rPr>
        <w:t>. Any change made to a payment election while the election remains revocable is not a change payment election, either for purposes of Section 4.02(B)(1) timing rules or in applying any Plan limit on the number of change payment elections a Participant may make as to any amount of Deferred Compensation. Any modification to a payment election after the election has become irrevocable is a change payment election (if made with respect to an initial payment election) or is a new change payment election (if made with respect to a change payment election).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Employer Approval of Participant Elections</w:t>
      </w:r>
      <w:r>
        <w:rPr>
          <w:rFonts w:ascii="Times New Roman" w:hAnsi="Times New Roman"/>
          <w:color w:val="000000"/>
          <w:sz w:val="20"/>
        </w:rPr>
        <w:t>. The Employer expressly and in writing must approve any Participant payment election as to timing, form and medium, even if the Plan and Adoption Agreement permit such election. The Employer, in its absolute discretion, may withhold approval for any reason, including, but not limited to, non-compliance with Plan terms. However, the Employer must approve or reject any such election within the time period during which the Participant would have had to make the election. If the Employer does not so approve or reject a payment election, the election is deemed rejected within such time period.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 TRUST ELECTION AND PLAN EARNINGS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5.01 </w:t>
      </w:r>
      <w:r>
        <w:rPr>
          <w:rFonts w:ascii="Times New Roman" w:hAnsi="Times New Roman"/>
          <w:color w:val="000000"/>
          <w:sz w:val="20"/>
          <w:u w:val="single"/>
        </w:rPr>
        <w:t>Unfunded Plan</w:t>
      </w:r>
      <w:r>
        <w:rPr>
          <w:rFonts w:ascii="Times New Roman" w:hAnsi="Times New Roman"/>
          <w:color w:val="000000"/>
          <w:sz w:val="20"/>
        </w:rPr>
        <w:t>. The Employer intends this Plan to be an unfunded plan that is wholly or partially exempt under ERISA. No Participant or successor thereto has any legal or equitable right, interest or claim to any property or assets of the Employer, including any Benefit under the Plan except as the Plan otherwise permits. The Employer’s obligation to pay Plan Benefits is an unsecured promise to pay. Any assets remain subject to claims of the Employer’s general creditors and no Participant’s claim to Plan assets has any priority over any general unsecured creditor of the Employer. Except as otherwise provided in the Plan, all Plan assets, including all incidents of ownership thereto, at all times will be the sole property of the Employer.</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5.02 </w:t>
      </w:r>
      <w:r>
        <w:rPr>
          <w:rFonts w:ascii="Times New Roman" w:hAnsi="Times New Roman"/>
          <w:color w:val="000000"/>
          <w:sz w:val="20"/>
          <w:u w:val="single"/>
        </w:rPr>
        <w:t>No Trust.</w:t>
      </w:r>
      <w:r>
        <w:rPr>
          <w:rFonts w:ascii="Times New Roman" w:hAnsi="Times New Roman"/>
          <w:color w:val="000000"/>
          <w:sz w:val="20"/>
        </w:rPr>
        <w:t xml:space="preserve"> This Plan does not create a trust for the benefit of any Participant. If the Employer does not establish the Trust: (i) the Employer may elect to make notional contributions in lieu of actual contributions to the Plan; and (ii) the Employer may elect not to invest any actual Plan contributions. If the Employer elects to invest any actual Plan contributions in whole or in part in life insurance policies or mutual funds, such investments will be held for the Employer’s benefit in providing for the Employer’s obligations under the Plan or for such other purposes as the Employer may determine.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 MISCELLANEOUS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6.01 </w:t>
      </w:r>
      <w:r>
        <w:rPr>
          <w:rFonts w:ascii="Times New Roman" w:hAnsi="Times New Roman"/>
          <w:color w:val="000000"/>
          <w:sz w:val="20"/>
          <w:u w:val="single"/>
        </w:rPr>
        <w:t>No Assignment</w:t>
      </w:r>
      <w:r>
        <w:rPr>
          <w:rFonts w:ascii="Times New Roman" w:hAnsi="Times New Roman"/>
          <w:color w:val="000000"/>
          <w:sz w:val="20"/>
        </w:rPr>
        <w:t>. No Participant has the right to anticipate, alienate, assign, pledge, encumber, sell, transfer, mortgage or otherwise in any manner convey in advance of actual receipt, the Participant’s Benefit. Prior to actual payment, a Participant’s Benefit is not subject to the debts, judgments or other obligations of the Participant and is not subject to attachment, seizure, garnishment or other process applicable to the Participant.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6.02 </w:t>
      </w:r>
      <w:r>
        <w:rPr>
          <w:rFonts w:ascii="Times New Roman" w:hAnsi="Times New Roman"/>
          <w:color w:val="000000"/>
          <w:sz w:val="20"/>
          <w:u w:val="single"/>
        </w:rPr>
        <w:t>Not Employment Contract</w:t>
      </w:r>
      <w:r>
        <w:rPr>
          <w:rFonts w:ascii="Times New Roman" w:hAnsi="Times New Roman"/>
          <w:color w:val="000000"/>
          <w:sz w:val="20"/>
        </w:rPr>
        <w:t>. This Plan is not a contract for employment between the Employer and any Employee who is a Participant. This Plan does not entitle any Participant to continued employment with the Employer, and benefits under the Plan are limited to payment of a Participant’s Benefit in accordance with the terms of the Plan.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6.03 </w:t>
      </w:r>
      <w:r>
        <w:rPr>
          <w:rFonts w:ascii="Times New Roman" w:hAnsi="Times New Roman"/>
          <w:color w:val="000000"/>
          <w:sz w:val="20"/>
          <w:u w:val="single"/>
        </w:rPr>
        <w:t>Amendment and Termination</w:t>
      </w:r>
      <w:r>
        <w:rPr>
          <w:rFonts w:ascii="Times New Roman" w:hAnsi="Times New Roman"/>
          <w:color w:val="000000"/>
          <w:sz w:val="20"/>
        </w:rPr>
        <w:t>.</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Amendment</w:t>
      </w:r>
      <w:r>
        <w:rPr>
          <w:rFonts w:ascii="Times New Roman" w:hAnsi="Times New Roman"/>
          <w:color w:val="000000"/>
          <w:sz w:val="20"/>
        </w:rPr>
        <w:t>. The Employer reserves the right to amend the Plan at any time to comply with Code§409A, Treas. Reg. §1.409A and other Applicable Guidance or for any other purpose, provided that such amendment will not result in taxation to any Participant under Code §409A. Except as the Plan and Applicable Guidance otherwise may require, the Employer may make any such amendments effective immediately.</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Termination</w:t>
      </w:r>
      <w:r>
        <w:rPr>
          <w:rFonts w:ascii="Times New Roman" w:hAnsi="Times New Roman"/>
          <w:color w:val="000000"/>
          <w:sz w:val="20"/>
        </w:rPr>
        <w:t>. The Employer may terminate, but is not required to terminate and liquidate the Plan under the following circumstances:</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Dissolution/Bankruptcy</w:t>
      </w:r>
      <w:r>
        <w:rPr>
          <w:rFonts w:ascii="Times New Roman" w:hAnsi="Times New Roman"/>
          <w:color w:val="000000"/>
          <w:sz w:val="20"/>
        </w:rPr>
        <w:t>. The Employer may terminate and liquidate the Plan within 12 months following a dissolution of a corporate Employer taxable under Code §331 or with approval of a Bankruptcy court under 11 U.S.C. §503(b)(1)(A), provided that the Deferred Compensation is paid to the Participants and is included in the Participants’ gross income in the latest of (or, if earlier, the Taxable Year in which the amount is actually or constructively received): (i) the calendar year in which the plan termination and liquidation occurs; (ii) the first calendar year in which the amounts no longer are subject to a Substantial Risk of Forfeiture; or (iii) the first calendar year in which the payment is administratively practicable.</w:t>
      </w:r>
    </w:p>
    <w:p>
      <w:pPr>
        <w:pStyle w:val="TextBody"/>
        <w:bidi w:val="0"/>
        <w:spacing w:before="0" w:after="0"/>
        <w:ind w:left="0" w:right="0" w:firstLine="144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Change in Control</w:t>
      </w:r>
      <w:r>
        <w:rPr>
          <w:rFonts w:ascii="Times New Roman" w:hAnsi="Times New Roman"/>
          <w:color w:val="000000"/>
          <w:sz w:val="20"/>
        </w:rPr>
        <w:t>. The Employer may terminate and liquidate the Plan by irrevocable action taken within the 30 days preceding or the 12 months following a Change in Control, provided the Employer distributes all Vested Benefits (and must distribute the Vested Benefits under any Aggregated Plans which the Employer must also terminate and liquidate as to each Participant who has experienced the Change in Control) within 12 months following the date of Employer’s irrevocable action to terminate and liquidate the Plan and Aggregated Plans. Where the Change in Control results from an asset purchase transaction, the “Employer” with discretion to terminate and liquidate the Plan is the Employer that is primarily liable after the transaction to pay the Deferred Compensation.</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Other</w:t>
      </w:r>
      <w:r>
        <w:rPr>
          <w:rFonts w:ascii="Times New Roman" w:hAnsi="Times New Roman"/>
          <w:color w:val="000000"/>
          <w:sz w:val="20"/>
        </w:rPr>
        <w:t>. The Employer may terminate the Plan for any other reason in the Employer’s discretion provided that: (i) the termination and liquidation does not occur proximate to a downturn in the Employer’s financial health; (ii) the Employer also terminates all Aggregated Plans in which any Participant also is a participant; (iii) the Plan makes no payments in the 12 months following the date of Employer’s irrevocable action to terminate and liquidate the Plan other than payments the Plan would have made irrespective of Plan termination; (iv) the Plan makes all payments within 24 months following the date of Employer’s irrevocable action to terminate and liquidate the Plan; and (v) the Employer within 3 years following the date of Employer’s irrevocable action to terminate and liquidate the Plan does not adopt a new plan covering any Participant that would be an Aggregated Plan.</w:t>
      </w:r>
    </w:p>
    <w:p>
      <w:pPr>
        <w:pStyle w:val="TextBody"/>
        <w:bidi w:val="0"/>
        <w:spacing w:before="0" w:after="0"/>
        <w:ind w:left="0" w:right="0" w:firstLine="144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Applicable Guidance</w:t>
      </w:r>
      <w:r>
        <w:rPr>
          <w:rFonts w:ascii="Times New Roman" w:hAnsi="Times New Roman"/>
          <w:color w:val="000000"/>
          <w:sz w:val="20"/>
        </w:rPr>
        <w:t>. The Employer may terminate and liquidate the Plan under such other circumstances as Applicable Guidance may permit.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Effect on Vesting</w:t>
      </w:r>
      <w:r>
        <w:rPr>
          <w:rFonts w:ascii="Times New Roman" w:hAnsi="Times New Roman"/>
          <w:color w:val="000000"/>
          <w:sz w:val="20"/>
        </w:rPr>
        <w:t>. Any Plan amendment or termination will not reduce the Vested portion of Participant’s Benefit at the date of the amendment or termination and will not accelerate vesting except as the Employer may expressly provide for in connection with the amendment or termination, provided that any such vesting acceleration does not subject any Participant to taxation under Code §409A.</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Cessation of Future Contributions</w:t>
      </w:r>
      <w:r>
        <w:rPr>
          <w:rFonts w:ascii="Times New Roman" w:hAnsi="Times New Roman"/>
          <w:color w:val="000000"/>
          <w:sz w:val="20"/>
        </w:rPr>
        <w:t>. The Employer in its Adoption Agreement may elect at any time to amend the Plan to cease future accruals as of a specified date. In such event, the Plan remains in effect (except those provisions permitting the frozen accruals) until all Benefits are paid in accordance with the Plan terms, or, if earlier, upon the Employer’s termination of the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6.04 </w:t>
      </w:r>
      <w:r>
        <w:rPr>
          <w:rFonts w:ascii="Times New Roman" w:hAnsi="Times New Roman"/>
          <w:color w:val="000000"/>
          <w:sz w:val="20"/>
          <w:u w:val="single"/>
        </w:rPr>
        <w:t>Fair Construction</w:t>
      </w:r>
      <w:r>
        <w:rPr>
          <w:rFonts w:ascii="Times New Roman" w:hAnsi="Times New Roman"/>
          <w:color w:val="000000"/>
          <w:sz w:val="20"/>
        </w:rPr>
        <w:t xml:space="preserve">. The Employer and Participant intend that this Plan in form and in operation comply with Code 409A, the regulations thereunder, and all other present and future Applicable Guidance. The Employer and any other party with authority to interpret or administer the Plan will interpret the Plan terms in a manner which is consistent with Applicable Law. However, as required under Treas. Reg.§1.409A-1(c)(1), the “interpretation” of the Plan does not permit the deletion of material terms which are expressly contrary to Code §409A and the regulations thereunder and also does not permit the addition of missing terms necessary to comply therewith. Such deletions or additions may be accomplished only be means of a Plan amendment under Section 6.03(A). Any Employer, initial payment election, change payment election or any other Plan permitted election, notice or designation which is not compliant with Applicable Law is not an “election” or other action under the Plan and has no effect whatsoever. In the event the Employer fails to make an election or fails to make a compliant election, the Employer will apply the Plan’s default terms under Sections 4.01(B) and 4.02(A)(4). </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6.05 </w:t>
      </w:r>
      <w:r>
        <w:rPr>
          <w:rFonts w:ascii="Times New Roman" w:hAnsi="Times New Roman"/>
          <w:color w:val="000000"/>
          <w:sz w:val="20"/>
          <w:u w:val="single"/>
        </w:rPr>
        <w:t>Notice and Elections</w:t>
      </w:r>
      <w:r>
        <w:rPr>
          <w:rFonts w:ascii="Times New Roman" w:hAnsi="Times New Roman"/>
          <w:color w:val="000000"/>
          <w:sz w:val="20"/>
        </w:rPr>
        <w:t>. Any notice given or election made under the Plan must be in writing and must be delivered or mailed by certified mail, to the Employer, the Trustee or to the Participant as appropriate. The Employer will prescribe the form of any Plan notice or election to be given to or made by Participants. Any notice or election will be deemed given or made as of the date of delivery, or if given or made by certified mail, as of three (3) business days after mailing.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6.06 </w:t>
      </w:r>
      <w:r>
        <w:rPr>
          <w:rFonts w:ascii="Times New Roman" w:hAnsi="Times New Roman"/>
          <w:color w:val="000000"/>
          <w:sz w:val="20"/>
          <w:u w:val="single"/>
        </w:rPr>
        <w:t>Administration</w:t>
      </w:r>
      <w:r>
        <w:rPr>
          <w:rFonts w:ascii="Times New Roman" w:hAnsi="Times New Roman"/>
          <w:color w:val="000000"/>
          <w:sz w:val="20"/>
        </w:rPr>
        <w:t>. The general administration of the Plan shall be Vested in the Employer. The Employer shall be the “Named Fiduciary” of the Plan as such term is defined in ERISA §402(a) and the “Administrator” as such term is defined in ERISA §3. The decision of the Plan Administrator in matters within its discretion shall be final, binding, and conclusive upon the Employer and Employee, his beneficiaries, and every other person concerned. The Employer will administer and interpret the Plan, including making a determination of the Vested portion of Benefit due any Participant under the Plan. As a condition of receiving any Plan Benefit to which a Participant otherwise may be entitled, a Participant will provide such information and will perform such other acts as the Employer reasonably may request. The Employer may cause the Plan to forfeit any or all of a Participant’s Vested Benefit, if the Participant fails to cooperate reasonably with the Employer in the administration of the Plan, provided that this provision does not apply to a bona fide dispute under Section 4.04(A)(2). The Employer may retain agents to assist in the administration of the Plan and may delegate to agents such duties as it sees fit. The decision of the Employer or its designee concerning the administration of the Plan is final and is binding upon all persons having any interest in the Plan. The Employer will indemnify, defend and hold harmless any Employee designated by the Employer to assist in the administration of the Plan from any and all loss, damage, claims, expense or liability with respect to this Plan (collectively, “claims”) except claims arising from the intentional acts or gross negligence of the Employee.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6.07 </w:t>
      </w:r>
      <w:r>
        <w:rPr>
          <w:rFonts w:ascii="Times New Roman" w:hAnsi="Times New Roman"/>
          <w:color w:val="000000"/>
          <w:sz w:val="20"/>
          <w:u w:val="single"/>
        </w:rPr>
        <w:t>Costs and Expenses</w:t>
      </w:r>
      <w:r>
        <w:rPr>
          <w:rFonts w:ascii="Times New Roman" w:hAnsi="Times New Roman"/>
          <w:color w:val="000000"/>
          <w:sz w:val="20"/>
        </w:rPr>
        <w:t>. The Employer will pay the other costs, expenses and fees associated with the operation of the Plan, excluding those incurred by Participants.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6.08</w:t>
      </w:r>
      <w:r>
        <w:rPr>
          <w:rFonts w:ascii="Times New Roman" w:hAnsi="Times New Roman"/>
          <w:color w:val="000000"/>
          <w:sz w:val="20"/>
          <w:u w:val="single"/>
        </w:rPr>
        <w:t xml:space="preserve"> Reporting</w:t>
      </w:r>
      <w:r>
        <w:rPr>
          <w:rFonts w:ascii="Times New Roman" w:hAnsi="Times New Roman"/>
          <w:color w:val="000000"/>
          <w:sz w:val="20"/>
        </w:rPr>
        <w:t>. The Employer will report Deferred Compensation for Employee Participants on Form W-2 for and on Form 1099-MISC for Contractor Participants in accordance with Applicable Guidance.</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6.09 </w:t>
      </w:r>
      <w:r>
        <w:rPr>
          <w:rFonts w:ascii="Times New Roman" w:hAnsi="Times New Roman"/>
          <w:color w:val="000000"/>
          <w:sz w:val="20"/>
          <w:u w:val="single"/>
        </w:rPr>
        <w:t>ERISA Claims Procedure</w:t>
      </w:r>
      <w:r>
        <w:rPr>
          <w:rFonts w:ascii="Times New Roman" w:hAnsi="Times New Roman"/>
          <w:color w:val="000000"/>
          <w:sz w:val="20"/>
        </w:rPr>
        <w:t>. If this Plan is established as a “top-hat plan” within the meaning of DOL Reg. §2520.104-23, the following claims procedure under DOL Reg. §2560.503-1 applies. For purposes of the Plan’s claims procedure under this Section 6.09, the “Plan Administrator” means the Employer. A Participant may file with the Plan Administrator a written claim for benefits, if the Participant disputes the Plan Administrator’s determination regarding the Participant’s Plan benefit. However, the Plan Administrator will cause the Plan to pay only such benefits as the Plan Administrator in its discretion determines a Participant is entitled to receive. The Plan Administrator under this Section 6.09 will provide a separate written document to affected Participants which explains the Plan’s claims procedure and which by this reference is incorporated into the Plan. If the Plan Administrator makes a final written determination denying a Participant’s claim, the Participant must file an appeal with respect to the denied claim within 180 days following the date of the Plan Administrator’s final determination.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6.10 </w:t>
      </w:r>
      <w:r>
        <w:rPr>
          <w:rFonts w:ascii="Times New Roman" w:hAnsi="Times New Roman"/>
          <w:color w:val="000000"/>
          <w:sz w:val="20"/>
          <w:u w:val="single"/>
        </w:rPr>
        <w:t>Arbitration</w:t>
      </w:r>
      <w:r>
        <w:rPr>
          <w:rFonts w:ascii="Times New Roman" w:hAnsi="Times New Roman"/>
          <w:color w:val="000000"/>
          <w:sz w:val="20"/>
        </w:rPr>
        <w:t>. If Participant’s claim for benefits is denied and a Participant’s appeal of the denial of benefits is denied, the Participant may submit the dispute to an Arbitrator for final arbitration. The Arbitrator shall be selected by mutual agreement of the Participant and the Plan Administrator. The Arbitrator shall operate under any generally recognized set of arbitration rules. The Participant and the Employer agree the parties, their heirs, personal representatives, successors and assigns shall be bound by the decision of such Arbitrator with respect to any controversy properly submitted to it for determination. If a dispute arises as to the Employer’s “Discharge for Cause” of the Participant, such dispute shall likewise be submitted to arbitration as above described and the parties agree to be bound by the decision of the Arbitrator.</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6.11 </w:t>
      </w:r>
      <w:r>
        <w:rPr>
          <w:rFonts w:ascii="Times New Roman" w:hAnsi="Times New Roman"/>
          <w:color w:val="000000"/>
          <w:sz w:val="20"/>
          <w:u w:val="single"/>
        </w:rPr>
        <w:t>Applicable Law</w:t>
      </w:r>
      <w:r>
        <w:rPr>
          <w:rFonts w:ascii="Times New Roman" w:hAnsi="Times New Roman"/>
          <w:color w:val="000000"/>
          <w:sz w:val="20"/>
        </w:rPr>
        <w:t>. This Plan shall be construed in accordance with and governed by the laws of the State of Texas.</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6.12  </w:t>
      </w:r>
      <w:r>
        <w:rPr>
          <w:rFonts w:ascii="Times New Roman" w:hAnsi="Times New Roman"/>
          <w:color w:val="000000"/>
          <w:sz w:val="20"/>
          <w:u w:val="single"/>
        </w:rPr>
        <w:t>Confidentiality of Agreement.</w:t>
      </w:r>
      <w:r>
        <w:rPr>
          <w:rFonts w:ascii="Times New Roman" w:hAnsi="Times New Roman"/>
          <w:color w:val="000000"/>
          <w:sz w:val="20"/>
        </w:rPr>
        <w:t xml:space="preserve"> Participant will treat the existence and the terms of the Plan as strictly confidential. Participant will not disclose, either directly or indirectly, to any person or entity, other than Participant’s immediate family, (i) the benefits, terms or conditions of the Plan, (ii) any discussion or negotiations which occurred with respect to the Plan without the prior written consent of the Employer, except as required for income reporting purposes or as required by a court of competent jurisdiction or other administrative or legislative body. Prior to disclosing any of the confidential information to a court or other administrative or legislative body, Participant shall promptly notify the Employer so it may seek a protective order or other appropriate remedy.</w:t>
      </w:r>
    </w:p>
    <w:p>
      <w:pPr>
        <w:pStyle w:val="TextBody"/>
        <w:bidi w:val="0"/>
        <w:spacing w:before="0" w:after="0"/>
        <w:ind w:left="0" w:right="0" w:firstLine="72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VII. 409A AMOUNTS AND GRANDFATHERED AMOUNTS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7.01 </w:t>
      </w:r>
      <w:r>
        <w:rPr>
          <w:rFonts w:ascii="Times New Roman" w:hAnsi="Times New Roman"/>
          <w:color w:val="000000"/>
          <w:sz w:val="20"/>
          <w:u w:val="single"/>
        </w:rPr>
        <w:t>409A Amounts</w:t>
      </w:r>
      <w:r>
        <w:rPr>
          <w:rFonts w:ascii="Times New Roman" w:hAnsi="Times New Roman"/>
          <w:color w:val="000000"/>
          <w:sz w:val="20"/>
        </w:rPr>
        <w:t>. The terms of this Plan control as to any 409A Amount.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Prototype Plan</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7.02 </w:t>
      </w:r>
      <w:r>
        <w:rPr>
          <w:rFonts w:ascii="Times New Roman" w:hAnsi="Times New Roman"/>
          <w:color w:val="000000"/>
          <w:sz w:val="20"/>
          <w:u w:val="single"/>
        </w:rPr>
        <w:t>Grandfathered Amounts</w:t>
      </w:r>
      <w:r>
        <w:rPr>
          <w:rFonts w:ascii="Times New Roman" w:hAnsi="Times New Roman"/>
          <w:color w:val="000000"/>
          <w:sz w:val="20"/>
        </w:rPr>
        <w:t>. A Grandfathered Amount remains subject to the terms of the Plan as in effect before January 1, 2005, unless the Employer makes a material modification to the Plan as described in Treas. Reg. §1.409A-6(a)(4).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     *     *     *     *     *     *     *     *      *     *     *     *</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br/>
      </w:r>
      <w:r>
        <w:rPr>
          <w:rFonts w:ascii="Times New Roman" w:hAnsi="Times New Roman"/>
          <w:b w:val="false"/>
          <w:i w:val="false"/>
          <w:caps w:val="false"/>
          <w:smallCaps w:val="false"/>
          <w:color w:val="000000"/>
          <w:sz w:val="16"/>
        </w:rPr>
        <w:t>16</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2" w:name="ef20015269_ex10-18.htm"/>
      <w:bookmarkStart w:id="53" w:name="ksef20015269_ex1018"/>
      <w:bookmarkStart w:id="54" w:name="ef20015269_ex10-18.htm"/>
      <w:bookmarkStart w:id="55" w:name="ksef20015269_ex1018"/>
      <w:bookmarkEnd w:id="54"/>
      <w:bookmarkEnd w:id="5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10.18</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STEVEN CROCKETT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DEFERRED COMPENSATION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ADOPTION AGREEMENT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(Including Code §409A provisions)</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NONQUALIFIED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DEFERRED COMPENSATION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ADOPTION AGREEMENT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undersigned, CITY BANK, TEXAS (“Employer”) and STEVEN CROCKETT (“Participant”), by execution of this Adoption Agreement hereby establishes this Nonqualified Deferred Compensation Plan (“Plan”) consisting of the Basic Plan Document, this Adoption Agreement and all other Exhibits and documents to which they refer. The Employer makes the following elections concerning this Plan. All capitalized terms used in the Adoption Agreement have the same meaning given in the Basic Plan Document. References to “Section” followed by a number in this Adoption Agreement are references to the Basic Plan Document.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1.06     </w:t>
      </w:r>
      <w:r>
        <w:rPr>
          <w:rFonts w:ascii="Times New Roman" w:hAnsi="Times New Roman"/>
          <w:b/>
          <w:color w:val="000000"/>
          <w:sz w:val="20"/>
        </w:rPr>
        <w:t xml:space="preserve">Change in Control. </w:t>
      </w:r>
      <w:r>
        <w:rPr>
          <w:rFonts w:ascii="Times New Roman" w:hAnsi="Times New Roman"/>
          <w:color w:val="000000"/>
          <w:sz w:val="20"/>
        </w:rPr>
        <w:t>Change in Control means (</w:t>
      </w:r>
      <w:r>
        <w:rPr>
          <w:rFonts w:ascii="Times New Roman" w:hAnsi="Times New Roman"/>
          <w:i/>
          <w:color w:val="000000"/>
          <w:sz w:val="20"/>
        </w:rPr>
        <w:t>choose (a) or choose one of (b), (c) or (d)</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e94ccbee5eaf4942a8d20feb62273dad"/>
      <w:bookmarkStart w:id="57" w:name="ze94ccbee5eaf4942a8d20feb62273dad"/>
      <w:bookmarkEnd w:id="57"/>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both"/>
              <w:rPr/>
            </w:pPr>
            <w:r>
              <w:rPr/>
              <w:t>☐</w:t>
            </w:r>
          </w:p>
        </w:tc>
        <w:tc>
          <w:tcPr>
            <w:tcW w:w="9929" w:type="dxa"/>
            <w:tcBorders/>
            <w:vAlign w:val="center"/>
          </w:tcPr>
          <w:p>
            <w:pPr>
              <w:pStyle w:val="TableContents"/>
              <w:bidi w:val="0"/>
              <w:spacing w:before="0" w:after="0"/>
              <w:jc w:val="both"/>
              <w:rPr/>
            </w:pPr>
            <w:r>
              <w:rPr/>
              <w:t xml:space="preserve">(a)    </w:t>
            </w:r>
            <w:r>
              <w:rPr>
                <w:b/>
              </w:rPr>
              <w:t>Not applicable.</w:t>
            </w:r>
            <w:r>
              <w:rPr/>
              <w:t xml:space="preserve"> Change in Control does not apply for purposes of this Plan.</w:t>
            </w:r>
          </w:p>
        </w:tc>
      </w:tr>
      <w:tr>
        <w:trPr/>
        <w:tc>
          <w:tcPr>
            <w:tcW w:w="276" w:type="dxa"/>
            <w:tcBorders/>
            <w:vAlign w:val="center"/>
          </w:tcPr>
          <w:p>
            <w:pPr>
              <w:pStyle w:val="TableContents"/>
              <w:bidi w:val="0"/>
              <w:spacing w:before="0" w:after="283"/>
              <w:jc w:val="left"/>
              <w:rPr/>
            </w:pPr>
            <w:r>
              <w:rPr/>
              <w:t> </w:t>
            </w:r>
          </w:p>
        </w:tc>
        <w:tc>
          <w:tcPr>
            <w:tcW w:w="9929" w:type="dxa"/>
            <w:tcBorders/>
            <w:vAlign w:val="center"/>
          </w:tcPr>
          <w:p>
            <w:pPr>
              <w:pStyle w:val="TableContents"/>
              <w:bidi w:val="0"/>
              <w:spacing w:before="0" w:after="283"/>
              <w:jc w:val="left"/>
              <w:rPr/>
            </w:pPr>
            <w:r>
              <w:rPr/>
              <w:t>  </w:t>
            </w:r>
          </w:p>
        </w:tc>
      </w:tr>
      <w:tr>
        <w:trPr/>
        <w:tc>
          <w:tcPr>
            <w:tcW w:w="276" w:type="dxa"/>
            <w:tcBorders/>
            <w:vAlign w:val="center"/>
          </w:tcPr>
          <w:p>
            <w:pPr>
              <w:pStyle w:val="TableContents"/>
              <w:bidi w:val="0"/>
              <w:spacing w:before="0" w:after="0"/>
              <w:jc w:val="both"/>
              <w:rPr/>
            </w:pPr>
            <w:r>
              <w:rPr/>
              <w:t>☒</w:t>
            </w:r>
          </w:p>
        </w:tc>
        <w:tc>
          <w:tcPr>
            <w:tcW w:w="9929" w:type="dxa"/>
            <w:tcBorders/>
            <w:vAlign w:val="center"/>
          </w:tcPr>
          <w:p>
            <w:pPr>
              <w:pStyle w:val="TableContents"/>
              <w:bidi w:val="0"/>
              <w:spacing w:before="0" w:after="0"/>
              <w:jc w:val="both"/>
              <w:rPr/>
            </w:pPr>
            <w:r>
              <w:rPr/>
              <w:t xml:space="preserve">(b)    </w:t>
            </w:r>
            <w:r>
              <w:rPr>
                <w:b/>
              </w:rPr>
              <w:t xml:space="preserve">All events. </w:t>
            </w:r>
            <w:r>
              <w:rPr/>
              <w:t>Change in Control means all events under Section 1.06.</w:t>
            </w:r>
          </w:p>
        </w:tc>
      </w:tr>
      <w:tr>
        <w:trPr/>
        <w:tc>
          <w:tcPr>
            <w:tcW w:w="276" w:type="dxa"/>
            <w:tcBorders/>
            <w:vAlign w:val="center"/>
          </w:tcPr>
          <w:p>
            <w:pPr>
              <w:pStyle w:val="TableContents"/>
              <w:bidi w:val="0"/>
              <w:spacing w:before="0" w:after="283"/>
              <w:jc w:val="left"/>
              <w:rPr/>
            </w:pPr>
            <w:r>
              <w:rPr/>
              <w:t> </w:t>
            </w:r>
          </w:p>
        </w:tc>
        <w:tc>
          <w:tcPr>
            <w:tcW w:w="9929" w:type="dxa"/>
            <w:tcBorders/>
            <w:vAlign w:val="center"/>
          </w:tcPr>
          <w:p>
            <w:pPr>
              <w:pStyle w:val="TableContents"/>
              <w:bidi w:val="0"/>
              <w:spacing w:before="0" w:after="283"/>
              <w:jc w:val="left"/>
              <w:rPr/>
            </w:pPr>
            <w:r>
              <w:rPr/>
              <w:t>  </w:t>
            </w:r>
          </w:p>
        </w:tc>
      </w:tr>
      <w:tr>
        <w:trPr/>
        <w:tc>
          <w:tcPr>
            <w:tcW w:w="276" w:type="dxa"/>
            <w:tcBorders/>
            <w:vAlign w:val="center"/>
          </w:tcPr>
          <w:p>
            <w:pPr>
              <w:pStyle w:val="TableContents"/>
              <w:bidi w:val="0"/>
              <w:spacing w:before="0" w:after="0"/>
              <w:jc w:val="both"/>
              <w:rPr/>
            </w:pPr>
            <w:r>
              <w:rPr/>
              <w:t xml:space="preserve">☐ </w:t>
            </w:r>
          </w:p>
        </w:tc>
        <w:tc>
          <w:tcPr>
            <w:tcW w:w="9929" w:type="dxa"/>
            <w:tcBorders/>
            <w:vAlign w:val="center"/>
          </w:tcPr>
          <w:p>
            <w:pPr>
              <w:pStyle w:val="TableContents"/>
              <w:bidi w:val="0"/>
              <w:spacing w:before="0" w:after="0"/>
              <w:jc w:val="both"/>
              <w:rPr/>
            </w:pPr>
            <w:r>
              <w:rPr/>
              <w:t xml:space="preserve">(c)    </w:t>
            </w:r>
            <w:r>
              <w:rPr>
                <w:b/>
              </w:rPr>
              <w:t>Limited events.</w:t>
            </w:r>
            <w:r>
              <w:rPr/>
              <w:t xml:space="preserve"> Change in Control means only the following events under Section 1.06 (</w:t>
            </w:r>
            <w:r>
              <w:rPr>
                <w:i/>
              </w:rPr>
              <w:t>choose one or two of (i), (ii) and</w:t>
            </w:r>
            <w:r>
              <w:rPr/>
              <w:t> </w:t>
            </w:r>
            <w:r>
              <w:rPr>
                <w:i/>
              </w:rPr>
              <w:t>(iii)</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5a307ab094bb424fb95cfa7c3773f4e4"/>
      <w:bookmarkStart w:id="59" w:name="z5a307ab094bb424fb95cfa7c3773f4e4"/>
      <w:bookmarkEnd w:id="59"/>
    </w:p>
    <w:tbl>
      <w:tblPr>
        <w:tblW w:w="4678" w:type="dxa"/>
        <w:jc w:val="left"/>
        <w:tblInd w:w="0" w:type="dxa"/>
        <w:tblLayout w:type="fixed"/>
        <w:tblCellMar>
          <w:top w:w="0" w:type="dxa"/>
          <w:left w:w="0" w:type="dxa"/>
          <w:bottom w:w="0" w:type="dxa"/>
          <w:right w:w="0" w:type="dxa"/>
        </w:tblCellMar>
      </w:tblPr>
      <w:tblGrid>
        <w:gridCol w:w="23"/>
        <w:gridCol w:w="4655"/>
      </w:tblGrid>
      <w:tr>
        <w:trPr/>
        <w:tc>
          <w:tcPr>
            <w:tcW w:w="23" w:type="dxa"/>
            <w:tcBorders/>
            <w:vAlign w:val="center"/>
          </w:tcPr>
          <w:p>
            <w:pPr>
              <w:pStyle w:val="TableContents"/>
              <w:bidi w:val="0"/>
              <w:spacing w:before="0" w:after="283"/>
              <w:jc w:val="left"/>
              <w:rPr/>
            </w:pPr>
            <w:r>
              <w:rPr/>
            </w:r>
          </w:p>
        </w:tc>
        <w:tc>
          <w:tcPr>
            <w:tcW w:w="4655" w:type="dxa"/>
            <w:tcBorders/>
            <w:vAlign w:val="center"/>
          </w:tcPr>
          <w:p>
            <w:pPr>
              <w:pStyle w:val="TableContents"/>
              <w:bidi w:val="0"/>
              <w:spacing w:before="0" w:after="283"/>
              <w:jc w:val="left"/>
              <w:rPr/>
            </w:pPr>
            <w:r>
              <w:rPr/>
              <w:t xml:space="preserve">☐     </w:t>
            </w:r>
            <w:r>
              <w:rPr>
                <w:b w:val="false"/>
              </w:rPr>
              <w:t>(i)    Change in ownership of the Employer.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bf49c1de03bd41e3bf57fdcf6166bcde"/>
      <w:bookmarkStart w:id="61" w:name="zbf49c1de03bd41e3bf57fdcf6166bcde"/>
      <w:bookmarkEnd w:id="61"/>
    </w:p>
    <w:tbl>
      <w:tblPr>
        <w:tblW w:w="5593" w:type="dxa"/>
        <w:jc w:val="left"/>
        <w:tblInd w:w="0" w:type="dxa"/>
        <w:tblLayout w:type="fixed"/>
        <w:tblCellMar>
          <w:top w:w="0" w:type="dxa"/>
          <w:left w:w="0" w:type="dxa"/>
          <w:bottom w:w="0" w:type="dxa"/>
          <w:right w:w="0" w:type="dxa"/>
        </w:tblCellMar>
      </w:tblPr>
      <w:tblGrid>
        <w:gridCol w:w="38"/>
        <w:gridCol w:w="5555"/>
      </w:tblGrid>
      <w:tr>
        <w:trPr/>
        <w:tc>
          <w:tcPr>
            <w:tcW w:w="38" w:type="dxa"/>
            <w:tcBorders/>
            <w:vAlign w:val="center"/>
          </w:tcPr>
          <w:p>
            <w:pPr>
              <w:pStyle w:val="TableContents"/>
              <w:bidi w:val="0"/>
              <w:spacing w:before="0" w:after="283"/>
              <w:jc w:val="left"/>
              <w:rPr/>
            </w:pPr>
            <w:r>
              <w:rPr/>
            </w:r>
          </w:p>
        </w:tc>
        <w:tc>
          <w:tcPr>
            <w:tcW w:w="5555" w:type="dxa"/>
            <w:tcBorders/>
            <w:vAlign w:val="center"/>
          </w:tcPr>
          <w:p>
            <w:pPr>
              <w:pStyle w:val="TableContents"/>
              <w:bidi w:val="0"/>
              <w:spacing w:before="0" w:after="283"/>
              <w:jc w:val="left"/>
              <w:rPr/>
            </w:pPr>
            <w:r>
              <w:rPr/>
              <w:t xml:space="preserve">☐     </w:t>
            </w:r>
            <w:r>
              <w:rPr>
                <w:b w:val="false"/>
              </w:rPr>
              <w:t>(ii)   Change in the effective control of the Employer.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dc6e3ec4659d4c598f6b8f52e1c3be7c"/>
      <w:bookmarkStart w:id="63" w:name="zdc6e3ec4659d4c598f6b8f52e1c3be7c"/>
      <w:bookmarkEnd w:id="63"/>
    </w:p>
    <w:tbl>
      <w:tblPr>
        <w:tblW w:w="7963" w:type="dxa"/>
        <w:jc w:val="left"/>
        <w:tblInd w:w="0" w:type="dxa"/>
        <w:tblLayout w:type="fixed"/>
        <w:tblCellMar>
          <w:top w:w="0" w:type="dxa"/>
          <w:left w:w="0" w:type="dxa"/>
          <w:bottom w:w="0" w:type="dxa"/>
          <w:right w:w="0" w:type="dxa"/>
        </w:tblCellMar>
      </w:tblPr>
      <w:tblGrid>
        <w:gridCol w:w="38"/>
        <w:gridCol w:w="7925"/>
      </w:tblGrid>
      <w:tr>
        <w:trPr/>
        <w:tc>
          <w:tcPr>
            <w:tcW w:w="38" w:type="dxa"/>
            <w:tcBorders/>
            <w:vAlign w:val="center"/>
          </w:tcPr>
          <w:p>
            <w:pPr>
              <w:pStyle w:val="TableContents"/>
              <w:bidi w:val="0"/>
              <w:spacing w:before="0" w:after="283"/>
              <w:jc w:val="left"/>
              <w:rPr/>
            </w:pPr>
            <w:r>
              <w:rPr/>
            </w:r>
          </w:p>
        </w:tc>
        <w:tc>
          <w:tcPr>
            <w:tcW w:w="7925" w:type="dxa"/>
            <w:tcBorders/>
            <w:vAlign w:val="center"/>
          </w:tcPr>
          <w:p>
            <w:pPr>
              <w:pStyle w:val="TableContents"/>
              <w:bidi w:val="0"/>
              <w:spacing w:before="0" w:after="283"/>
              <w:jc w:val="left"/>
              <w:rPr/>
            </w:pPr>
            <w:r>
              <w:rPr/>
              <w:t xml:space="preserve">☐     </w:t>
            </w:r>
            <w:r>
              <w:rPr>
                <w:b w:val="false"/>
              </w:rPr>
              <w:t>(iii) Change in the ownership of a substantial portion of the Employer’s assets.</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64" w:name="z09aaba64f68544ef87d9bb44c6d9e469"/>
      <w:bookmarkStart w:id="65" w:name="z09aaba64f68544ef87d9bb44c6d9e469"/>
      <w:bookmarkEnd w:id="65"/>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(d)   </w:t>
            </w:r>
            <w:r>
              <w:rPr>
                <w:i/>
              </w:rPr>
              <w:t>(Specify):</w:t>
            </w:r>
            <w:r>
              <w:rPr/>
              <w:t> </w:t>
            </w:r>
            <w:r>
              <w:rPr>
                <w:u w:val="single"/>
              </w:rPr>
              <w:t>For the purposes of Sections 3.02(e) and 4.01(b)(ii) of the Adoption Agreement, Change in Control means all events under Section 1.06 except transfers of stock made on account of death, gifts, transfers of stock between family members or the acquisition by any qualified retirement plan sponsored by South Plans Financial, Inc. shall not be considered in determining whether there has been a Change of Control</w:t>
            </w:r>
            <w:r>
              <w:rPr/>
              <w:t>.</w:t>
            </w:r>
          </w:p>
        </w:tc>
      </w:tr>
    </w:tbl>
    <w:p>
      <w:pPr>
        <w:pStyle w:val="TextBody"/>
        <w:bidi w:val="0"/>
        <w:spacing w:before="0" w:after="0"/>
        <w:ind w:left="540" w:right="0" w:hanging="540"/>
        <w:jc w:val="both"/>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Note: The Employer may not use the blank in (d) to specify events not described in Treas. Reg. §1.409A-3(i)(5). However, the Employer may increase the percentages required to trigger a Change in Control under one or all three of the listed events.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1.10     </w:t>
      </w:r>
      <w:r>
        <w:rPr>
          <w:rFonts w:ascii="Times New Roman" w:hAnsi="Times New Roman"/>
          <w:b/>
          <w:color w:val="000000"/>
          <w:sz w:val="20"/>
        </w:rPr>
        <w:t xml:space="preserve">Effective Date. </w:t>
      </w:r>
      <w:r>
        <w:rPr>
          <w:rFonts w:ascii="Times New Roman" w:hAnsi="Times New Roman"/>
          <w:color w:val="000000"/>
          <w:sz w:val="20"/>
        </w:rPr>
        <w:t>The effective date of the Plan is (</w:t>
      </w:r>
      <w:r>
        <w:rPr>
          <w:rFonts w:ascii="Times New Roman" w:hAnsi="Times New Roman"/>
          <w:i/>
          <w:color w:val="000000"/>
          <w:sz w:val="20"/>
        </w:rPr>
        <w:t>choose one of (a) or (b)</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20601f93eb9942be897cbd598b990d1b"/>
      <w:bookmarkStart w:id="67" w:name="z20601f93eb9942be897cbd598b990d1b"/>
      <w:bookmarkEnd w:id="67"/>
    </w:p>
    <w:tbl>
      <w:tblPr>
        <w:tblW w:w="7840" w:type="dxa"/>
        <w:jc w:val="left"/>
        <w:tblInd w:w="0" w:type="dxa"/>
        <w:tblLayout w:type="fixed"/>
        <w:tblCellMar>
          <w:top w:w="0" w:type="dxa"/>
          <w:left w:w="0" w:type="dxa"/>
          <w:bottom w:w="0" w:type="dxa"/>
          <w:right w:w="0" w:type="dxa"/>
        </w:tblCellMar>
      </w:tblPr>
      <w:tblGrid>
        <w:gridCol w:w="230"/>
        <w:gridCol w:w="7610"/>
      </w:tblGrid>
      <w:tr>
        <w:trPr/>
        <w:tc>
          <w:tcPr>
            <w:tcW w:w="230" w:type="dxa"/>
            <w:tcBorders/>
            <w:vAlign w:val="center"/>
          </w:tcPr>
          <w:p>
            <w:pPr>
              <w:pStyle w:val="TableContents"/>
              <w:bidi w:val="0"/>
              <w:spacing w:before="0" w:after="0"/>
              <w:jc w:val="both"/>
              <w:rPr/>
            </w:pPr>
            <w:r>
              <w:rPr/>
              <w:t>☐</w:t>
            </w:r>
          </w:p>
        </w:tc>
        <w:tc>
          <w:tcPr>
            <w:tcW w:w="7610" w:type="dxa"/>
            <w:tcBorders/>
            <w:vAlign w:val="center"/>
          </w:tcPr>
          <w:p>
            <w:pPr>
              <w:pStyle w:val="TableContents"/>
              <w:bidi w:val="0"/>
              <w:spacing w:before="0" w:after="0"/>
              <w:jc w:val="both"/>
              <w:rPr/>
            </w:pPr>
            <w:r>
              <w:rPr/>
              <w:t xml:space="preserve">(a)    </w:t>
            </w:r>
            <w:r>
              <w:rPr>
                <w:b/>
              </w:rPr>
              <w:t xml:space="preserve">New Plan. </w:t>
            </w:r>
            <w:r>
              <w:rPr/>
              <w:t>This Plan is a new Plan and is effective __________________.</w:t>
            </w:r>
          </w:p>
        </w:tc>
      </w:tr>
    </w:tbl>
    <w:p>
      <w:pPr>
        <w:pStyle w:val="TextBody"/>
        <w:bidi w:val="0"/>
        <w:spacing w:before="0" w:after="0"/>
        <w:jc w:val="both"/>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Note: The effective date should be no earlier than January 1, 2008.</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73876512740d43048de91f2cfeaa0e41"/>
      <w:bookmarkStart w:id="69" w:name="z73876512740d43048de91f2cfeaa0e41"/>
      <w:bookmarkEnd w:id="69"/>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(b)   </w:t>
            </w:r>
            <w:r>
              <w:rPr>
                <w:b/>
              </w:rPr>
              <w:t>Restated Plan.</w:t>
            </w:r>
            <w:r>
              <w:rPr/>
              <w:t xml:space="preserve"> This Plan is a restated Plan and is restated effective as of January 1, 2008.   The Plan is restated to comply with Code §409A. The Plan was originally effective September 1, 2002 (Original Effective Date).</w:t>
            </w:r>
          </w:p>
        </w:tc>
      </w:tr>
    </w:tbl>
    <w:p>
      <w:pPr>
        <w:pStyle w:val="TextBody"/>
        <w:bidi w:val="0"/>
        <w:spacing w:before="0" w:after="0"/>
        <w:jc w:val="left"/>
        <w:rPr/>
      </w:pPr>
      <w:r>
        <w:rPr/>
      </w:r>
    </w:p>
    <w:p>
      <w:pPr>
        <w:pStyle w:val="TextBody"/>
        <w:bidi w:val="0"/>
        <w:spacing w:before="0" w:after="0"/>
        <w:ind w:left="540" w:right="0" w:hanging="540"/>
        <w:jc w:val="both"/>
        <w:rPr>
          <w:rFonts w:ascii="Times New Roman" w:hAnsi="Times New Roman"/>
          <w:i/>
          <w:color w:val="000000"/>
          <w:sz w:val="20"/>
        </w:rPr>
      </w:pPr>
      <w:r>
        <w:rPr>
          <w:rFonts w:ascii="Times New Roman" w:hAnsi="Times New Roman"/>
          <w:i/>
          <w:color w:val="000000"/>
          <w:sz w:val="20"/>
        </w:rPr>
        <w:t>Note:  If the Plan (whether or not in written form) was in effect before January 1, 2008, the Plan is a restated Plan.</w:t>
      </w:r>
    </w:p>
    <w:p>
      <w:pPr>
        <w:pStyle w:val="TextBody"/>
        <w:bidi w:val="0"/>
        <w:spacing w:before="0" w:after="0"/>
        <w:jc w:val="left"/>
        <w:rPr/>
      </w:pPr>
      <w:r>
        <w:rPr/>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1.18     </w:t>
      </w:r>
      <w:r>
        <w:rPr>
          <w:rFonts w:ascii="Times New Roman" w:hAnsi="Times New Roman"/>
          <w:b/>
          <w:color w:val="000000"/>
          <w:sz w:val="20"/>
        </w:rPr>
        <w:t>Plan Name</w:t>
      </w:r>
      <w:r>
        <w:rPr>
          <w:rFonts w:ascii="Times New Roman" w:hAnsi="Times New Roman"/>
          <w:color w:val="000000"/>
          <w:sz w:val="20"/>
        </w:rPr>
        <w:t>. The name of the Plan as adopted by the Employer is:  Steven Crockett Deferred Compensation Plan.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1.19     </w:t>
      </w:r>
      <w:r>
        <w:rPr>
          <w:rFonts w:ascii="Times New Roman" w:hAnsi="Times New Roman"/>
          <w:b/>
          <w:color w:val="000000"/>
          <w:sz w:val="20"/>
        </w:rPr>
        <w:t xml:space="preserve">Retirement Age. </w:t>
      </w:r>
      <w:r>
        <w:rPr>
          <w:rFonts w:ascii="Times New Roman" w:hAnsi="Times New Roman"/>
          <w:color w:val="000000"/>
          <w:sz w:val="20"/>
        </w:rPr>
        <w:t>A Participant’s Retirement Age under the Plan is (</w:t>
      </w:r>
      <w:r>
        <w:rPr>
          <w:rFonts w:ascii="Times New Roman" w:hAnsi="Times New Roman"/>
          <w:i/>
          <w:color w:val="000000"/>
          <w:sz w:val="20"/>
        </w:rPr>
        <w:t>choose only one of (a)-(d)</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07210d0032184ad79961afbfbb07c84f"/>
      <w:bookmarkStart w:id="71" w:name="z07210d0032184ad79961afbfbb07c84f"/>
      <w:bookmarkEnd w:id="71"/>
    </w:p>
    <w:tbl>
      <w:tblPr>
        <w:tblW w:w="10205" w:type="dxa"/>
        <w:jc w:val="left"/>
        <w:tblInd w:w="0" w:type="dxa"/>
        <w:tblLayout w:type="fixed"/>
        <w:tblCellMar>
          <w:top w:w="0" w:type="dxa"/>
          <w:left w:w="0" w:type="dxa"/>
          <w:bottom w:w="0" w:type="dxa"/>
          <w:right w:w="0" w:type="dxa"/>
        </w:tblCellMar>
      </w:tblPr>
      <w:tblGrid>
        <w:gridCol w:w="230"/>
        <w:gridCol w:w="9071"/>
        <w:gridCol w:w="386"/>
        <w:gridCol w:w="518"/>
      </w:tblGrid>
      <w:tr>
        <w:trPr/>
        <w:tc>
          <w:tcPr>
            <w:tcW w:w="230" w:type="dxa"/>
            <w:tcBorders/>
            <w:vAlign w:val="center"/>
          </w:tcPr>
          <w:p>
            <w:pPr>
              <w:pStyle w:val="TableContents"/>
              <w:bidi w:val="0"/>
              <w:spacing w:before="0" w:after="0"/>
              <w:jc w:val="left"/>
              <w:rPr/>
            </w:pPr>
            <w:r>
              <w:rPr/>
              <w:t>☐</w:t>
            </w:r>
          </w:p>
        </w:tc>
        <w:tc>
          <w:tcPr>
            <w:tcW w:w="9975" w:type="dxa"/>
            <w:gridSpan w:val="3"/>
            <w:tcBorders/>
            <w:vAlign w:val="center"/>
          </w:tcPr>
          <w:p>
            <w:pPr>
              <w:pStyle w:val="TableContents"/>
              <w:bidi w:val="0"/>
              <w:spacing w:before="0" w:after="0"/>
              <w:jc w:val="left"/>
              <w:rPr/>
            </w:pPr>
            <w:r>
              <w:rPr/>
              <w:t xml:space="preserve">(a)    </w:t>
            </w:r>
            <w:r>
              <w:rPr>
                <w:b/>
              </w:rPr>
              <w:t>Not applicable.</w:t>
            </w:r>
            <w:r>
              <w:rPr/>
              <w:t xml:space="preserve"> Retirement Age does not apply for purposes of this Plan.</w:t>
            </w:r>
          </w:p>
        </w:tc>
      </w:tr>
      <w:tr>
        <w:trPr/>
        <w:tc>
          <w:tcPr>
            <w:tcW w:w="230" w:type="dxa"/>
            <w:tcBorders/>
            <w:vAlign w:val="center"/>
          </w:tcPr>
          <w:p>
            <w:pPr>
              <w:pStyle w:val="TableContents"/>
              <w:bidi w:val="0"/>
              <w:spacing w:before="0" w:after="283"/>
              <w:jc w:val="left"/>
              <w:rPr/>
            </w:pPr>
            <w:r>
              <w:rPr/>
              <w:t> </w:t>
            </w:r>
          </w:p>
        </w:tc>
        <w:tc>
          <w:tcPr>
            <w:tcW w:w="9975" w:type="dxa"/>
            <w:gridSpan w:val="3"/>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left"/>
              <w:rPr/>
            </w:pPr>
            <w:r>
              <w:rPr/>
              <w:t>☒</w:t>
            </w:r>
          </w:p>
        </w:tc>
        <w:tc>
          <w:tcPr>
            <w:tcW w:w="9975" w:type="dxa"/>
            <w:gridSpan w:val="3"/>
            <w:tcBorders/>
            <w:vAlign w:val="center"/>
          </w:tcPr>
          <w:p>
            <w:pPr>
              <w:pStyle w:val="TableContents"/>
              <w:bidi w:val="0"/>
              <w:spacing w:before="0" w:after="0"/>
              <w:jc w:val="left"/>
              <w:rPr/>
            </w:pPr>
            <w:r>
              <w:rPr/>
              <w:t xml:space="preserve">(b)    </w:t>
            </w:r>
            <w:r>
              <w:rPr>
                <w:b/>
              </w:rPr>
              <w:t xml:space="preserve">Age. </w:t>
            </w:r>
            <w:r>
              <w:rPr/>
              <w:t>The Participant’s attainment of age:  65.</w:t>
            </w:r>
          </w:p>
        </w:tc>
      </w:tr>
      <w:tr>
        <w:trPr/>
        <w:tc>
          <w:tcPr>
            <w:tcW w:w="230" w:type="dxa"/>
            <w:tcBorders/>
            <w:vAlign w:val="center"/>
          </w:tcPr>
          <w:p>
            <w:pPr>
              <w:pStyle w:val="TableContents"/>
              <w:bidi w:val="0"/>
              <w:spacing w:before="0" w:after="283"/>
              <w:jc w:val="left"/>
              <w:rPr/>
            </w:pPr>
            <w:r>
              <w:rPr/>
              <w:t> </w:t>
            </w:r>
          </w:p>
        </w:tc>
        <w:tc>
          <w:tcPr>
            <w:tcW w:w="9975" w:type="dxa"/>
            <w:gridSpan w:val="3"/>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left"/>
              <w:rPr/>
            </w:pPr>
            <w:r>
              <w:rPr/>
              <w:t>☐</w:t>
            </w:r>
          </w:p>
        </w:tc>
        <w:tc>
          <w:tcPr>
            <w:tcW w:w="9975" w:type="dxa"/>
            <w:gridSpan w:val="3"/>
            <w:tcBorders/>
            <w:vAlign w:val="center"/>
          </w:tcPr>
          <w:p>
            <w:pPr>
              <w:pStyle w:val="TableContents"/>
              <w:bidi w:val="0"/>
              <w:spacing w:before="0" w:after="0"/>
              <w:jc w:val="left"/>
              <w:rPr/>
            </w:pPr>
            <w:r>
              <w:rPr/>
              <w:t xml:space="preserve">(c)    </w:t>
            </w:r>
            <w:r>
              <w:rPr>
                <w:b/>
              </w:rPr>
              <w:t xml:space="preserve">Age and service. </w:t>
            </w:r>
            <w:r>
              <w:rPr/>
              <w:t>The Participant’s attainment of age ____ with ____ Years of Service (defined under 1.27) with the Employer.</w:t>
            </w:r>
          </w:p>
        </w:tc>
      </w:tr>
      <w:tr>
        <w:trPr/>
        <w:tc>
          <w:tcPr>
            <w:tcW w:w="230" w:type="dxa"/>
            <w:tcBorders/>
            <w:vAlign w:val="center"/>
          </w:tcPr>
          <w:p>
            <w:pPr>
              <w:pStyle w:val="TableContents"/>
              <w:bidi w:val="0"/>
              <w:spacing w:before="0" w:after="283"/>
              <w:jc w:val="left"/>
              <w:rPr/>
            </w:pPr>
            <w:r>
              <w:rPr/>
              <w:t> </w:t>
            </w:r>
          </w:p>
        </w:tc>
        <w:tc>
          <w:tcPr>
            <w:tcW w:w="9975" w:type="dxa"/>
            <w:gridSpan w:val="3"/>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left"/>
              <w:rPr/>
            </w:pPr>
            <w:r>
              <w:rPr/>
              <w:t>☐</w:t>
            </w:r>
          </w:p>
        </w:tc>
        <w:tc>
          <w:tcPr>
            <w:tcW w:w="9071" w:type="dxa"/>
            <w:tcBorders/>
            <w:vAlign w:val="center"/>
          </w:tcPr>
          <w:p>
            <w:pPr>
              <w:pStyle w:val="TableContents"/>
              <w:bidi w:val="0"/>
              <w:spacing w:before="0" w:after="0"/>
              <w:jc w:val="left"/>
              <w:rPr/>
            </w:pPr>
            <w:r>
              <w:rPr/>
              <w:t>(d)    (</w:t>
            </w:r>
            <w:r>
              <w:rPr>
                <w:i/>
              </w:rPr>
              <w:t>Specify</w:t>
            </w:r>
            <w:r>
              <w:rPr/>
              <w:t>):</w:t>
            </w:r>
          </w:p>
        </w:tc>
        <w:tc>
          <w:tcPr>
            <w:tcW w:w="386" w:type="dxa"/>
            <w:tcBorders>
              <w:bottom w:val="single" w:sz="12" w:space="0" w:color="000000"/>
            </w:tcBorders>
            <w:tcMar>
              <w:bottom w:w="28" w:type="dxa"/>
            </w:tcMar>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0"/>
              <w:jc w:val="left"/>
              <w:rPr/>
            </w:pPr>
            <w:r>
              <w:rPr/>
              <w:t>.</w:t>
            </w:r>
          </w:p>
        </w:tc>
      </w:tr>
    </w:tbl>
    <w:p>
      <w:pPr>
        <w:pStyle w:val="TextBody"/>
        <w:bidi w:val="0"/>
        <w:spacing w:before="0" w:after="0"/>
        <w:ind w:left="540" w:right="0" w:hanging="540"/>
        <w:jc w:val="both"/>
        <w:rPr/>
      </w:pPr>
      <w:r>
        <w:rPr/>
      </w:r>
    </w:p>
    <w:p>
      <w:pPr>
        <w:pStyle w:val="TextBody"/>
        <w:bidi w:val="0"/>
        <w:ind w:left="0" w:right="0" w:firstLine="360"/>
        <w:jc w:val="both"/>
        <w:rPr>
          <w:rFonts w:ascii="Times New Roman" w:hAnsi="Times New Roman"/>
          <w:color w:val="000000"/>
          <w:sz w:val="20"/>
        </w:rPr>
      </w:pPr>
      <w:r>
        <w:rPr>
          <w:rFonts w:ascii="Times New Roman" w:hAnsi="Times New Roman"/>
          <w:color w:val="000000"/>
          <w:sz w:val="20"/>
        </w:rPr>
        <w:t xml:space="preserve">1.27     </w:t>
      </w:r>
      <w:r>
        <w:rPr>
          <w:rFonts w:ascii="Times New Roman" w:hAnsi="Times New Roman"/>
          <w:b/>
          <w:color w:val="000000"/>
          <w:sz w:val="20"/>
        </w:rPr>
        <w:t>Year of Service.</w:t>
      </w:r>
      <w:r>
        <w:rPr>
          <w:rFonts w:ascii="Times New Roman" w:hAnsi="Times New Roman"/>
          <w:color w:val="000000"/>
          <w:sz w:val="20"/>
        </w:rPr>
        <w:t xml:space="preserve"> The following apply in determining credit for a Year of Service under the Plan (</w:t>
      </w:r>
      <w:r>
        <w:rPr>
          <w:rFonts w:ascii="Times New Roman" w:hAnsi="Times New Roman"/>
          <w:i/>
          <w:color w:val="000000"/>
          <w:sz w:val="20"/>
        </w:rPr>
        <w:t>choose (a) or choose one or more of (b) – (e)</w:t>
      </w:r>
      <w:r>
        <w:rPr>
          <w:rFonts w:ascii="Times New Roman" w:hAnsi="Times New Roman"/>
          <w:color w:val="000000"/>
          <w:sz w:val="20"/>
        </w:rPr>
        <w:t>):</w:t>
      </w:r>
    </w:p>
    <w:p>
      <w:pPr>
        <w:pStyle w:val="Normal"/>
        <w:bidi w:val="0"/>
        <w:spacing w:before="0" w:after="0"/>
        <w:jc w:val="left"/>
        <w:rPr>
          <w:sz w:val="4"/>
          <w:szCs w:val="4"/>
        </w:rPr>
      </w:pPr>
      <w:r>
        <w:rPr>
          <w:sz w:val="4"/>
          <w:szCs w:val="4"/>
        </w:rPr>
      </w:r>
      <w:bookmarkStart w:id="72" w:name="z19286d0786cb4a89881ac0e69f520202"/>
      <w:bookmarkStart w:id="73" w:name="z19286d0786cb4a89881ac0e69f520202"/>
      <w:bookmarkEnd w:id="73"/>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(a)    </w:t>
            </w:r>
            <w:r>
              <w:rPr>
                <w:b/>
              </w:rPr>
              <w:t xml:space="preserve">Not applicable. </w:t>
            </w:r>
            <w:r>
              <w:rPr/>
              <w:t>Year of Service does not apply for purposes of this Plan.</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(b)    </w:t>
            </w:r>
            <w:r>
              <w:rPr>
                <w:b/>
              </w:rPr>
              <w:t>Year of</w:t>
            </w:r>
            <w:r>
              <w:rPr/>
              <w:t> </w:t>
            </w:r>
            <w:r>
              <w:rPr>
                <w:b/>
              </w:rPr>
              <w:t>continuous service.</w:t>
            </w:r>
            <w:r>
              <w:rPr/>
              <w:t xml:space="preserve"> To receive credit for one Year of Service, the Participant must remain in continuous employment with the Employer (or render contract service to the Employer) for a twelve-month period, the first such period beginning on theParticipant’s initial date of employment and successive periods beginning on the anniversary of such date.</w:t>
            </w:r>
          </w:p>
        </w:tc>
      </w:tr>
      <w:tr>
        <w:trPr/>
        <w:tc>
          <w:tcPr>
            <w:tcW w:w="10205" w:type="dxa"/>
            <w:gridSpan w:val="2"/>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(c)    </w:t>
            </w:r>
            <w:r>
              <w:rPr>
                <w:b/>
              </w:rPr>
              <w:t>Service on any day.</w:t>
            </w:r>
            <w:r>
              <w:rPr/>
              <w:t xml:space="preserve"> To receive credit for one Year of Service, the Participant only need be employed by the Employer (or render contract service to the Employer) on any day of the Participant’s Taxable Year.</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(d)    </w:t>
            </w:r>
            <w:r>
              <w:rPr>
                <w:b/>
              </w:rPr>
              <w:t>Pre-Plan service.</w:t>
            </w:r>
            <w:r>
              <w:rPr/>
              <w:t xml:space="preserve"> The Employer will treat service before the Plan’s Effective Date for determining Years of Service as follows </w:t>
            </w:r>
            <w:r>
              <w:rPr>
                <w:i/>
              </w:rPr>
              <w:t>(choose one of (i) or (ii))</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ea0a535f2d0a47ea9a36a59158e3a173"/>
      <w:bookmarkStart w:id="75" w:name="zea0a535f2d0a47ea9a36a59158e3a173"/>
      <w:bookmarkEnd w:id="75"/>
    </w:p>
    <w:tbl>
      <w:tblPr>
        <w:tblW w:w="2058" w:type="dxa"/>
        <w:jc w:val="left"/>
        <w:tblInd w:w="0" w:type="dxa"/>
        <w:tblLayout w:type="fixed"/>
        <w:tblCellMar>
          <w:top w:w="0" w:type="dxa"/>
          <w:left w:w="0" w:type="dxa"/>
          <w:bottom w:w="0" w:type="dxa"/>
          <w:right w:w="0" w:type="dxa"/>
        </w:tblCellMar>
      </w:tblPr>
      <w:tblGrid>
        <w:gridCol w:w="60"/>
        <w:gridCol w:w="663"/>
        <w:gridCol w:w="663"/>
        <w:gridCol w:w="672"/>
      </w:tblGrid>
      <w:tr>
        <w:trPr/>
        <w:tc>
          <w:tcPr>
            <w:tcW w:w="60" w:type="dxa"/>
            <w:tcBorders/>
            <w:vAlign w:val="center"/>
          </w:tcPr>
          <w:p>
            <w:pPr>
              <w:pStyle w:val="TableContents"/>
              <w:bidi w:val="0"/>
              <w:spacing w:before="0" w:after="283"/>
              <w:jc w:val="left"/>
              <w:rPr/>
            </w:pPr>
            <w:r>
              <w:rPr/>
              <w:t> </w:t>
            </w:r>
          </w:p>
        </w:tc>
        <w:tc>
          <w:tcPr>
            <w:tcW w:w="1998" w:type="dxa"/>
            <w:gridSpan w:val="3"/>
            <w:tcBorders/>
            <w:vAlign w:val="center"/>
          </w:tcPr>
          <w:p>
            <w:pPr>
              <w:pStyle w:val="TableContents"/>
              <w:bidi w:val="0"/>
              <w:spacing w:before="0" w:after="0"/>
              <w:jc w:val="both"/>
              <w:rPr/>
            </w:pPr>
            <w:r>
              <w:rPr/>
              <w:t xml:space="preserve">☒     </w:t>
            </w:r>
            <w:r>
              <w:rPr>
                <w:b w:val="false"/>
              </w:rPr>
              <w:t>(i)</w:t>
            </w:r>
            <w:r>
              <w:rPr>
                <w:b/>
              </w:rPr>
              <w:t>   Include.</w:t>
            </w:r>
          </w:p>
        </w:tc>
      </w:tr>
      <w:tr>
        <w:trPr/>
        <w:tc>
          <w:tcPr>
            <w:tcW w:w="60" w:type="dxa"/>
            <w:tcBorders/>
            <w:vAlign w:val="center"/>
          </w:tcPr>
          <w:p>
            <w:pPr>
              <w:pStyle w:val="TableContents"/>
              <w:bidi w:val="0"/>
              <w:spacing w:before="0" w:after="283"/>
              <w:jc w:val="left"/>
              <w:rPr/>
            </w:pPr>
            <w:r>
              <w:rPr/>
              <w:t> </w:t>
            </w:r>
          </w:p>
        </w:tc>
        <w:tc>
          <w:tcPr>
            <w:tcW w:w="199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98" w:type="dxa"/>
            <w:gridSpan w:val="3"/>
            <w:tcBorders/>
            <w:vAlign w:val="center"/>
          </w:tcPr>
          <w:p>
            <w:pPr>
              <w:pStyle w:val="TableContents"/>
              <w:bidi w:val="0"/>
              <w:spacing w:before="0" w:after="0"/>
              <w:jc w:val="both"/>
              <w:rPr/>
            </w:pPr>
            <w:r>
              <w:rPr/>
              <w:t xml:space="preserve">☐     </w:t>
            </w:r>
            <w:r>
              <w:rPr>
                <w:b w:val="false"/>
              </w:rPr>
              <w:t>(ii)</w:t>
            </w:r>
            <w:r>
              <w:rPr>
                <w:b/>
              </w:rPr>
              <w:t>  Disregard.</w:t>
            </w:r>
          </w:p>
        </w:tc>
      </w:tr>
      <w:tr>
        <w:trPr/>
        <w:tc>
          <w:tcPr>
            <w:tcW w:w="60"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r>
    </w:tbl>
    <w:tbl>
      <w:tblPr>
        <w:tblW w:w="1770" w:type="dxa"/>
        <w:jc w:val="left"/>
        <w:tblInd w:w="0" w:type="dxa"/>
        <w:tblLayout w:type="fixed"/>
        <w:tblCellMar>
          <w:top w:w="0" w:type="dxa"/>
          <w:left w:w="0" w:type="dxa"/>
          <w:bottom w:w="0" w:type="dxa"/>
          <w:right w:w="0" w:type="dxa"/>
        </w:tblCellMar>
      </w:tblPr>
      <w:tblGrid>
        <w:gridCol w:w="230"/>
        <w:gridCol w:w="1400"/>
        <w:gridCol w:w="60"/>
        <w:gridCol w:w="80"/>
      </w:tblGrid>
      <w:tr>
        <w:trPr/>
        <w:tc>
          <w:tcPr>
            <w:tcW w:w="230" w:type="dxa"/>
            <w:tcBorders/>
            <w:vAlign w:val="center"/>
          </w:tcPr>
          <w:p>
            <w:pPr>
              <w:pStyle w:val="TableContents"/>
              <w:bidi w:val="0"/>
              <w:spacing w:before="0" w:after="0"/>
              <w:jc w:val="left"/>
              <w:rPr/>
            </w:pPr>
            <w:r>
              <w:rPr/>
              <w:t>☐</w:t>
            </w:r>
          </w:p>
        </w:tc>
        <w:tc>
          <w:tcPr>
            <w:tcW w:w="1400" w:type="dxa"/>
            <w:tcBorders/>
            <w:vAlign w:val="center"/>
          </w:tcPr>
          <w:p>
            <w:pPr>
              <w:pStyle w:val="TableContents"/>
              <w:bidi w:val="0"/>
              <w:spacing w:before="0" w:after="0"/>
              <w:jc w:val="left"/>
              <w:rPr/>
            </w:pPr>
            <w:r>
              <w:rPr/>
              <w:t xml:space="preserve">(e)    </w:t>
            </w:r>
            <w:r>
              <w:rPr>
                <w:i/>
              </w:rPr>
              <w:t>(Specify)</w:t>
            </w:r>
            <w:r>
              <w:rPr/>
              <w:t>:</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w:t>
            </w:r>
          </w:p>
        </w:tc>
      </w:tr>
    </w:tbl>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VESTING AND SUBSTANTIAL RISK OF FORFEITURE</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 xml:space="preserve">3.01  </w:t>
      </w:r>
      <w:r>
        <w:rPr>
          <w:rFonts w:ascii="Times New Roman" w:hAnsi="Times New Roman"/>
          <w:b/>
          <w:color w:val="000000"/>
          <w:sz w:val="20"/>
        </w:rPr>
        <w:t>Vesting Schedule/Other Substantial Risk of Forfeiture.</w:t>
      </w:r>
      <w:r>
        <w:rPr>
          <w:rFonts w:ascii="Times New Roman" w:hAnsi="Times New Roman"/>
          <w:color w:val="000000"/>
          <w:sz w:val="20"/>
        </w:rPr>
        <w:t xml:space="preserve"> The following vesting schedule or other Substantial Risk of Forfeiture applies to a Participant’s Termination Benefit (</w:t>
      </w:r>
      <w:r>
        <w:rPr>
          <w:rFonts w:ascii="Times New Roman" w:hAnsi="Times New Roman"/>
          <w:i/>
          <w:color w:val="000000"/>
          <w:sz w:val="20"/>
        </w:rPr>
        <w:t>choose (a) or choose one or more of (b) – (f)</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e4850423debf4129b4d3ce280d2c49a9"/>
      <w:bookmarkStart w:id="77" w:name="ze4850423debf4129b4d3ce280d2c49a9"/>
      <w:bookmarkEnd w:id="77"/>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(a)    </w:t>
            </w:r>
            <w:r>
              <w:rPr>
                <w:b/>
              </w:rPr>
              <w:t>Immediate vesting.</w:t>
            </w:r>
            <w:r>
              <w:rPr/>
              <w:t xml:space="preserve"> 100% Vested at all times with respect to the applicable Benefit.</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(b)    </w:t>
            </w:r>
            <w:r>
              <w:rPr>
                <w:b/>
              </w:rPr>
              <w:t>Vesting schedule – Separation from Service Benefit.</w:t>
            </w:r>
            <w:r>
              <w:rPr/>
              <w:t xml:space="preserve"> The Participant’s applicable Benefit is subject to the following vesting schedule:</w:t>
            </w:r>
          </w:p>
        </w:tc>
      </w:tr>
    </w:tbl>
    <w:p>
      <w:pPr>
        <w:pStyle w:val="TextBody"/>
        <w:bidi w:val="0"/>
        <w:spacing w:before="0" w:after="0"/>
        <w:jc w:val="left"/>
        <w:rPr/>
      </w:pPr>
      <w:r>
        <w:rPr/>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Normal"/>
        <w:bidi w:val="0"/>
        <w:spacing w:before="0" w:after="0"/>
        <w:jc w:val="left"/>
        <w:rPr>
          <w:sz w:val="4"/>
          <w:szCs w:val="4"/>
        </w:rPr>
      </w:pPr>
      <w:r>
        <w:rPr>
          <w:sz w:val="4"/>
          <w:szCs w:val="4"/>
        </w:rPr>
      </w:r>
      <w:bookmarkStart w:id="78" w:name="za9f2dbfdf0864767addbabce14460b91"/>
      <w:bookmarkStart w:id="79" w:name="za9f2dbfdf0864767addbabce14460b91"/>
      <w:bookmarkEnd w:id="79"/>
    </w:p>
    <w:tbl>
      <w:tblPr>
        <w:tblW w:w="2605" w:type="dxa"/>
        <w:jc w:val="center"/>
        <w:tblInd w:w="0" w:type="dxa"/>
        <w:tblLayout w:type="fixed"/>
        <w:tblCellMar>
          <w:top w:w="0" w:type="dxa"/>
          <w:left w:w="0" w:type="dxa"/>
          <w:bottom w:w="0" w:type="dxa"/>
          <w:right w:w="0" w:type="dxa"/>
        </w:tblCellMar>
      </w:tblPr>
      <w:tblGrid>
        <w:gridCol w:w="1595"/>
        <w:gridCol w:w="1010"/>
      </w:tblGrid>
      <w:tr>
        <w:trPr/>
        <w:tc>
          <w:tcPr>
            <w:tcW w:w="1595" w:type="dxa"/>
            <w:tcBorders/>
            <w:vAlign w:val="center"/>
          </w:tcPr>
          <w:p>
            <w:pPr>
              <w:pStyle w:val="TableContents"/>
              <w:bidi w:val="0"/>
              <w:spacing w:before="0" w:after="0"/>
              <w:jc w:val="center"/>
              <w:rPr>
                <w:u w:val="single"/>
              </w:rPr>
            </w:pPr>
            <w:r>
              <w:rPr>
                <w:u w:val="single"/>
              </w:rPr>
              <w:t>Years of Service</w:t>
            </w:r>
          </w:p>
        </w:tc>
        <w:tc>
          <w:tcPr>
            <w:tcW w:w="1010" w:type="dxa"/>
            <w:tcBorders/>
            <w:vAlign w:val="center"/>
          </w:tcPr>
          <w:p>
            <w:pPr>
              <w:pStyle w:val="TableContents"/>
              <w:bidi w:val="0"/>
              <w:spacing w:before="0" w:after="0"/>
              <w:jc w:val="center"/>
              <w:rPr>
                <w:u w:val="single"/>
              </w:rPr>
            </w:pPr>
            <w:r>
              <w:rPr>
                <w:u w:val="single"/>
              </w:rPr>
              <w:t>Vesting %</w:t>
            </w:r>
          </w:p>
        </w:tc>
      </w:tr>
      <w:tr>
        <w:trPr/>
        <w:tc>
          <w:tcPr>
            <w:tcW w:w="1595" w:type="dxa"/>
            <w:tcBorders/>
            <w:vAlign w:val="center"/>
          </w:tcPr>
          <w:p>
            <w:pPr>
              <w:pStyle w:val="TableContents"/>
              <w:bidi w:val="0"/>
              <w:spacing w:before="0" w:after="0"/>
              <w:jc w:val="center"/>
              <w:rPr/>
            </w:pPr>
            <w:r>
              <w:rPr/>
              <w:t>1</w:t>
            </w:r>
          </w:p>
        </w:tc>
        <w:tc>
          <w:tcPr>
            <w:tcW w:w="1010" w:type="dxa"/>
            <w:tcBorders/>
            <w:vAlign w:val="center"/>
          </w:tcPr>
          <w:p>
            <w:pPr>
              <w:pStyle w:val="TableContents"/>
              <w:bidi w:val="0"/>
              <w:spacing w:before="0" w:after="0"/>
              <w:jc w:val="center"/>
              <w:rPr/>
            </w:pPr>
            <w:r>
              <w:rPr/>
              <w:t>10%</w:t>
            </w:r>
          </w:p>
        </w:tc>
      </w:tr>
      <w:tr>
        <w:trPr/>
        <w:tc>
          <w:tcPr>
            <w:tcW w:w="1595" w:type="dxa"/>
            <w:tcBorders/>
            <w:vAlign w:val="center"/>
          </w:tcPr>
          <w:p>
            <w:pPr>
              <w:pStyle w:val="TableContents"/>
              <w:bidi w:val="0"/>
              <w:spacing w:before="0" w:after="0"/>
              <w:jc w:val="center"/>
              <w:rPr/>
            </w:pPr>
            <w:r>
              <w:rPr/>
              <w:t>2</w:t>
            </w:r>
          </w:p>
        </w:tc>
        <w:tc>
          <w:tcPr>
            <w:tcW w:w="1010" w:type="dxa"/>
            <w:tcBorders/>
            <w:vAlign w:val="center"/>
          </w:tcPr>
          <w:p>
            <w:pPr>
              <w:pStyle w:val="TableContents"/>
              <w:bidi w:val="0"/>
              <w:spacing w:before="0" w:after="0"/>
              <w:jc w:val="center"/>
              <w:rPr/>
            </w:pPr>
            <w:r>
              <w:rPr/>
              <w:t>20%</w:t>
            </w:r>
          </w:p>
        </w:tc>
      </w:tr>
      <w:tr>
        <w:trPr/>
        <w:tc>
          <w:tcPr>
            <w:tcW w:w="1595" w:type="dxa"/>
            <w:tcBorders/>
            <w:vAlign w:val="center"/>
          </w:tcPr>
          <w:p>
            <w:pPr>
              <w:pStyle w:val="TableContents"/>
              <w:bidi w:val="0"/>
              <w:spacing w:before="0" w:after="0"/>
              <w:jc w:val="center"/>
              <w:rPr/>
            </w:pPr>
            <w:r>
              <w:rPr/>
              <w:t>3</w:t>
            </w:r>
          </w:p>
        </w:tc>
        <w:tc>
          <w:tcPr>
            <w:tcW w:w="1010" w:type="dxa"/>
            <w:tcBorders/>
            <w:vAlign w:val="center"/>
          </w:tcPr>
          <w:p>
            <w:pPr>
              <w:pStyle w:val="TableContents"/>
              <w:bidi w:val="0"/>
              <w:spacing w:before="0" w:after="0"/>
              <w:jc w:val="center"/>
              <w:rPr/>
            </w:pPr>
            <w:r>
              <w:rPr/>
              <w:t>30%</w:t>
            </w:r>
          </w:p>
        </w:tc>
      </w:tr>
      <w:tr>
        <w:trPr/>
        <w:tc>
          <w:tcPr>
            <w:tcW w:w="1595" w:type="dxa"/>
            <w:tcBorders/>
            <w:vAlign w:val="center"/>
          </w:tcPr>
          <w:p>
            <w:pPr>
              <w:pStyle w:val="TableContents"/>
              <w:bidi w:val="0"/>
              <w:spacing w:before="0" w:after="0"/>
              <w:jc w:val="center"/>
              <w:rPr/>
            </w:pPr>
            <w:r>
              <w:rPr/>
              <w:t>4</w:t>
            </w:r>
          </w:p>
        </w:tc>
        <w:tc>
          <w:tcPr>
            <w:tcW w:w="1010" w:type="dxa"/>
            <w:tcBorders/>
            <w:vAlign w:val="center"/>
          </w:tcPr>
          <w:p>
            <w:pPr>
              <w:pStyle w:val="TableContents"/>
              <w:bidi w:val="0"/>
              <w:spacing w:before="0" w:after="0"/>
              <w:jc w:val="center"/>
              <w:rPr/>
            </w:pPr>
            <w:r>
              <w:rPr/>
              <w:t>40%</w:t>
            </w:r>
          </w:p>
        </w:tc>
      </w:tr>
      <w:tr>
        <w:trPr/>
        <w:tc>
          <w:tcPr>
            <w:tcW w:w="1595" w:type="dxa"/>
            <w:tcBorders/>
            <w:vAlign w:val="center"/>
          </w:tcPr>
          <w:p>
            <w:pPr>
              <w:pStyle w:val="TableContents"/>
              <w:bidi w:val="0"/>
              <w:spacing w:before="0" w:after="0"/>
              <w:jc w:val="center"/>
              <w:rPr/>
            </w:pPr>
            <w:r>
              <w:rPr/>
              <w:t>5</w:t>
            </w:r>
          </w:p>
        </w:tc>
        <w:tc>
          <w:tcPr>
            <w:tcW w:w="1010" w:type="dxa"/>
            <w:tcBorders/>
            <w:vAlign w:val="center"/>
          </w:tcPr>
          <w:p>
            <w:pPr>
              <w:pStyle w:val="TableContents"/>
              <w:bidi w:val="0"/>
              <w:spacing w:before="0" w:after="0"/>
              <w:jc w:val="center"/>
              <w:rPr/>
            </w:pPr>
            <w:r>
              <w:rPr/>
              <w:t>50%</w:t>
            </w:r>
          </w:p>
        </w:tc>
      </w:tr>
      <w:tr>
        <w:trPr/>
        <w:tc>
          <w:tcPr>
            <w:tcW w:w="1595" w:type="dxa"/>
            <w:tcBorders/>
            <w:vAlign w:val="center"/>
          </w:tcPr>
          <w:p>
            <w:pPr>
              <w:pStyle w:val="TableContents"/>
              <w:bidi w:val="0"/>
              <w:spacing w:before="0" w:after="0"/>
              <w:jc w:val="center"/>
              <w:rPr/>
            </w:pPr>
            <w:r>
              <w:rPr/>
              <w:t>6</w:t>
            </w:r>
          </w:p>
        </w:tc>
        <w:tc>
          <w:tcPr>
            <w:tcW w:w="1010" w:type="dxa"/>
            <w:tcBorders/>
            <w:vAlign w:val="center"/>
          </w:tcPr>
          <w:p>
            <w:pPr>
              <w:pStyle w:val="TableContents"/>
              <w:bidi w:val="0"/>
              <w:spacing w:before="0" w:after="0"/>
              <w:jc w:val="center"/>
              <w:rPr/>
            </w:pPr>
            <w:r>
              <w:rPr/>
              <w:t>55%</w:t>
            </w:r>
          </w:p>
        </w:tc>
      </w:tr>
      <w:tr>
        <w:trPr/>
        <w:tc>
          <w:tcPr>
            <w:tcW w:w="1595" w:type="dxa"/>
            <w:tcBorders/>
            <w:vAlign w:val="center"/>
          </w:tcPr>
          <w:p>
            <w:pPr>
              <w:pStyle w:val="TableContents"/>
              <w:bidi w:val="0"/>
              <w:spacing w:before="0" w:after="0"/>
              <w:jc w:val="center"/>
              <w:rPr/>
            </w:pPr>
            <w:r>
              <w:rPr/>
              <w:t>7</w:t>
            </w:r>
          </w:p>
        </w:tc>
        <w:tc>
          <w:tcPr>
            <w:tcW w:w="1010" w:type="dxa"/>
            <w:tcBorders/>
            <w:vAlign w:val="center"/>
          </w:tcPr>
          <w:p>
            <w:pPr>
              <w:pStyle w:val="TableContents"/>
              <w:bidi w:val="0"/>
              <w:spacing w:before="0" w:after="0"/>
              <w:jc w:val="center"/>
              <w:rPr/>
            </w:pPr>
            <w:r>
              <w:rPr/>
              <w:t>60%</w:t>
            </w:r>
          </w:p>
        </w:tc>
      </w:tr>
      <w:tr>
        <w:trPr/>
        <w:tc>
          <w:tcPr>
            <w:tcW w:w="1595" w:type="dxa"/>
            <w:tcBorders/>
            <w:vAlign w:val="center"/>
          </w:tcPr>
          <w:p>
            <w:pPr>
              <w:pStyle w:val="TableContents"/>
              <w:bidi w:val="0"/>
              <w:spacing w:before="0" w:after="0"/>
              <w:jc w:val="center"/>
              <w:rPr/>
            </w:pPr>
            <w:r>
              <w:rPr/>
              <w:t>8</w:t>
            </w:r>
          </w:p>
        </w:tc>
        <w:tc>
          <w:tcPr>
            <w:tcW w:w="1010" w:type="dxa"/>
            <w:tcBorders/>
            <w:vAlign w:val="center"/>
          </w:tcPr>
          <w:p>
            <w:pPr>
              <w:pStyle w:val="TableContents"/>
              <w:bidi w:val="0"/>
              <w:spacing w:before="0" w:after="0"/>
              <w:jc w:val="center"/>
              <w:rPr/>
            </w:pPr>
            <w:r>
              <w:rPr/>
              <w:t>65%</w:t>
            </w:r>
          </w:p>
        </w:tc>
      </w:tr>
      <w:tr>
        <w:trPr/>
        <w:tc>
          <w:tcPr>
            <w:tcW w:w="1595" w:type="dxa"/>
            <w:tcBorders/>
            <w:vAlign w:val="center"/>
          </w:tcPr>
          <w:p>
            <w:pPr>
              <w:pStyle w:val="TableContents"/>
              <w:bidi w:val="0"/>
              <w:spacing w:before="0" w:after="0"/>
              <w:jc w:val="center"/>
              <w:rPr/>
            </w:pPr>
            <w:r>
              <w:rPr/>
              <w:t>9</w:t>
            </w:r>
          </w:p>
        </w:tc>
        <w:tc>
          <w:tcPr>
            <w:tcW w:w="1010" w:type="dxa"/>
            <w:tcBorders/>
            <w:vAlign w:val="center"/>
          </w:tcPr>
          <w:p>
            <w:pPr>
              <w:pStyle w:val="TableContents"/>
              <w:bidi w:val="0"/>
              <w:spacing w:before="0" w:after="0"/>
              <w:jc w:val="center"/>
              <w:rPr/>
            </w:pPr>
            <w:r>
              <w:rPr/>
              <w:t>70%</w:t>
            </w:r>
          </w:p>
        </w:tc>
      </w:tr>
      <w:tr>
        <w:trPr/>
        <w:tc>
          <w:tcPr>
            <w:tcW w:w="1595" w:type="dxa"/>
            <w:tcBorders/>
            <w:vAlign w:val="center"/>
          </w:tcPr>
          <w:p>
            <w:pPr>
              <w:pStyle w:val="TableContents"/>
              <w:bidi w:val="0"/>
              <w:spacing w:before="0" w:after="0"/>
              <w:jc w:val="center"/>
              <w:rPr/>
            </w:pPr>
            <w:r>
              <w:rPr/>
              <w:t>10</w:t>
            </w:r>
          </w:p>
        </w:tc>
        <w:tc>
          <w:tcPr>
            <w:tcW w:w="1010" w:type="dxa"/>
            <w:tcBorders/>
            <w:vAlign w:val="center"/>
          </w:tcPr>
          <w:p>
            <w:pPr>
              <w:pStyle w:val="TableContents"/>
              <w:bidi w:val="0"/>
              <w:spacing w:before="0" w:after="0"/>
              <w:jc w:val="center"/>
              <w:rPr/>
            </w:pPr>
            <w:r>
              <w:rPr/>
              <w:t>75%</w:t>
            </w:r>
          </w:p>
        </w:tc>
      </w:tr>
      <w:tr>
        <w:trPr/>
        <w:tc>
          <w:tcPr>
            <w:tcW w:w="1595" w:type="dxa"/>
            <w:tcBorders/>
            <w:vAlign w:val="center"/>
          </w:tcPr>
          <w:p>
            <w:pPr>
              <w:pStyle w:val="TableContents"/>
              <w:bidi w:val="0"/>
              <w:spacing w:before="0" w:after="0"/>
              <w:jc w:val="center"/>
              <w:rPr/>
            </w:pPr>
            <w:r>
              <w:rPr/>
              <w:t>11</w:t>
            </w:r>
          </w:p>
        </w:tc>
        <w:tc>
          <w:tcPr>
            <w:tcW w:w="1010" w:type="dxa"/>
            <w:tcBorders/>
            <w:vAlign w:val="center"/>
          </w:tcPr>
          <w:p>
            <w:pPr>
              <w:pStyle w:val="TableContents"/>
              <w:bidi w:val="0"/>
              <w:spacing w:before="0" w:after="0"/>
              <w:jc w:val="center"/>
              <w:rPr/>
            </w:pPr>
            <w:r>
              <w:rPr/>
              <w:t>80%</w:t>
            </w:r>
          </w:p>
        </w:tc>
      </w:tr>
      <w:tr>
        <w:trPr/>
        <w:tc>
          <w:tcPr>
            <w:tcW w:w="1595" w:type="dxa"/>
            <w:tcBorders/>
            <w:vAlign w:val="center"/>
          </w:tcPr>
          <w:p>
            <w:pPr>
              <w:pStyle w:val="TableContents"/>
              <w:bidi w:val="0"/>
              <w:spacing w:before="0" w:after="0"/>
              <w:jc w:val="center"/>
              <w:rPr/>
            </w:pPr>
            <w:r>
              <w:rPr/>
              <w:t>12</w:t>
            </w:r>
          </w:p>
        </w:tc>
        <w:tc>
          <w:tcPr>
            <w:tcW w:w="1010" w:type="dxa"/>
            <w:tcBorders/>
            <w:vAlign w:val="center"/>
          </w:tcPr>
          <w:p>
            <w:pPr>
              <w:pStyle w:val="TableContents"/>
              <w:bidi w:val="0"/>
              <w:spacing w:before="0" w:after="0"/>
              <w:jc w:val="center"/>
              <w:rPr/>
            </w:pPr>
            <w:r>
              <w:rPr/>
              <w:t>85%</w:t>
            </w:r>
          </w:p>
        </w:tc>
      </w:tr>
      <w:tr>
        <w:trPr/>
        <w:tc>
          <w:tcPr>
            <w:tcW w:w="1595" w:type="dxa"/>
            <w:tcBorders/>
            <w:vAlign w:val="center"/>
          </w:tcPr>
          <w:p>
            <w:pPr>
              <w:pStyle w:val="TableContents"/>
              <w:bidi w:val="0"/>
              <w:spacing w:before="0" w:after="0"/>
              <w:jc w:val="center"/>
              <w:rPr/>
            </w:pPr>
            <w:r>
              <w:rPr/>
              <w:t>13</w:t>
            </w:r>
          </w:p>
        </w:tc>
        <w:tc>
          <w:tcPr>
            <w:tcW w:w="1010" w:type="dxa"/>
            <w:tcBorders/>
            <w:vAlign w:val="center"/>
          </w:tcPr>
          <w:p>
            <w:pPr>
              <w:pStyle w:val="TableContents"/>
              <w:bidi w:val="0"/>
              <w:spacing w:before="0" w:after="0"/>
              <w:jc w:val="center"/>
              <w:rPr/>
            </w:pPr>
            <w:r>
              <w:rPr/>
              <w:t>90%</w:t>
            </w:r>
          </w:p>
        </w:tc>
      </w:tr>
      <w:tr>
        <w:trPr/>
        <w:tc>
          <w:tcPr>
            <w:tcW w:w="1595" w:type="dxa"/>
            <w:tcBorders/>
            <w:vAlign w:val="center"/>
          </w:tcPr>
          <w:p>
            <w:pPr>
              <w:pStyle w:val="TableContents"/>
              <w:bidi w:val="0"/>
              <w:spacing w:before="0" w:after="0"/>
              <w:jc w:val="center"/>
              <w:rPr/>
            </w:pPr>
            <w:r>
              <w:rPr/>
              <w:t>14</w:t>
            </w:r>
          </w:p>
        </w:tc>
        <w:tc>
          <w:tcPr>
            <w:tcW w:w="1010" w:type="dxa"/>
            <w:tcBorders/>
            <w:vAlign w:val="center"/>
          </w:tcPr>
          <w:p>
            <w:pPr>
              <w:pStyle w:val="TableContents"/>
              <w:bidi w:val="0"/>
              <w:spacing w:before="0" w:after="0"/>
              <w:jc w:val="center"/>
              <w:rPr/>
            </w:pPr>
            <w:r>
              <w:rPr/>
              <w:t>95%</w:t>
            </w:r>
          </w:p>
        </w:tc>
      </w:tr>
      <w:tr>
        <w:trPr/>
        <w:tc>
          <w:tcPr>
            <w:tcW w:w="1595" w:type="dxa"/>
            <w:tcBorders/>
            <w:vAlign w:val="center"/>
          </w:tcPr>
          <w:p>
            <w:pPr>
              <w:pStyle w:val="TableContents"/>
              <w:bidi w:val="0"/>
              <w:spacing w:before="0" w:after="0"/>
              <w:jc w:val="center"/>
              <w:rPr/>
            </w:pPr>
            <w:r>
              <w:rPr/>
              <w:t>15</w:t>
            </w:r>
          </w:p>
        </w:tc>
        <w:tc>
          <w:tcPr>
            <w:tcW w:w="1010" w:type="dxa"/>
            <w:tcBorders/>
            <w:vAlign w:val="center"/>
          </w:tcPr>
          <w:p>
            <w:pPr>
              <w:pStyle w:val="TableContents"/>
              <w:bidi w:val="0"/>
              <w:spacing w:before="0" w:after="0"/>
              <w:jc w:val="center"/>
              <w:rPr/>
            </w:pPr>
            <w:r>
              <w:rPr/>
              <w:t>100%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4ddc3ee49ed64504a08a598340763f6a"/>
      <w:bookmarkStart w:id="81" w:name="z4ddc3ee49ed64504a08a598340763f6a"/>
      <w:bookmarkEnd w:id="81"/>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both"/>
              <w:rPr/>
            </w:pPr>
            <w:r>
              <w:rPr/>
              <w:t>☒</w:t>
            </w:r>
          </w:p>
        </w:tc>
        <w:tc>
          <w:tcPr>
            <w:tcW w:w="9975" w:type="dxa"/>
            <w:tcBorders/>
            <w:vAlign w:val="center"/>
          </w:tcPr>
          <w:p>
            <w:pPr>
              <w:pStyle w:val="TableContents"/>
              <w:bidi w:val="0"/>
              <w:spacing w:before="0" w:after="0"/>
              <w:jc w:val="both"/>
              <w:rPr/>
            </w:pPr>
            <w:r>
              <w:rPr/>
              <w:t xml:space="preserve">(c)    </w:t>
            </w:r>
            <w:r>
              <w:rPr>
                <w:b/>
              </w:rPr>
              <w:t xml:space="preserve">Other Substantial Risk of Forfeiture. </w:t>
            </w:r>
            <w:r>
              <w:rPr>
                <w:i/>
              </w:rPr>
              <w:t>(Specify):</w:t>
            </w:r>
            <w:r>
              <w:rPr/>
              <w:t xml:space="preserve"> Any of the following conditions, determined in the sole judgment of the Employer, shall result in a forfeiture of Participant’s Benefit and shall apply even if any of the conditions specified is determined to not constitute a Substantial Risk of Forfeiture as defined in Treas. Reg. §1.409A-1(d).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42ca03ebae174299a87842b484367edf"/>
      <w:bookmarkStart w:id="83" w:name="z42ca03ebae174299a87842b484367edf"/>
      <w:bookmarkEnd w:id="83"/>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pPr>
            <w:r>
              <w:rPr/>
            </w:r>
          </w:p>
        </w:tc>
        <w:tc>
          <w:tcPr>
            <w:tcW w:w="186" w:type="dxa"/>
            <w:tcBorders/>
            <w:vAlign w:val="center"/>
          </w:tcPr>
          <w:p>
            <w:pPr>
              <w:pStyle w:val="TableContents"/>
              <w:bidi w:val="0"/>
              <w:spacing w:before="0" w:after="283"/>
              <w:jc w:val="left"/>
              <w:rPr/>
            </w:pPr>
            <w:r>
              <w:rPr/>
              <w:t>(i)</w:t>
            </w:r>
          </w:p>
        </w:tc>
        <w:tc>
          <w:tcPr>
            <w:tcW w:w="9981" w:type="dxa"/>
            <w:tcBorders/>
            <w:vAlign w:val="center"/>
          </w:tcPr>
          <w:p>
            <w:pPr>
              <w:pStyle w:val="TableContents"/>
              <w:bidi w:val="0"/>
              <w:spacing w:before="0" w:after="0"/>
              <w:jc w:val="both"/>
              <w:rPr/>
            </w:pPr>
            <w:r>
              <w:rPr/>
              <w:t>Discharge for Cause.  If the Participant is Discharged for Cause, Participant’s Benefit is forfeited.  “Discharge for Cause” shall mean the termination of Participant’s employment with the Employer as a result of any of the following:</w:t>
            </w:r>
          </w:p>
        </w:tc>
      </w:tr>
    </w:tbl>
    <w:p>
      <w:pPr>
        <w:pStyle w:val="TextBody"/>
        <w:bidi w:val="0"/>
        <w:spacing w:before="0" w:after="0"/>
        <w:jc w:val="left"/>
        <w:rPr/>
      </w:pPr>
      <w:r>
        <w:rPr/>
      </w:r>
    </w:p>
    <w:tbl>
      <w:tblPr>
        <w:tblW w:w="9228" w:type="dxa"/>
        <w:jc w:val="left"/>
        <w:tblInd w:w="0" w:type="dxa"/>
        <w:tblLayout w:type="fixed"/>
        <w:tblCellMar>
          <w:top w:w="0" w:type="dxa"/>
          <w:left w:w="0" w:type="dxa"/>
          <w:bottom w:w="0" w:type="dxa"/>
          <w:right w:w="0" w:type="dxa"/>
        </w:tblCellMar>
      </w:tblPr>
      <w:tblGrid>
        <w:gridCol w:w="38"/>
        <w:gridCol w:w="350"/>
        <w:gridCol w:w="884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(A)</w:t>
            </w:r>
          </w:p>
        </w:tc>
        <w:tc>
          <w:tcPr>
            <w:tcW w:w="8840" w:type="dxa"/>
            <w:tcBorders/>
            <w:vAlign w:val="center"/>
          </w:tcPr>
          <w:p>
            <w:pPr>
              <w:pStyle w:val="TableContents"/>
              <w:bidi w:val="0"/>
              <w:spacing w:before="0" w:after="0"/>
              <w:jc w:val="both"/>
              <w:rPr/>
            </w:pPr>
            <w:r>
              <w:rPr/>
              <w:t>the Participant’s commission of a felony or gross misdemeanor involving fraud or dishonesty;</w:t>
            </w:r>
          </w:p>
        </w:tc>
      </w:tr>
    </w:tbl>
    <w:p>
      <w:pPr>
        <w:pStyle w:val="TextBody"/>
        <w:bidi w:val="0"/>
        <w:spacing w:before="0" w:after="0"/>
        <w:jc w:val="left"/>
        <w:rPr/>
      </w:pPr>
      <w:r>
        <w:rPr/>
      </w:r>
    </w:p>
    <w:tbl>
      <w:tblPr>
        <w:tblW w:w="8058" w:type="dxa"/>
        <w:jc w:val="left"/>
        <w:tblInd w:w="0" w:type="dxa"/>
        <w:tblLayout w:type="fixed"/>
        <w:tblCellMar>
          <w:top w:w="0" w:type="dxa"/>
          <w:left w:w="0" w:type="dxa"/>
          <w:bottom w:w="0" w:type="dxa"/>
          <w:right w:w="0" w:type="dxa"/>
        </w:tblCellMar>
      </w:tblPr>
      <w:tblGrid>
        <w:gridCol w:w="38"/>
        <w:gridCol w:w="335"/>
        <w:gridCol w:w="7685"/>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pPr>
            <w:r>
              <w:rPr/>
              <w:t>(B)</w:t>
            </w:r>
          </w:p>
        </w:tc>
        <w:tc>
          <w:tcPr>
            <w:tcW w:w="7685" w:type="dxa"/>
            <w:tcBorders/>
            <w:vAlign w:val="center"/>
          </w:tcPr>
          <w:p>
            <w:pPr>
              <w:pStyle w:val="TableContents"/>
              <w:bidi w:val="0"/>
              <w:spacing w:before="0" w:after="0"/>
              <w:jc w:val="both"/>
              <w:rPr/>
            </w:pPr>
            <w:r>
              <w:rPr/>
              <w:t>the Participant’s willful violation of any banking law, rule, or banking regulation;</w:t>
            </w:r>
          </w:p>
        </w:tc>
      </w:tr>
    </w:tbl>
    <w:p>
      <w:pPr>
        <w:pStyle w:val="TextBody"/>
        <w:bidi w:val="0"/>
        <w:spacing w:before="0" w:after="0"/>
        <w:jc w:val="left"/>
        <w:rPr/>
      </w:pPr>
      <w:r>
        <w:rPr/>
      </w:r>
    </w:p>
    <w:tbl>
      <w:tblPr>
        <w:tblW w:w="6288" w:type="dxa"/>
        <w:jc w:val="left"/>
        <w:tblInd w:w="0" w:type="dxa"/>
        <w:tblLayout w:type="fixed"/>
        <w:tblCellMar>
          <w:top w:w="0" w:type="dxa"/>
          <w:left w:w="0" w:type="dxa"/>
          <w:bottom w:w="0" w:type="dxa"/>
          <w:right w:w="0" w:type="dxa"/>
        </w:tblCellMar>
      </w:tblPr>
      <w:tblGrid>
        <w:gridCol w:w="38"/>
        <w:gridCol w:w="335"/>
        <w:gridCol w:w="5915"/>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jc w:val="left"/>
              <w:rPr/>
            </w:pPr>
            <w:r>
              <w:rPr/>
              <w:t>(C)</w:t>
            </w:r>
          </w:p>
        </w:tc>
        <w:tc>
          <w:tcPr>
            <w:tcW w:w="5915" w:type="dxa"/>
            <w:tcBorders/>
            <w:vAlign w:val="center"/>
          </w:tcPr>
          <w:p>
            <w:pPr>
              <w:pStyle w:val="TableContents"/>
              <w:bidi w:val="0"/>
              <w:spacing w:before="0" w:after="0"/>
              <w:jc w:val="both"/>
              <w:rPr/>
            </w:pPr>
            <w:r>
              <w:rPr/>
              <w:t>an intentional failure by Participant to perform stated duties; or</w:t>
            </w:r>
          </w:p>
        </w:tc>
      </w:tr>
    </w:tbl>
    <w:p>
      <w:pPr>
        <w:pStyle w:val="TextBody"/>
        <w:bidi w:val="0"/>
        <w:spacing w:before="0" w:after="0"/>
        <w:jc w:val="left"/>
        <w:rPr/>
      </w:pPr>
      <w:r>
        <w:rPr/>
      </w:r>
    </w:p>
    <w:tbl>
      <w:tblPr>
        <w:tblW w:w="6663" w:type="dxa"/>
        <w:jc w:val="left"/>
        <w:tblInd w:w="0" w:type="dxa"/>
        <w:tblLayout w:type="fixed"/>
        <w:tblCellMar>
          <w:top w:w="0" w:type="dxa"/>
          <w:left w:w="0" w:type="dxa"/>
          <w:bottom w:w="0" w:type="dxa"/>
          <w:right w:w="0" w:type="dxa"/>
        </w:tblCellMar>
      </w:tblPr>
      <w:tblGrid>
        <w:gridCol w:w="38"/>
        <w:gridCol w:w="350"/>
        <w:gridCol w:w="627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(D)</w:t>
            </w:r>
          </w:p>
        </w:tc>
        <w:tc>
          <w:tcPr>
            <w:tcW w:w="6275" w:type="dxa"/>
            <w:tcBorders/>
            <w:vAlign w:val="center"/>
          </w:tcPr>
          <w:p>
            <w:pPr>
              <w:pStyle w:val="TableContents"/>
              <w:bidi w:val="0"/>
              <w:spacing w:before="0" w:after="0"/>
              <w:jc w:val="both"/>
              <w:rPr/>
            </w:pPr>
            <w:r>
              <w:rPr/>
              <w:t>a breach of fiduciary duty by Participant involving personal profit.</w:t>
            </w:r>
          </w:p>
        </w:tc>
      </w:tr>
    </w:tbl>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If a dispute arises as to whether a termination of Participant’s employment constitutes “Discharge for Cause,” such dispute shall be resolved by arbitration as set forth in Section 6.10 of the Basic Plan Document.  If the Participant resigns due to any of the conduct described above, the Employer may deny Participant’s Benefit.</w:t>
      </w:r>
    </w:p>
    <w:p>
      <w:pPr>
        <w:pStyle w:val="TextBody"/>
        <w:bidi w:val="0"/>
        <w:spacing w:before="0" w:after="0"/>
        <w:ind w:left="1440" w:right="0" w:hanging="0"/>
        <w:jc w:val="left"/>
        <w:rPr/>
      </w:pPr>
      <w:r>
        <w:rPr/>
      </w:r>
    </w:p>
    <w:p>
      <w:pPr>
        <w:pStyle w:val="Normal"/>
        <w:bidi w:val="0"/>
        <w:spacing w:before="0" w:after="0"/>
        <w:jc w:val="left"/>
        <w:rPr>
          <w:sz w:val="4"/>
          <w:szCs w:val="4"/>
        </w:rPr>
      </w:pPr>
      <w:r>
        <w:rPr>
          <w:sz w:val="4"/>
          <w:szCs w:val="4"/>
        </w:rPr>
      </w:r>
      <w:bookmarkStart w:id="84" w:name="zcf7839223e0649dcb893710dab29b9d7"/>
      <w:bookmarkStart w:id="85" w:name="zcf7839223e0649dcb893710dab29b9d7"/>
      <w:bookmarkEnd w:id="85"/>
    </w:p>
    <w:tbl>
      <w:tblPr>
        <w:tblW w:w="6273" w:type="dxa"/>
        <w:jc w:val="left"/>
        <w:tblInd w:w="0" w:type="dxa"/>
        <w:tblLayout w:type="fixed"/>
        <w:tblCellMar>
          <w:top w:w="0" w:type="dxa"/>
          <w:left w:w="0" w:type="dxa"/>
          <w:bottom w:w="0" w:type="dxa"/>
          <w:right w:w="0" w:type="dxa"/>
        </w:tblCellMar>
      </w:tblPr>
      <w:tblGrid>
        <w:gridCol w:w="38"/>
        <w:gridCol w:w="290"/>
        <w:gridCol w:w="594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(ii)</w:t>
            </w:r>
          </w:p>
        </w:tc>
        <w:tc>
          <w:tcPr>
            <w:tcW w:w="5945" w:type="dxa"/>
            <w:tcBorders/>
            <w:vAlign w:val="center"/>
          </w:tcPr>
          <w:p>
            <w:pPr>
              <w:pStyle w:val="TableContents"/>
              <w:bidi w:val="0"/>
              <w:spacing w:before="0" w:after="0"/>
              <w:jc w:val="both"/>
              <w:rPr/>
            </w:pPr>
            <w:r>
              <w:rPr/>
              <w:t>Death.  If the Participant dies, Participant’s Benefit is forfeited.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cb4d9042001f4d1e9ec7921762f87fa1"/>
      <w:bookmarkStart w:id="87" w:name="zcb4d9042001f4d1e9ec7921762f87fa1"/>
      <w:bookmarkEnd w:id="87"/>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pPr>
            <w:r>
              <w:rPr/>
            </w:r>
          </w:p>
        </w:tc>
        <w:tc>
          <w:tcPr>
            <w:tcW w:w="279" w:type="dxa"/>
            <w:tcBorders/>
            <w:vAlign w:val="center"/>
          </w:tcPr>
          <w:p>
            <w:pPr>
              <w:pStyle w:val="TableContents"/>
              <w:bidi w:val="0"/>
              <w:spacing w:before="0" w:after="283"/>
              <w:jc w:val="left"/>
              <w:rPr/>
            </w:pPr>
            <w:r>
              <w:rPr/>
              <w:t>(iii)</w:t>
            </w:r>
          </w:p>
        </w:tc>
        <w:tc>
          <w:tcPr>
            <w:tcW w:w="9888" w:type="dxa"/>
            <w:tcBorders/>
            <w:vAlign w:val="center"/>
          </w:tcPr>
          <w:p>
            <w:pPr>
              <w:pStyle w:val="TableContents"/>
              <w:bidi w:val="0"/>
              <w:spacing w:before="0" w:after="0"/>
              <w:jc w:val="both"/>
              <w:rPr/>
            </w:pPr>
            <w:r>
              <w:rPr/>
              <w:t>Proprietary Information of Employer.  Employer promises to give Participant “trade secrets” and confidential information during the course of Participant’s employment.  In return, Participant agrees not to use or disclose Employer’s “trade secrets” or confidential information after Participant’s Separation from Service.  If Participant, directly or indirectly, makes known, discloses, furnishes or utilizes any of the “trade secrets” or confidential information of the Employer other than in the proper performance of Participant’s duties or as required by a court of competent jurisdiction or other administrative or legislative body, provided that, prior to disclosing any of the confidential information to a court or other administrative or legislative body, Participant shall promptly notify the Employer so it may seek a protective order or other appropriate remedy, Participant’s Benefit is forfeited.  “Trade Secret” shall mean any devices, secret inventions, processes and compilations of information and records owned by Employer and regularly used in the operation of the business of the Employer.  Participant acknowledges direct and indirect disclosure of any such confidential information to existing or potential competitors of Employer would place Employer at a competitive disadvantage and would do damage, monetary or otherwise, to Employer. Participant agrees to return all confidential information, including all photocopies, extracts and summaries thereof, and any such information stored electronically on tapes, computer disks or in any other manner to the Employer at any time upon request by the Employer and upon Separation from Service.</w:t>
            </w:r>
          </w:p>
        </w:tc>
      </w:tr>
    </w:tbl>
    <w:p>
      <w:pPr>
        <w:pStyle w:val="TextBody"/>
        <w:bidi w:val="0"/>
        <w:spacing w:before="0" w:after="0"/>
        <w:jc w:val="left"/>
        <w:rPr/>
      </w:pPr>
      <w:r>
        <w:rPr/>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Normal"/>
        <w:bidi w:val="0"/>
        <w:spacing w:before="0" w:after="0"/>
        <w:jc w:val="left"/>
        <w:rPr>
          <w:sz w:val="4"/>
          <w:szCs w:val="4"/>
        </w:rPr>
      </w:pPr>
      <w:r>
        <w:rPr>
          <w:sz w:val="4"/>
          <w:szCs w:val="4"/>
        </w:rPr>
      </w:r>
      <w:bookmarkStart w:id="88" w:name="z56bb6968249d494e9e147dea9944f093"/>
      <w:bookmarkStart w:id="89" w:name="z56bb6968249d494e9e147dea9944f093"/>
      <w:bookmarkEnd w:id="89"/>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t>(iv)</w:t>
            </w:r>
          </w:p>
        </w:tc>
        <w:tc>
          <w:tcPr>
            <w:tcW w:w="9886" w:type="dxa"/>
            <w:tcBorders/>
            <w:vAlign w:val="center"/>
          </w:tcPr>
          <w:p>
            <w:pPr>
              <w:pStyle w:val="TableContents"/>
              <w:bidi w:val="0"/>
              <w:spacing w:before="0" w:after="0"/>
              <w:jc w:val="both"/>
              <w:rPr/>
            </w:pPr>
            <w:r>
              <w:rPr/>
              <w:t>Non-Competition.  Ancillary to the agreements in (iii), Participant agrees not to engage in “Competition” with the Employer in any county where the Employer maintains a branch office from the Effective Date until the second anniversary following the earliest payment event to occur under Article IV of the Adoption Agreement (the Non-Competition Period). If Participant engages in “Competition” with the Employer in any county where the Employer maintains a branch office during the Non-Competition Period, Participant’s Benefit is forfeited.  “Competition” shall mean the Participant’s engaging in, or directly or indirectly being employed by or acting as a consultant or lender to, or being a director, officer, employee, principal, licensor, trustee, broker, agent, stockholder, member, owner, joint venturer or partner of, or permitting his name to be used in connection with the activities of any other business or organization which is engaged in the same business as the business of the Employer.  It shall not be a violation of the Non-Competition clause for Participant 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9e3296669d664b5d84406bafa9a16377"/>
      <w:bookmarkStart w:id="91" w:name="z9e3296669d664b5d84406bafa9a16377"/>
      <w:bookmarkEnd w:id="91"/>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pPr>
            <w:r>
              <w:rPr/>
            </w:r>
          </w:p>
        </w:tc>
        <w:tc>
          <w:tcPr>
            <w:tcW w:w="312" w:type="dxa"/>
            <w:tcBorders/>
            <w:vAlign w:val="center"/>
          </w:tcPr>
          <w:p>
            <w:pPr>
              <w:pStyle w:val="TableContents"/>
              <w:bidi w:val="0"/>
              <w:spacing w:before="0" w:after="283"/>
              <w:jc w:val="left"/>
              <w:rPr/>
            </w:pPr>
            <w:r>
              <w:rPr/>
              <w:t>(A)</w:t>
            </w:r>
          </w:p>
        </w:tc>
        <w:tc>
          <w:tcPr>
            <w:tcW w:w="9855" w:type="dxa"/>
            <w:tcBorders/>
            <w:vAlign w:val="center"/>
          </w:tcPr>
          <w:p>
            <w:pPr>
              <w:pStyle w:val="TableContents"/>
              <w:bidi w:val="0"/>
              <w:spacing w:before="0" w:after="0"/>
              <w:jc w:val="left"/>
              <w:rPr/>
            </w:pPr>
            <w:r>
              <w:rPr/>
              <w:t>become the registered or beneficial owner of less than five percent (5%) of any class of capital stock of a competing corporation registered under the Securities Exchange Act of 1934, as amended;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44eef8e1f8ea4e919fbbdc390fdd9acb"/>
      <w:bookmarkStart w:id="93" w:name="z44eef8e1f8ea4e919fbbdc390fdd9acb"/>
      <w:bookmarkEnd w:id="93"/>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0"/>
              <w:jc w:val="left"/>
              <w:rPr/>
            </w:pPr>
            <w:r>
              <w:rPr/>
              <w:t>be employed by an entity which engages in the same business as the business of the Employer so long as Participant does not directly perform services for or work within a division or business unit of such entity which engages in the business of the Employer.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422b6503f670411db2f9393f0d19ca10"/>
      <w:bookmarkStart w:id="95" w:name="z422b6503f670411db2f9393f0d19ca10"/>
      <w:bookmarkEnd w:id="95"/>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(v)</w:t>
            </w:r>
          </w:p>
        </w:tc>
        <w:tc>
          <w:tcPr>
            <w:tcW w:w="9911" w:type="dxa"/>
            <w:tcBorders/>
            <w:vAlign w:val="center"/>
          </w:tcPr>
          <w:p>
            <w:pPr>
              <w:pStyle w:val="TableContents"/>
              <w:bidi w:val="0"/>
              <w:spacing w:before="0" w:after="0"/>
              <w:jc w:val="both"/>
              <w:rPr/>
            </w:pPr>
            <w:r>
              <w:rPr/>
              <w:t>Solicitation of Employer’s Customers.  During the Non-Competition Period, if the Participant does any of the following, directly or indirectly, Participant’s Benefit is forfeited: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27946417a1ca49d2b8a99a276fd79afb"/>
      <w:bookmarkStart w:id="97" w:name="z27946417a1ca49d2b8a99a276fd79afb"/>
      <w:bookmarkEnd w:id="97"/>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pPr>
            <w:r>
              <w:rPr/>
            </w:r>
          </w:p>
        </w:tc>
        <w:tc>
          <w:tcPr>
            <w:tcW w:w="334" w:type="dxa"/>
            <w:tcBorders/>
            <w:vAlign w:val="center"/>
          </w:tcPr>
          <w:p>
            <w:pPr>
              <w:pStyle w:val="TableContents"/>
              <w:bidi w:val="0"/>
              <w:spacing w:before="0" w:after="283"/>
              <w:jc w:val="left"/>
              <w:rPr/>
            </w:pPr>
            <w:r>
              <w:rPr/>
              <w:t>(A)</w:t>
            </w:r>
          </w:p>
        </w:tc>
        <w:tc>
          <w:tcPr>
            <w:tcW w:w="9833" w:type="dxa"/>
            <w:tcBorders/>
            <w:vAlign w:val="center"/>
          </w:tcPr>
          <w:p>
            <w:pPr>
              <w:pStyle w:val="TableContents"/>
              <w:bidi w:val="0"/>
              <w:spacing w:before="0" w:after="0"/>
              <w:jc w:val="left"/>
              <w:rPr/>
            </w:pPr>
            <w:r>
              <w:rPr/>
              <w:t>solicit from any of Employer’s customers business of the same or similar nature to the business between Employer and customer;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13b1a50d755b438a8edd79eaa077f9eb"/>
      <w:bookmarkStart w:id="99" w:name="z13b1a50d755b438a8edd79eaa077f9eb"/>
      <w:bookmarkEnd w:id="99"/>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pPr>
            <w:r>
              <w:rPr/>
            </w:r>
          </w:p>
        </w:tc>
        <w:tc>
          <w:tcPr>
            <w:tcW w:w="326"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0"/>
              <w:jc w:val="left"/>
              <w:rPr/>
            </w:pPr>
            <w:r>
              <w:rPr/>
              <w:t>solicit the employment or services of any person who at the time is employed by or a consultant to the Employer;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030ea7bb450c4d15886b71d94531659c"/>
      <w:bookmarkStart w:id="101" w:name="z030ea7bb450c4d15886b71d94531659c"/>
      <w:bookmarkEnd w:id="101"/>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pPr>
            <w:r>
              <w:rPr/>
              <w:t>(C)</w:t>
            </w:r>
          </w:p>
        </w:tc>
        <w:tc>
          <w:tcPr>
            <w:tcW w:w="9862" w:type="dxa"/>
            <w:tcBorders/>
            <w:vAlign w:val="center"/>
          </w:tcPr>
          <w:p>
            <w:pPr>
              <w:pStyle w:val="TableContents"/>
              <w:bidi w:val="0"/>
              <w:spacing w:before="0" w:after="0"/>
              <w:jc w:val="left"/>
              <w:rPr/>
            </w:pPr>
            <w:r>
              <w:rPr/>
              <w:t>make any statements or comments of a defamatory or disparaging nature to third parties regarding Employer or its officers, directors, personnel, product, or services.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ab97c6ba0a2e44f698deabcedbfd4f3b"/>
      <w:bookmarkStart w:id="103" w:name="zab97c6ba0a2e44f698deabcedbfd4f3b"/>
      <w:bookmarkEnd w:id="103"/>
    </w:p>
    <w:tbl>
      <w:tblPr>
        <w:tblW w:w="1413" w:type="dxa"/>
        <w:jc w:val="left"/>
        <w:tblInd w:w="0" w:type="dxa"/>
        <w:tblLayout w:type="fixed"/>
        <w:tblCellMar>
          <w:top w:w="0" w:type="dxa"/>
          <w:left w:w="0" w:type="dxa"/>
          <w:bottom w:w="0" w:type="dxa"/>
          <w:right w:w="0" w:type="dxa"/>
        </w:tblCellMar>
      </w:tblPr>
      <w:tblGrid>
        <w:gridCol w:w="38"/>
        <w:gridCol w:w="350"/>
        <w:gridCol w:w="102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(vi)</w:t>
            </w:r>
          </w:p>
        </w:tc>
        <w:tc>
          <w:tcPr>
            <w:tcW w:w="1025" w:type="dxa"/>
            <w:tcBorders/>
            <w:vAlign w:val="center"/>
          </w:tcPr>
          <w:p>
            <w:pPr>
              <w:pStyle w:val="TableContents"/>
              <w:bidi w:val="0"/>
              <w:spacing w:before="0" w:after="0"/>
              <w:jc w:val="both"/>
              <w:rPr/>
            </w:pPr>
            <w:r>
              <w:rPr/>
              <w:t>Forfeiture.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5459ad13f05b4cd6a8da44426ca3f7f4"/>
      <w:bookmarkStart w:id="105" w:name="z5459ad13f05b4cd6a8da44426ca3f7f4"/>
      <w:bookmarkEnd w:id="105"/>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0"/>
              <w:jc w:val="left"/>
              <w:rPr/>
            </w:pPr>
            <w:r>
              <w:rPr/>
              <w:t>Forfeiture.  If at any time it is determined in the sole judgment of the Employer the Participant has engaged in any provision of Section 3.01(c)(iii), (iv), or (v) of the Adoption Agreement, the Participant’s Benefits shall be forfeited and the Participant shall repay to the Employer any and all Benefits already received, including Benefits paid as a lump sum, without prejudice to the Employer’s right to pursue other equitable and legal remedies for enforcement and recovery.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3ee8a9dc66e245ff9f0b87d8d53b9209"/>
      <w:bookmarkStart w:id="107" w:name="z3ee8a9dc66e245ff9f0b87d8d53b9209"/>
      <w:bookmarkEnd w:id="107"/>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left"/>
              <w:rPr/>
            </w:pPr>
            <w:r>
              <w:rPr/>
              <w:t>Other Relief.  A material breach by Participant of any of the provisions of Section 3.01(c)(iii), (iv), or (v) of the Adoption Agreement will cause the Employer irreparable injury and would not be reasonably or adequately compensated for by damages in an action at law.  Participant therefore agrees the Employer shall be entitled, in addition to any other right or remedy, to a temporary, preliminary and permanent injunction without the necessity of proving the inadequacy of monetary damages or the posting of any bond or security, enjoining or restraining Participant from any such violation.</w:t>
            </w:r>
          </w:p>
        </w:tc>
      </w:tr>
    </w:tbl>
    <w:p>
      <w:pPr>
        <w:pStyle w:val="TextBody"/>
        <w:bidi w:val="0"/>
        <w:spacing w:before="0" w:after="0"/>
        <w:jc w:val="left"/>
        <w:rPr/>
      </w:pPr>
      <w:r>
        <w:rPr/>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Normal"/>
        <w:bidi w:val="0"/>
        <w:spacing w:before="0" w:after="0"/>
        <w:jc w:val="left"/>
        <w:rPr>
          <w:sz w:val="4"/>
          <w:szCs w:val="4"/>
        </w:rPr>
      </w:pPr>
      <w:r>
        <w:rPr>
          <w:sz w:val="4"/>
          <w:szCs w:val="4"/>
        </w:rPr>
      </w:r>
      <w:bookmarkStart w:id="108" w:name="z784aaa7125c5402c8e68ae569a953189"/>
      <w:bookmarkStart w:id="109" w:name="z784aaa7125c5402c8e68ae569a953189"/>
      <w:bookmarkEnd w:id="109"/>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pPr>
            <w:r>
              <w:rPr/>
            </w:r>
          </w:p>
        </w:tc>
        <w:tc>
          <w:tcPr>
            <w:tcW w:w="274" w:type="dxa"/>
            <w:tcBorders/>
            <w:vAlign w:val="center"/>
          </w:tcPr>
          <w:p>
            <w:pPr>
              <w:pStyle w:val="TableContents"/>
              <w:bidi w:val="0"/>
              <w:spacing w:before="0" w:after="283"/>
              <w:jc w:val="left"/>
              <w:rPr/>
            </w:pPr>
            <w:r>
              <w:rPr/>
              <w:t>(C)</w:t>
            </w:r>
          </w:p>
        </w:tc>
        <w:tc>
          <w:tcPr>
            <w:tcW w:w="9893" w:type="dxa"/>
            <w:tcBorders/>
            <w:vAlign w:val="center"/>
          </w:tcPr>
          <w:p>
            <w:pPr>
              <w:pStyle w:val="TableContents"/>
              <w:bidi w:val="0"/>
              <w:spacing w:before="0" w:after="0"/>
              <w:jc w:val="left"/>
              <w:rPr/>
            </w:pPr>
            <w:r>
              <w:rPr/>
              <w:t>Construction.  It is the intent of the Participant and Employer that if, in the opinion of any court of competent jurisdiction or arbitrator, any provision set forth in the Plan is not reasonable in any respect, or any provision should be deemed to exceed the time, geographic or occupational limits permitted by applicable law, such court or arbitrator shall have the right, power and authority to modify any and all such provisions and to enforce the remainder of the Plan as so modified.</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Note: An Employer may elect both a vesting schedule and an additional Substantial Risk of Forfeiture. In such event, a Participant failing to satisfy the conditions resulting in a Substantial Risk of Forfeiture will forfeit his/her Benefit, even if 100% Vested under any vesting schedule.</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3.02 </w:t>
      </w:r>
      <w:r>
        <w:rPr>
          <w:rFonts w:ascii="Times New Roman" w:hAnsi="Times New Roman"/>
          <w:b/>
          <w:color w:val="000000"/>
          <w:sz w:val="20"/>
        </w:rPr>
        <w:t>Immediate Vesting upon Specified Events.</w:t>
      </w:r>
      <w:r>
        <w:rPr>
          <w:rFonts w:ascii="Times New Roman" w:hAnsi="Times New Roman"/>
          <w:color w:val="000000"/>
          <w:sz w:val="20"/>
        </w:rPr>
        <w:t xml:space="preserve"> A Participant’s applicable Benefit is 100% Vested without regard to Years of Service as follows: (</w:t>
      </w:r>
      <w:r>
        <w:rPr>
          <w:rFonts w:ascii="Times New Roman" w:hAnsi="Times New Roman"/>
          <w:i/>
          <w:color w:val="000000"/>
          <w:sz w:val="20"/>
        </w:rPr>
        <w:t>choose (a) or choose one or more of (b) – (e)</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0" w:name="z1c9556ec999e480cb2c2ca616052b553"/>
      <w:bookmarkStart w:id="111" w:name="z1c9556ec999e480cb2c2ca616052b553"/>
      <w:bookmarkEnd w:id="111"/>
    </w:p>
    <w:tbl>
      <w:tblPr>
        <w:tblW w:w="10205" w:type="dxa"/>
        <w:jc w:val="left"/>
        <w:tblInd w:w="0" w:type="dxa"/>
        <w:tblLayout w:type="fixed"/>
        <w:tblCellMar>
          <w:top w:w="0" w:type="dxa"/>
          <w:left w:w="0" w:type="dxa"/>
          <w:bottom w:w="0" w:type="dxa"/>
          <w:right w:w="0" w:type="dxa"/>
        </w:tblCellMar>
      </w:tblPr>
      <w:tblGrid>
        <w:gridCol w:w="230"/>
        <w:gridCol w:w="1551"/>
        <w:gridCol w:w="8331"/>
        <w:gridCol w:w="93"/>
      </w:tblGrid>
      <w:tr>
        <w:trPr/>
        <w:tc>
          <w:tcPr>
            <w:tcW w:w="230" w:type="dxa"/>
            <w:tcBorders/>
            <w:vAlign w:val="center"/>
          </w:tcPr>
          <w:p>
            <w:pPr>
              <w:pStyle w:val="TableContents"/>
              <w:bidi w:val="0"/>
              <w:spacing w:before="0" w:after="0"/>
              <w:jc w:val="both"/>
              <w:rPr/>
            </w:pPr>
            <w:r>
              <w:rPr/>
              <w:t>☐</w:t>
            </w:r>
          </w:p>
        </w:tc>
        <w:tc>
          <w:tcPr>
            <w:tcW w:w="9975" w:type="dxa"/>
            <w:gridSpan w:val="3"/>
            <w:tcBorders/>
            <w:vAlign w:val="center"/>
          </w:tcPr>
          <w:p>
            <w:pPr>
              <w:pStyle w:val="TableContents"/>
              <w:bidi w:val="0"/>
              <w:spacing w:before="0" w:after="0"/>
              <w:jc w:val="both"/>
              <w:rPr/>
            </w:pPr>
            <w:r>
              <w:rPr/>
              <w:t>(a)    Not Applicable.</w:t>
            </w:r>
          </w:p>
        </w:tc>
      </w:tr>
      <w:tr>
        <w:trPr/>
        <w:tc>
          <w:tcPr>
            <w:tcW w:w="230" w:type="dxa"/>
            <w:tcBorders/>
            <w:vAlign w:val="center"/>
          </w:tcPr>
          <w:p>
            <w:pPr>
              <w:pStyle w:val="TableContents"/>
              <w:bidi w:val="0"/>
              <w:spacing w:before="0" w:after="283"/>
              <w:jc w:val="left"/>
              <w:rPr/>
            </w:pPr>
            <w:r>
              <w:rPr/>
              <w:t> </w:t>
            </w:r>
          </w:p>
        </w:tc>
        <w:tc>
          <w:tcPr>
            <w:tcW w:w="9975" w:type="dxa"/>
            <w:gridSpan w:val="3"/>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9975" w:type="dxa"/>
            <w:gridSpan w:val="3"/>
            <w:tcBorders/>
            <w:vAlign w:val="center"/>
          </w:tcPr>
          <w:p>
            <w:pPr>
              <w:pStyle w:val="TableContents"/>
              <w:bidi w:val="0"/>
              <w:spacing w:before="0" w:after="0"/>
              <w:jc w:val="both"/>
              <w:rPr/>
            </w:pPr>
            <w:r>
              <w:rPr/>
              <w:t xml:space="preserve">(b)    </w:t>
            </w:r>
            <w:r>
              <w:rPr>
                <w:b/>
              </w:rPr>
              <w:t xml:space="preserve">Retirement Age.  </w:t>
            </w:r>
            <w:r>
              <w:rPr/>
              <w:t>Upon the date the Participant attains Normal Retirement Age.</w:t>
            </w:r>
          </w:p>
        </w:tc>
      </w:tr>
      <w:tr>
        <w:trPr/>
        <w:tc>
          <w:tcPr>
            <w:tcW w:w="230" w:type="dxa"/>
            <w:tcBorders/>
            <w:vAlign w:val="center"/>
          </w:tcPr>
          <w:p>
            <w:pPr>
              <w:pStyle w:val="TableContents"/>
              <w:bidi w:val="0"/>
              <w:spacing w:before="0" w:after="283"/>
              <w:jc w:val="left"/>
              <w:rPr/>
            </w:pPr>
            <w:r>
              <w:rPr/>
              <w:t> </w:t>
            </w:r>
          </w:p>
        </w:tc>
        <w:tc>
          <w:tcPr>
            <w:tcW w:w="9975" w:type="dxa"/>
            <w:gridSpan w:val="3"/>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9975" w:type="dxa"/>
            <w:gridSpan w:val="3"/>
            <w:tcBorders/>
            <w:vAlign w:val="center"/>
          </w:tcPr>
          <w:p>
            <w:pPr>
              <w:pStyle w:val="TableContents"/>
              <w:bidi w:val="0"/>
              <w:spacing w:before="0" w:after="0"/>
              <w:jc w:val="both"/>
              <w:rPr/>
            </w:pPr>
            <w:r>
              <w:rPr/>
              <w:t xml:space="preserve">(c)    </w:t>
            </w:r>
            <w:r>
              <w:rPr>
                <w:b/>
              </w:rPr>
              <w:t xml:space="preserve">Death.  </w:t>
            </w:r>
            <w:r>
              <w:rPr/>
              <w:t>Upon the Participant’s date of death.</w:t>
            </w:r>
          </w:p>
        </w:tc>
      </w:tr>
      <w:tr>
        <w:trPr/>
        <w:tc>
          <w:tcPr>
            <w:tcW w:w="230" w:type="dxa"/>
            <w:tcBorders/>
            <w:vAlign w:val="center"/>
          </w:tcPr>
          <w:p>
            <w:pPr>
              <w:pStyle w:val="TableContents"/>
              <w:bidi w:val="0"/>
              <w:spacing w:before="0" w:after="283"/>
              <w:jc w:val="left"/>
              <w:rPr/>
            </w:pPr>
            <w:r>
              <w:rPr/>
              <w:t> </w:t>
            </w:r>
          </w:p>
        </w:tc>
        <w:tc>
          <w:tcPr>
            <w:tcW w:w="9975" w:type="dxa"/>
            <w:gridSpan w:val="3"/>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9975" w:type="dxa"/>
            <w:gridSpan w:val="3"/>
            <w:tcBorders/>
            <w:vAlign w:val="center"/>
          </w:tcPr>
          <w:p>
            <w:pPr>
              <w:pStyle w:val="TableContents"/>
              <w:bidi w:val="0"/>
              <w:spacing w:before="0" w:after="0"/>
              <w:jc w:val="both"/>
              <w:rPr/>
            </w:pPr>
            <w:r>
              <w:rPr/>
              <w:t xml:space="preserve">(d)    </w:t>
            </w:r>
            <w:r>
              <w:rPr>
                <w:b/>
              </w:rPr>
              <w:t xml:space="preserve">Disability.  </w:t>
            </w:r>
            <w:r>
              <w:rPr/>
              <w:t>Upon a determination of Participant’s Disability prior to the Participant’s Separation from Service.</w:t>
            </w:r>
          </w:p>
        </w:tc>
      </w:tr>
      <w:tr>
        <w:trPr/>
        <w:tc>
          <w:tcPr>
            <w:tcW w:w="230" w:type="dxa"/>
            <w:tcBorders/>
            <w:vAlign w:val="center"/>
          </w:tcPr>
          <w:p>
            <w:pPr>
              <w:pStyle w:val="TableContents"/>
              <w:bidi w:val="0"/>
              <w:spacing w:before="0" w:after="283"/>
              <w:jc w:val="left"/>
              <w:rPr/>
            </w:pPr>
            <w:r>
              <w:rPr/>
              <w:t> </w:t>
            </w:r>
          </w:p>
        </w:tc>
        <w:tc>
          <w:tcPr>
            <w:tcW w:w="9975" w:type="dxa"/>
            <w:gridSpan w:val="3"/>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jc w:val="both"/>
              <w:rPr/>
            </w:pPr>
            <w:r>
              <w:rPr/>
              <w:t>☒</w:t>
            </w:r>
          </w:p>
        </w:tc>
        <w:tc>
          <w:tcPr>
            <w:tcW w:w="1551" w:type="dxa"/>
            <w:tcBorders/>
            <w:vAlign w:val="center"/>
          </w:tcPr>
          <w:p>
            <w:pPr>
              <w:pStyle w:val="TableContents"/>
              <w:bidi w:val="0"/>
              <w:spacing w:before="0" w:after="0"/>
              <w:jc w:val="both"/>
              <w:rPr/>
            </w:pPr>
            <w:r>
              <w:rPr/>
              <w:t xml:space="preserve">(e)    </w:t>
            </w:r>
            <w:r>
              <w:rPr>
                <w:i/>
              </w:rPr>
              <w:t>(Specify)</w:t>
            </w:r>
            <w:r>
              <w:rPr/>
              <w:t>:</w:t>
            </w:r>
          </w:p>
        </w:tc>
        <w:tc>
          <w:tcPr>
            <w:tcW w:w="8331" w:type="dxa"/>
            <w:tcBorders>
              <w:bottom w:val="single" w:sz="12" w:space="0" w:color="000000"/>
            </w:tcBorders>
            <w:tcMar>
              <w:bottom w:w="28" w:type="dxa"/>
            </w:tcMar>
            <w:vAlign w:val="center"/>
          </w:tcPr>
          <w:p>
            <w:pPr>
              <w:pStyle w:val="TableContents"/>
              <w:bidi w:val="0"/>
              <w:spacing w:before="0" w:after="0"/>
              <w:jc w:val="left"/>
              <w:rPr/>
            </w:pPr>
            <w:r>
              <w:rPr/>
              <w:t>Upon a Change in Control prior to the Participant’s Separation from Service          </w:t>
            </w:r>
          </w:p>
        </w:tc>
        <w:tc>
          <w:tcPr>
            <w:tcW w:w="93" w:type="dxa"/>
            <w:tcBorders/>
            <w:vAlign w:val="center"/>
          </w:tcPr>
          <w:p>
            <w:pPr>
              <w:pStyle w:val="TableContents"/>
              <w:bidi w:val="0"/>
              <w:spacing w:before="0" w:after="283"/>
              <w:jc w:val="left"/>
              <w:rPr/>
            </w:pPr>
            <w:r>
              <w:rPr/>
              <w:t>.</w:t>
            </w:r>
          </w:p>
        </w:tc>
      </w:tr>
    </w:tbl>
    <w:p>
      <w:pPr>
        <w:pStyle w:val="TextBody"/>
        <w:bidi w:val="0"/>
        <w:spacing w:before="0" w:after="0"/>
        <w:jc w:val="both"/>
        <w:rPr>
          <w:i/>
        </w:rPr>
      </w:pPr>
      <w:r>
        <w:rPr>
          <w:i/>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Note: An early vesting provision generally does not result in prohibited acceleration of benefits under Code §409A. See Section 4.02(C).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BENEFIT PAYMENTS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4.01 Participant’s Benefit shall be either (a), (b), or (c), based on the earliest payment event to occur:</w:t>
      </w:r>
    </w:p>
    <w:p>
      <w:pPr>
        <w:pStyle w:val="TextBody"/>
        <w:bidi w:val="0"/>
        <w:spacing w:before="0" w:after="0"/>
        <w:ind w:left="0" w:right="0" w:firstLine="540"/>
        <w:jc w:val="left"/>
        <w:rPr/>
      </w:pPr>
      <w:r>
        <w:rPr/>
      </w:r>
    </w:p>
    <w:p>
      <w:pPr>
        <w:pStyle w:val="Normal"/>
        <w:bidi w:val="0"/>
        <w:spacing w:before="0" w:after="0"/>
        <w:jc w:val="left"/>
        <w:rPr>
          <w:sz w:val="4"/>
          <w:szCs w:val="4"/>
        </w:rPr>
      </w:pPr>
      <w:r>
        <w:rPr>
          <w:sz w:val="4"/>
          <w:szCs w:val="4"/>
        </w:rPr>
      </w:r>
      <w:bookmarkStart w:id="112" w:name="z9a31dcdc6f104bff96f2c4d1f6941549"/>
      <w:bookmarkStart w:id="113" w:name="z9a31dcdc6f104bff96f2c4d1f6941549"/>
      <w:bookmarkEnd w:id="113"/>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both"/>
              <w:rPr/>
            </w:pPr>
            <w:r>
              <w:rPr/>
              <w:t xml:space="preserve">☒ </w:t>
            </w:r>
          </w:p>
        </w:tc>
        <w:tc>
          <w:tcPr>
            <w:tcW w:w="9941" w:type="dxa"/>
            <w:tcBorders/>
            <w:vAlign w:val="center"/>
          </w:tcPr>
          <w:p>
            <w:pPr>
              <w:pStyle w:val="TableContents"/>
              <w:bidi w:val="0"/>
              <w:spacing w:before="0" w:after="283"/>
              <w:jc w:val="left"/>
              <w:rPr/>
            </w:pPr>
            <w:r>
              <w:rPr/>
              <w:t xml:space="preserve">(a)    </w:t>
            </w:r>
            <w:r>
              <w:rPr>
                <w:b/>
              </w:rPr>
              <w:t xml:space="preserve">Retirement Benefit.  </w:t>
            </w:r>
            <w:r>
              <w:rPr/>
              <w:t>If the Participant has not Separated from Service with Employer and has attained Normal Retirement Age, the Employer shall pay to Participant: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ac630e52b80c41da948d40f9264e626d"/>
      <w:bookmarkStart w:id="115" w:name="zac630e52b80c41da948d40f9264e626d"/>
      <w:bookmarkEnd w:id="115"/>
    </w:p>
    <w:tbl>
      <w:tblPr>
        <w:tblW w:w="4968" w:type="dxa"/>
        <w:jc w:val="left"/>
        <w:tblInd w:w="0" w:type="dxa"/>
        <w:tblLayout w:type="fixed"/>
        <w:tblCellMar>
          <w:top w:w="0" w:type="dxa"/>
          <w:left w:w="0" w:type="dxa"/>
          <w:bottom w:w="0" w:type="dxa"/>
          <w:right w:w="0" w:type="dxa"/>
        </w:tblCellMar>
      </w:tblPr>
      <w:tblGrid>
        <w:gridCol w:w="38"/>
        <w:gridCol w:w="230"/>
        <w:gridCol w:w="470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w:t>
            </w:r>
          </w:p>
        </w:tc>
        <w:tc>
          <w:tcPr>
            <w:tcW w:w="4700" w:type="dxa"/>
            <w:tcBorders/>
            <w:vAlign w:val="center"/>
          </w:tcPr>
          <w:p>
            <w:pPr>
              <w:pStyle w:val="TableContents"/>
              <w:bidi w:val="0"/>
              <w:spacing w:before="0" w:after="0"/>
              <w:jc w:val="both"/>
              <w:rPr/>
            </w:pPr>
            <w:r>
              <w:rPr/>
              <w:t>Annual payments each in the amount of $36,150,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zfff07329ad0642299b677c37a58a3da5"/>
      <w:bookmarkStart w:id="117" w:name="zfff07329ad0642299b677c37a58a3da5"/>
      <w:bookmarkEnd w:id="117"/>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0"/>
              <w:jc w:val="both"/>
              <w:rPr/>
            </w:pPr>
            <w:r>
              <w:rPr/>
              <w:t>Commencing upon the first day of the second month following Participant’s attainment of Normal Retirement Age and thereafter annually on each successive anniversary of the first payment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f7b2f2a1284c41388eea492069369272"/>
      <w:bookmarkStart w:id="119" w:name="zf7b2f2a1284c41388eea492069369272"/>
      <w:bookmarkEnd w:id="119"/>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both"/>
              <w:rPr/>
            </w:pPr>
            <w:r>
              <w:rPr/>
              <w:t>At Participant’s death after payments have begun, the Plan shall terminate and all benefits shall cease and be forfeited, including any future benefits or vested benefits.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6f327e864f9540039b1406f1380da46c"/>
      <w:bookmarkStart w:id="121" w:name="z6f327e864f9540039b1406f1380da46c"/>
      <w:bookmarkEnd w:id="121"/>
    </w:p>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both"/>
              <w:rPr/>
            </w:pPr>
            <w:r>
              <w:rPr/>
              <w:t>☒</w:t>
            </w:r>
          </w:p>
        </w:tc>
        <w:tc>
          <w:tcPr>
            <w:tcW w:w="3830" w:type="dxa"/>
            <w:tcBorders/>
            <w:vAlign w:val="center"/>
          </w:tcPr>
          <w:p>
            <w:pPr>
              <w:pStyle w:val="TableContents"/>
              <w:bidi w:val="0"/>
              <w:spacing w:before="0" w:after="0"/>
              <w:jc w:val="both"/>
              <w:rPr/>
            </w:pPr>
            <w:r>
              <w:rPr/>
              <w:t xml:space="preserve">(b)    </w:t>
            </w:r>
            <w:r>
              <w:rPr>
                <w:b/>
              </w:rPr>
              <w:t>Separation from Service Benefit.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c732872742ad4435906404c1d3015f33"/>
      <w:bookmarkStart w:id="123" w:name="zc732872742ad4435906404c1d3015f33"/>
      <w:bookmarkEnd w:id="123"/>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pPr>
            <w:r>
              <w:rPr/>
            </w:r>
          </w:p>
        </w:tc>
        <w:tc>
          <w:tcPr>
            <w:tcW w:w="187"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0"/>
              <w:jc w:val="left"/>
              <w:rPr/>
            </w:pPr>
            <w:r>
              <w:rPr/>
              <w:t>Except as provided in (ii), if the Participant Separates from Service with the Employer for any reason other than death, Disability, or Discharge for Cause prior to attaining Normal Retirement Age, Employer shall pay to Participant:</w:t>
            </w:r>
          </w:p>
        </w:tc>
      </w:tr>
    </w:tbl>
    <w:p>
      <w:pPr>
        <w:pStyle w:val="TextBody"/>
        <w:bidi w:val="0"/>
        <w:spacing w:before="0" w:after="0"/>
        <w:jc w:val="left"/>
        <w:rPr/>
      </w:pPr>
      <w:r>
        <w:rPr/>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Normal"/>
        <w:bidi w:val="0"/>
        <w:spacing w:before="0" w:after="0"/>
        <w:jc w:val="left"/>
        <w:rPr>
          <w:sz w:val="4"/>
          <w:szCs w:val="4"/>
        </w:rPr>
      </w:pPr>
      <w:r>
        <w:rPr>
          <w:sz w:val="4"/>
          <w:szCs w:val="4"/>
        </w:rPr>
      </w:r>
      <w:bookmarkStart w:id="124" w:name="z0e18773e7ebd457195be54002e8bbd8f"/>
      <w:bookmarkStart w:id="125" w:name="z0e18773e7ebd457195be54002e8bbd8f"/>
      <w:bookmarkEnd w:id="125"/>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pPr>
            <w:r>
              <w:rPr/>
            </w:r>
          </w:p>
        </w:tc>
        <w:tc>
          <w:tcPr>
            <w:tcW w:w="300" w:type="dxa"/>
            <w:tcBorders/>
            <w:vAlign w:val="center"/>
          </w:tcPr>
          <w:p>
            <w:pPr>
              <w:pStyle w:val="TableContents"/>
              <w:bidi w:val="0"/>
              <w:spacing w:before="0" w:after="283"/>
              <w:jc w:val="left"/>
              <w:rPr/>
            </w:pPr>
            <w:r>
              <w:rPr/>
              <w:t>(A)</w:t>
            </w:r>
          </w:p>
        </w:tc>
        <w:tc>
          <w:tcPr>
            <w:tcW w:w="9867" w:type="dxa"/>
            <w:tcBorders/>
            <w:vAlign w:val="center"/>
          </w:tcPr>
          <w:p>
            <w:pPr>
              <w:pStyle w:val="TableContents"/>
              <w:bidi w:val="0"/>
              <w:spacing w:before="0" w:after="0"/>
              <w:jc w:val="left"/>
              <w:rPr/>
            </w:pPr>
            <w:r>
              <w:rPr/>
              <w:t>A lump sum amount equal to the Benefit Liability Balance as of the end of the year preceding the year in which the Participant Separated from Service multiplied by the Participant’s Vested Percentage.  The schedule of the “Benefit Liability Balances” are set forth on Exhibit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zca034a6f5a144174833b6a68d39aba77"/>
      <w:bookmarkStart w:id="127" w:name="zca034a6f5a144174833b6a68d39aba77"/>
      <w:bookmarkEnd w:id="127"/>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pPr>
            <w:r>
              <w:rPr/>
            </w:r>
          </w:p>
        </w:tc>
        <w:tc>
          <w:tcPr>
            <w:tcW w:w="326"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0"/>
              <w:jc w:val="left"/>
              <w:rPr/>
            </w:pPr>
            <w:r>
              <w:rPr/>
              <w:t>On the first day of the twenty-fourth month following</w:t>
            </w:r>
            <w:r>
              <w:rPr>
                <w:color w:val="00CCFF"/>
              </w:rPr>
              <w:t> </w:t>
            </w:r>
            <w:r>
              <w:rPr/>
              <w:t>the Participant’s Separation from Service from the Employer.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23c3170e74af4911bb89b57cf8d82ab1"/>
      <w:bookmarkStart w:id="129" w:name="z23c3170e74af4911bb89b57cf8d82ab1"/>
      <w:bookmarkEnd w:id="129"/>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pPr>
            <w:r>
              <w:rPr/>
            </w:r>
          </w:p>
        </w:tc>
        <w:tc>
          <w:tcPr>
            <w:tcW w:w="304" w:type="dxa"/>
            <w:tcBorders/>
            <w:vAlign w:val="center"/>
          </w:tcPr>
          <w:p>
            <w:pPr>
              <w:pStyle w:val="TableContents"/>
              <w:bidi w:val="0"/>
              <w:spacing w:before="0" w:after="283"/>
              <w:jc w:val="left"/>
              <w:rPr/>
            </w:pPr>
            <w:r>
              <w:rPr/>
              <w:t>(C)</w:t>
            </w:r>
          </w:p>
        </w:tc>
        <w:tc>
          <w:tcPr>
            <w:tcW w:w="9863" w:type="dxa"/>
            <w:tcBorders/>
            <w:vAlign w:val="center"/>
          </w:tcPr>
          <w:p>
            <w:pPr>
              <w:pStyle w:val="TableContents"/>
              <w:bidi w:val="0"/>
              <w:spacing w:before="0" w:after="0"/>
              <w:jc w:val="left"/>
              <w:rPr/>
            </w:pPr>
            <w:r>
              <w:rPr/>
              <w:t>If the Participant dies before the</w:t>
            </w:r>
            <w:r>
              <w:rPr>
                <w:color w:val="00CCFF"/>
              </w:rPr>
              <w:t> </w:t>
            </w:r>
            <w:r>
              <w:rPr/>
              <w:t>payment is made, the Plan shall terminate and all benefits shall cease and be forfeited, including any future benefits or vested benefits.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0" w:name="z58ac0cd96c054e059fde77851a365ed3"/>
      <w:bookmarkStart w:id="131" w:name="z58ac0cd96c054e059fde77851a365ed3"/>
      <w:bookmarkEnd w:id="131"/>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0"/>
              <w:jc w:val="left"/>
              <w:rPr/>
            </w:pPr>
            <w:r>
              <w:rPr/>
              <w:t>If the Participant Separates from Service within two years after a Change of Control for any reason other than Discharge for Cause or Disability, the Employer shall pay to Participant: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2" w:name="zebffa7ef28d9469fae7be3d759f2da4b"/>
      <w:bookmarkStart w:id="133" w:name="zebffa7ef28d9469fae7be3d759f2da4b"/>
      <w:bookmarkEnd w:id="133"/>
    </w:p>
    <w:tbl>
      <w:tblPr>
        <w:tblW w:w="5088" w:type="dxa"/>
        <w:jc w:val="left"/>
        <w:tblInd w:w="0" w:type="dxa"/>
        <w:tblLayout w:type="fixed"/>
        <w:tblCellMar>
          <w:top w:w="0" w:type="dxa"/>
          <w:left w:w="0" w:type="dxa"/>
          <w:bottom w:w="0" w:type="dxa"/>
          <w:right w:w="0" w:type="dxa"/>
        </w:tblCellMar>
      </w:tblPr>
      <w:tblGrid>
        <w:gridCol w:w="38"/>
        <w:gridCol w:w="350"/>
        <w:gridCol w:w="470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(A)</w:t>
            </w:r>
          </w:p>
        </w:tc>
        <w:tc>
          <w:tcPr>
            <w:tcW w:w="4700" w:type="dxa"/>
            <w:tcBorders/>
            <w:vAlign w:val="center"/>
          </w:tcPr>
          <w:p>
            <w:pPr>
              <w:pStyle w:val="TableContents"/>
              <w:bidi w:val="0"/>
              <w:spacing w:before="0" w:after="0"/>
              <w:jc w:val="left"/>
              <w:rPr/>
            </w:pPr>
            <w:r>
              <w:rPr/>
              <w:t>Annual payments each in the amount of $36,150,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4" w:name="z3f2b3844dc534d6ea3c178d914f864bc"/>
      <w:bookmarkStart w:id="135" w:name="z3f2b3844dc534d6ea3c178d914f864bc"/>
      <w:bookmarkEnd w:id="135"/>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t>(B)</w:t>
            </w:r>
          </w:p>
        </w:tc>
        <w:tc>
          <w:tcPr>
            <w:tcW w:w="9870" w:type="dxa"/>
            <w:tcBorders/>
            <w:vAlign w:val="center"/>
          </w:tcPr>
          <w:p>
            <w:pPr>
              <w:pStyle w:val="TableContents"/>
              <w:bidi w:val="0"/>
              <w:spacing w:before="0" w:after="0"/>
              <w:jc w:val="left"/>
              <w:rPr/>
            </w:pPr>
            <w:r>
              <w:rPr/>
              <w:t>Commencing upon the first day of the second month following Participant’s attainment of Normal Retirement Age and thereafter annually on each successive anniversary of the first payment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6" w:name="z3d75f69ecd1c4d58a65ce948e0160d02"/>
      <w:bookmarkStart w:id="137" w:name="z3d75f69ecd1c4d58a65ce948e0160d02"/>
      <w:bookmarkEnd w:id="137"/>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t>(C)</w:t>
            </w:r>
          </w:p>
        </w:tc>
        <w:tc>
          <w:tcPr>
            <w:tcW w:w="9870" w:type="dxa"/>
            <w:tcBorders/>
            <w:vAlign w:val="center"/>
          </w:tcPr>
          <w:p>
            <w:pPr>
              <w:pStyle w:val="TableContents"/>
              <w:bidi w:val="0"/>
              <w:spacing w:before="0" w:after="0"/>
              <w:jc w:val="left"/>
              <w:rPr/>
            </w:pPr>
            <w:r>
              <w:rPr/>
              <w:t>If the Participant dies before the</w:t>
            </w:r>
            <w:r>
              <w:rPr>
                <w:color w:val="00CCFF"/>
              </w:rPr>
              <w:t> </w:t>
            </w:r>
            <w:r>
              <w:rPr/>
              <w:t>payments begin or after payments have begun, the Plan shall terminate and all benefits shall cease and be forfeited, including any future benefits or vested benefits.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8" w:name="z3d80ece2a9e342efa725c544e4708449"/>
      <w:bookmarkStart w:id="139" w:name="z3d80ece2a9e342efa725c544e4708449"/>
      <w:bookmarkEnd w:id="139"/>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283"/>
              <w:jc w:val="left"/>
              <w:rPr/>
            </w:pPr>
            <w:r>
              <w:rPr/>
              <w:t xml:space="preserve">(c)    </w:t>
            </w:r>
            <w:r>
              <w:rPr>
                <w:b/>
              </w:rPr>
              <w:t>Disability Benefit</w:t>
            </w:r>
            <w:r>
              <w:rPr/>
              <w:t>.  In the event the Participant is determined to be Disabled before the attainment of Normal Retirement Age or Separation from Service, the Employer shall pay to the Contingent Disability Trust: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0" w:name="zd481a70f12ae40c3ba8e6141f56fdb72"/>
      <w:bookmarkStart w:id="141" w:name="zd481a70f12ae40c3ba8e6141f56fdb72"/>
      <w:bookmarkEnd w:id="141"/>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pPr>
            <w:r>
              <w:rPr/>
            </w:r>
          </w:p>
        </w:tc>
        <w:tc>
          <w:tcPr>
            <w:tcW w:w="187"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0"/>
              <w:jc w:val="left"/>
              <w:rPr/>
            </w:pPr>
            <w:r>
              <w:rPr/>
              <w:t>a lump sum payment of the Benefit Liability Balance as of the end of the year  preceding the year in which the Participant is determined to be Disabled.  The schedule of the “Benefit Liability Balances” are set forth on Exhibit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2" w:name="z53a2a65bab13461aaf3873a81cb06ce8"/>
      <w:bookmarkStart w:id="143" w:name="z53a2a65bab13461aaf3873a81cb06ce8"/>
      <w:bookmarkEnd w:id="143"/>
    </w:p>
    <w:tbl>
      <w:tblPr>
        <w:tblW w:w="9738" w:type="dxa"/>
        <w:jc w:val="left"/>
        <w:tblInd w:w="0" w:type="dxa"/>
        <w:tblLayout w:type="fixed"/>
        <w:tblCellMar>
          <w:top w:w="0" w:type="dxa"/>
          <w:left w:w="0" w:type="dxa"/>
          <w:bottom w:w="0" w:type="dxa"/>
          <w:right w:w="0" w:type="dxa"/>
        </w:tblCellMar>
      </w:tblPr>
      <w:tblGrid>
        <w:gridCol w:w="38"/>
        <w:gridCol w:w="290"/>
        <w:gridCol w:w="941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(ii)</w:t>
            </w:r>
          </w:p>
        </w:tc>
        <w:tc>
          <w:tcPr>
            <w:tcW w:w="9410" w:type="dxa"/>
            <w:tcBorders/>
            <w:vAlign w:val="center"/>
          </w:tcPr>
          <w:p>
            <w:pPr>
              <w:pStyle w:val="TableContents"/>
              <w:bidi w:val="0"/>
              <w:spacing w:before="0" w:after="0"/>
              <w:jc w:val="left"/>
              <w:rPr/>
            </w:pPr>
            <w:r>
              <w:rPr/>
              <w:t>on the first day of the second month following the date the Participant is determined to be Disabled.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4" w:name="ze46af097a26f4c7ea4a1b0dfe5d2b713"/>
      <w:bookmarkStart w:id="145" w:name="ze46af097a26f4c7ea4a1b0dfe5d2b713"/>
      <w:bookmarkEnd w:id="145"/>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left"/>
              <w:rPr/>
            </w:pPr>
            <w:r>
              <w:rPr/>
              <w:t>If the Participant dies before the</w:t>
            </w:r>
            <w:r>
              <w:rPr>
                <w:color w:val="00CCFF"/>
              </w:rPr>
              <w:t> </w:t>
            </w:r>
            <w:r>
              <w:rPr/>
              <w:t>payment is made, the Plan shall terminate and all benefits shall cease and be forfeited, including any future benefits or vested benefits.</w:t>
            </w:r>
          </w:p>
        </w:tc>
      </w:tr>
    </w:tbl>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 xml:space="preserve">4.02  </w:t>
      </w:r>
      <w:r>
        <w:rPr>
          <w:rFonts w:ascii="Times New Roman" w:hAnsi="Times New Roman"/>
          <w:b/>
          <w:color w:val="000000"/>
          <w:sz w:val="20"/>
        </w:rPr>
        <w:t>Medium of Payment.</w:t>
      </w:r>
      <w:r>
        <w:rPr>
          <w:rFonts w:ascii="Times New Roman" w:hAnsi="Times New Roman"/>
          <w:color w:val="000000"/>
          <w:sz w:val="20"/>
        </w:rPr>
        <w:t xml:space="preserve"> The form of payment will be (</w:t>
      </w:r>
      <w:r>
        <w:rPr>
          <w:rFonts w:ascii="Times New Roman" w:hAnsi="Times New Roman"/>
          <w:i/>
          <w:color w:val="000000"/>
          <w:sz w:val="20"/>
        </w:rPr>
        <w:t>choose only one of (a) - (c)</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6" w:name="z1d513c66581c40ad9302c67ce3a4c8aa"/>
      <w:bookmarkStart w:id="147" w:name="z1d513c66581c40ad9302c67ce3a4c8aa"/>
      <w:bookmarkEnd w:id="147"/>
    </w:p>
    <w:tbl>
      <w:tblPr>
        <w:tblW w:w="3400" w:type="dxa"/>
        <w:jc w:val="left"/>
        <w:tblInd w:w="0" w:type="dxa"/>
        <w:tblLayout w:type="fixed"/>
        <w:tblCellMar>
          <w:top w:w="0" w:type="dxa"/>
          <w:left w:w="0" w:type="dxa"/>
          <w:bottom w:w="0" w:type="dxa"/>
          <w:right w:w="0" w:type="dxa"/>
        </w:tblCellMar>
      </w:tblPr>
      <w:tblGrid>
        <w:gridCol w:w="60"/>
        <w:gridCol w:w="290"/>
        <w:gridCol w:w="305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xml:space="preserve">☒ </w:t>
            </w:r>
          </w:p>
        </w:tc>
        <w:tc>
          <w:tcPr>
            <w:tcW w:w="3050" w:type="dxa"/>
            <w:tcBorders/>
            <w:vAlign w:val="center"/>
          </w:tcPr>
          <w:p>
            <w:pPr>
              <w:pStyle w:val="TableContents"/>
              <w:bidi w:val="0"/>
              <w:spacing w:before="0" w:after="0"/>
              <w:jc w:val="left"/>
              <w:rPr/>
            </w:pPr>
            <w:r>
              <w:rPr/>
              <w:t xml:space="preserve">(a)  </w:t>
            </w:r>
            <w:r>
              <w:rPr>
                <w:b/>
              </w:rPr>
              <w:t>Cash only.</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pPr>
            <w:r>
              <w:rPr/>
              <w:t>☐</w:t>
            </w:r>
          </w:p>
        </w:tc>
        <w:tc>
          <w:tcPr>
            <w:tcW w:w="3050" w:type="dxa"/>
            <w:tcBorders/>
            <w:vAlign w:val="center"/>
          </w:tcPr>
          <w:p>
            <w:pPr>
              <w:pStyle w:val="TableContents"/>
              <w:bidi w:val="0"/>
              <w:spacing w:before="0" w:after="0"/>
              <w:jc w:val="left"/>
              <w:rPr/>
            </w:pPr>
            <w:r>
              <w:rPr/>
              <w:t xml:space="preserve">(b)  </w:t>
            </w:r>
            <w:r>
              <w:rPr>
                <w:b/>
              </w:rPr>
              <w:t>Property only.</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0"/>
              <w:jc w:val="left"/>
              <w:rPr/>
            </w:pPr>
            <w:r>
              <w:rPr/>
              <w:t xml:space="preserve">(c)  </w:t>
            </w:r>
            <w:r>
              <w:rPr>
                <w:b/>
              </w:rPr>
              <w:t>Property or cash (</w:t>
            </w:r>
            <w:r>
              <w:rPr/>
              <w:t>or both).</w:t>
            </w:r>
          </w:p>
        </w:tc>
      </w:tr>
    </w:tbl>
    <w:p>
      <w:pPr>
        <w:pStyle w:val="TextBody"/>
        <w:bidi w:val="0"/>
        <w:spacing w:before="0" w:after="0"/>
        <w:jc w:val="left"/>
        <w:rPr/>
      </w:pPr>
      <w:r>
        <w:rPr/>
      </w:r>
    </w:p>
    <w:p>
      <w:pPr>
        <w:pStyle w:val="TextBody"/>
        <w:bidi w:val="0"/>
        <w:spacing w:before="0" w:after="0"/>
        <w:ind w:left="1080" w:right="0" w:hanging="1080"/>
        <w:jc w:val="both"/>
        <w:rPr>
          <w:rFonts w:ascii="Times New Roman" w:hAnsi="Times New Roman"/>
          <w:i/>
          <w:color w:val="000000"/>
          <w:sz w:val="20"/>
        </w:rPr>
      </w:pPr>
      <w:r>
        <w:rPr>
          <w:rFonts w:ascii="Times New Roman" w:hAnsi="Times New Roman"/>
          <w:i/>
          <w:color w:val="000000"/>
          <w:sz w:val="20"/>
        </w:rPr>
        <w:t>Note: A choice between cash or property is not subject to Code §409A. See Treas. Reg. §1.409A-2(a)(1).</w:t>
      </w:r>
    </w:p>
    <w:p>
      <w:pPr>
        <w:pStyle w:val="TextBody"/>
        <w:bidi w:val="0"/>
        <w:spacing w:before="0" w:after="0"/>
        <w:ind w:left="1080" w:right="0" w:hanging="1080"/>
        <w:jc w:val="both"/>
        <w:rPr>
          <w:rFonts w:ascii="Times New Roman" w:hAnsi="Times New Roman"/>
          <w:i/>
          <w:color w:val="000000"/>
          <w:sz w:val="20"/>
        </w:rPr>
      </w:pPr>
      <w:r>
        <w:rPr>
          <w:rFonts w:ascii="Times New Roman" w:hAnsi="Times New Roman"/>
          <w:i/>
          <w:color w:val="000000"/>
          <w:sz w:val="20"/>
        </w:rPr>
        <w:t>The Plan treats this election as not being subject to the timing rules applicable to payment elections.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 xml:space="preserve">4.02(B) </w:t>
      </w:r>
      <w:r>
        <w:rPr>
          <w:rFonts w:ascii="Times New Roman" w:hAnsi="Times New Roman"/>
          <w:b/>
          <w:color w:val="000000"/>
          <w:sz w:val="20"/>
        </w:rPr>
        <w:t>Change payment elections.</w:t>
      </w:r>
      <w:r>
        <w:rPr>
          <w:rFonts w:ascii="Times New Roman" w:hAnsi="Times New Roman"/>
          <w:color w:val="000000"/>
          <w:sz w:val="20"/>
        </w:rPr>
        <w:t xml:space="preserve"> The Plan (</w:t>
      </w:r>
      <w:r>
        <w:rPr>
          <w:rFonts w:ascii="Times New Roman" w:hAnsi="Times New Roman"/>
          <w:i/>
          <w:color w:val="000000"/>
          <w:sz w:val="20"/>
        </w:rPr>
        <w:t>choose only one of (a) or (b); choose (c) if (b) applies and choose (d) if applicable)</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73ed02922a9f4d96aa9c436604c6ca17"/>
      <w:bookmarkStart w:id="149" w:name="z73ed02922a9f4d96aa9c436604c6ca17"/>
      <w:bookmarkEnd w:id="149"/>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 xml:space="preserve">(a)    </w:t>
            </w:r>
            <w:r>
              <w:rPr>
                <w:b/>
              </w:rPr>
              <w:t xml:space="preserve">Change payment elections not permitted. </w:t>
            </w:r>
            <w:r>
              <w:rPr/>
              <w:t>Does not permit a Participant, a Beneficiary or the Employer to make a change payment election in accordance with Section 4.02(B).</w:t>
            </w:r>
          </w:p>
        </w:tc>
      </w:tr>
    </w:tbl>
    <w:p>
      <w:pPr>
        <w:pStyle w:val="TextBody"/>
        <w:bidi w:val="0"/>
        <w:spacing w:before="0" w:after="0"/>
        <w:jc w:val="left"/>
        <w:rPr/>
      </w:pPr>
      <w:r>
        <w:rPr/>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Normal"/>
        <w:bidi w:val="0"/>
        <w:spacing w:before="0" w:after="0"/>
        <w:jc w:val="left"/>
        <w:rPr>
          <w:sz w:val="4"/>
          <w:szCs w:val="4"/>
        </w:rPr>
      </w:pPr>
      <w:r>
        <w:rPr>
          <w:sz w:val="4"/>
          <w:szCs w:val="4"/>
        </w:rPr>
      </w:r>
      <w:bookmarkStart w:id="150" w:name="z5888f7156b4447f49a8e9f3613cca518"/>
      <w:bookmarkStart w:id="151" w:name="z5888f7156b4447f49a8e9f3613cca518"/>
      <w:bookmarkEnd w:id="15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(b)    </w:t>
            </w:r>
            <w:r>
              <w:rPr>
                <w:b/>
              </w:rPr>
              <w:t xml:space="preserve">Permits change payment elections. </w:t>
            </w:r>
            <w:r>
              <w:rPr/>
              <w:t>Permits changes payment elections or changes to a change payment elections in accordance with Section 4.02(B) and as follows (</w:t>
            </w:r>
            <w:r>
              <w:rPr>
                <w:i/>
              </w:rPr>
              <w:t xml:space="preserve">choose one or more of (i) -(iv) </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2" w:name="za88736a5c1fb41daa3a58d7bc522a726"/>
      <w:bookmarkStart w:id="153" w:name="za88736a5c1fb41daa3a58d7bc522a726"/>
      <w:bookmarkEnd w:id="153"/>
    </w:p>
    <w:tbl>
      <w:tblPr>
        <w:tblW w:w="7943" w:type="dxa"/>
        <w:jc w:val="left"/>
        <w:tblInd w:w="0" w:type="dxa"/>
        <w:tblLayout w:type="fixed"/>
        <w:tblCellMar>
          <w:top w:w="0" w:type="dxa"/>
          <w:left w:w="0" w:type="dxa"/>
          <w:bottom w:w="0" w:type="dxa"/>
          <w:right w:w="0" w:type="dxa"/>
        </w:tblCellMar>
      </w:tblPr>
      <w:tblGrid>
        <w:gridCol w:w="23"/>
        <w:gridCol w:w="230"/>
        <w:gridCol w:w="290"/>
        <w:gridCol w:w="7400"/>
      </w:tblGrid>
      <w:tr>
        <w:trPr/>
        <w:tc>
          <w:tcPr>
            <w:tcW w:w="23"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left"/>
              <w:rPr/>
            </w:pPr>
            <w:r>
              <w:rPr/>
              <w:t xml:space="preserve">(i) </w:t>
            </w:r>
          </w:p>
        </w:tc>
        <w:tc>
          <w:tcPr>
            <w:tcW w:w="7400" w:type="dxa"/>
            <w:tcBorders/>
            <w:vAlign w:val="center"/>
          </w:tcPr>
          <w:p>
            <w:pPr>
              <w:pStyle w:val="TableContents"/>
              <w:bidi w:val="0"/>
              <w:spacing w:before="0" w:after="283"/>
              <w:jc w:val="both"/>
              <w:rPr/>
            </w:pPr>
            <w:r>
              <w:rPr>
                <w:b/>
              </w:rPr>
              <w:t>Participant election.</w:t>
            </w:r>
            <w:r>
              <w:rPr/>
              <w:t xml:space="preserve"> Permits a Participant to make change payment elections.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4" w:name="z62608d68de5b4cbc8a0137c85fb08f6f"/>
      <w:bookmarkStart w:id="155" w:name="z62608d68de5b4cbc8a0137c85fb08f6f"/>
      <w:bookmarkEnd w:id="155"/>
    </w:p>
    <w:tbl>
      <w:tblPr>
        <w:tblW w:w="8063" w:type="dxa"/>
        <w:jc w:val="left"/>
        <w:tblInd w:w="0" w:type="dxa"/>
        <w:tblLayout w:type="fixed"/>
        <w:tblCellMar>
          <w:top w:w="0" w:type="dxa"/>
          <w:left w:w="0" w:type="dxa"/>
          <w:bottom w:w="0" w:type="dxa"/>
          <w:right w:w="0" w:type="dxa"/>
        </w:tblCellMar>
      </w:tblPr>
      <w:tblGrid>
        <w:gridCol w:w="38"/>
        <w:gridCol w:w="230"/>
        <w:gridCol w:w="410"/>
        <w:gridCol w:w="738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left"/>
              <w:rPr/>
            </w:pPr>
            <w:r>
              <w:rPr/>
              <w:t xml:space="preserve">(ii)  </w:t>
            </w:r>
          </w:p>
        </w:tc>
        <w:tc>
          <w:tcPr>
            <w:tcW w:w="7385" w:type="dxa"/>
            <w:tcBorders/>
            <w:vAlign w:val="center"/>
          </w:tcPr>
          <w:p>
            <w:pPr>
              <w:pStyle w:val="TableContents"/>
              <w:bidi w:val="0"/>
              <w:spacing w:before="0" w:after="283"/>
              <w:jc w:val="both"/>
              <w:rPr/>
            </w:pPr>
            <w:r>
              <w:rPr>
                <w:b/>
              </w:rPr>
              <w:t>Employer election.</w:t>
            </w:r>
            <w:r>
              <w:rPr/>
              <w:t xml:space="preserve"> Permits the Employer to make change payment elections.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6" w:name="zf82618fa81724ee5bdb51889f583bb93"/>
      <w:bookmarkStart w:id="157" w:name="zf82618fa81724ee5bdb51889f583bb93"/>
      <w:bookmarkEnd w:id="157"/>
    </w:p>
    <w:tbl>
      <w:tblPr>
        <w:tblW w:w="10205" w:type="dxa"/>
        <w:jc w:val="left"/>
        <w:tblInd w:w="0" w:type="dxa"/>
        <w:tblLayout w:type="fixed"/>
        <w:tblCellMar>
          <w:top w:w="0" w:type="dxa"/>
          <w:left w:w="0" w:type="dxa"/>
          <w:bottom w:w="0" w:type="dxa"/>
          <w:right w:w="0" w:type="dxa"/>
        </w:tblCellMar>
      </w:tblPr>
      <w:tblGrid>
        <w:gridCol w:w="38"/>
        <w:gridCol w:w="230"/>
        <w:gridCol w:w="341"/>
        <w:gridCol w:w="9596"/>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341" w:type="dxa"/>
            <w:tcBorders/>
            <w:vAlign w:val="center"/>
          </w:tcPr>
          <w:p>
            <w:pPr>
              <w:pStyle w:val="TableContents"/>
              <w:bidi w:val="0"/>
              <w:spacing w:before="0" w:after="283"/>
              <w:jc w:val="left"/>
              <w:rPr/>
            </w:pPr>
            <w:r>
              <w:rPr/>
              <w:t>(iii)</w:t>
            </w:r>
          </w:p>
        </w:tc>
        <w:tc>
          <w:tcPr>
            <w:tcW w:w="9596" w:type="dxa"/>
            <w:tcBorders/>
            <w:vAlign w:val="center"/>
          </w:tcPr>
          <w:p>
            <w:pPr>
              <w:pStyle w:val="TableContents"/>
              <w:bidi w:val="0"/>
              <w:spacing w:before="0" w:after="283"/>
              <w:jc w:val="both"/>
              <w:rPr/>
            </w:pPr>
            <w:r>
              <w:rPr>
                <w:b/>
              </w:rPr>
              <w:t xml:space="preserve">Beneficiary election. </w:t>
            </w:r>
            <w:r>
              <w:rPr/>
              <w:t>Permits a Beneficiary following the Participant’s death to make change payment elections.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bc57165a6f53418a8428ae857f422c9d"/>
      <w:bookmarkStart w:id="159" w:name="zbc57165a6f53418a8428ae857f422c9d"/>
      <w:bookmarkEnd w:id="159"/>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left"/>
              <w:rPr/>
            </w:pPr>
            <w:r>
              <w:rPr/>
              <w:t>(iv)   (Specify):___________________________________________ (</w:t>
            </w:r>
            <w:r>
              <w:rPr>
                <w:i/>
              </w:rPr>
              <w:t>e.g.</w:t>
            </w:r>
            <w:r>
              <w:rPr/>
              <w:t>, a Beneficiary may make a change payment election only if the Participant had the right to do so, OR a Participant may make a change payment election only after attaining age 60).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0" w:name="z2dc60fba28994805a2a658e094d03837"/>
      <w:bookmarkStart w:id="161" w:name="z2dc60fba28994805a2a658e094d03837"/>
      <w:bookmarkEnd w:id="16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(c)     </w:t>
            </w:r>
            <w:r>
              <w:rPr>
                <w:b/>
              </w:rPr>
              <w:t>Limit on number of change payment elections</w:t>
            </w:r>
            <w:r>
              <w:rPr/>
              <w:t>. The number of change payment elections (as to any initial payment election) that a Participant, a Beneficiary or the Employer (as applicable) may make is (</w:t>
            </w:r>
            <w:r>
              <w:rPr>
                <w:i/>
              </w:rPr>
              <w:t>choose one of (i) or (ii)</w:t>
            </w:r>
            <w:r>
              <w:rPr/>
              <w:t>):</w:t>
            </w:r>
          </w:p>
        </w:tc>
      </w:tr>
    </w:tbl>
    <w:p>
      <w:pPr>
        <w:pStyle w:val="TextBody"/>
        <w:bidi w:val="0"/>
        <w:spacing w:before="0" w:after="0"/>
        <w:jc w:val="left"/>
        <w:rPr/>
      </w:pPr>
      <w:r>
        <w:rPr/>
      </w:r>
      <w:bookmarkStart w:id="162" w:name="z2861d4135f8b44ed961f555bcc19f083"/>
      <w:bookmarkStart w:id="163" w:name="z2861d4135f8b44ed961f555bcc19f083"/>
      <w:bookmarkEnd w:id="163"/>
    </w:p>
    <w:tbl>
      <w:tblPr>
        <w:tblW w:w="6960" w:type="dxa"/>
        <w:jc w:val="left"/>
        <w:tblInd w:w="0" w:type="dxa"/>
        <w:tblLayout w:type="fixed"/>
        <w:tblCellMar>
          <w:top w:w="0" w:type="dxa"/>
          <w:left w:w="0" w:type="dxa"/>
          <w:bottom w:w="0" w:type="dxa"/>
          <w:right w:w="0" w:type="dxa"/>
        </w:tblCellMar>
      </w:tblPr>
      <w:tblGrid>
        <w:gridCol w:w="60"/>
        <w:gridCol w:w="410"/>
        <w:gridCol w:w="230"/>
        <w:gridCol w:w="6260"/>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both"/>
              <w:rPr/>
            </w:pPr>
            <w:r>
              <w:rPr/>
              <w:t xml:space="preserve">☒   </w:t>
            </w:r>
          </w:p>
        </w:tc>
        <w:tc>
          <w:tcPr>
            <w:tcW w:w="230" w:type="dxa"/>
            <w:tcBorders/>
            <w:vAlign w:val="center"/>
          </w:tcPr>
          <w:p>
            <w:pPr>
              <w:pStyle w:val="TableContents"/>
              <w:bidi w:val="0"/>
              <w:spacing w:before="0" w:after="283"/>
              <w:jc w:val="left"/>
              <w:rPr/>
            </w:pPr>
            <w:r>
              <w:rPr/>
              <w:t>(i)</w:t>
            </w:r>
          </w:p>
        </w:tc>
        <w:tc>
          <w:tcPr>
            <w:tcW w:w="6260" w:type="dxa"/>
            <w:tcBorders/>
            <w:vAlign w:val="center"/>
          </w:tcPr>
          <w:p>
            <w:pPr>
              <w:pStyle w:val="TableContents"/>
              <w:bidi w:val="0"/>
              <w:spacing w:before="0" w:after="283"/>
              <w:jc w:val="left"/>
              <w:rPr/>
            </w:pPr>
            <w:r>
              <w:rPr/>
              <w:t> </w:t>
            </w:r>
            <w:r>
              <w:rPr>
                <w:b/>
              </w:rPr>
              <w:t>Unlimited.</w:t>
            </w:r>
            <w:r>
              <w:rPr/>
              <w:t> Not limited except as required under Section 4.02(B).</w:t>
            </w:r>
          </w:p>
        </w:tc>
      </w:tr>
      <w:tr>
        <w:trPr/>
        <w:tc>
          <w:tcPr>
            <w:tcW w:w="60" w:type="dxa"/>
            <w:tcBorders/>
            <w:vAlign w:val="center"/>
          </w:tcPr>
          <w:p>
            <w:pPr>
              <w:pStyle w:val="TableContents"/>
              <w:bidi w:val="0"/>
              <w:spacing w:before="0" w:after="283"/>
              <w:jc w:val="left"/>
              <w:rPr/>
            </w:pPr>
            <w:r>
              <w:rPr/>
              <w:t> </w:t>
            </w:r>
          </w:p>
        </w:tc>
        <w:tc>
          <w:tcPr>
            <w:tcW w:w="6900" w:type="dxa"/>
            <w:gridSpan w:val="3"/>
            <w:tcBorders/>
            <w:vAlign w:val="center"/>
          </w:tcPr>
          <w:p>
            <w:pPr>
              <w:pStyle w:val="TableContents"/>
              <w:bidi w:val="0"/>
              <w:spacing w:before="0" w:after="283"/>
              <w:jc w:val="left"/>
              <w:rPr/>
            </w:pPr>
            <w:r>
              <w:rPr/>
              <w:t> </w:t>
            </w:r>
          </w:p>
        </w:tc>
      </w:tr>
    </w:tbl>
    <w:tbl>
      <w:tblPr>
        <w:tblW w:w="5543" w:type="dxa"/>
        <w:jc w:val="left"/>
        <w:tblInd w:w="0" w:type="dxa"/>
        <w:tblLayout w:type="fixed"/>
        <w:tblCellMar>
          <w:top w:w="0" w:type="dxa"/>
          <w:left w:w="0" w:type="dxa"/>
          <w:bottom w:w="0" w:type="dxa"/>
          <w:right w:w="0" w:type="dxa"/>
        </w:tblCellMar>
      </w:tblPr>
      <w:tblGrid>
        <w:gridCol w:w="23"/>
        <w:gridCol w:w="230"/>
        <w:gridCol w:w="410"/>
        <w:gridCol w:w="4880"/>
      </w:tblGrid>
      <w:tr>
        <w:trPr/>
        <w:tc>
          <w:tcPr>
            <w:tcW w:w="23"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left"/>
              <w:rPr/>
            </w:pPr>
            <w:r>
              <w:rPr/>
              <w:t xml:space="preserve">(ii)  </w:t>
            </w:r>
          </w:p>
        </w:tc>
        <w:tc>
          <w:tcPr>
            <w:tcW w:w="4880" w:type="dxa"/>
            <w:tcBorders/>
            <w:vAlign w:val="center"/>
          </w:tcPr>
          <w:p>
            <w:pPr>
              <w:pStyle w:val="TableContents"/>
              <w:bidi w:val="0"/>
              <w:spacing w:before="0" w:after="283"/>
              <w:jc w:val="left"/>
              <w:rPr/>
            </w:pPr>
            <w:r>
              <w:rPr>
                <w:b/>
              </w:rPr>
              <w:t>Limited. </w:t>
            </w:r>
            <w:r>
              <w:rPr/>
              <w:t>  Limited to: ________ (</w:t>
            </w:r>
            <w:r>
              <w:rPr>
                <w:i/>
              </w:rPr>
              <w:t>specify number</w:t>
            </w:r>
            <w:r>
              <w:rPr/>
              <w:t xml:space="preserv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4" w:name="zb92cb69e04b448e089a55c9b1356e254"/>
      <w:bookmarkStart w:id="165" w:name="zb92cb69e04b448e089a55c9b1356e254"/>
      <w:bookmarkEnd w:id="165"/>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pPr>
            <w:r>
              <w:rPr/>
              <w:t xml:space="preserve">☐  </w:t>
            </w:r>
          </w:p>
        </w:tc>
        <w:tc>
          <w:tcPr>
            <w:tcW w:w="9890" w:type="dxa"/>
            <w:tcBorders/>
            <w:vAlign w:val="center"/>
          </w:tcPr>
          <w:p>
            <w:pPr>
              <w:pStyle w:val="TableContents"/>
              <w:bidi w:val="0"/>
              <w:spacing w:before="0" w:after="283"/>
              <w:jc w:val="left"/>
              <w:rPr/>
            </w:pPr>
            <w:r>
              <w:rPr/>
              <w:t>(d)    (</w:t>
            </w:r>
            <w:r>
              <w:rPr>
                <w:i/>
              </w:rPr>
              <w:t>Specify</w:t>
            </w:r>
            <w:r>
              <w:rPr/>
              <w:t>):_____________________________________________________(</w:t>
            </w:r>
            <w:r>
              <w:rPr>
                <w:i/>
              </w:rPr>
              <w:t>e.g.,</w:t>
            </w:r>
            <w:r>
              <w:rPr/>
              <w:t xml:space="preserve"> permits change payment elections only as to specified Benefits).</w:t>
            </w:r>
          </w:p>
        </w:tc>
      </w:tr>
    </w:tbl>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 xml:space="preserve">4.05(B) </w:t>
      </w:r>
      <w:r>
        <w:rPr>
          <w:rFonts w:ascii="Times New Roman" w:hAnsi="Times New Roman"/>
          <w:b/>
          <w:color w:val="000000"/>
          <w:sz w:val="20"/>
        </w:rPr>
        <w:t xml:space="preserve">Election changes/Irrevocability. </w:t>
      </w:r>
      <w:r>
        <w:rPr>
          <w:rFonts w:ascii="Times New Roman" w:hAnsi="Times New Roman"/>
          <w:color w:val="000000"/>
          <w:sz w:val="20"/>
        </w:rPr>
        <w:t xml:space="preserve">A Participant who makes a change payment election which the Employer has accepted: </w:t>
      </w:r>
    </w:p>
    <w:p>
      <w:pPr>
        <w:pStyle w:val="TextBody"/>
        <w:bidi w:val="0"/>
        <w:spacing w:before="0" w:after="0"/>
        <w:jc w:val="left"/>
        <w:rPr/>
      </w:pPr>
      <w:r>
        <w:rPr/>
      </w:r>
    </w:p>
    <w:p>
      <w:pPr>
        <w:pStyle w:val="TextBody"/>
        <w:bidi w:val="0"/>
        <w:spacing w:before="0" w:after="0"/>
        <w:ind w:left="180" w:right="0" w:firstLine="180"/>
        <w:jc w:val="both"/>
        <w:rPr>
          <w:color w:val="000000"/>
        </w:rPr>
      </w:pPr>
      <w:r>
        <w:rPr>
          <w:color w:val="000000"/>
        </w:rPr>
        <w:t xml:space="preserve">    </w:t>
      </w:r>
      <w:r>
        <w:rPr>
          <w:rFonts w:ascii="Times New Roman" w:hAnsi="Times New Roman"/>
          <w:color w:val="000000"/>
          <w:sz w:val="20"/>
        </w:rPr>
        <w:t xml:space="preserve">(a)       </w:t>
      </w:r>
      <w:r>
        <w:rPr>
          <w:rFonts w:ascii="Times New Roman" w:hAnsi="Times New Roman"/>
          <w:b/>
          <w:color w:val="000000"/>
          <w:sz w:val="20"/>
        </w:rPr>
        <w:t xml:space="preserve">Change payment elections. </w:t>
      </w:r>
      <w:r>
        <w:rPr>
          <w:rFonts w:ascii="Times New Roman" w:hAnsi="Times New Roman"/>
          <w:color w:val="000000"/>
          <w:sz w:val="20"/>
        </w:rPr>
        <w:t>(</w:t>
      </w:r>
      <w:r>
        <w:rPr>
          <w:rFonts w:ascii="Times New Roman" w:hAnsi="Times New Roman"/>
          <w:i/>
          <w:color w:val="000000"/>
          <w:sz w:val="20"/>
        </w:rPr>
        <w:t>choose one of (i), (ii) or (iii)</w:t>
      </w:r>
      <w:r>
        <w:rPr>
          <w:rFonts w:ascii="Times New Roman" w:hAnsi="Times New Roman"/>
          <w:color w:val="000000"/>
          <w:sz w:val="20"/>
        </w:rPr>
        <w: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jc w:val="left"/>
              <w:rPr/>
            </w:pPr>
            <w:r>
              <w:rPr/>
              <w:t xml:space="preserve">☐     </w:t>
            </w:r>
            <w:r>
              <w:rPr/>
              <w:t xml:space="preserve">(i) </w:t>
            </w:r>
            <w:r>
              <w:rPr>
                <w:b/>
              </w:rPr>
              <w:t xml:space="preserve">May change. </w:t>
            </w:r>
            <w:r>
              <w:rPr/>
              <w:t>May change the change payment election as to the Deferred Compensation to which the election applies. Where the payment event is a Specified Time or a Fixed Schedule, the Participant may change the election until the applicable deadline under Section 4.02(B)(1)(a). Where the change payment election relates to any other payment event (not a Specified Time or a Fixed Schedule), the Participant must make the change within 30 days following the Participant’s making of the change payment election which the Participant seeks to change. Any change to a change payment election made after the change payment election becomes irrevocable is a new change payment election.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6" w:name="z0a7590916b5a42c49844350ca51197db"/>
      <w:bookmarkStart w:id="167" w:name="z0a7590916b5a42c49844350ca51197db"/>
      <w:bookmarkEnd w:id="167"/>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     </w:t>
            </w:r>
            <w:r>
              <w:rPr>
                <w:b w:val="false"/>
              </w:rPr>
              <w:t>(ii)</w:t>
            </w:r>
            <w:r>
              <w:rPr>
                <w:b/>
              </w:rPr>
              <w:t xml:space="preserve"> May not change. </w:t>
            </w:r>
            <w:r>
              <w:rPr>
                <w:b w:val="false"/>
              </w:rPr>
              <w:t>May not change the change payment election as to the Deferred Compensation to which the election applies.</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168" w:name="z876000f832c34d8bb9db21ffca3bb096"/>
      <w:bookmarkStart w:id="169" w:name="z876000f832c34d8bb9db21ffca3bb096"/>
      <w:bookmarkEnd w:id="169"/>
    </w:p>
    <w:tbl>
      <w:tblPr>
        <w:tblW w:w="8300" w:type="dxa"/>
        <w:jc w:val="left"/>
        <w:tblInd w:w="0" w:type="dxa"/>
        <w:tblLayout w:type="fixed"/>
        <w:tblCellMar>
          <w:top w:w="0" w:type="dxa"/>
          <w:left w:w="0" w:type="dxa"/>
          <w:bottom w:w="0" w:type="dxa"/>
          <w:right w:w="0" w:type="dxa"/>
        </w:tblCellMar>
      </w:tblPr>
      <w:tblGrid>
        <w:gridCol w:w="75"/>
        <w:gridCol w:w="8225"/>
      </w:tblGrid>
      <w:tr>
        <w:trPr/>
        <w:tc>
          <w:tcPr>
            <w:tcW w:w="75"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pPr>
            <w:r>
              <w:rPr/>
              <w:t xml:space="preserve">☒     </w:t>
            </w:r>
            <w:r>
              <w:rPr>
                <w:b w:val="false"/>
                <w:sz w:val="20"/>
              </w:rPr>
              <w:t>(iii)</w:t>
            </w:r>
            <w:r>
              <w:rPr>
                <w:b/>
                <w:sz w:val="20"/>
              </w:rPr>
              <w:t xml:space="preserve"> Not applicable.</w:t>
            </w:r>
            <w:r>
              <w:rPr>
                <w:sz w:val="24"/>
              </w:rPr>
              <w:t xml:space="preserve">  </w:t>
            </w:r>
            <w:r>
              <w:rPr>
                <w:sz w:val="20"/>
              </w:rPr>
              <w:t>As elected above, a Participant may not make a change payment election.</w:t>
            </w:r>
          </w:p>
        </w:tc>
      </w:tr>
    </w:tbl>
    <w:p>
      <w:pPr>
        <w:pStyle w:val="TextBody"/>
        <w:bidi w:val="0"/>
        <w:spacing w:before="0" w:after="0"/>
        <w:ind w:left="540" w:right="0" w:hanging="540"/>
        <w:jc w:val="both"/>
        <w:rPr>
          <w:color w:val="000000"/>
        </w:rPr>
      </w:pPr>
      <w:r>
        <w:rPr>
          <w:color w:val="000000"/>
        </w:rPr>
        <w:t xml:space="preserve">        </w:t>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Nonqualified Deferred Compensation Plan</w:t>
      </w:r>
    </w:p>
    <w:p>
      <w:pPr>
        <w:pStyle w:val="TextBody"/>
        <w:bidi w:val="0"/>
        <w:spacing w:before="200" w:after="200"/>
        <w:jc w:val="right"/>
        <w:rPr>
          <w:rFonts w:ascii="Times New Roman" w:hAnsi="Times New Roman"/>
          <w:b/>
          <w:color w:val="000000"/>
          <w:sz w:val="20"/>
        </w:rPr>
      </w:pPr>
      <w:r>
        <w:rPr>
          <w:rFonts w:ascii="Times New Roman" w:hAnsi="Times New Roman"/>
          <w:b/>
          <w:color w:val="000000"/>
          <w:sz w:val="20"/>
        </w:rPr>
        <w:t>Adoption Agreement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EMPLOYER SIGNATURE</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The Employer hereby agrees to the provisions of this Plan, and in witness of its agreement, the Employer, by its duly authorized officer, has executed this Adoption Agreement on March 6, 2008.</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0" w:name="z92239bb0070c419e9452faf1e5c4057b"/>
      <w:bookmarkStart w:id="171" w:name="z92239bb0070c419e9452faf1e5c4057b"/>
      <w:bookmarkEnd w:id="171"/>
    </w:p>
    <w:tbl>
      <w:tblPr>
        <w:tblW w:w="3700" w:type="dxa"/>
        <w:jc w:val="left"/>
        <w:tblInd w:w="0" w:type="dxa"/>
        <w:tblLayout w:type="fixed"/>
        <w:tblCellMar>
          <w:top w:w="0" w:type="dxa"/>
          <w:left w:w="0" w:type="dxa"/>
          <w:bottom w:w="0" w:type="dxa"/>
          <w:right w:w="0" w:type="dxa"/>
        </w:tblCellMar>
      </w:tblPr>
      <w:tblGrid>
        <w:gridCol w:w="60"/>
        <w:gridCol w:w="1955"/>
        <w:gridCol w:w="1685"/>
      </w:tblGrid>
      <w:tr>
        <w:trPr/>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pPr>
            <w:r>
              <w:rPr/>
              <w:t>Name of Employer: </w:t>
            </w:r>
          </w:p>
        </w:tc>
        <w:tc>
          <w:tcPr>
            <w:tcW w:w="1685" w:type="dxa"/>
            <w:tcBorders>
              <w:bottom w:val="single" w:sz="12" w:space="0" w:color="000000"/>
            </w:tcBorders>
            <w:tcMar>
              <w:bottom w:w="28" w:type="dxa"/>
            </w:tcMar>
            <w:vAlign w:val="center"/>
          </w:tcPr>
          <w:p>
            <w:pPr>
              <w:pStyle w:val="TableContents"/>
              <w:bidi w:val="0"/>
              <w:spacing w:before="0" w:after="283"/>
              <w:jc w:val="left"/>
              <w:rPr/>
            </w:pPr>
            <w:r>
              <w:rPr/>
              <w:t> </w:t>
            </w:r>
            <w:r>
              <w:rPr/>
              <w:t>City Bank Texas</w:t>
            </w:r>
          </w:p>
        </w:tc>
      </w:tr>
    </w:tbl>
    <w:tbl>
      <w:tblPr>
        <w:tblW w:w="2875" w:type="dxa"/>
        <w:jc w:val="left"/>
        <w:tblInd w:w="0" w:type="dxa"/>
        <w:tblLayout w:type="fixed"/>
        <w:tblCellMar>
          <w:top w:w="0" w:type="dxa"/>
          <w:left w:w="0" w:type="dxa"/>
          <w:bottom w:w="0" w:type="dxa"/>
          <w:right w:w="0" w:type="dxa"/>
        </w:tblCellMar>
      </w:tblPr>
      <w:tblGrid>
        <w:gridCol w:w="60"/>
        <w:gridCol w:w="800"/>
        <w:gridCol w:w="2015"/>
      </w:tblGrid>
      <w:tr>
        <w:trPr/>
        <w:tc>
          <w:tcPr>
            <w:tcW w:w="60"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pPr>
            <w:r>
              <w:rPr/>
              <w:t>Signed: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r>
              <w:rPr/>
              <w:t>/s/ Cory T. Newsom</w:t>
            </w:r>
          </w:p>
        </w:tc>
      </w:tr>
    </w:tbl>
    <w:tbl>
      <w:tblPr>
        <w:tblW w:w="3865" w:type="dxa"/>
        <w:jc w:val="left"/>
        <w:tblInd w:w="0" w:type="dxa"/>
        <w:tblLayout w:type="fixed"/>
        <w:tblCellMar>
          <w:top w:w="0" w:type="dxa"/>
          <w:left w:w="0" w:type="dxa"/>
          <w:bottom w:w="0" w:type="dxa"/>
          <w:right w:w="0" w:type="dxa"/>
        </w:tblCellMar>
      </w:tblPr>
      <w:tblGrid>
        <w:gridCol w:w="60"/>
        <w:gridCol w:w="2450"/>
        <w:gridCol w:w="60"/>
        <w:gridCol w:w="1295"/>
      </w:tblGrid>
      <w:tr>
        <w:trPr/>
        <w:tc>
          <w:tcPr>
            <w:tcW w:w="60" w:type="dxa"/>
            <w:tcBorders/>
            <w:vAlign w:val="center"/>
          </w:tcPr>
          <w:p>
            <w:pPr>
              <w:pStyle w:val="TableContents"/>
              <w:bidi w:val="0"/>
              <w:spacing w:before="0" w:after="283"/>
              <w:jc w:val="left"/>
              <w:rPr/>
            </w:pPr>
            <w:r>
              <w:rPr/>
              <w:t> </w:t>
            </w:r>
          </w:p>
        </w:tc>
        <w:tc>
          <w:tcPr>
            <w:tcW w:w="380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50" w:type="dxa"/>
            <w:tcBorders>
              <w:bottom w:val="single" w:sz="12" w:space="0" w:color="000000"/>
            </w:tcBorders>
            <w:tcMar>
              <w:bottom w:w="28" w:type="dxa"/>
            </w:tcMar>
            <w:vAlign w:val="center"/>
          </w:tcPr>
          <w:p>
            <w:pPr>
              <w:pStyle w:val="TableContents"/>
              <w:bidi w:val="0"/>
              <w:spacing w:before="0" w:after="0"/>
              <w:jc w:val="left"/>
              <w:rPr/>
            </w:pPr>
            <w:r>
              <w:rPr/>
              <w:t xml:space="preserve">CEO and President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right"/>
              <w:rPr/>
            </w:pPr>
            <w:r>
              <w:rPr/>
              <w:t> </w:t>
            </w:r>
            <w:r>
              <w:rPr/>
              <w:t>[Name/Title]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PARTICIPANT SIGNATURE</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rPr>
      </w:pPr>
      <w:r>
        <w:rPr>
          <w:rFonts w:ascii="Times New Roman" w:hAnsi="Times New Roman"/>
          <w:color w:val="000000"/>
          <w:sz w:val="20"/>
        </w:rPr>
        <w:t>The Participant hereby agrees to the provisions of this Plan and in witness of its agreement, the Participant has executed this Adoption Agreement on March 6, 2008.</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2" w:name="zb78ceb4439bf46b6b257dc2687a1e473"/>
      <w:bookmarkStart w:id="173" w:name="zb78ceb4439bf46b6b257dc2687a1e473"/>
      <w:bookmarkEnd w:id="173"/>
    </w:p>
    <w:tbl>
      <w:tblPr>
        <w:tblW w:w="4459" w:type="dxa"/>
        <w:jc w:val="left"/>
        <w:tblInd w:w="0" w:type="dxa"/>
        <w:tblLayout w:type="fixed"/>
        <w:tblCellMar>
          <w:top w:w="0" w:type="dxa"/>
          <w:left w:w="0" w:type="dxa"/>
          <w:bottom w:w="0" w:type="dxa"/>
          <w:right w:w="0" w:type="dxa"/>
        </w:tblCellMar>
      </w:tblPr>
      <w:tblGrid>
        <w:gridCol w:w="60"/>
        <w:gridCol w:w="1320"/>
        <w:gridCol w:w="3079"/>
      </w:tblGrid>
      <w:tr>
        <w:trPr/>
        <w:tc>
          <w:tcPr>
            <w:tcW w:w="60"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0"/>
              <w:jc w:val="left"/>
              <w:rPr/>
            </w:pPr>
            <w:r>
              <w:rPr/>
              <w:t>Name of Participant:  STEVEN CROCKETT</w:t>
            </w:r>
          </w:p>
        </w:tc>
      </w:tr>
      <w:tr>
        <w:trPr/>
        <w:tc>
          <w:tcPr>
            <w:tcW w:w="60"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0"/>
              <w:jc w:val="left"/>
              <w:rPr/>
            </w:pPr>
            <w:r>
              <w:rPr/>
              <w:t>Signed: </w:t>
            </w:r>
          </w:p>
        </w:tc>
        <w:tc>
          <w:tcPr>
            <w:tcW w:w="3079" w:type="dxa"/>
            <w:tcBorders>
              <w:bottom w:val="single" w:sz="12" w:space="0" w:color="000000"/>
            </w:tcBorders>
            <w:tcMar>
              <w:bottom w:w="28" w:type="dxa"/>
            </w:tcMar>
            <w:vAlign w:val="center"/>
          </w:tcPr>
          <w:p>
            <w:pPr>
              <w:pStyle w:val="TableContents"/>
              <w:bidi w:val="0"/>
              <w:spacing w:before="0" w:after="283"/>
              <w:jc w:val="left"/>
              <w:rPr/>
            </w:pPr>
            <w:r>
              <w:rPr/>
              <w:t> </w:t>
            </w:r>
            <w:r>
              <w:rPr/>
              <w:t>/s/ Steven Crockett</w:t>
            </w:r>
          </w:p>
        </w:tc>
      </w:tr>
    </w:tbl>
    <w:p>
      <w:pPr>
        <w:pStyle w:val="TextBody"/>
        <w:bidi w:val="0"/>
        <w:spacing w:before="0" w:after="0"/>
        <w:jc w:val="left"/>
        <w:rPr/>
      </w:pPr>
      <w:r>
        <w:rPr/>
      </w:r>
    </w:p>
    <w:p>
      <w:pPr>
        <w:pStyle w:val="TextBody"/>
        <w:bidi w:val="0"/>
        <w:spacing w:before="200" w:after="20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4" w:name="zd57ac1158ba84fa68e5975d0ce9028af"/>
      <w:bookmarkStart w:id="175" w:name="zd57ac1158ba84fa68e5975d0ce9028af"/>
      <w:bookmarkEnd w:id="175"/>
    </w:p>
    <w:tbl>
      <w:tblPr>
        <w:tblW w:w="2125" w:type="dxa"/>
        <w:jc w:val="center"/>
        <w:tblInd w:w="0" w:type="dxa"/>
        <w:tblLayout w:type="fixed"/>
        <w:tblCellMar>
          <w:top w:w="0" w:type="dxa"/>
          <w:left w:w="0" w:type="dxa"/>
          <w:bottom w:w="0" w:type="dxa"/>
          <w:right w:w="0" w:type="dxa"/>
        </w:tblCellMar>
      </w:tblPr>
      <w:tblGrid>
        <w:gridCol w:w="620"/>
        <w:gridCol w:w="1505"/>
      </w:tblGrid>
      <w:tr>
        <w:trPr/>
        <w:tc>
          <w:tcPr>
            <w:tcW w:w="212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City Bank</w:t>
            </w:r>
          </w:p>
        </w:tc>
      </w:tr>
      <w:tr>
        <w:trPr/>
        <w:tc>
          <w:tcPr>
            <w:tcW w:w="212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Crockett, Steven B</w:t>
            </w:r>
          </w:p>
        </w:tc>
      </w:tr>
      <w:tr>
        <w:trPr/>
        <w:tc>
          <w:tcPr>
            <w:tcW w:w="212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February 4, 2008</w:t>
            </w:r>
          </w:p>
        </w:tc>
      </w:tr>
      <w:tr>
        <w:trPr/>
        <w:tc>
          <w:tcPr>
            <w:tcW w:w="212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End of Year Age:  36</w:t>
            </w:r>
          </w:p>
        </w:tc>
      </w:tr>
      <w:tr>
        <w:trPr/>
        <w:tc>
          <w:tcPr>
            <w:tcW w:w="212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Retirement Age:  65</w:t>
            </w:r>
          </w:p>
        </w:tc>
      </w:tr>
      <w:tr>
        <w:trPr/>
        <w:tc>
          <w:tcPr>
            <w:tcW w:w="2125" w:type="dxa"/>
            <w:gridSpan w:val="2"/>
            <w:tcBorders/>
            <w:vAlign w:val="center"/>
          </w:tcPr>
          <w:p>
            <w:pPr>
              <w:pStyle w:val="TableContents"/>
              <w:bidi w:val="0"/>
              <w:spacing w:before="0" w:after="0"/>
              <w:jc w:val="left"/>
              <w:rPr>
                <w:b/>
                <w:sz w:val="20"/>
              </w:rPr>
            </w:pPr>
            <w:r>
              <w:rPr>
                <w:b/>
                <w:sz w:val="20"/>
              </w:rPr>
              <w:t xml:space="preserve">Age At Death:  85 </w:t>
            </w:r>
          </w:p>
        </w:tc>
      </w:tr>
      <w:tr>
        <w:trPr/>
        <w:tc>
          <w:tcPr>
            <w:tcW w:w="6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End of </w:t>
            </w:r>
          </w:p>
          <w:p>
            <w:pPr>
              <w:pStyle w:val="TableContents"/>
              <w:bidi w:val="0"/>
              <w:spacing w:before="0" w:after="0"/>
              <w:jc w:val="center"/>
              <w:rPr>
                <w:rFonts w:ascii="Times New Roman" w:hAnsi="Times New Roman"/>
                <w:b/>
                <w:sz w:val="20"/>
              </w:rPr>
            </w:pPr>
            <w:r>
              <w:rPr>
                <w:rFonts w:ascii="Times New Roman" w:hAnsi="Times New Roman"/>
                <w:b/>
                <w:sz w:val="20"/>
              </w:rPr>
              <w:t>Year</w:t>
            </w:r>
          </w:p>
        </w:tc>
        <w:tc>
          <w:tcPr>
            <w:tcW w:w="15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Total </w:t>
            </w:r>
          </w:p>
          <w:p>
            <w:pPr>
              <w:pStyle w:val="TableContents"/>
              <w:bidi w:val="0"/>
              <w:spacing w:before="0" w:after="0"/>
              <w:jc w:val="center"/>
              <w:rPr>
                <w:rFonts w:ascii="Times New Roman" w:hAnsi="Times New Roman"/>
                <w:b/>
                <w:sz w:val="20"/>
              </w:rPr>
            </w:pPr>
            <w:r>
              <w:rPr>
                <w:rFonts w:ascii="Times New Roman" w:hAnsi="Times New Roman"/>
                <w:b/>
                <w:sz w:val="20"/>
              </w:rPr>
              <w:t xml:space="preserve">Benefit </w:t>
            </w:r>
          </w:p>
          <w:p>
            <w:pPr>
              <w:pStyle w:val="TableContents"/>
              <w:bidi w:val="0"/>
              <w:spacing w:before="0" w:after="0"/>
              <w:jc w:val="center"/>
              <w:rPr>
                <w:rFonts w:ascii="Times New Roman" w:hAnsi="Times New Roman"/>
                <w:b/>
                <w:sz w:val="20"/>
              </w:rPr>
            </w:pPr>
            <w:r>
              <w:rPr>
                <w:rFonts w:ascii="Times New Roman" w:hAnsi="Times New Roman"/>
                <w:b/>
                <w:sz w:val="20"/>
              </w:rPr>
              <w:t>Liability Balance</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2007</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$5,200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2008</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7,099</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2009</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9,251</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2010</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11,685</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2011</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14,430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2012</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17,,520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2013</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20,990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2014</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24,881</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2015</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29,237</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2016</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34,105</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2017</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39,538</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2018</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45,592</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2019</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52,331</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2020</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59,823</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2021</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68,143</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2022</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77,374</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2023</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87,604</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2024</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98,933</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111,467</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125,324</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2027</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140,632</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2028</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157,529</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2029</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176,170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2030</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196,720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2031</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219,360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2032</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244,289</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2033</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271,723</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2034</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301,896</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2035</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335,066</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2036</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363,471</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2037</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351,871</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2038</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339,399</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2039</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325,993</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2040</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311,581</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2041</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296,089</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2042</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279,434</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2043</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261,530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2044</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242,284</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2045</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221,594</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2046</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199,353</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2047</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175,443</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2048</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149,740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2049</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122,110</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2050</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92,406</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2051</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60,476</w:t>
            </w:r>
          </w:p>
        </w:tc>
      </w:tr>
      <w:tr>
        <w:trPr/>
        <w:tc>
          <w:tcPr>
            <w:tcW w:w="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2052</w:t>
            </w:r>
          </w:p>
        </w:tc>
        <w:tc>
          <w:tcPr>
            <w:tcW w:w="15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26,150</w:t>
            </w:r>
          </w:p>
        </w:tc>
      </w:tr>
    </w:tbl>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AMENDMENT TO STEVEN CROCKETT DEFERRED COMPENSATION PLAN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Amendment is made and adopted this 19th day of December, 2014 to be effective January 1, 2015, by CITY BANK, TEXAS (“Employer”) to the STEVEN CROCKETT DEFERRED COMPENSATION PLAN (the “Plan”).</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 I T N E S S E T H:</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Employer has heretofore adopted and maintained the Plan; and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Employer now desires to amend the Plan.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NOW, THEREFORE, to carry such Amendment in to effect, the Plan and all instruments thereof heretofore executed are hereby amended effective immediately as follows: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w:t>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Section 4.01 shall be amended to read as follows:</w:t>
      </w:r>
    </w:p>
    <w:p>
      <w:pPr>
        <w:pStyle w:val="TextBody"/>
        <w:bidi w:val="0"/>
        <w:spacing w:before="0" w:after="0"/>
        <w:jc w:val="left"/>
        <w:rPr/>
      </w:pPr>
      <w:r>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4.01 Participant’s Benefit shall be either (a), (b), or (c), based on the earliest payment event to occur: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86"/>
        <w:gridCol w:w="9719"/>
      </w:tblGrid>
      <w:tr>
        <w:trPr/>
        <w:tc>
          <w:tcPr>
            <w:tcW w:w="486" w:type="dxa"/>
            <w:tcBorders/>
            <w:vAlign w:val="center"/>
          </w:tcPr>
          <w:p>
            <w:pPr>
              <w:pStyle w:val="TableContents"/>
              <w:bidi w:val="0"/>
              <w:spacing w:before="0" w:after="0"/>
              <w:jc w:val="both"/>
              <w:rPr/>
            </w:pPr>
            <w:r>
              <w:rPr/>
              <w:t xml:space="preserve"> ☒     </w:t>
            </w:r>
          </w:p>
        </w:tc>
        <w:tc>
          <w:tcPr>
            <w:tcW w:w="9719" w:type="dxa"/>
            <w:tcBorders/>
            <w:vAlign w:val="center"/>
          </w:tcPr>
          <w:p>
            <w:pPr>
              <w:pStyle w:val="TableContents"/>
              <w:bidi w:val="0"/>
              <w:spacing w:before="0" w:after="283"/>
              <w:jc w:val="left"/>
              <w:rPr/>
            </w:pPr>
            <w:r>
              <w:rPr/>
              <w:t xml:space="preserve">(a)    </w:t>
            </w:r>
            <w:r>
              <w:rPr>
                <w:b/>
              </w:rPr>
              <w:t xml:space="preserve">Retirement Benefit.  </w:t>
            </w:r>
            <w:r>
              <w:rPr/>
              <w:t>If the Participant has not Separated from Service with Employer and has attained Normal Retirement Age, the Employer shall pay to Participant:</w:t>
            </w:r>
          </w:p>
        </w:tc>
      </w:tr>
    </w:tbl>
    <w:p>
      <w:pPr>
        <w:pStyle w:val="TextBody"/>
        <w:bidi w:val="0"/>
        <w:spacing w:before="0" w:after="0"/>
        <w:jc w:val="left"/>
        <w:rPr/>
      </w:pPr>
      <w:r>
        <w:rPr/>
      </w:r>
      <w:bookmarkStart w:id="176" w:name="zcd38ecb11535429a9b2509b37d29518b"/>
      <w:bookmarkStart w:id="177" w:name="zcd38ecb11535429a9b2509b37d29518b"/>
      <w:bookmarkEnd w:id="177"/>
    </w:p>
    <w:tbl>
      <w:tblPr>
        <w:tblW w:w="5268" w:type="dxa"/>
        <w:jc w:val="left"/>
        <w:tblInd w:w="0" w:type="dxa"/>
        <w:tblLayout w:type="fixed"/>
        <w:tblCellMar>
          <w:top w:w="0" w:type="dxa"/>
          <w:left w:w="0" w:type="dxa"/>
          <w:bottom w:w="0" w:type="dxa"/>
          <w:right w:w="0" w:type="dxa"/>
        </w:tblCellMar>
      </w:tblPr>
      <w:tblGrid>
        <w:gridCol w:w="38"/>
        <w:gridCol w:w="230"/>
        <w:gridCol w:w="500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w:t>
            </w:r>
          </w:p>
        </w:tc>
        <w:tc>
          <w:tcPr>
            <w:tcW w:w="5000" w:type="dxa"/>
            <w:tcBorders/>
            <w:vAlign w:val="center"/>
          </w:tcPr>
          <w:p>
            <w:pPr>
              <w:pStyle w:val="TableContents"/>
              <w:bidi w:val="0"/>
              <w:spacing w:before="0" w:after="0"/>
              <w:jc w:val="both"/>
              <w:rPr/>
            </w:pPr>
            <w:r>
              <w:rPr/>
              <w:t>Annual payments each in the amount of $50,000.00,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8" w:name="z440549e1abd8409e98d1a4d7e3fc246a"/>
      <w:bookmarkStart w:id="179" w:name="z440549e1abd8409e98d1a4d7e3fc246a"/>
      <w:bookmarkEnd w:id="179"/>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0"/>
              <w:jc w:val="both"/>
              <w:rPr/>
            </w:pPr>
            <w:r>
              <w:rPr/>
              <w:t>Commencing upon the first day of the second month following Participant’s attainment of Normal Retirement Age and thereafter annually on each successive anniversary of the first payment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0" w:name="z8af33f7671af44f1bcd7eaca88ee7473"/>
      <w:bookmarkStart w:id="181" w:name="z8af33f7671af44f1bcd7eaca88ee7473"/>
      <w:bookmarkEnd w:id="181"/>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both"/>
              <w:rPr/>
            </w:pPr>
            <w:r>
              <w:rPr/>
              <w:t>At Participant’s death after payments have begun, the Plan shall terminate and all benefits shall cease and be forfeited, including any future benefits or vested benefits.</w:t>
            </w:r>
          </w:p>
        </w:tc>
      </w:tr>
    </w:tbl>
    <w:p>
      <w:pPr>
        <w:pStyle w:val="TextBody"/>
        <w:bidi w:val="0"/>
        <w:spacing w:before="0" w:after="0"/>
        <w:jc w:val="left"/>
        <w:rPr/>
      </w:pPr>
      <w:r>
        <w:rPr/>
      </w:r>
    </w:p>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both"/>
              <w:rPr/>
            </w:pPr>
            <w:r>
              <w:rPr/>
              <w:t>☒</w:t>
            </w:r>
          </w:p>
        </w:tc>
        <w:tc>
          <w:tcPr>
            <w:tcW w:w="3830" w:type="dxa"/>
            <w:tcBorders/>
            <w:vAlign w:val="center"/>
          </w:tcPr>
          <w:p>
            <w:pPr>
              <w:pStyle w:val="TableContents"/>
              <w:bidi w:val="0"/>
              <w:spacing w:before="0" w:after="0"/>
              <w:jc w:val="both"/>
              <w:rPr/>
            </w:pPr>
            <w:r>
              <w:rPr/>
              <w:t xml:space="preserve">(b)    </w:t>
            </w:r>
            <w:r>
              <w:rPr>
                <w:b/>
              </w:rPr>
              <w:t>Separation from Service Benefit.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7b0761ecb7bf46b4b0c01e7921511a29"/>
      <w:bookmarkStart w:id="183" w:name="z7b0761ecb7bf46b4b0c01e7921511a29"/>
      <w:bookmarkEnd w:id="183"/>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pPr>
            <w:r>
              <w:rPr/>
              <w:t>(i)</w:t>
            </w:r>
          </w:p>
        </w:tc>
        <w:tc>
          <w:tcPr>
            <w:tcW w:w="9943" w:type="dxa"/>
            <w:tcBorders/>
            <w:vAlign w:val="center"/>
          </w:tcPr>
          <w:p>
            <w:pPr>
              <w:pStyle w:val="TableContents"/>
              <w:bidi w:val="0"/>
              <w:spacing w:before="0" w:after="0"/>
              <w:jc w:val="left"/>
              <w:rPr/>
            </w:pPr>
            <w:r>
              <w:rPr/>
              <w:t>Except as provided in (ii), if the Participant Separates from Service with the Employer for any reason other than death, Disability, or Discharge for Cause prior to attaining Normal Retirement Age, Employer shall pay to Participant: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355cf0d39e1441138912432a941dccfd"/>
      <w:bookmarkStart w:id="185" w:name="z355cf0d39e1441138912432a941dccfd"/>
      <w:bookmarkEnd w:id="185"/>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pPr>
            <w:r>
              <w:rPr/>
            </w:r>
          </w:p>
        </w:tc>
        <w:tc>
          <w:tcPr>
            <w:tcW w:w="300" w:type="dxa"/>
            <w:tcBorders/>
            <w:vAlign w:val="center"/>
          </w:tcPr>
          <w:p>
            <w:pPr>
              <w:pStyle w:val="TableContents"/>
              <w:bidi w:val="0"/>
              <w:spacing w:before="0" w:after="283"/>
              <w:jc w:val="left"/>
              <w:rPr/>
            </w:pPr>
            <w:r>
              <w:rPr/>
              <w:t>(A)</w:t>
            </w:r>
          </w:p>
        </w:tc>
        <w:tc>
          <w:tcPr>
            <w:tcW w:w="9867" w:type="dxa"/>
            <w:tcBorders/>
            <w:vAlign w:val="center"/>
          </w:tcPr>
          <w:p>
            <w:pPr>
              <w:pStyle w:val="TableContents"/>
              <w:bidi w:val="0"/>
              <w:spacing w:before="0" w:after="0"/>
              <w:jc w:val="both"/>
              <w:rPr/>
            </w:pPr>
            <w:r>
              <w:rPr/>
              <w:t>A lump sum amount equal to the Benefit Liability Balance as of the end of the year preceding the year in which the Participant Separated from Service multiplied by the Participant’s Vested Percentage.  The schedule of the “Benefit Liability Balances” are set forth on Exhibit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6" w:name="z264fb3d50c8d42df85b7ce3efedff986"/>
      <w:bookmarkStart w:id="187" w:name="z264fb3d50c8d42df85b7ce3efedff986"/>
      <w:bookmarkEnd w:id="187"/>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pPr>
            <w:r>
              <w:rPr/>
            </w:r>
          </w:p>
        </w:tc>
        <w:tc>
          <w:tcPr>
            <w:tcW w:w="326"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0"/>
              <w:jc w:val="both"/>
              <w:rPr/>
            </w:pPr>
            <w:r>
              <w:rPr/>
              <w:t>On the first day of the twenty-fourth month following</w:t>
            </w:r>
            <w:r>
              <w:rPr>
                <w:color w:val="00CCFF"/>
              </w:rPr>
              <w:t> </w:t>
            </w:r>
            <w:r>
              <w:rPr/>
              <w:t>the Participant’s Separation from Service from the Employer.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8" w:name="z7fd1122b6f744faa98825a75538c5e86"/>
      <w:bookmarkStart w:id="189" w:name="z7fd1122b6f744faa98825a75538c5e86"/>
      <w:bookmarkEnd w:id="189"/>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pPr>
            <w:r>
              <w:rPr/>
            </w:r>
          </w:p>
        </w:tc>
        <w:tc>
          <w:tcPr>
            <w:tcW w:w="304" w:type="dxa"/>
            <w:tcBorders/>
            <w:vAlign w:val="center"/>
          </w:tcPr>
          <w:p>
            <w:pPr>
              <w:pStyle w:val="TableContents"/>
              <w:bidi w:val="0"/>
              <w:spacing w:before="0" w:after="283"/>
              <w:jc w:val="left"/>
              <w:rPr/>
            </w:pPr>
            <w:r>
              <w:rPr/>
              <w:t>(C)</w:t>
            </w:r>
          </w:p>
        </w:tc>
        <w:tc>
          <w:tcPr>
            <w:tcW w:w="9863" w:type="dxa"/>
            <w:tcBorders/>
            <w:vAlign w:val="center"/>
          </w:tcPr>
          <w:p>
            <w:pPr>
              <w:pStyle w:val="TableContents"/>
              <w:bidi w:val="0"/>
              <w:spacing w:before="0" w:after="0"/>
              <w:jc w:val="both"/>
              <w:rPr/>
            </w:pPr>
            <w:r>
              <w:rPr/>
              <w:t>If the Participant dies before the</w:t>
            </w:r>
            <w:r>
              <w:rPr>
                <w:color w:val="00CCFF"/>
              </w:rPr>
              <w:t> </w:t>
            </w:r>
            <w:r>
              <w:rPr/>
              <w:t>payment is made, the Plan shall terminate and all benefits shall cease and be forfeited, including any future benefits or vested benefits.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0" w:name="zefdccfc038cf4ae5a397555c48eb8a1b"/>
      <w:bookmarkStart w:id="191" w:name="zefdccfc038cf4ae5a397555c48eb8a1b"/>
      <w:bookmarkEnd w:id="191"/>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0"/>
              <w:jc w:val="both"/>
              <w:rPr/>
            </w:pPr>
            <w:r>
              <w:rPr/>
              <w:t>If the Participant Separates from Service within two years after a Change of Control for any reason other than Discharge for Cause or Disability, the Employer shall pay to Participant: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63d4c96276fd4e4eb1352a7076087987"/>
      <w:bookmarkStart w:id="193" w:name="z63d4c96276fd4e4eb1352a7076087987"/>
      <w:bookmarkEnd w:id="193"/>
    </w:p>
    <w:tbl>
      <w:tblPr>
        <w:tblW w:w="5388" w:type="dxa"/>
        <w:jc w:val="left"/>
        <w:tblInd w:w="0" w:type="dxa"/>
        <w:tblLayout w:type="fixed"/>
        <w:tblCellMar>
          <w:top w:w="0" w:type="dxa"/>
          <w:left w:w="0" w:type="dxa"/>
          <w:bottom w:w="0" w:type="dxa"/>
          <w:right w:w="0" w:type="dxa"/>
        </w:tblCellMar>
      </w:tblPr>
      <w:tblGrid>
        <w:gridCol w:w="38"/>
        <w:gridCol w:w="350"/>
        <w:gridCol w:w="500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(A)</w:t>
            </w:r>
          </w:p>
        </w:tc>
        <w:tc>
          <w:tcPr>
            <w:tcW w:w="5000" w:type="dxa"/>
            <w:tcBorders/>
            <w:vAlign w:val="center"/>
          </w:tcPr>
          <w:p>
            <w:pPr>
              <w:pStyle w:val="TableContents"/>
              <w:bidi w:val="0"/>
              <w:spacing w:before="0" w:after="0"/>
              <w:jc w:val="both"/>
              <w:rPr/>
            </w:pPr>
            <w:r>
              <w:rPr/>
              <w:t>Annual payments each in the amount of $50,000.00,</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94" w:name="z5ae42b54e3734bbe9a844375d52b8cb1"/>
      <w:bookmarkStart w:id="195" w:name="z5ae42b54e3734bbe9a844375d52b8cb1"/>
      <w:bookmarkEnd w:id="195"/>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t>(B)</w:t>
            </w:r>
          </w:p>
        </w:tc>
        <w:tc>
          <w:tcPr>
            <w:tcW w:w="9870" w:type="dxa"/>
            <w:tcBorders/>
            <w:vAlign w:val="center"/>
          </w:tcPr>
          <w:p>
            <w:pPr>
              <w:pStyle w:val="TableContents"/>
              <w:bidi w:val="0"/>
              <w:spacing w:before="0" w:after="0"/>
              <w:jc w:val="both"/>
              <w:rPr/>
            </w:pPr>
            <w:r>
              <w:rPr/>
              <w:t>Commencing upon the first day of the second month following Participant’s attainment of Normal Retirement Age and thereafter annually on each successive anniversary of the first payment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6" w:name="z7b6661e6c020466d853393fa09f2f11c"/>
      <w:bookmarkStart w:id="197" w:name="z7b6661e6c020466d853393fa09f2f11c"/>
      <w:bookmarkEnd w:id="197"/>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t>(C)</w:t>
            </w:r>
          </w:p>
        </w:tc>
        <w:tc>
          <w:tcPr>
            <w:tcW w:w="9870" w:type="dxa"/>
            <w:tcBorders/>
            <w:vAlign w:val="center"/>
          </w:tcPr>
          <w:p>
            <w:pPr>
              <w:pStyle w:val="TableContents"/>
              <w:bidi w:val="0"/>
              <w:spacing w:before="0" w:after="0"/>
              <w:jc w:val="both"/>
              <w:rPr/>
            </w:pPr>
            <w:r>
              <w:rPr/>
              <w:t>If the Participant dies before the</w:t>
            </w:r>
            <w:r>
              <w:rPr>
                <w:color w:val="00CCFF"/>
              </w:rPr>
              <w:t> </w:t>
            </w:r>
            <w:r>
              <w:rPr/>
              <w:t>payments begin or after payments have begun, the Plan shall terminate and all benefits shall cease and be forfeited, including any future benefits or vested benefits.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0"/>
              <w:jc w:val="left"/>
              <w:rPr/>
            </w:pPr>
            <w:r>
              <w:rPr/>
              <w:t xml:space="preserve">☒    </w:t>
            </w:r>
          </w:p>
        </w:tc>
        <w:tc>
          <w:tcPr>
            <w:tcW w:w="9769" w:type="dxa"/>
            <w:tcBorders/>
            <w:vAlign w:val="center"/>
          </w:tcPr>
          <w:p>
            <w:pPr>
              <w:pStyle w:val="TableContents"/>
              <w:bidi w:val="0"/>
              <w:spacing w:before="0" w:after="283"/>
              <w:jc w:val="left"/>
              <w:rPr/>
            </w:pPr>
            <w:r>
              <w:rPr/>
              <w:t xml:space="preserve">(c)    </w:t>
            </w:r>
            <w:r>
              <w:rPr>
                <w:b/>
              </w:rPr>
              <w:t>Disability Benefit</w:t>
            </w:r>
            <w:r>
              <w:rPr/>
              <w:t>.  In the event the Participant is determined to be Disabled before the attainment of Normal Retirement Age or Separation from Service, the Employer shall pay to the Contingent Disability Trust: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8" w:name="z28eea27c36ab4f9aae78bdfd2f8cf9eb"/>
      <w:bookmarkStart w:id="199" w:name="z28eea27c36ab4f9aae78bdfd2f8cf9eb"/>
      <w:bookmarkEnd w:id="199"/>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pPr>
            <w:r>
              <w:rPr/>
            </w:r>
          </w:p>
        </w:tc>
        <w:tc>
          <w:tcPr>
            <w:tcW w:w="187"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0"/>
              <w:jc w:val="both"/>
              <w:rPr/>
            </w:pPr>
            <w:r>
              <w:rPr/>
              <w:t>a lump sum payment of the Benefit Liability Balance as of the end of the year  preceding the year in which the Participant is determined to be Disabled.  The schedule of the “Benefit Liability Balances” are set forth on Exhibit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0" w:name="z4fef63ed09b543f79756896870be4123"/>
      <w:bookmarkStart w:id="201" w:name="z4fef63ed09b543f79756896870be4123"/>
      <w:bookmarkEnd w:id="201"/>
    </w:p>
    <w:tbl>
      <w:tblPr>
        <w:tblW w:w="9738" w:type="dxa"/>
        <w:jc w:val="left"/>
        <w:tblInd w:w="0" w:type="dxa"/>
        <w:tblLayout w:type="fixed"/>
        <w:tblCellMar>
          <w:top w:w="0" w:type="dxa"/>
          <w:left w:w="0" w:type="dxa"/>
          <w:bottom w:w="0" w:type="dxa"/>
          <w:right w:w="0" w:type="dxa"/>
        </w:tblCellMar>
      </w:tblPr>
      <w:tblGrid>
        <w:gridCol w:w="38"/>
        <w:gridCol w:w="290"/>
        <w:gridCol w:w="941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(ii)</w:t>
            </w:r>
          </w:p>
        </w:tc>
        <w:tc>
          <w:tcPr>
            <w:tcW w:w="9410" w:type="dxa"/>
            <w:tcBorders/>
            <w:vAlign w:val="center"/>
          </w:tcPr>
          <w:p>
            <w:pPr>
              <w:pStyle w:val="TableContents"/>
              <w:bidi w:val="0"/>
              <w:spacing w:before="0" w:after="0"/>
              <w:jc w:val="both"/>
              <w:rPr/>
            </w:pPr>
            <w:r>
              <w:rPr/>
              <w:t>on the first day of the second month following the date the Participant is determined to be Disabled.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2" w:name="zfa70b1de19474a998fa63eac0c0c8402"/>
      <w:bookmarkStart w:id="203" w:name="zfa70b1de19474a998fa63eac0c0c8402"/>
      <w:bookmarkEnd w:id="203"/>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both"/>
              <w:rPr/>
            </w:pPr>
            <w:r>
              <w:rPr/>
              <w:t>If the Participant dies before the</w:t>
            </w:r>
            <w:r>
              <w:rPr>
                <w:color w:val="00CCFF"/>
              </w:rPr>
              <w:t> </w:t>
            </w:r>
            <w:r>
              <w:rPr/>
              <w:t>payment is made, the Plan shall terminate and all benefits shall cease and be forfeited, including any future benefits or vested benefits.</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II.</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Exhibit A as referenced above shall be amended to the values as set forth on the copy of such Exhibit A attached to this Amendment.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Plan, as amended hereinabove, and all instruments thereof heretofore executed be and are hereby ratified and affirmed.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4" w:name="z9601f23efad34f1895d12974231b800f"/>
      <w:bookmarkStart w:id="205" w:name="z9601f23efad34f1895d12974231b800f"/>
      <w:bookmarkEnd w:id="205"/>
    </w:p>
    <w:tbl>
      <w:tblPr>
        <w:tblW w:w="2329" w:type="dxa"/>
        <w:jc w:val="left"/>
        <w:tblInd w:w="0" w:type="dxa"/>
        <w:tblLayout w:type="fixed"/>
        <w:tblCellMar>
          <w:top w:w="0" w:type="dxa"/>
          <w:left w:w="0" w:type="dxa"/>
          <w:bottom w:w="0" w:type="dxa"/>
          <w:right w:w="0" w:type="dxa"/>
        </w:tblCellMar>
      </w:tblPr>
      <w:tblGrid>
        <w:gridCol w:w="60"/>
        <w:gridCol w:w="457"/>
        <w:gridCol w:w="1812"/>
      </w:tblGrid>
      <w:tr>
        <w:trPr/>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0"/>
              <w:jc w:val="left"/>
              <w:rPr/>
            </w:pPr>
            <w:r>
              <w:rPr/>
              <w:t>CITY BANK, TEXAS</w:t>
            </w:r>
          </w:p>
        </w:tc>
      </w:tr>
      <w:tr>
        <w:trPr/>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0"/>
              <w:jc w:val="left"/>
              <w:rPr/>
            </w:pPr>
            <w:r>
              <w:rPr/>
              <w:t xml:space="preserve">By: </w:t>
            </w:r>
          </w:p>
        </w:tc>
        <w:tc>
          <w:tcPr>
            <w:tcW w:w="1812" w:type="dxa"/>
            <w:tcBorders>
              <w:bottom w:val="single" w:sz="12" w:space="0" w:color="000000"/>
            </w:tcBorders>
            <w:tcMar>
              <w:bottom w:w="28" w:type="dxa"/>
            </w:tcMar>
            <w:vAlign w:val="center"/>
          </w:tcPr>
          <w:p>
            <w:pPr>
              <w:pStyle w:val="TableContents"/>
              <w:bidi w:val="0"/>
              <w:spacing w:before="0" w:after="283"/>
              <w:jc w:val="left"/>
              <w:rPr/>
            </w:pPr>
            <w:r>
              <w:rPr/>
              <w:t> </w:t>
            </w:r>
            <w:r>
              <w:rPr/>
              <w:t>/s/ Curtis Griffith</w:t>
            </w:r>
          </w:p>
        </w:tc>
      </w:tr>
    </w:tbl>
    <w:tbl>
      <w:tblPr>
        <w:tblW w:w="2455" w:type="dxa"/>
        <w:jc w:val="left"/>
        <w:tblInd w:w="0" w:type="dxa"/>
        <w:tblLayout w:type="fixed"/>
        <w:tblCellMar>
          <w:top w:w="0" w:type="dxa"/>
          <w:left w:w="0" w:type="dxa"/>
          <w:bottom w:w="0" w:type="dxa"/>
          <w:right w:w="0" w:type="dxa"/>
        </w:tblCellMar>
      </w:tblPr>
      <w:tblGrid>
        <w:gridCol w:w="60"/>
        <w:gridCol w:w="575"/>
        <w:gridCol w:w="1820"/>
      </w:tblGrid>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pPr>
            <w:r>
              <w:rPr/>
              <w:t>Title: </w:t>
            </w:r>
          </w:p>
        </w:tc>
        <w:tc>
          <w:tcPr>
            <w:tcW w:w="1820" w:type="dxa"/>
            <w:tcBorders>
              <w:bottom w:val="single" w:sz="12" w:space="0" w:color="000000"/>
            </w:tcBorders>
            <w:tcMar>
              <w:bottom w:w="28" w:type="dxa"/>
            </w:tcMar>
            <w:vAlign w:val="center"/>
          </w:tcPr>
          <w:p>
            <w:pPr>
              <w:pStyle w:val="TableContents"/>
              <w:bidi w:val="0"/>
              <w:spacing w:before="0" w:after="283"/>
              <w:jc w:val="left"/>
              <w:rPr/>
            </w:pPr>
            <w:r>
              <w:rPr/>
              <w:t>Chairman</w:t>
            </w:r>
          </w:p>
        </w:tc>
      </w:tr>
      <w:tr>
        <w:trPr/>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ind w:left="180" w:right="0" w:hanging="0"/>
              <w:jc w:val="left"/>
              <w:rPr/>
            </w:pPr>
            <w:r>
              <w:rPr/>
              <w:t>Authorized Officer</w:t>
            </w:r>
          </w:p>
        </w:tc>
      </w:tr>
      <w:tr>
        <w:trPr/>
        <w:tc>
          <w:tcPr>
            <w:tcW w:w="60"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0"/>
              <w:ind w:left="1440" w:right="0" w:hanging="0"/>
              <w:jc w:val="left"/>
              <w:rPr/>
            </w:pPr>
            <w:r>
              <w:rPr/>
              <w:t>“</w:t>
            </w:r>
            <w:r>
              <w:rPr/>
              <w:t>Employer”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Participant Plan Summary</w:t>
      </w:r>
    </w:p>
    <w:p>
      <w:pPr>
        <w:pStyle w:val="TextBody"/>
        <w:bidi w:val="0"/>
        <w:spacing w:before="0" w:after="0"/>
        <w:jc w:val="center"/>
        <w:rPr>
          <w:color w:val="000000"/>
        </w:rPr>
      </w:pPr>
      <w:r>
        <w:rPr>
          <w:color w:val="000000"/>
        </w:rPr>
        <w:t> </w:t>
      </w:r>
    </w:p>
    <w:p>
      <w:pPr>
        <w:pStyle w:val="Normal"/>
        <w:bidi w:val="0"/>
        <w:spacing w:before="0" w:after="0"/>
        <w:jc w:val="left"/>
        <w:rPr>
          <w:sz w:val="4"/>
          <w:szCs w:val="4"/>
        </w:rPr>
      </w:pPr>
      <w:r>
        <w:rPr>
          <w:sz w:val="4"/>
          <w:szCs w:val="4"/>
        </w:rPr>
      </w:r>
      <w:bookmarkStart w:id="206" w:name="z6ef0713ffd5c43ab963f888e6113eeed"/>
      <w:bookmarkStart w:id="207" w:name="z6ef0713ffd5c43ab963f888e6113eeed"/>
      <w:bookmarkEnd w:id="207"/>
    </w:p>
    <w:tbl>
      <w:tblPr>
        <w:tblW w:w="1585" w:type="dxa"/>
        <w:jc w:val="center"/>
        <w:tblInd w:w="0" w:type="dxa"/>
        <w:tblLayout w:type="fixed"/>
        <w:tblCellMar>
          <w:top w:w="0" w:type="dxa"/>
          <w:left w:w="0" w:type="dxa"/>
          <w:bottom w:w="0" w:type="dxa"/>
          <w:right w:w="0" w:type="dxa"/>
        </w:tblCellMar>
      </w:tblPr>
      <w:tblGrid>
        <w:gridCol w:w="710"/>
        <w:gridCol w:w="875"/>
      </w:tblGrid>
      <w:tr>
        <w:trPr/>
        <w:tc>
          <w:tcPr>
            <w:tcW w:w="1585" w:type="dxa"/>
            <w:gridSpan w:val="2"/>
            <w:tcBorders/>
            <w:vAlign w:val="center"/>
          </w:tcPr>
          <w:p>
            <w:pPr>
              <w:pStyle w:val="TableContents"/>
              <w:bidi w:val="0"/>
              <w:spacing w:before="0" w:after="0"/>
              <w:jc w:val="left"/>
              <w:rPr>
                <w:b/>
              </w:rPr>
            </w:pPr>
            <w:r>
              <w:rPr>
                <w:b/>
              </w:rPr>
              <w:t xml:space="preserve">Schedule A </w:t>
            </w:r>
          </w:p>
          <w:p>
            <w:pPr>
              <w:pStyle w:val="TableContents"/>
              <w:bidi w:val="0"/>
              <w:spacing w:before="0" w:after="0"/>
              <w:jc w:val="center"/>
              <w:rPr>
                <w:b/>
              </w:rPr>
            </w:pPr>
            <w:r>
              <w:rPr>
                <w:b/>
              </w:rPr>
            </w:r>
          </w:p>
          <w:p>
            <w:pPr>
              <w:pStyle w:val="TableContents"/>
              <w:bidi w:val="0"/>
              <w:spacing w:before="0" w:after="0"/>
              <w:jc w:val="left"/>
              <w:rPr>
                <w:b/>
              </w:rPr>
            </w:pPr>
            <w:r>
              <w:rPr>
                <w:b/>
              </w:rPr>
              <w:t>City Bank</w:t>
            </w:r>
          </w:p>
          <w:p>
            <w:pPr>
              <w:pStyle w:val="TableContents"/>
              <w:bidi w:val="0"/>
              <w:spacing w:before="0" w:after="0"/>
              <w:jc w:val="left"/>
              <w:rPr>
                <w:b/>
              </w:rPr>
            </w:pPr>
            <w:r>
              <w:rPr>
                <w:b/>
              </w:rPr>
              <w:t>Steve Crockett</w:t>
            </w:r>
          </w:p>
        </w:tc>
      </w:tr>
      <w:tr>
        <w:trPr/>
        <w:tc>
          <w:tcPr>
            <w:tcW w:w="71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jc w:val="center"/>
              <w:rPr>
                <w:b/>
              </w:rPr>
            </w:pPr>
            <w:r>
              <w:rPr>
                <w:b/>
              </w:rPr>
              <w:t>End of</w:t>
            </w:r>
          </w:p>
          <w:p>
            <w:pPr>
              <w:pStyle w:val="TableContents"/>
              <w:bidi w:val="0"/>
              <w:spacing w:before="0" w:after="0"/>
              <w:jc w:val="center"/>
              <w:rPr>
                <w:b/>
              </w:rPr>
            </w:pPr>
            <w:r>
              <w:rPr>
                <w:b/>
              </w:rPr>
              <w:t>Year</w:t>
            </w:r>
          </w:p>
        </w:tc>
        <w:tc>
          <w:tcPr>
            <w:tcW w:w="875" w:type="dxa"/>
            <w:tcBorders/>
            <w:vAlign w:val="center"/>
          </w:tcPr>
          <w:p>
            <w:pPr>
              <w:pStyle w:val="TableContents"/>
              <w:bidi w:val="0"/>
              <w:spacing w:before="0" w:after="0"/>
              <w:jc w:val="center"/>
              <w:rPr>
                <w:b/>
              </w:rPr>
            </w:pPr>
            <w:r>
              <w:rPr>
                <w:b/>
              </w:rPr>
              <w:t xml:space="preserve">Benefit </w:t>
            </w:r>
          </w:p>
          <w:p>
            <w:pPr>
              <w:pStyle w:val="TableContents"/>
              <w:bidi w:val="0"/>
              <w:spacing w:before="0" w:after="0"/>
              <w:jc w:val="center"/>
              <w:rPr>
                <w:b/>
              </w:rPr>
            </w:pPr>
            <w:r>
              <w:rPr>
                <w:b/>
              </w:rPr>
              <w:t>Liability</w:t>
            </w:r>
          </w:p>
          <w:p>
            <w:pPr>
              <w:pStyle w:val="TableContents"/>
              <w:bidi w:val="0"/>
              <w:spacing w:before="0" w:after="0"/>
              <w:jc w:val="center"/>
              <w:rPr>
                <w:b/>
              </w:rPr>
            </w:pPr>
            <w:r>
              <w:rPr>
                <w:b/>
              </w:rPr>
              <w:t>Balance</w:t>
            </w:r>
          </w:p>
        </w:tc>
      </w:tr>
      <w:tr>
        <w:trPr/>
        <w:tc>
          <w:tcPr>
            <w:tcW w:w="710" w:type="dxa"/>
            <w:tcBorders/>
            <w:vAlign w:val="center"/>
          </w:tcPr>
          <w:p>
            <w:pPr>
              <w:pStyle w:val="TableContents"/>
              <w:bidi w:val="0"/>
              <w:spacing w:before="0" w:after="0"/>
              <w:jc w:val="center"/>
              <w:rPr/>
            </w:pPr>
            <w:r>
              <w:rPr/>
              <w:t>2014</w:t>
            </w:r>
          </w:p>
        </w:tc>
        <w:tc>
          <w:tcPr>
            <w:tcW w:w="875" w:type="dxa"/>
            <w:tcBorders/>
            <w:vAlign w:val="center"/>
          </w:tcPr>
          <w:p>
            <w:pPr>
              <w:pStyle w:val="TableContents"/>
              <w:bidi w:val="0"/>
              <w:spacing w:before="0" w:after="0"/>
              <w:jc w:val="center"/>
              <w:rPr/>
            </w:pPr>
            <w:r>
              <w:rPr/>
              <w:t>$39,798</w:t>
            </w:r>
          </w:p>
        </w:tc>
      </w:tr>
      <w:tr>
        <w:trPr/>
        <w:tc>
          <w:tcPr>
            <w:tcW w:w="710" w:type="dxa"/>
            <w:tcBorders/>
            <w:vAlign w:val="center"/>
          </w:tcPr>
          <w:p>
            <w:pPr>
              <w:pStyle w:val="TableContents"/>
              <w:bidi w:val="0"/>
              <w:spacing w:before="0" w:after="0"/>
              <w:jc w:val="center"/>
              <w:rPr/>
            </w:pPr>
            <w:r>
              <w:rPr/>
              <w:t>2015</w:t>
            </w:r>
          </w:p>
        </w:tc>
        <w:tc>
          <w:tcPr>
            <w:tcW w:w="875" w:type="dxa"/>
            <w:tcBorders/>
            <w:vAlign w:val="center"/>
          </w:tcPr>
          <w:p>
            <w:pPr>
              <w:pStyle w:val="TableContents"/>
              <w:bidi w:val="0"/>
              <w:spacing w:before="0" w:after="0"/>
              <w:jc w:val="center"/>
              <w:rPr/>
            </w:pPr>
            <w:r>
              <w:rPr/>
              <w:t>60,318</w:t>
            </w:r>
          </w:p>
        </w:tc>
      </w:tr>
      <w:tr>
        <w:trPr/>
        <w:tc>
          <w:tcPr>
            <w:tcW w:w="710" w:type="dxa"/>
            <w:tcBorders/>
            <w:vAlign w:val="center"/>
          </w:tcPr>
          <w:p>
            <w:pPr>
              <w:pStyle w:val="TableContents"/>
              <w:bidi w:val="0"/>
              <w:spacing w:before="0" w:after="0"/>
              <w:jc w:val="center"/>
              <w:rPr/>
            </w:pPr>
            <w:r>
              <w:rPr/>
              <w:t>2016</w:t>
            </w:r>
          </w:p>
        </w:tc>
        <w:tc>
          <w:tcPr>
            <w:tcW w:w="875" w:type="dxa"/>
            <w:tcBorders/>
            <w:vAlign w:val="center"/>
          </w:tcPr>
          <w:p>
            <w:pPr>
              <w:pStyle w:val="TableContents"/>
              <w:bidi w:val="0"/>
              <w:spacing w:before="0" w:after="0"/>
              <w:jc w:val="center"/>
              <w:rPr/>
            </w:pPr>
            <w:r>
              <w:rPr/>
              <w:t>82,725</w:t>
            </w:r>
          </w:p>
        </w:tc>
      </w:tr>
      <w:tr>
        <w:trPr/>
        <w:tc>
          <w:tcPr>
            <w:tcW w:w="710" w:type="dxa"/>
            <w:tcBorders/>
            <w:vAlign w:val="center"/>
          </w:tcPr>
          <w:p>
            <w:pPr>
              <w:pStyle w:val="TableContents"/>
              <w:bidi w:val="0"/>
              <w:spacing w:before="0" w:after="0"/>
              <w:jc w:val="center"/>
              <w:rPr/>
            </w:pPr>
            <w:r>
              <w:rPr/>
              <w:t>2017</w:t>
            </w:r>
          </w:p>
        </w:tc>
        <w:tc>
          <w:tcPr>
            <w:tcW w:w="875" w:type="dxa"/>
            <w:tcBorders/>
            <w:vAlign w:val="center"/>
          </w:tcPr>
          <w:p>
            <w:pPr>
              <w:pStyle w:val="TableContents"/>
              <w:bidi w:val="0"/>
              <w:spacing w:before="0" w:after="0"/>
              <w:jc w:val="center"/>
              <w:rPr/>
            </w:pPr>
            <w:r>
              <w:rPr/>
              <w:t>107,210</w:t>
            </w:r>
          </w:p>
        </w:tc>
      </w:tr>
      <w:tr>
        <w:trPr/>
        <w:tc>
          <w:tcPr>
            <w:tcW w:w="710" w:type="dxa"/>
            <w:tcBorders/>
            <w:vAlign w:val="center"/>
          </w:tcPr>
          <w:p>
            <w:pPr>
              <w:pStyle w:val="TableContents"/>
              <w:bidi w:val="0"/>
              <w:spacing w:before="0" w:after="0"/>
              <w:jc w:val="center"/>
              <w:rPr/>
            </w:pPr>
            <w:r>
              <w:rPr/>
              <w:t>2018</w:t>
            </w:r>
          </w:p>
        </w:tc>
        <w:tc>
          <w:tcPr>
            <w:tcW w:w="875" w:type="dxa"/>
            <w:tcBorders/>
            <w:vAlign w:val="center"/>
          </w:tcPr>
          <w:p>
            <w:pPr>
              <w:pStyle w:val="TableContents"/>
              <w:bidi w:val="0"/>
              <w:spacing w:before="0" w:after="0"/>
              <w:jc w:val="center"/>
              <w:rPr/>
            </w:pPr>
            <w:r>
              <w:rPr/>
              <w:t>133,983</w:t>
            </w:r>
          </w:p>
        </w:tc>
      </w:tr>
      <w:tr>
        <w:trPr/>
        <w:tc>
          <w:tcPr>
            <w:tcW w:w="710" w:type="dxa"/>
            <w:tcBorders/>
            <w:vAlign w:val="center"/>
          </w:tcPr>
          <w:p>
            <w:pPr>
              <w:pStyle w:val="TableContents"/>
              <w:bidi w:val="0"/>
              <w:spacing w:before="0" w:after="0"/>
              <w:jc w:val="center"/>
              <w:rPr/>
            </w:pPr>
            <w:r>
              <w:rPr/>
              <w:t>2019</w:t>
            </w:r>
          </w:p>
        </w:tc>
        <w:tc>
          <w:tcPr>
            <w:tcW w:w="875" w:type="dxa"/>
            <w:tcBorders/>
            <w:vAlign w:val="center"/>
          </w:tcPr>
          <w:p>
            <w:pPr>
              <w:pStyle w:val="TableContents"/>
              <w:bidi w:val="0"/>
              <w:spacing w:before="0" w:after="0"/>
              <w:jc w:val="center"/>
              <w:rPr/>
            </w:pPr>
            <w:r>
              <w:rPr/>
              <w:t>163,273</w:t>
            </w:r>
          </w:p>
        </w:tc>
      </w:tr>
      <w:tr>
        <w:trPr/>
        <w:tc>
          <w:tcPr>
            <w:tcW w:w="710" w:type="dxa"/>
            <w:tcBorders/>
            <w:vAlign w:val="center"/>
          </w:tcPr>
          <w:p>
            <w:pPr>
              <w:pStyle w:val="TableContents"/>
              <w:bidi w:val="0"/>
              <w:spacing w:before="0" w:after="0"/>
              <w:jc w:val="center"/>
              <w:rPr/>
            </w:pPr>
            <w:r>
              <w:rPr/>
              <w:t>2020</w:t>
            </w:r>
          </w:p>
        </w:tc>
        <w:tc>
          <w:tcPr>
            <w:tcW w:w="875" w:type="dxa"/>
            <w:tcBorders/>
            <w:vAlign w:val="center"/>
          </w:tcPr>
          <w:p>
            <w:pPr>
              <w:pStyle w:val="TableContents"/>
              <w:bidi w:val="0"/>
              <w:spacing w:before="0" w:after="0"/>
              <w:jc w:val="center"/>
              <w:rPr/>
            </w:pPr>
            <w:r>
              <w:rPr/>
              <w:t>195,331</w:t>
            </w:r>
          </w:p>
        </w:tc>
      </w:tr>
      <w:tr>
        <w:trPr/>
        <w:tc>
          <w:tcPr>
            <w:tcW w:w="710" w:type="dxa"/>
            <w:tcBorders/>
            <w:vAlign w:val="center"/>
          </w:tcPr>
          <w:p>
            <w:pPr>
              <w:pStyle w:val="TableContents"/>
              <w:bidi w:val="0"/>
              <w:spacing w:before="0" w:after="0"/>
              <w:jc w:val="center"/>
              <w:rPr/>
            </w:pPr>
            <w:r>
              <w:rPr/>
              <w:t>2021</w:t>
            </w:r>
          </w:p>
        </w:tc>
        <w:tc>
          <w:tcPr>
            <w:tcW w:w="875" w:type="dxa"/>
            <w:tcBorders/>
            <w:vAlign w:val="center"/>
          </w:tcPr>
          <w:p>
            <w:pPr>
              <w:pStyle w:val="TableContents"/>
              <w:bidi w:val="0"/>
              <w:spacing w:before="0" w:after="0"/>
              <w:jc w:val="center"/>
              <w:rPr/>
            </w:pPr>
            <w:r>
              <w:rPr/>
              <w:t>230,432</w:t>
            </w:r>
          </w:p>
        </w:tc>
      </w:tr>
      <w:tr>
        <w:trPr/>
        <w:tc>
          <w:tcPr>
            <w:tcW w:w="710" w:type="dxa"/>
            <w:tcBorders/>
            <w:vAlign w:val="center"/>
          </w:tcPr>
          <w:p>
            <w:pPr>
              <w:pStyle w:val="TableContents"/>
              <w:bidi w:val="0"/>
              <w:spacing w:before="0" w:after="0"/>
              <w:jc w:val="center"/>
              <w:rPr/>
            </w:pPr>
            <w:r>
              <w:rPr/>
              <w:t>2022</w:t>
            </w:r>
          </w:p>
        </w:tc>
        <w:tc>
          <w:tcPr>
            <w:tcW w:w="875" w:type="dxa"/>
            <w:tcBorders/>
            <w:vAlign w:val="center"/>
          </w:tcPr>
          <w:p>
            <w:pPr>
              <w:pStyle w:val="TableContents"/>
              <w:bidi w:val="0"/>
              <w:spacing w:before="0" w:after="0"/>
              <w:jc w:val="center"/>
              <w:rPr/>
            </w:pPr>
            <w:r>
              <w:rPr/>
              <w:t>268,874</w:t>
            </w:r>
          </w:p>
        </w:tc>
      </w:tr>
      <w:tr>
        <w:trPr/>
        <w:tc>
          <w:tcPr>
            <w:tcW w:w="710" w:type="dxa"/>
            <w:tcBorders/>
            <w:vAlign w:val="center"/>
          </w:tcPr>
          <w:p>
            <w:pPr>
              <w:pStyle w:val="TableContents"/>
              <w:bidi w:val="0"/>
              <w:spacing w:before="0" w:after="0"/>
              <w:jc w:val="center"/>
              <w:rPr/>
            </w:pPr>
            <w:r>
              <w:rPr/>
              <w:t>2023</w:t>
            </w:r>
          </w:p>
        </w:tc>
        <w:tc>
          <w:tcPr>
            <w:tcW w:w="875" w:type="dxa"/>
            <w:tcBorders/>
            <w:vAlign w:val="center"/>
          </w:tcPr>
          <w:p>
            <w:pPr>
              <w:pStyle w:val="TableContents"/>
              <w:bidi w:val="0"/>
              <w:spacing w:before="0" w:after="0"/>
              <w:jc w:val="center"/>
              <w:rPr/>
            </w:pPr>
            <w:r>
              <w:rPr/>
              <w:t>310,985</w:t>
            </w:r>
          </w:p>
        </w:tc>
      </w:tr>
      <w:tr>
        <w:trPr/>
        <w:tc>
          <w:tcPr>
            <w:tcW w:w="710" w:type="dxa"/>
            <w:tcBorders/>
            <w:vAlign w:val="center"/>
          </w:tcPr>
          <w:p>
            <w:pPr>
              <w:pStyle w:val="TableContents"/>
              <w:bidi w:val="0"/>
              <w:spacing w:before="0" w:after="0"/>
              <w:jc w:val="center"/>
              <w:rPr/>
            </w:pPr>
            <w:r>
              <w:rPr/>
              <w:t>2024</w:t>
            </w:r>
          </w:p>
        </w:tc>
        <w:tc>
          <w:tcPr>
            <w:tcW w:w="875" w:type="dxa"/>
            <w:tcBorders/>
            <w:vAlign w:val="center"/>
          </w:tcPr>
          <w:p>
            <w:pPr>
              <w:pStyle w:val="TableContents"/>
              <w:bidi w:val="0"/>
              <w:spacing w:before="0" w:after="0"/>
              <w:jc w:val="center"/>
              <w:rPr/>
            </w:pPr>
            <w:r>
              <w:rPr/>
              <w:t>357,124</w:t>
            </w:r>
          </w:p>
        </w:tc>
      </w:tr>
      <w:tr>
        <w:trPr/>
        <w:tc>
          <w:tcPr>
            <w:tcW w:w="710" w:type="dxa"/>
            <w:tcBorders/>
            <w:vAlign w:val="center"/>
          </w:tcPr>
          <w:p>
            <w:pPr>
              <w:pStyle w:val="TableContents"/>
              <w:bidi w:val="0"/>
              <w:spacing w:before="0" w:after="0"/>
              <w:jc w:val="center"/>
              <w:rPr/>
            </w:pPr>
            <w:r>
              <w:rPr/>
              <w:t>2025</w:t>
            </w:r>
          </w:p>
        </w:tc>
        <w:tc>
          <w:tcPr>
            <w:tcW w:w="875" w:type="dxa"/>
            <w:tcBorders/>
            <w:vAlign w:val="center"/>
          </w:tcPr>
          <w:p>
            <w:pPr>
              <w:pStyle w:val="TableContents"/>
              <w:bidi w:val="0"/>
              <w:spacing w:before="0" w:after="0"/>
              <w:jc w:val="center"/>
              <w:rPr/>
            </w:pPr>
            <w:r>
              <w:rPr/>
              <w:t>407,682</w:t>
            </w:r>
          </w:p>
        </w:tc>
      </w:tr>
      <w:tr>
        <w:trPr/>
        <w:tc>
          <w:tcPr>
            <w:tcW w:w="710" w:type="dxa"/>
            <w:tcBorders/>
            <w:vAlign w:val="center"/>
          </w:tcPr>
          <w:p>
            <w:pPr>
              <w:pStyle w:val="TableContents"/>
              <w:bidi w:val="0"/>
              <w:spacing w:before="0" w:after="0"/>
              <w:jc w:val="center"/>
              <w:rPr/>
            </w:pPr>
            <w:r>
              <w:rPr/>
              <w:t>2026</w:t>
            </w:r>
          </w:p>
        </w:tc>
        <w:tc>
          <w:tcPr>
            <w:tcW w:w="875" w:type="dxa"/>
            <w:tcBorders/>
            <w:vAlign w:val="center"/>
          </w:tcPr>
          <w:p>
            <w:pPr>
              <w:pStyle w:val="TableContents"/>
              <w:bidi w:val="0"/>
              <w:spacing w:before="0" w:after="0"/>
              <w:jc w:val="center"/>
              <w:rPr/>
            </w:pPr>
            <w:r>
              <w:rPr/>
              <w:t>463,085</w:t>
            </w:r>
          </w:p>
        </w:tc>
      </w:tr>
      <w:tr>
        <w:trPr/>
        <w:tc>
          <w:tcPr>
            <w:tcW w:w="710" w:type="dxa"/>
            <w:tcBorders/>
            <w:vAlign w:val="center"/>
          </w:tcPr>
          <w:p>
            <w:pPr>
              <w:pStyle w:val="TableContents"/>
              <w:bidi w:val="0"/>
              <w:spacing w:before="0" w:after="0"/>
              <w:jc w:val="center"/>
              <w:rPr/>
            </w:pPr>
            <w:r>
              <w:rPr/>
              <w:t>2027</w:t>
            </w:r>
          </w:p>
        </w:tc>
        <w:tc>
          <w:tcPr>
            <w:tcW w:w="875" w:type="dxa"/>
            <w:tcBorders/>
            <w:vAlign w:val="center"/>
          </w:tcPr>
          <w:p>
            <w:pPr>
              <w:pStyle w:val="TableContents"/>
              <w:bidi w:val="0"/>
              <w:spacing w:before="0" w:after="0"/>
              <w:jc w:val="center"/>
              <w:rPr/>
            </w:pPr>
            <w:r>
              <w:rPr/>
              <w:t>523,799</w:t>
            </w:r>
          </w:p>
        </w:tc>
      </w:tr>
      <w:tr>
        <w:trPr/>
        <w:tc>
          <w:tcPr>
            <w:tcW w:w="710" w:type="dxa"/>
            <w:tcBorders/>
            <w:vAlign w:val="center"/>
          </w:tcPr>
          <w:p>
            <w:pPr>
              <w:pStyle w:val="TableContents"/>
              <w:bidi w:val="0"/>
              <w:spacing w:before="0" w:after="0"/>
              <w:jc w:val="center"/>
              <w:rPr/>
            </w:pPr>
            <w:r>
              <w:rPr/>
              <w:t>2028</w:t>
            </w:r>
          </w:p>
        </w:tc>
        <w:tc>
          <w:tcPr>
            <w:tcW w:w="875" w:type="dxa"/>
            <w:tcBorders/>
            <w:vAlign w:val="center"/>
          </w:tcPr>
          <w:p>
            <w:pPr>
              <w:pStyle w:val="TableContents"/>
              <w:bidi w:val="0"/>
              <w:spacing w:before="0" w:after="0"/>
              <w:jc w:val="center"/>
              <w:rPr/>
            </w:pPr>
            <w:r>
              <w:rPr/>
              <w:t>590,334</w:t>
            </w:r>
          </w:p>
        </w:tc>
      </w:tr>
      <w:tr>
        <w:trPr/>
        <w:tc>
          <w:tcPr>
            <w:tcW w:w="710" w:type="dxa"/>
            <w:tcBorders/>
            <w:vAlign w:val="center"/>
          </w:tcPr>
          <w:p>
            <w:pPr>
              <w:pStyle w:val="TableContents"/>
              <w:bidi w:val="0"/>
              <w:spacing w:before="0" w:after="0"/>
              <w:jc w:val="center"/>
              <w:rPr/>
            </w:pPr>
            <w:r>
              <w:rPr/>
              <w:t>2029</w:t>
            </w:r>
          </w:p>
        </w:tc>
        <w:tc>
          <w:tcPr>
            <w:tcW w:w="875" w:type="dxa"/>
            <w:tcBorders/>
            <w:vAlign w:val="center"/>
          </w:tcPr>
          <w:p>
            <w:pPr>
              <w:pStyle w:val="TableContents"/>
              <w:bidi w:val="0"/>
              <w:spacing w:before="0" w:after="0"/>
              <w:jc w:val="center"/>
              <w:rPr/>
            </w:pPr>
            <w:r>
              <w:rPr/>
              <w:t>580,860</w:t>
            </w:r>
          </w:p>
        </w:tc>
      </w:tr>
      <w:tr>
        <w:trPr/>
        <w:tc>
          <w:tcPr>
            <w:tcW w:w="710" w:type="dxa"/>
            <w:tcBorders/>
            <w:vAlign w:val="center"/>
          </w:tcPr>
          <w:p>
            <w:pPr>
              <w:pStyle w:val="TableContents"/>
              <w:bidi w:val="0"/>
              <w:spacing w:before="0" w:after="0"/>
              <w:jc w:val="center"/>
              <w:rPr/>
            </w:pPr>
            <w:r>
              <w:rPr/>
              <w:t>2030</w:t>
            </w:r>
          </w:p>
        </w:tc>
        <w:tc>
          <w:tcPr>
            <w:tcW w:w="875" w:type="dxa"/>
            <w:tcBorders/>
            <w:vAlign w:val="center"/>
          </w:tcPr>
          <w:p>
            <w:pPr>
              <w:pStyle w:val="TableContents"/>
              <w:bidi w:val="0"/>
              <w:spacing w:before="0" w:after="0"/>
              <w:jc w:val="center"/>
              <w:rPr/>
            </w:pPr>
            <w:r>
              <w:rPr/>
              <w:t>570,674</w:t>
            </w:r>
          </w:p>
        </w:tc>
      </w:tr>
      <w:tr>
        <w:trPr/>
        <w:tc>
          <w:tcPr>
            <w:tcW w:w="710" w:type="dxa"/>
            <w:tcBorders/>
            <w:vAlign w:val="center"/>
          </w:tcPr>
          <w:p>
            <w:pPr>
              <w:pStyle w:val="TableContents"/>
              <w:bidi w:val="0"/>
              <w:spacing w:before="0" w:after="0"/>
              <w:jc w:val="center"/>
              <w:rPr/>
            </w:pPr>
            <w:r>
              <w:rPr/>
              <w:t>2031</w:t>
            </w:r>
          </w:p>
        </w:tc>
        <w:tc>
          <w:tcPr>
            <w:tcW w:w="875" w:type="dxa"/>
            <w:tcBorders/>
            <w:vAlign w:val="center"/>
          </w:tcPr>
          <w:p>
            <w:pPr>
              <w:pStyle w:val="TableContents"/>
              <w:bidi w:val="0"/>
              <w:spacing w:before="0" w:after="0"/>
              <w:jc w:val="center"/>
              <w:rPr/>
            </w:pPr>
            <w:r>
              <w:rPr/>
              <w:t>559,725</w:t>
            </w:r>
          </w:p>
        </w:tc>
      </w:tr>
      <w:tr>
        <w:trPr/>
        <w:tc>
          <w:tcPr>
            <w:tcW w:w="710" w:type="dxa"/>
            <w:tcBorders/>
            <w:vAlign w:val="center"/>
          </w:tcPr>
          <w:p>
            <w:pPr>
              <w:pStyle w:val="TableContents"/>
              <w:bidi w:val="0"/>
              <w:spacing w:before="0" w:after="0"/>
              <w:jc w:val="center"/>
              <w:rPr/>
            </w:pPr>
            <w:r>
              <w:rPr/>
              <w:t>2032</w:t>
            </w:r>
          </w:p>
        </w:tc>
        <w:tc>
          <w:tcPr>
            <w:tcW w:w="875" w:type="dxa"/>
            <w:tcBorders/>
            <w:vAlign w:val="center"/>
          </w:tcPr>
          <w:p>
            <w:pPr>
              <w:pStyle w:val="TableContents"/>
              <w:bidi w:val="0"/>
              <w:spacing w:before="0" w:after="0"/>
              <w:jc w:val="center"/>
              <w:rPr/>
            </w:pPr>
            <w:r>
              <w:rPr/>
              <w:t>547,954</w:t>
            </w:r>
          </w:p>
        </w:tc>
      </w:tr>
      <w:tr>
        <w:trPr/>
        <w:tc>
          <w:tcPr>
            <w:tcW w:w="710" w:type="dxa"/>
            <w:tcBorders/>
            <w:vAlign w:val="center"/>
          </w:tcPr>
          <w:p>
            <w:pPr>
              <w:pStyle w:val="TableContents"/>
              <w:bidi w:val="0"/>
              <w:spacing w:before="0" w:after="0"/>
              <w:jc w:val="center"/>
              <w:rPr/>
            </w:pPr>
            <w:r>
              <w:rPr/>
              <w:t>2033</w:t>
            </w:r>
          </w:p>
        </w:tc>
        <w:tc>
          <w:tcPr>
            <w:tcW w:w="875" w:type="dxa"/>
            <w:tcBorders/>
            <w:vAlign w:val="center"/>
          </w:tcPr>
          <w:p>
            <w:pPr>
              <w:pStyle w:val="TableContents"/>
              <w:bidi w:val="0"/>
              <w:spacing w:before="0" w:after="0"/>
              <w:jc w:val="center"/>
              <w:rPr/>
            </w:pPr>
            <w:r>
              <w:rPr/>
              <w:t>535,300</w:t>
            </w:r>
          </w:p>
        </w:tc>
      </w:tr>
      <w:tr>
        <w:trPr/>
        <w:tc>
          <w:tcPr>
            <w:tcW w:w="710" w:type="dxa"/>
            <w:tcBorders/>
            <w:vAlign w:val="center"/>
          </w:tcPr>
          <w:p>
            <w:pPr>
              <w:pStyle w:val="TableContents"/>
              <w:bidi w:val="0"/>
              <w:spacing w:before="0" w:after="0"/>
              <w:jc w:val="center"/>
              <w:rPr/>
            </w:pPr>
            <w:r>
              <w:rPr/>
              <w:t>2034</w:t>
            </w:r>
          </w:p>
        </w:tc>
        <w:tc>
          <w:tcPr>
            <w:tcW w:w="875" w:type="dxa"/>
            <w:tcBorders/>
            <w:vAlign w:val="center"/>
          </w:tcPr>
          <w:p>
            <w:pPr>
              <w:pStyle w:val="TableContents"/>
              <w:bidi w:val="0"/>
              <w:spacing w:before="0" w:after="0"/>
              <w:jc w:val="center"/>
              <w:rPr/>
            </w:pPr>
            <w:r>
              <w:rPr/>
              <w:t>521,698</w:t>
            </w:r>
          </w:p>
        </w:tc>
      </w:tr>
      <w:tr>
        <w:trPr/>
        <w:tc>
          <w:tcPr>
            <w:tcW w:w="710" w:type="dxa"/>
            <w:tcBorders/>
            <w:vAlign w:val="center"/>
          </w:tcPr>
          <w:p>
            <w:pPr>
              <w:pStyle w:val="TableContents"/>
              <w:bidi w:val="0"/>
              <w:spacing w:before="0" w:after="0"/>
              <w:jc w:val="center"/>
              <w:rPr/>
            </w:pPr>
            <w:r>
              <w:rPr/>
              <w:t>2035</w:t>
            </w:r>
          </w:p>
        </w:tc>
        <w:tc>
          <w:tcPr>
            <w:tcW w:w="875" w:type="dxa"/>
            <w:tcBorders/>
            <w:vAlign w:val="center"/>
          </w:tcPr>
          <w:p>
            <w:pPr>
              <w:pStyle w:val="TableContents"/>
              <w:bidi w:val="0"/>
              <w:spacing w:before="0" w:after="0"/>
              <w:jc w:val="center"/>
              <w:rPr/>
            </w:pPr>
            <w:r>
              <w:rPr/>
              <w:t>507,075</w:t>
            </w:r>
          </w:p>
        </w:tc>
      </w:tr>
      <w:tr>
        <w:trPr/>
        <w:tc>
          <w:tcPr>
            <w:tcW w:w="710" w:type="dxa"/>
            <w:tcBorders/>
            <w:vAlign w:val="center"/>
          </w:tcPr>
          <w:p>
            <w:pPr>
              <w:pStyle w:val="TableContents"/>
              <w:bidi w:val="0"/>
              <w:spacing w:before="0" w:after="0"/>
              <w:jc w:val="center"/>
              <w:rPr/>
            </w:pPr>
            <w:r>
              <w:rPr/>
              <w:t>2036</w:t>
            </w:r>
          </w:p>
        </w:tc>
        <w:tc>
          <w:tcPr>
            <w:tcW w:w="875" w:type="dxa"/>
            <w:tcBorders/>
            <w:vAlign w:val="center"/>
          </w:tcPr>
          <w:p>
            <w:pPr>
              <w:pStyle w:val="TableContents"/>
              <w:bidi w:val="0"/>
              <w:spacing w:before="0" w:after="0"/>
              <w:jc w:val="center"/>
              <w:rPr/>
            </w:pPr>
            <w:r>
              <w:rPr/>
              <w:t>491,356</w:t>
            </w:r>
          </w:p>
        </w:tc>
      </w:tr>
      <w:tr>
        <w:trPr/>
        <w:tc>
          <w:tcPr>
            <w:tcW w:w="710" w:type="dxa"/>
            <w:tcBorders/>
            <w:vAlign w:val="center"/>
          </w:tcPr>
          <w:p>
            <w:pPr>
              <w:pStyle w:val="TableContents"/>
              <w:bidi w:val="0"/>
              <w:spacing w:before="0" w:after="0"/>
              <w:jc w:val="center"/>
              <w:rPr/>
            </w:pPr>
            <w:r>
              <w:rPr/>
              <w:t>2037</w:t>
            </w:r>
          </w:p>
        </w:tc>
        <w:tc>
          <w:tcPr>
            <w:tcW w:w="875" w:type="dxa"/>
            <w:tcBorders/>
            <w:vAlign w:val="center"/>
          </w:tcPr>
          <w:p>
            <w:pPr>
              <w:pStyle w:val="TableContents"/>
              <w:bidi w:val="0"/>
              <w:spacing w:before="0" w:after="0"/>
              <w:jc w:val="center"/>
              <w:rPr/>
            </w:pPr>
            <w:r>
              <w:rPr/>
              <w:t>474,458</w:t>
            </w:r>
          </w:p>
        </w:tc>
      </w:tr>
      <w:tr>
        <w:trPr/>
        <w:tc>
          <w:tcPr>
            <w:tcW w:w="710" w:type="dxa"/>
            <w:tcBorders/>
            <w:vAlign w:val="center"/>
          </w:tcPr>
          <w:p>
            <w:pPr>
              <w:pStyle w:val="TableContents"/>
              <w:bidi w:val="0"/>
              <w:spacing w:before="0" w:after="0"/>
              <w:jc w:val="center"/>
              <w:rPr/>
            </w:pPr>
            <w:r>
              <w:rPr/>
              <w:t>2038</w:t>
            </w:r>
          </w:p>
        </w:tc>
        <w:tc>
          <w:tcPr>
            <w:tcW w:w="875" w:type="dxa"/>
            <w:tcBorders/>
            <w:vAlign w:val="center"/>
          </w:tcPr>
          <w:p>
            <w:pPr>
              <w:pStyle w:val="TableContents"/>
              <w:bidi w:val="0"/>
              <w:spacing w:before="0" w:after="0"/>
              <w:jc w:val="center"/>
              <w:rPr/>
            </w:pPr>
            <w:r>
              <w:rPr/>
              <w:t>456,292</w:t>
            </w:r>
          </w:p>
        </w:tc>
      </w:tr>
      <w:tr>
        <w:trPr/>
        <w:tc>
          <w:tcPr>
            <w:tcW w:w="710" w:type="dxa"/>
            <w:tcBorders/>
            <w:vAlign w:val="center"/>
          </w:tcPr>
          <w:p>
            <w:pPr>
              <w:pStyle w:val="TableContents"/>
              <w:bidi w:val="0"/>
              <w:spacing w:before="0" w:after="0"/>
              <w:jc w:val="center"/>
              <w:rPr/>
            </w:pPr>
            <w:r>
              <w:rPr/>
              <w:t>2039</w:t>
            </w:r>
          </w:p>
        </w:tc>
        <w:tc>
          <w:tcPr>
            <w:tcW w:w="875" w:type="dxa"/>
            <w:tcBorders/>
            <w:vAlign w:val="center"/>
          </w:tcPr>
          <w:p>
            <w:pPr>
              <w:pStyle w:val="TableContents"/>
              <w:bidi w:val="0"/>
              <w:spacing w:before="0" w:after="0"/>
              <w:jc w:val="center"/>
              <w:rPr/>
            </w:pPr>
            <w:r>
              <w:rPr/>
              <w:t>436,764</w:t>
            </w:r>
          </w:p>
        </w:tc>
      </w:tr>
      <w:tr>
        <w:trPr/>
        <w:tc>
          <w:tcPr>
            <w:tcW w:w="710" w:type="dxa"/>
            <w:tcBorders/>
            <w:vAlign w:val="center"/>
          </w:tcPr>
          <w:p>
            <w:pPr>
              <w:pStyle w:val="TableContents"/>
              <w:bidi w:val="0"/>
              <w:spacing w:before="0" w:after="0"/>
              <w:jc w:val="center"/>
              <w:rPr/>
            </w:pPr>
            <w:r>
              <w:rPr/>
              <w:t>2040</w:t>
            </w:r>
          </w:p>
        </w:tc>
        <w:tc>
          <w:tcPr>
            <w:tcW w:w="875" w:type="dxa"/>
            <w:tcBorders/>
            <w:vAlign w:val="center"/>
          </w:tcPr>
          <w:p>
            <w:pPr>
              <w:pStyle w:val="TableContents"/>
              <w:bidi w:val="0"/>
              <w:spacing w:before="0" w:after="0"/>
              <w:jc w:val="center"/>
              <w:rPr/>
            </w:pPr>
            <w:r>
              <w:rPr/>
              <w:t>415,771</w:t>
            </w:r>
          </w:p>
        </w:tc>
      </w:tr>
      <w:tr>
        <w:trPr/>
        <w:tc>
          <w:tcPr>
            <w:tcW w:w="710" w:type="dxa"/>
            <w:tcBorders/>
            <w:vAlign w:val="center"/>
          </w:tcPr>
          <w:p>
            <w:pPr>
              <w:pStyle w:val="TableContents"/>
              <w:bidi w:val="0"/>
              <w:spacing w:before="0" w:after="0"/>
              <w:jc w:val="center"/>
              <w:rPr/>
            </w:pPr>
            <w:r>
              <w:rPr/>
              <w:t>2041</w:t>
            </w:r>
          </w:p>
        </w:tc>
        <w:tc>
          <w:tcPr>
            <w:tcW w:w="875" w:type="dxa"/>
            <w:tcBorders/>
            <w:vAlign w:val="center"/>
          </w:tcPr>
          <w:p>
            <w:pPr>
              <w:pStyle w:val="TableContents"/>
              <w:bidi w:val="0"/>
              <w:spacing w:before="0" w:after="0"/>
              <w:jc w:val="center"/>
              <w:rPr/>
            </w:pPr>
            <w:r>
              <w:rPr/>
              <w:t>393,204</w:t>
            </w:r>
          </w:p>
        </w:tc>
      </w:tr>
      <w:tr>
        <w:trPr/>
        <w:tc>
          <w:tcPr>
            <w:tcW w:w="710" w:type="dxa"/>
            <w:tcBorders/>
            <w:vAlign w:val="center"/>
          </w:tcPr>
          <w:p>
            <w:pPr>
              <w:pStyle w:val="TableContents"/>
              <w:bidi w:val="0"/>
              <w:spacing w:before="0" w:after="0"/>
              <w:jc w:val="center"/>
              <w:rPr/>
            </w:pPr>
            <w:r>
              <w:rPr/>
              <w:t>2042</w:t>
            </w:r>
          </w:p>
        </w:tc>
        <w:tc>
          <w:tcPr>
            <w:tcW w:w="875" w:type="dxa"/>
            <w:tcBorders/>
            <w:vAlign w:val="center"/>
          </w:tcPr>
          <w:p>
            <w:pPr>
              <w:pStyle w:val="TableContents"/>
              <w:bidi w:val="0"/>
              <w:spacing w:before="0" w:after="0"/>
              <w:jc w:val="center"/>
              <w:rPr/>
            </w:pPr>
            <w:r>
              <w:rPr/>
              <w:t>368,944</w:t>
            </w:r>
          </w:p>
        </w:tc>
      </w:tr>
      <w:tr>
        <w:trPr/>
        <w:tc>
          <w:tcPr>
            <w:tcW w:w="710" w:type="dxa"/>
            <w:tcBorders/>
            <w:vAlign w:val="center"/>
          </w:tcPr>
          <w:p>
            <w:pPr>
              <w:pStyle w:val="TableContents"/>
              <w:bidi w:val="0"/>
              <w:spacing w:before="0" w:after="0"/>
              <w:jc w:val="center"/>
              <w:rPr/>
            </w:pPr>
            <w:r>
              <w:rPr/>
              <w:t>2043</w:t>
            </w:r>
          </w:p>
        </w:tc>
        <w:tc>
          <w:tcPr>
            <w:tcW w:w="875" w:type="dxa"/>
            <w:tcBorders/>
            <w:vAlign w:val="center"/>
          </w:tcPr>
          <w:p>
            <w:pPr>
              <w:pStyle w:val="TableContents"/>
              <w:bidi w:val="0"/>
              <w:spacing w:before="0" w:after="0"/>
              <w:jc w:val="center"/>
              <w:rPr/>
            </w:pPr>
            <w:r>
              <w:rPr/>
              <w:t>342,865</w:t>
            </w:r>
          </w:p>
        </w:tc>
      </w:tr>
      <w:tr>
        <w:trPr/>
        <w:tc>
          <w:tcPr>
            <w:tcW w:w="710" w:type="dxa"/>
            <w:tcBorders/>
            <w:vAlign w:val="center"/>
          </w:tcPr>
          <w:p>
            <w:pPr>
              <w:pStyle w:val="TableContents"/>
              <w:bidi w:val="0"/>
              <w:spacing w:before="0" w:after="0"/>
              <w:jc w:val="center"/>
              <w:rPr/>
            </w:pPr>
            <w:r>
              <w:rPr/>
              <w:t>2044</w:t>
            </w:r>
          </w:p>
        </w:tc>
        <w:tc>
          <w:tcPr>
            <w:tcW w:w="875" w:type="dxa"/>
            <w:tcBorders/>
            <w:vAlign w:val="center"/>
          </w:tcPr>
          <w:p>
            <w:pPr>
              <w:pStyle w:val="TableContents"/>
              <w:bidi w:val="0"/>
              <w:spacing w:before="0" w:after="0"/>
              <w:jc w:val="center"/>
              <w:rPr/>
            </w:pPr>
            <w:r>
              <w:rPr/>
              <w:t>314,830</w:t>
            </w:r>
          </w:p>
        </w:tc>
      </w:tr>
      <w:tr>
        <w:trPr/>
        <w:tc>
          <w:tcPr>
            <w:tcW w:w="710" w:type="dxa"/>
            <w:tcBorders/>
            <w:vAlign w:val="center"/>
          </w:tcPr>
          <w:p>
            <w:pPr>
              <w:pStyle w:val="TableContents"/>
              <w:bidi w:val="0"/>
              <w:spacing w:before="0" w:after="0"/>
              <w:jc w:val="center"/>
              <w:rPr/>
            </w:pPr>
            <w:r>
              <w:rPr/>
              <w:t>2045</w:t>
            </w:r>
          </w:p>
        </w:tc>
        <w:tc>
          <w:tcPr>
            <w:tcW w:w="875" w:type="dxa"/>
            <w:tcBorders/>
            <w:vAlign w:val="center"/>
          </w:tcPr>
          <w:p>
            <w:pPr>
              <w:pStyle w:val="TableContents"/>
              <w:bidi w:val="0"/>
              <w:spacing w:before="0" w:after="0"/>
              <w:jc w:val="center"/>
              <w:rPr/>
            </w:pPr>
            <w:r>
              <w:rPr/>
              <w:t>284,692</w:t>
            </w:r>
          </w:p>
        </w:tc>
      </w:tr>
      <w:tr>
        <w:trPr/>
        <w:tc>
          <w:tcPr>
            <w:tcW w:w="710" w:type="dxa"/>
            <w:tcBorders/>
            <w:vAlign w:val="center"/>
          </w:tcPr>
          <w:p>
            <w:pPr>
              <w:pStyle w:val="TableContents"/>
              <w:bidi w:val="0"/>
              <w:spacing w:before="0" w:after="0"/>
              <w:jc w:val="center"/>
              <w:rPr/>
            </w:pPr>
            <w:r>
              <w:rPr/>
              <w:t>2046</w:t>
            </w:r>
          </w:p>
        </w:tc>
        <w:tc>
          <w:tcPr>
            <w:tcW w:w="875" w:type="dxa"/>
            <w:tcBorders/>
            <w:vAlign w:val="center"/>
          </w:tcPr>
          <w:p>
            <w:pPr>
              <w:pStyle w:val="TableContents"/>
              <w:bidi w:val="0"/>
              <w:spacing w:before="0" w:after="0"/>
              <w:jc w:val="center"/>
              <w:rPr/>
            </w:pPr>
            <w:r>
              <w:rPr/>
              <w:t>252,294</w:t>
            </w:r>
          </w:p>
        </w:tc>
      </w:tr>
      <w:tr>
        <w:trPr/>
        <w:tc>
          <w:tcPr>
            <w:tcW w:w="710" w:type="dxa"/>
            <w:tcBorders/>
            <w:vAlign w:val="center"/>
          </w:tcPr>
          <w:p>
            <w:pPr>
              <w:pStyle w:val="TableContents"/>
              <w:bidi w:val="0"/>
              <w:spacing w:before="0" w:after="0"/>
              <w:jc w:val="center"/>
              <w:rPr/>
            </w:pPr>
            <w:r>
              <w:rPr/>
              <w:t>2047</w:t>
            </w:r>
          </w:p>
        </w:tc>
        <w:tc>
          <w:tcPr>
            <w:tcW w:w="875" w:type="dxa"/>
            <w:tcBorders/>
            <w:vAlign w:val="center"/>
          </w:tcPr>
          <w:p>
            <w:pPr>
              <w:pStyle w:val="TableContents"/>
              <w:bidi w:val="0"/>
              <w:spacing w:before="0" w:after="0"/>
              <w:jc w:val="center"/>
              <w:rPr/>
            </w:pPr>
            <w:r>
              <w:rPr/>
              <w:t>217,466</w:t>
            </w:r>
          </w:p>
        </w:tc>
      </w:tr>
      <w:tr>
        <w:trPr/>
        <w:tc>
          <w:tcPr>
            <w:tcW w:w="710" w:type="dxa"/>
            <w:tcBorders/>
            <w:vAlign w:val="center"/>
          </w:tcPr>
          <w:p>
            <w:pPr>
              <w:pStyle w:val="TableContents"/>
              <w:bidi w:val="0"/>
              <w:spacing w:before="0" w:after="0"/>
              <w:jc w:val="center"/>
              <w:rPr/>
            </w:pPr>
            <w:r>
              <w:rPr/>
              <w:t>2048</w:t>
            </w:r>
          </w:p>
        </w:tc>
        <w:tc>
          <w:tcPr>
            <w:tcW w:w="875" w:type="dxa"/>
            <w:tcBorders/>
            <w:vAlign w:val="center"/>
          </w:tcPr>
          <w:p>
            <w:pPr>
              <w:pStyle w:val="TableContents"/>
              <w:bidi w:val="0"/>
              <w:spacing w:before="0" w:after="0"/>
              <w:jc w:val="center"/>
              <w:rPr/>
            </w:pPr>
            <w:r>
              <w:rPr/>
              <w:t>180,026</w:t>
            </w:r>
          </w:p>
        </w:tc>
      </w:tr>
      <w:tr>
        <w:trPr/>
        <w:tc>
          <w:tcPr>
            <w:tcW w:w="710" w:type="dxa"/>
            <w:tcBorders/>
            <w:vAlign w:val="center"/>
          </w:tcPr>
          <w:p>
            <w:pPr>
              <w:pStyle w:val="TableContents"/>
              <w:bidi w:val="0"/>
              <w:spacing w:before="0" w:after="0"/>
              <w:jc w:val="center"/>
              <w:rPr/>
            </w:pPr>
            <w:r>
              <w:rPr/>
              <w:t>2049</w:t>
            </w:r>
          </w:p>
        </w:tc>
        <w:tc>
          <w:tcPr>
            <w:tcW w:w="875" w:type="dxa"/>
            <w:tcBorders/>
            <w:vAlign w:val="center"/>
          </w:tcPr>
          <w:p>
            <w:pPr>
              <w:pStyle w:val="TableContents"/>
              <w:bidi w:val="0"/>
              <w:spacing w:before="0" w:after="0"/>
              <w:jc w:val="center"/>
              <w:rPr/>
            </w:pPr>
            <w:r>
              <w:rPr/>
              <w:t>139,778</w:t>
            </w:r>
          </w:p>
        </w:tc>
      </w:tr>
      <w:tr>
        <w:trPr/>
        <w:tc>
          <w:tcPr>
            <w:tcW w:w="710" w:type="dxa"/>
            <w:tcBorders/>
            <w:vAlign w:val="center"/>
          </w:tcPr>
          <w:p>
            <w:pPr>
              <w:pStyle w:val="TableContents"/>
              <w:bidi w:val="0"/>
              <w:spacing w:before="0" w:after="0"/>
              <w:jc w:val="center"/>
              <w:rPr/>
            </w:pPr>
            <w:r>
              <w:rPr/>
              <w:t>2050</w:t>
            </w:r>
          </w:p>
        </w:tc>
        <w:tc>
          <w:tcPr>
            <w:tcW w:w="875" w:type="dxa"/>
            <w:tcBorders/>
            <w:vAlign w:val="center"/>
          </w:tcPr>
          <w:p>
            <w:pPr>
              <w:pStyle w:val="TableContents"/>
              <w:bidi w:val="0"/>
              <w:spacing w:before="0" w:after="0"/>
              <w:jc w:val="center"/>
              <w:rPr/>
            </w:pPr>
            <w:r>
              <w:rPr/>
              <w:t>96,512</w:t>
            </w:r>
          </w:p>
        </w:tc>
      </w:tr>
      <w:tr>
        <w:trPr/>
        <w:tc>
          <w:tcPr>
            <w:tcW w:w="710" w:type="dxa"/>
            <w:tcBorders/>
            <w:vAlign w:val="center"/>
          </w:tcPr>
          <w:p>
            <w:pPr>
              <w:pStyle w:val="TableContents"/>
              <w:bidi w:val="0"/>
              <w:spacing w:before="0" w:after="0"/>
              <w:jc w:val="center"/>
              <w:rPr/>
            </w:pPr>
            <w:r>
              <w:rPr/>
              <w:t>2051</w:t>
            </w:r>
          </w:p>
        </w:tc>
        <w:tc>
          <w:tcPr>
            <w:tcW w:w="875" w:type="dxa"/>
            <w:tcBorders/>
            <w:vAlign w:val="center"/>
          </w:tcPr>
          <w:p>
            <w:pPr>
              <w:pStyle w:val="TableContents"/>
              <w:bidi w:val="0"/>
              <w:spacing w:before="0" w:after="0"/>
              <w:jc w:val="center"/>
              <w:rPr/>
            </w:pPr>
            <w:r>
              <w:rPr/>
              <w:t>50,000</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08" w:name="ef20015269_ex10-19.htm"/>
      <w:bookmarkStart w:id="209" w:name="ksef20015269_ex1019"/>
      <w:bookmarkStart w:id="210" w:name="ef20015269_ex10-19.htm"/>
      <w:bookmarkStart w:id="211" w:name="ksef20015269_ex1019"/>
      <w:bookmarkEnd w:id="210"/>
      <w:bookmarkEnd w:id="2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10.19</w:t>
      </w:r>
    </w:p>
    <w:p>
      <w:pPr>
        <w:pStyle w:val="TextBody"/>
        <w:bidi w:val="0"/>
        <w:spacing w:before="0" w:after="0"/>
        <w:jc w:val="left"/>
        <w:rPr/>
      </w:pPr>
      <w:r>
        <w:rPr/>
      </w:r>
    </w:p>
    <w:p>
      <w:pPr>
        <w:pStyle w:val="TextBody"/>
        <w:bidi w:val="0"/>
        <w:spacing w:before="0" w:after="0"/>
        <w:ind w:left="1467" w:right="1469" w:hanging="0"/>
        <w:jc w:val="center"/>
        <w:rPr>
          <w:rFonts w:ascii="Times New Roman" w:hAnsi="Times New Roman"/>
          <w:color w:val="000000"/>
          <w:sz w:val="20"/>
        </w:rPr>
      </w:pPr>
      <w:r>
        <w:rPr>
          <w:rFonts w:ascii="Times New Roman" w:hAnsi="Times New Roman"/>
          <w:color w:val="000000"/>
          <w:sz w:val="20"/>
        </w:rPr>
        <w:t>SECOND AMENDMENT TO STEVEN CROCKETT DEFERRED</w:t>
      </w:r>
    </w:p>
    <w:p>
      <w:pPr>
        <w:pStyle w:val="TextBody"/>
        <w:bidi w:val="0"/>
        <w:spacing w:before="0" w:after="0"/>
        <w:ind w:left="1467" w:right="1469" w:hanging="0"/>
        <w:jc w:val="center"/>
        <w:rPr>
          <w:rFonts w:ascii="Times New Roman" w:hAnsi="Times New Roman"/>
          <w:color w:val="000000"/>
          <w:sz w:val="20"/>
        </w:rPr>
      </w:pPr>
      <w:r>
        <w:rPr>
          <w:rFonts w:ascii="Times New Roman" w:hAnsi="Times New Roman"/>
          <w:color w:val="000000"/>
          <w:sz w:val="20"/>
        </w:rPr>
        <w:t>COMPENSATION PLAN ADOPTION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amendment to the STEVEN CROCKETT DEFERRED COMPENSATION PLAN ADOPTION AGREEMENT (the “Amendment”) is made and adopted this 15th day of March, 2024, by CITY BANK, TEXAS (“Employer”) and STEVEN CROCKETT (“Participant”).</w:t>
      </w:r>
    </w:p>
    <w:p>
      <w:pPr>
        <w:pStyle w:val="TextBody"/>
        <w:bidi w:val="0"/>
        <w:spacing w:before="0" w:after="0"/>
        <w:jc w:val="left"/>
        <w:rPr/>
      </w:pPr>
      <w:r>
        <w:rPr/>
      </w:r>
    </w:p>
    <w:p>
      <w:pPr>
        <w:pStyle w:val="TextBody"/>
        <w:bidi w:val="0"/>
        <w:spacing w:before="0" w:after="0"/>
        <w:ind w:left="1467" w:right="1468" w:hanging="0"/>
        <w:jc w:val="center"/>
        <w:rPr>
          <w:rFonts w:ascii="Times New Roman" w:hAnsi="Times New Roman"/>
          <w:color w:val="000000"/>
          <w:sz w:val="20"/>
        </w:rPr>
      </w:pPr>
      <w:r>
        <w:rPr>
          <w:rFonts w:ascii="Times New Roman" w:hAnsi="Times New Roman"/>
          <w:color w:val="000000"/>
          <w:sz w:val="20"/>
        </w:rPr>
        <w:t>WITNESSETH:</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Employer and Participant have heretofore entered into, adopted, and maintained the Steven Crockett Deferred Compensation Plan Adoption Agreement (the “Adoption Agreement”); and</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Employer and Participant now desire to amend the Adoption Agreement as set forth herein.</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to carry such Amendment into effect, the Adoption Agreement and all instruments thereof heretofore executed are hereby amended effective immediately as follows:</w:t>
      </w:r>
    </w:p>
    <w:p>
      <w:pPr>
        <w:pStyle w:val="TextBody"/>
        <w:bidi w:val="0"/>
        <w:spacing w:before="0" w:after="0"/>
        <w:ind w:left="0" w:right="0" w:firstLine="720"/>
        <w:jc w:val="left"/>
        <w:rPr>
          <w:color w:val="000000"/>
        </w:rPr>
      </w:pPr>
      <w:r>
        <w:rPr>
          <w:color w:val="000000"/>
        </w:rPr>
        <w:t> </w:t>
      </w:r>
    </w:p>
    <w:p>
      <w:pPr>
        <w:pStyle w:val="TextBody"/>
        <w:bidi w:val="0"/>
        <w:spacing w:before="0" w:after="0"/>
        <w:ind w:left="1464" w:right="1469" w:hanging="0"/>
        <w:jc w:val="center"/>
        <w:rPr>
          <w:rFonts w:ascii="Times New Roman" w:hAnsi="Times New Roman"/>
          <w:color w:val="000000"/>
          <w:sz w:val="20"/>
        </w:rPr>
      </w:pPr>
      <w:r>
        <w:rPr>
          <w:rFonts w:ascii="Times New Roman" w:hAnsi="Times New Roman"/>
          <w:color w:val="000000"/>
          <w:sz w:val="20"/>
        </w:rPr>
        <w:t>I.</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3.01(c)(ii) shall be amended to read as follows: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3.01(c)(ii) Death.  If Participant dies, Participant’s Benefit is forfeited, except as specified in Section 4.01(b) and (c).</w:t>
      </w:r>
    </w:p>
    <w:p>
      <w:pPr>
        <w:pStyle w:val="TextBody"/>
        <w:bidi w:val="0"/>
        <w:spacing w:before="0" w:after="0"/>
        <w:jc w:val="left"/>
        <w:rPr/>
      </w:pPr>
      <w:r>
        <w:rPr/>
      </w:r>
    </w:p>
    <w:p>
      <w:pPr>
        <w:pStyle w:val="TextBody"/>
        <w:bidi w:val="0"/>
        <w:spacing w:before="0" w:after="0"/>
        <w:ind w:left="1464" w:right="1469" w:hanging="0"/>
        <w:jc w:val="center"/>
        <w:rPr>
          <w:rFonts w:ascii="Times New Roman" w:hAnsi="Times New Roman"/>
          <w:color w:val="000000"/>
          <w:sz w:val="20"/>
        </w:rPr>
      </w:pPr>
      <w:r>
        <w:rPr>
          <w:rFonts w:ascii="Times New Roman" w:hAnsi="Times New Roman"/>
          <w:color w:val="000000"/>
          <w:sz w:val="20"/>
        </w:rPr>
        <w:t>II.</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Section 4.01 shall be amended to read as follows:</w:t>
      </w:r>
    </w:p>
    <w:p>
      <w:pPr>
        <w:pStyle w:val="TextBody"/>
        <w:bidi w:val="0"/>
        <w:spacing w:before="0" w:after="0"/>
        <w:ind w:left="720" w:right="0" w:hanging="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4.01   Participant’s Benefit shall be either (a) or (b) based on the earliest payment event to occur: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2" w:name="zfacb3cd9a25348f182cc93bdf2d11f42"/>
      <w:bookmarkStart w:id="213" w:name="zfacb3cd9a25348f182cc93bdf2d11f42"/>
      <w:bookmarkEnd w:id="213"/>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both"/>
              <w:rPr/>
            </w:pPr>
            <w:r>
              <w:rPr/>
              <w:t>☒</w:t>
            </w:r>
          </w:p>
          <w:p>
            <w:pPr>
              <w:pStyle w:val="TableContents"/>
              <w:bidi w:val="0"/>
              <w:spacing w:before="0" w:after="0"/>
              <w:jc w:val="left"/>
              <w:rPr/>
            </w:pPr>
            <w:r>
              <w:rPr/>
            </w:r>
          </w:p>
        </w:tc>
        <w:tc>
          <w:tcPr>
            <w:tcW w:w="9975" w:type="dxa"/>
            <w:tcBorders/>
            <w:vAlign w:val="center"/>
          </w:tcPr>
          <w:p>
            <w:pPr>
              <w:pStyle w:val="TableContents"/>
              <w:bidi w:val="0"/>
              <w:spacing w:before="0" w:after="283"/>
              <w:jc w:val="left"/>
              <w:rPr/>
            </w:pPr>
            <w:r>
              <w:rPr/>
              <w:t xml:space="preserve">(a)     </w:t>
            </w:r>
            <w:r>
              <w:rPr>
                <w:b/>
              </w:rPr>
              <w:t xml:space="preserve">Retirement Benefit.  </w:t>
            </w:r>
            <w:r>
              <w:rPr/>
              <w:t>If Participant has not Separated from Service with Employer and has attained Normal Retirement Age, the Employer shall pay to Participant: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4" w:name="z046ed56e96b64e74b753ceea8f662a21"/>
      <w:bookmarkStart w:id="215" w:name="z046ed56e96b64e74b753ceea8f662a21"/>
      <w:bookmarkEnd w:id="215"/>
    </w:p>
    <w:tbl>
      <w:tblPr>
        <w:tblW w:w="5388" w:type="dxa"/>
        <w:jc w:val="left"/>
        <w:tblInd w:w="0" w:type="dxa"/>
        <w:tblLayout w:type="fixed"/>
        <w:tblCellMar>
          <w:top w:w="0" w:type="dxa"/>
          <w:left w:w="0" w:type="dxa"/>
          <w:bottom w:w="0" w:type="dxa"/>
          <w:right w:w="0" w:type="dxa"/>
        </w:tblCellMar>
      </w:tblPr>
      <w:tblGrid>
        <w:gridCol w:w="38"/>
        <w:gridCol w:w="230"/>
        <w:gridCol w:w="512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w:t>
            </w:r>
          </w:p>
        </w:tc>
        <w:tc>
          <w:tcPr>
            <w:tcW w:w="5120" w:type="dxa"/>
            <w:tcBorders/>
            <w:vAlign w:val="center"/>
          </w:tcPr>
          <w:p>
            <w:pPr>
              <w:pStyle w:val="TableContents"/>
              <w:bidi w:val="0"/>
              <w:spacing w:before="0" w:after="0"/>
              <w:jc w:val="both"/>
              <w:rPr/>
            </w:pPr>
            <w:r>
              <w:rPr/>
              <w:t>Annual payments each in the amount of $100,000.00.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6" w:name="z91a5118c31d2450390b71b2c53770692"/>
      <w:bookmarkStart w:id="217" w:name="z91a5118c31d2450390b71b2c53770692"/>
      <w:bookmarkEnd w:id="217"/>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0"/>
              <w:jc w:val="both"/>
              <w:rPr/>
            </w:pPr>
            <w:r>
              <w:rPr/>
              <w:t>Commencing upon the first day of the second month following Participant’s attainment of Normal Retirement Age and thereafter annually on each successive anniversary of the first payment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8" w:name="zc05589b8658645849f0190a6b2b306ca"/>
      <w:bookmarkStart w:id="219" w:name="zc05589b8658645849f0190a6b2b306ca"/>
      <w:bookmarkEnd w:id="219"/>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both"/>
              <w:rPr/>
            </w:pPr>
            <w:r>
              <w:rPr/>
              <w:t>At Participant’s death after payments have begun, the Plan shall terminate and all benefits shall cease and be forfeited, including any future benefits or vested benefits.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0" w:name="z94ef8aa8a4364e409a794853c1908eae"/>
      <w:bookmarkStart w:id="221" w:name="z94ef8aa8a4364e409a794853c1908eae"/>
      <w:bookmarkEnd w:id="221"/>
    </w:p>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both"/>
              <w:rPr>
                <w:b/>
              </w:rPr>
            </w:pPr>
            <w:r>
              <w:rPr>
                <w:b/>
              </w:rPr>
              <w:t>(b)     Separation from Service Benefit.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2" w:name="z0bee847b4c3a4a7eba061eab46669ea8"/>
      <w:bookmarkStart w:id="223" w:name="z0bee847b4c3a4a7eba061eab46669ea8"/>
      <w:bookmarkEnd w:id="223"/>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0"/>
              <w:jc w:val="both"/>
              <w:rPr/>
            </w:pPr>
            <w:r>
              <w:rPr/>
              <w:t>Except as provided in (ii), if Participant Separates from Service with the Employer for any reason other than Disability or Discharge for Cause prior to attaining Normal Retirement Age, Employer shall pay to Participant: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4" w:name="z6ce4a89670d54e84b8f68f41a8dd6282"/>
      <w:bookmarkStart w:id="225" w:name="z6ce4a89670d54e84b8f68f41a8dd6282"/>
      <w:bookmarkEnd w:id="225"/>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A lump sum amount equal to the Benefit Liability Balance as of the end of the year preceding the year in which the Participant Separated from Service multiplied by Participant’s Vested Percentage.  The schedule of the “Benefit Liability Balances” are set forth on Exhibit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6" w:name="z5c2036d7c2724306b07edfbd73a7058d"/>
      <w:bookmarkStart w:id="227" w:name="z5c2036d7c2724306b07edfbd73a7058d"/>
      <w:bookmarkEnd w:id="227"/>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On the first day of the twenty-fourth month following Participant’s Separation from Service from the Employer.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8" w:name="z00e87a17bea747a68d585f8ed05adae4"/>
      <w:bookmarkStart w:id="229" w:name="z00e87a17bea747a68d585f8ed05adae4"/>
      <w:bookmarkEnd w:id="229"/>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pPr>
            <w:r>
              <w:rPr/>
              <w:t>If Participant dies before the payment is made, the payment shall be made to Participant’s Beneficiary on the first day of the second month following Participant’s death.</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30" w:name="z46924b2c675c4afd99d484ded23a6573"/>
      <w:bookmarkStart w:id="231" w:name="z46924b2c675c4afd99d484ded23a6573"/>
      <w:bookmarkEnd w:id="231"/>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0"/>
              <w:jc w:val="both"/>
              <w:rPr/>
            </w:pPr>
            <w:r>
              <w:rPr/>
              <w:t>If Participant Separates from Service within two years after a Change of Control for any reason other than Discharge for Cause or Disability, the Employer shall pay to Participant: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2" w:name="z5e52b1ffbb5c4f08a69a9b2ca57828b4"/>
      <w:bookmarkStart w:id="233" w:name="z5e52b1ffbb5c4f08a69a9b2ca57828b4"/>
      <w:bookmarkEnd w:id="233"/>
    </w:p>
    <w:tbl>
      <w:tblPr>
        <w:tblW w:w="5343" w:type="dxa"/>
        <w:jc w:val="left"/>
        <w:tblInd w:w="0" w:type="dxa"/>
        <w:tblLayout w:type="fixed"/>
        <w:tblCellMar>
          <w:top w:w="0" w:type="dxa"/>
          <w:left w:w="0" w:type="dxa"/>
          <w:bottom w:w="0" w:type="dxa"/>
          <w:right w:w="0" w:type="dxa"/>
        </w:tblCellMar>
      </w:tblPr>
      <w:tblGrid>
        <w:gridCol w:w="38"/>
        <w:gridCol w:w="185"/>
        <w:gridCol w:w="512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5120" w:type="dxa"/>
            <w:tcBorders/>
            <w:vAlign w:val="center"/>
          </w:tcPr>
          <w:p>
            <w:pPr>
              <w:pStyle w:val="TableContents"/>
              <w:bidi w:val="0"/>
              <w:spacing w:before="0" w:after="0"/>
              <w:jc w:val="both"/>
              <w:rPr/>
            </w:pPr>
            <w:r>
              <w:rPr/>
              <w:t>Annual payments each in the amount of $100,000.00.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4" w:name="z99cbb164f2a0419c801d735604715eb5"/>
      <w:bookmarkStart w:id="235" w:name="z99cbb164f2a0419c801d735604715eb5"/>
      <w:bookmarkEnd w:id="23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Commencing upon the first day of the second month following Participant’s attainment of Normal Retirement Age and thereafter annually on each successive anniversary of the first payment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6" w:name="z3243ed7351224b5f8cd47262012783ae"/>
      <w:bookmarkStart w:id="237" w:name="z3243ed7351224b5f8cd47262012783ae"/>
      <w:bookmarkEnd w:id="23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pPr>
            <w:r>
              <w:rPr/>
              <w:t>If Participant dies before the payments begin or after payments have begun, the Plan shall terminate and all benefits shall cease and be forfeited, including any future benefits or vested benefits nth following Participant’s death.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8" w:name="z95f4ea20779841ceaf7f17aaab844d08"/>
      <w:bookmarkStart w:id="239" w:name="z95f4ea20779841ceaf7f17aaab844d08"/>
      <w:bookmarkEnd w:id="239"/>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0"/>
              <w:jc w:val="both"/>
              <w:rPr/>
            </w:pPr>
            <w:r>
              <w:rPr/>
              <w:t xml:space="preserve">☒    </w:t>
            </w:r>
          </w:p>
        </w:tc>
        <w:tc>
          <w:tcPr>
            <w:tcW w:w="9831" w:type="dxa"/>
            <w:tcBorders/>
            <w:vAlign w:val="center"/>
          </w:tcPr>
          <w:p>
            <w:pPr>
              <w:pStyle w:val="TableContents"/>
              <w:bidi w:val="0"/>
              <w:spacing w:before="0" w:after="283"/>
              <w:jc w:val="left"/>
              <w:rPr/>
            </w:pPr>
            <w:r>
              <w:rPr/>
              <w:t xml:space="preserve">(c)     </w:t>
            </w:r>
            <w:r>
              <w:rPr>
                <w:b/>
              </w:rPr>
              <w:t>Disability</w:t>
            </w:r>
            <w:r>
              <w:rPr/>
              <w:t>.  In the event the Participant is determined to be Disabled before the attainment of Normal Retirement Age or Separation from Service, the Employer shall pay to the Contingent Disability Trust:</w:t>
            </w:r>
          </w:p>
        </w:tc>
      </w:tr>
    </w:tbl>
    <w:p>
      <w:pPr>
        <w:pStyle w:val="TextBody"/>
        <w:bidi w:val="0"/>
        <w:spacing w:before="0" w:after="0"/>
        <w:jc w:val="left"/>
        <w:rPr/>
      </w:pPr>
      <w:r>
        <w:rPr/>
      </w:r>
      <w:bookmarkStart w:id="240" w:name="z3d77c7766e3245d69c7a235ba83aee31"/>
      <w:bookmarkStart w:id="241" w:name="z3d77c7766e3245d69c7a235ba83aee31"/>
      <w:bookmarkEnd w:id="241"/>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pPr>
            <w:r>
              <w:rPr/>
            </w:r>
          </w:p>
        </w:tc>
        <w:tc>
          <w:tcPr>
            <w:tcW w:w="187" w:type="dxa"/>
            <w:tcBorders/>
            <w:vAlign w:val="center"/>
          </w:tcPr>
          <w:p>
            <w:pPr>
              <w:pStyle w:val="TableContents"/>
              <w:bidi w:val="0"/>
              <w:spacing w:before="0" w:after="283"/>
              <w:jc w:val="left"/>
              <w:rPr/>
            </w:pPr>
            <w:r>
              <w:rPr/>
              <w:t>(i)</w:t>
            </w:r>
          </w:p>
        </w:tc>
        <w:tc>
          <w:tcPr>
            <w:tcW w:w="9980" w:type="dxa"/>
            <w:tcBorders/>
            <w:vAlign w:val="center"/>
          </w:tcPr>
          <w:p>
            <w:pPr>
              <w:pStyle w:val="TableContents"/>
              <w:bidi w:val="0"/>
              <w:spacing w:before="0" w:after="0"/>
              <w:jc w:val="both"/>
              <w:rPr/>
            </w:pPr>
            <w:r>
              <w:rPr/>
              <w:t>A lump sum payment of the Benefit Liability Balance as of the end of the year preceding the year in which Participant is determined to be Disabled.  The schedule of the “Benefit Liability Balances” are set forth on Exhibit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2" w:name="zb7d77883bea94cc29f4a180fa3e678d6"/>
      <w:bookmarkStart w:id="243" w:name="zb7d77883bea94cc29f4a180fa3e678d6"/>
      <w:bookmarkEnd w:id="243"/>
    </w:p>
    <w:tbl>
      <w:tblPr>
        <w:tblW w:w="9453" w:type="dxa"/>
        <w:jc w:val="left"/>
        <w:tblInd w:w="0" w:type="dxa"/>
        <w:tblLayout w:type="fixed"/>
        <w:tblCellMar>
          <w:top w:w="0" w:type="dxa"/>
          <w:left w:w="0" w:type="dxa"/>
          <w:bottom w:w="0" w:type="dxa"/>
          <w:right w:w="0" w:type="dxa"/>
        </w:tblCellMar>
      </w:tblPr>
      <w:tblGrid>
        <w:gridCol w:w="38"/>
        <w:gridCol w:w="290"/>
        <w:gridCol w:w="91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(ii)</w:t>
            </w:r>
          </w:p>
        </w:tc>
        <w:tc>
          <w:tcPr>
            <w:tcW w:w="9125" w:type="dxa"/>
            <w:tcBorders/>
            <w:vAlign w:val="center"/>
          </w:tcPr>
          <w:p>
            <w:pPr>
              <w:pStyle w:val="TableContents"/>
              <w:bidi w:val="0"/>
              <w:spacing w:before="0" w:after="0"/>
              <w:jc w:val="both"/>
              <w:rPr/>
            </w:pPr>
            <w:r>
              <w:rPr/>
              <w:t>On the first day of the second month following the date Participant is determined to be Disabled.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4" w:name="z8acd8f875eed4830a7f6faa1f88df9e3"/>
      <w:bookmarkStart w:id="245" w:name="z8acd8f875eed4830a7f6faa1f88df9e3"/>
      <w:bookmarkEnd w:id="245"/>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both"/>
              <w:rPr/>
            </w:pPr>
            <w:r>
              <w:rPr/>
              <w:t>If Participant dies before the payment is made, the payment shall be made to Participant’s Beneficiary on the first day of the second month following Participant’s death.</w:t>
            </w:r>
          </w:p>
        </w:tc>
      </w:tr>
    </w:tbl>
    <w:p>
      <w:pPr>
        <w:pStyle w:val="TextBody"/>
        <w:bidi w:val="0"/>
        <w:spacing w:before="0" w:after="0"/>
        <w:jc w:val="left"/>
        <w:rPr/>
      </w:pPr>
      <w:r>
        <w:rPr/>
      </w:r>
    </w:p>
    <w:p>
      <w:pPr>
        <w:pStyle w:val="TextBody"/>
        <w:bidi w:val="0"/>
        <w:spacing w:before="0" w:after="0"/>
        <w:ind w:left="1467" w:right="1468" w:hanging="0"/>
        <w:jc w:val="center"/>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Exhibit “A” as referenced in Article I above shall be amended to the values as set forth on the copy of such Exhibit “A” attached to this Amendment.</w:t>
      </w:r>
    </w:p>
    <w:p>
      <w:pPr>
        <w:pStyle w:val="TextBody"/>
        <w:bidi w:val="0"/>
        <w:spacing w:before="0" w:after="0"/>
        <w:jc w:val="left"/>
        <w:rPr/>
      </w:pPr>
      <w:r>
        <w:rPr/>
      </w:r>
    </w:p>
    <w:p>
      <w:pPr>
        <w:pStyle w:val="TextBody"/>
        <w:bidi w:val="0"/>
        <w:spacing w:before="0" w:after="0"/>
        <w:ind w:left="0" w:right="19" w:hanging="0"/>
        <w:jc w:val="center"/>
        <w:rPr>
          <w:rFonts w:ascii="Times New Roman" w:hAnsi="Times New Roman"/>
          <w:color w:val="000000"/>
          <w:sz w:val="20"/>
        </w:rPr>
      </w:pPr>
      <w:r>
        <w:rPr>
          <w:rFonts w:ascii="Times New Roman" w:hAnsi="Times New Roman"/>
          <w:color w:val="000000"/>
          <w:sz w:val="20"/>
        </w:rPr>
        <w:t>IV.</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Adoption Agreement, as amended hereinabove, and all instruments thereof heretofore executed be and are hereby ratified and affirmed.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V.</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Except as amended herein, the Adoption Agreement shall remain in full force and effect as originally stated. In the event of any conflict between the terms of the Adoption Agreement and this Amendment, the terms of this Amendment shall prevail.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Amendment may be executed in multiple counterparts, all of which shall constitute a single agreement, and the signature and acknowledgement pages may be removed from any counterparty and appended to any other counterpart.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6" w:name="zb5cc6b8336ab4f05a2787963e748caa7"/>
      <w:bookmarkStart w:id="247" w:name="zb5cc6b8336ab4f05a2787963e748caa7"/>
      <w:bookmarkEnd w:id="247"/>
    </w:p>
    <w:tbl>
      <w:tblPr>
        <w:tblW w:w="4944" w:type="dxa"/>
        <w:jc w:val="left"/>
        <w:tblInd w:w="0" w:type="dxa"/>
        <w:tblLayout w:type="fixed"/>
        <w:tblCellMar>
          <w:top w:w="0" w:type="dxa"/>
          <w:left w:w="0" w:type="dxa"/>
          <w:bottom w:w="0" w:type="dxa"/>
          <w:right w:w="0" w:type="dxa"/>
        </w:tblCellMar>
      </w:tblPr>
      <w:tblGrid>
        <w:gridCol w:w="480"/>
        <w:gridCol w:w="2075"/>
        <w:gridCol w:w="60"/>
        <w:gridCol w:w="2259"/>
        <w:gridCol w:w="70"/>
      </w:tblGrid>
      <w:tr>
        <w:trPr/>
        <w:tc>
          <w:tcPr>
            <w:tcW w:w="2555" w:type="dxa"/>
            <w:gridSpan w:val="2"/>
            <w:tcBorders/>
            <w:vAlign w:val="center"/>
          </w:tcPr>
          <w:p>
            <w:pPr>
              <w:pStyle w:val="TableContents"/>
              <w:bidi w:val="0"/>
              <w:spacing w:before="0" w:after="0"/>
              <w:jc w:val="left"/>
              <w:rPr/>
            </w:pPr>
            <w:r>
              <w:rPr/>
              <w:t>CITY BANK</w:t>
            </w:r>
          </w:p>
        </w:tc>
        <w:tc>
          <w:tcPr>
            <w:tcW w:w="60"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0"/>
              <w:jc w:val="left"/>
              <w:rPr/>
            </w:pPr>
            <w:r>
              <w:rPr/>
              <w:t>STEVEN CROCKETT</w:t>
            </w:r>
          </w:p>
        </w:tc>
      </w:tr>
      <w:tr>
        <w:trPr/>
        <w:tc>
          <w:tcPr>
            <w:tcW w:w="25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480" w:type="dxa"/>
            <w:tcBorders/>
            <w:vAlign w:val="center"/>
          </w:tcPr>
          <w:p>
            <w:pPr>
              <w:pStyle w:val="TableContents"/>
              <w:bidi w:val="0"/>
              <w:spacing w:before="0" w:after="0"/>
              <w:ind w:left="0" w:right="115" w:hanging="0"/>
              <w:jc w:val="left"/>
              <w:rPr/>
            </w:pPr>
            <w:r>
              <w:rPr/>
              <w:t>By:</w:t>
            </w:r>
          </w:p>
        </w:tc>
        <w:tc>
          <w:tcPr>
            <w:tcW w:w="2075" w:type="dxa"/>
            <w:tcBorders>
              <w:bottom w:val="single" w:sz="12" w:space="0" w:color="000000"/>
            </w:tcBorders>
            <w:tcMar>
              <w:bottom w:w="28" w:type="dxa"/>
            </w:tcMar>
            <w:vAlign w:val="center"/>
          </w:tcPr>
          <w:p>
            <w:pPr>
              <w:pStyle w:val="TableContents"/>
              <w:bidi w:val="0"/>
              <w:spacing w:before="0" w:after="283"/>
              <w:jc w:val="left"/>
              <w:rPr/>
            </w:pPr>
            <w:r>
              <w:rPr/>
              <w:t> </w:t>
            </w:r>
            <w:r>
              <w:rPr/>
              <w:t>/s/ Cory T. Newsom </w:t>
            </w:r>
          </w:p>
        </w:tc>
        <w:tc>
          <w:tcPr>
            <w:tcW w:w="60" w:type="dxa"/>
            <w:tcBorders/>
            <w:vAlign w:val="center"/>
          </w:tcPr>
          <w:p>
            <w:pPr>
              <w:pStyle w:val="TableContents"/>
              <w:bidi w:val="0"/>
              <w:spacing w:before="0" w:after="283"/>
              <w:jc w:val="left"/>
              <w:rPr/>
            </w:pPr>
            <w:r>
              <w:rPr/>
            </w:r>
          </w:p>
        </w:tc>
        <w:tc>
          <w:tcPr>
            <w:tcW w:w="2259" w:type="dxa"/>
            <w:tcBorders>
              <w:bottom w:val="single" w:sz="12" w:space="0" w:color="000000"/>
            </w:tcBorders>
            <w:tcMar>
              <w:bottom w:w="28" w:type="dxa"/>
            </w:tcMar>
            <w:vAlign w:val="center"/>
          </w:tcPr>
          <w:p>
            <w:pPr>
              <w:pStyle w:val="TableContents"/>
              <w:bidi w:val="0"/>
              <w:spacing w:before="0" w:after="0"/>
              <w:ind w:left="0" w:right="115" w:hanging="0"/>
              <w:jc w:val="left"/>
              <w:rPr/>
            </w:pPr>
            <w:r>
              <w:rPr/>
              <w:t>/s/ Steven Crockett</w:t>
            </w:r>
          </w:p>
        </w:tc>
        <w:tc>
          <w:tcPr>
            <w:tcW w:w="70" w:type="dxa"/>
            <w:tcBorders/>
            <w:vAlign w:val="center"/>
          </w:tcPr>
          <w:p>
            <w:pPr>
              <w:pStyle w:val="TableContents"/>
              <w:bidi w:val="0"/>
              <w:spacing w:before="0" w:after="283"/>
              <w:jc w:val="left"/>
              <w:rPr/>
            </w:pPr>
            <w:r>
              <w:rPr/>
              <w:t> </w:t>
            </w:r>
          </w:p>
        </w:tc>
      </w:tr>
    </w:tbl>
    <w:tbl>
      <w:tblPr>
        <w:tblW w:w="2780" w:type="dxa"/>
        <w:jc w:val="left"/>
        <w:tblInd w:w="0" w:type="dxa"/>
        <w:tblLayout w:type="fixed"/>
        <w:tblCellMar>
          <w:top w:w="0" w:type="dxa"/>
          <w:left w:w="0" w:type="dxa"/>
          <w:bottom w:w="0" w:type="dxa"/>
          <w:right w:w="0" w:type="dxa"/>
        </w:tblCellMar>
      </w:tblPr>
      <w:tblGrid>
        <w:gridCol w:w="690"/>
        <w:gridCol w:w="1970"/>
        <w:gridCol w:w="60"/>
        <w:gridCol w:w="60"/>
      </w:tblGrid>
      <w:tr>
        <w:trPr/>
        <w:tc>
          <w:tcPr>
            <w:tcW w:w="26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0"/>
              <w:ind w:left="0" w:right="115" w:hanging="0"/>
              <w:jc w:val="left"/>
              <w:rPr/>
            </w:pPr>
            <w:r>
              <w:rPr/>
              <w:t>Title: </w:t>
            </w:r>
          </w:p>
        </w:tc>
        <w:tc>
          <w:tcPr>
            <w:tcW w:w="1970" w:type="dxa"/>
            <w:tcBorders>
              <w:bottom w:val="single" w:sz="12" w:space="0" w:color="000000"/>
            </w:tcBorders>
            <w:tcMar>
              <w:bottom w:w="28" w:type="dxa"/>
            </w:tcMar>
            <w:vAlign w:val="center"/>
          </w:tcPr>
          <w:p>
            <w:pPr>
              <w:pStyle w:val="TableContents"/>
              <w:bidi w:val="0"/>
              <w:spacing w:before="0" w:after="283"/>
              <w:jc w:val="left"/>
              <w:rPr/>
            </w:pPr>
            <w:r>
              <w:rPr/>
              <w:t> </w:t>
            </w:r>
            <w:r>
              <w:rPr/>
              <w:t>CEO and President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60" w:type="dxa"/>
            <w:gridSpan w:val="2"/>
            <w:tcBorders/>
            <w:vAlign w:val="center"/>
          </w:tcPr>
          <w:p>
            <w:pPr>
              <w:pStyle w:val="TableContents"/>
              <w:bidi w:val="0"/>
              <w:spacing w:before="0" w:after="0"/>
              <w:jc w:val="left"/>
              <w:rPr/>
            </w:pPr>
            <w:r>
              <w:rPr/>
              <w:t>Authorized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8" w:name="zaa4e34d5b2be40378eac3164bd53785e"/>
      <w:bookmarkStart w:id="249" w:name="zaa4e34d5b2be40378eac3164bd53785e"/>
      <w:bookmarkEnd w:id="249"/>
    </w:p>
    <w:tbl>
      <w:tblPr>
        <w:tblW w:w="1705" w:type="dxa"/>
        <w:jc w:val="center"/>
        <w:tblInd w:w="0" w:type="dxa"/>
        <w:tblLayout w:type="fixed"/>
        <w:tblCellMar>
          <w:top w:w="0" w:type="dxa"/>
          <w:left w:w="0" w:type="dxa"/>
          <w:bottom w:w="0" w:type="dxa"/>
          <w:right w:w="0" w:type="dxa"/>
        </w:tblCellMar>
      </w:tblPr>
      <w:tblGrid>
        <w:gridCol w:w="725"/>
        <w:gridCol w:w="980"/>
      </w:tblGrid>
      <w:tr>
        <w:trPr/>
        <w:tc>
          <w:tcPr>
            <w:tcW w:w="1705" w:type="dxa"/>
            <w:gridSpan w:val="2"/>
            <w:tcBorders/>
            <w:vAlign w:val="center"/>
          </w:tcPr>
          <w:p>
            <w:pPr>
              <w:pStyle w:val="TableContents"/>
              <w:bidi w:val="0"/>
              <w:spacing w:before="0" w:after="0"/>
              <w:jc w:val="left"/>
              <w:rPr/>
            </w:pPr>
            <w:r>
              <w:rPr/>
              <w:t xml:space="preserve">City Bank </w:t>
            </w:r>
          </w:p>
          <w:p>
            <w:pPr>
              <w:pStyle w:val="TableContents"/>
              <w:bidi w:val="0"/>
              <w:spacing w:before="0" w:after="0"/>
              <w:jc w:val="left"/>
              <w:rPr/>
            </w:pPr>
            <w:r>
              <w:rPr/>
              <w:t>Steven Crockett</w:t>
            </w:r>
          </w:p>
        </w:tc>
      </w:tr>
      <w:tr>
        <w:trPr/>
        <w:tc>
          <w:tcPr>
            <w:tcW w:w="1705" w:type="dxa"/>
            <w:gridSpan w:val="2"/>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center"/>
              <w:rPr/>
            </w:pPr>
            <w:r>
              <w:rPr/>
              <w:t> </w:t>
            </w:r>
          </w:p>
          <w:p>
            <w:pPr>
              <w:pStyle w:val="TableContents"/>
              <w:bidi w:val="0"/>
              <w:spacing w:before="0" w:after="0"/>
              <w:jc w:val="center"/>
              <w:rPr/>
            </w:pPr>
            <w:r>
              <w:rPr/>
              <w:t xml:space="preserve">End of </w:t>
            </w:r>
          </w:p>
          <w:p>
            <w:pPr>
              <w:pStyle w:val="TableContents"/>
              <w:bidi w:val="0"/>
              <w:spacing w:before="0" w:after="0"/>
              <w:jc w:val="center"/>
              <w:rPr/>
            </w:pPr>
            <w:r>
              <w:rPr/>
              <w:t>Year</w:t>
            </w:r>
          </w:p>
        </w:tc>
        <w:tc>
          <w:tcPr>
            <w:tcW w:w="980" w:type="dxa"/>
            <w:tcBorders/>
            <w:vAlign w:val="center"/>
          </w:tcPr>
          <w:p>
            <w:pPr>
              <w:pStyle w:val="TableContents"/>
              <w:bidi w:val="0"/>
              <w:spacing w:before="0" w:after="0"/>
              <w:jc w:val="center"/>
              <w:rPr/>
            </w:pPr>
            <w:r>
              <w:rPr/>
              <w:t xml:space="preserve">Benefit </w:t>
            </w:r>
          </w:p>
          <w:p>
            <w:pPr>
              <w:pStyle w:val="TableContents"/>
              <w:bidi w:val="0"/>
              <w:spacing w:before="0" w:after="0"/>
              <w:jc w:val="center"/>
              <w:rPr/>
            </w:pPr>
            <w:r>
              <w:rPr/>
              <w:t>Liability</w:t>
            </w:r>
          </w:p>
          <w:p>
            <w:pPr>
              <w:pStyle w:val="TableContents"/>
              <w:bidi w:val="0"/>
              <w:spacing w:before="0" w:after="0"/>
              <w:jc w:val="center"/>
              <w:rPr/>
            </w:pPr>
            <w:r>
              <w:rPr/>
              <w:t>Balance</w:t>
            </w:r>
          </w:p>
        </w:tc>
      </w:tr>
      <w:tr>
        <w:trPr/>
        <w:tc>
          <w:tcPr>
            <w:tcW w:w="7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center"/>
              <w:rPr/>
            </w:pPr>
            <w:r>
              <w:rPr/>
              <w:t>2024</w:t>
            </w:r>
          </w:p>
        </w:tc>
        <w:tc>
          <w:tcPr>
            <w:tcW w:w="980" w:type="dxa"/>
            <w:tcBorders/>
            <w:vAlign w:val="center"/>
          </w:tcPr>
          <w:p>
            <w:pPr>
              <w:pStyle w:val="TableContents"/>
              <w:bidi w:val="0"/>
              <w:spacing w:before="0" w:after="0"/>
              <w:jc w:val="center"/>
              <w:rPr/>
            </w:pPr>
            <w:r>
              <w:rPr/>
              <w:t>445,261</w:t>
            </w:r>
          </w:p>
        </w:tc>
      </w:tr>
      <w:tr>
        <w:trPr/>
        <w:tc>
          <w:tcPr>
            <w:tcW w:w="725" w:type="dxa"/>
            <w:tcBorders/>
            <w:vAlign w:val="center"/>
          </w:tcPr>
          <w:p>
            <w:pPr>
              <w:pStyle w:val="TableContents"/>
              <w:bidi w:val="0"/>
              <w:spacing w:before="0" w:after="0"/>
              <w:jc w:val="center"/>
              <w:rPr/>
            </w:pPr>
            <w:r>
              <w:rPr/>
              <w:t>2025</w:t>
            </w:r>
          </w:p>
        </w:tc>
        <w:tc>
          <w:tcPr>
            <w:tcW w:w="980" w:type="dxa"/>
            <w:tcBorders/>
            <w:vAlign w:val="center"/>
          </w:tcPr>
          <w:p>
            <w:pPr>
              <w:pStyle w:val="TableContents"/>
              <w:bidi w:val="0"/>
              <w:spacing w:before="0" w:after="0"/>
              <w:jc w:val="center"/>
              <w:rPr/>
            </w:pPr>
            <w:r>
              <w:rPr/>
              <w:t>587,550</w:t>
            </w:r>
          </w:p>
        </w:tc>
      </w:tr>
      <w:tr>
        <w:trPr/>
        <w:tc>
          <w:tcPr>
            <w:tcW w:w="725" w:type="dxa"/>
            <w:tcBorders/>
            <w:vAlign w:val="center"/>
          </w:tcPr>
          <w:p>
            <w:pPr>
              <w:pStyle w:val="TableContents"/>
              <w:bidi w:val="0"/>
              <w:spacing w:before="0" w:after="0"/>
              <w:jc w:val="center"/>
              <w:rPr/>
            </w:pPr>
            <w:r>
              <w:rPr/>
              <w:t>2026</w:t>
            </w:r>
          </w:p>
        </w:tc>
        <w:tc>
          <w:tcPr>
            <w:tcW w:w="980" w:type="dxa"/>
            <w:tcBorders/>
            <w:vAlign w:val="center"/>
          </w:tcPr>
          <w:p>
            <w:pPr>
              <w:pStyle w:val="TableContents"/>
              <w:bidi w:val="0"/>
              <w:spacing w:before="0" w:after="0"/>
              <w:jc w:val="center"/>
              <w:rPr/>
            </w:pPr>
            <w:r>
              <w:rPr/>
              <w:t>738,626</w:t>
            </w:r>
          </w:p>
        </w:tc>
      </w:tr>
      <w:tr>
        <w:trPr/>
        <w:tc>
          <w:tcPr>
            <w:tcW w:w="725" w:type="dxa"/>
            <w:tcBorders/>
            <w:vAlign w:val="center"/>
          </w:tcPr>
          <w:p>
            <w:pPr>
              <w:pStyle w:val="TableContents"/>
              <w:bidi w:val="0"/>
              <w:spacing w:before="0" w:after="0"/>
              <w:jc w:val="center"/>
              <w:rPr/>
            </w:pPr>
            <w:r>
              <w:rPr/>
              <w:t>2027</w:t>
            </w:r>
          </w:p>
        </w:tc>
        <w:tc>
          <w:tcPr>
            <w:tcW w:w="980" w:type="dxa"/>
            <w:tcBorders/>
            <w:vAlign w:val="center"/>
          </w:tcPr>
          <w:p>
            <w:pPr>
              <w:pStyle w:val="TableContents"/>
              <w:bidi w:val="0"/>
              <w:spacing w:before="0" w:after="0"/>
              <w:jc w:val="center"/>
              <w:rPr/>
            </w:pPr>
            <w:r>
              <w:rPr/>
              <w:t>899,336</w:t>
            </w:r>
          </w:p>
        </w:tc>
      </w:tr>
      <w:tr>
        <w:trPr/>
        <w:tc>
          <w:tcPr>
            <w:tcW w:w="725" w:type="dxa"/>
            <w:tcBorders/>
            <w:vAlign w:val="center"/>
          </w:tcPr>
          <w:p>
            <w:pPr>
              <w:pStyle w:val="TableContents"/>
              <w:bidi w:val="0"/>
              <w:spacing w:before="0" w:after="0"/>
              <w:jc w:val="center"/>
              <w:rPr/>
            </w:pPr>
            <w:r>
              <w:rPr/>
              <w:t>2028</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2029</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2030</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2031</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2032</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2033</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2034</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2035</w:t>
            </w:r>
          </w:p>
        </w:tc>
        <w:tc>
          <w:tcPr>
            <w:tcW w:w="980" w:type="dxa"/>
            <w:tcBorders/>
            <w:vAlign w:val="center"/>
          </w:tcPr>
          <w:p>
            <w:pPr>
              <w:pStyle w:val="TableContents"/>
              <w:bidi w:val="0"/>
              <w:spacing w:before="0" w:after="0"/>
              <w:jc w:val="center"/>
              <w:rPr/>
            </w:pPr>
            <w:r>
              <w:rPr/>
              <w:t>1,070,601</w:t>
            </w:r>
          </w:p>
        </w:tc>
      </w:tr>
      <w:tr>
        <w:trPr/>
        <w:tc>
          <w:tcPr>
            <w:tcW w:w="725" w:type="dxa"/>
            <w:tcBorders/>
            <w:vAlign w:val="center"/>
          </w:tcPr>
          <w:p>
            <w:pPr>
              <w:pStyle w:val="TableContents"/>
              <w:bidi w:val="0"/>
              <w:spacing w:before="0" w:after="0"/>
              <w:jc w:val="center"/>
              <w:rPr/>
            </w:pPr>
            <w:r>
              <w:rPr/>
              <w:t>2036</w:t>
            </w:r>
          </w:p>
        </w:tc>
        <w:tc>
          <w:tcPr>
            <w:tcW w:w="980" w:type="dxa"/>
            <w:tcBorders/>
            <w:vAlign w:val="center"/>
          </w:tcPr>
          <w:p>
            <w:pPr>
              <w:pStyle w:val="TableContents"/>
              <w:bidi w:val="0"/>
              <w:spacing w:before="0" w:after="0"/>
              <w:jc w:val="center"/>
              <w:rPr/>
            </w:pPr>
            <w:r>
              <w:rPr/>
              <w:t>1,043,396</w:t>
            </w:r>
          </w:p>
        </w:tc>
      </w:tr>
      <w:tr>
        <w:trPr/>
        <w:tc>
          <w:tcPr>
            <w:tcW w:w="725" w:type="dxa"/>
            <w:tcBorders/>
            <w:vAlign w:val="center"/>
          </w:tcPr>
          <w:p>
            <w:pPr>
              <w:pStyle w:val="TableContents"/>
              <w:bidi w:val="0"/>
              <w:spacing w:before="0" w:after="0"/>
              <w:jc w:val="center"/>
              <w:rPr/>
            </w:pPr>
            <w:r>
              <w:rPr/>
              <w:t>2037</w:t>
            </w:r>
          </w:p>
        </w:tc>
        <w:tc>
          <w:tcPr>
            <w:tcW w:w="980" w:type="dxa"/>
            <w:tcBorders/>
            <w:vAlign w:val="center"/>
          </w:tcPr>
          <w:p>
            <w:pPr>
              <w:pStyle w:val="TableContents"/>
              <w:bidi w:val="0"/>
              <w:spacing w:before="0" w:after="0"/>
              <w:jc w:val="center"/>
              <w:rPr/>
            </w:pPr>
            <w:r>
              <w:rPr/>
              <w:t>1,014,151</w:t>
            </w:r>
          </w:p>
        </w:tc>
      </w:tr>
      <w:tr>
        <w:trPr/>
        <w:tc>
          <w:tcPr>
            <w:tcW w:w="725" w:type="dxa"/>
            <w:tcBorders/>
            <w:vAlign w:val="center"/>
          </w:tcPr>
          <w:p>
            <w:pPr>
              <w:pStyle w:val="TableContents"/>
              <w:bidi w:val="0"/>
              <w:spacing w:before="0" w:after="0"/>
              <w:jc w:val="center"/>
              <w:rPr/>
            </w:pPr>
            <w:r>
              <w:rPr/>
              <w:t>2038</w:t>
            </w:r>
          </w:p>
        </w:tc>
        <w:tc>
          <w:tcPr>
            <w:tcW w:w="980" w:type="dxa"/>
            <w:tcBorders/>
            <w:vAlign w:val="center"/>
          </w:tcPr>
          <w:p>
            <w:pPr>
              <w:pStyle w:val="TableContents"/>
              <w:bidi w:val="0"/>
              <w:spacing w:before="0" w:after="0"/>
              <w:jc w:val="center"/>
              <w:rPr/>
            </w:pPr>
            <w:r>
              <w:rPr/>
              <w:t>982,712</w:t>
            </w:r>
          </w:p>
        </w:tc>
      </w:tr>
      <w:tr>
        <w:trPr/>
        <w:tc>
          <w:tcPr>
            <w:tcW w:w="725" w:type="dxa"/>
            <w:tcBorders/>
            <w:vAlign w:val="center"/>
          </w:tcPr>
          <w:p>
            <w:pPr>
              <w:pStyle w:val="TableContents"/>
              <w:bidi w:val="0"/>
              <w:spacing w:before="0" w:after="0"/>
              <w:jc w:val="center"/>
              <w:rPr/>
            </w:pPr>
            <w:r>
              <w:rPr/>
              <w:t>2039</w:t>
            </w:r>
          </w:p>
        </w:tc>
        <w:tc>
          <w:tcPr>
            <w:tcW w:w="980" w:type="dxa"/>
            <w:tcBorders/>
            <w:vAlign w:val="center"/>
          </w:tcPr>
          <w:p>
            <w:pPr>
              <w:pStyle w:val="TableContents"/>
              <w:bidi w:val="0"/>
              <w:spacing w:before="0" w:after="0"/>
              <w:jc w:val="center"/>
              <w:rPr/>
            </w:pPr>
            <w:r>
              <w:rPr/>
              <w:t>948,915</w:t>
            </w:r>
          </w:p>
        </w:tc>
      </w:tr>
      <w:tr>
        <w:trPr/>
        <w:tc>
          <w:tcPr>
            <w:tcW w:w="725" w:type="dxa"/>
            <w:tcBorders/>
            <w:vAlign w:val="center"/>
          </w:tcPr>
          <w:p>
            <w:pPr>
              <w:pStyle w:val="TableContents"/>
              <w:bidi w:val="0"/>
              <w:spacing w:before="0" w:after="0"/>
              <w:jc w:val="center"/>
              <w:rPr/>
            </w:pPr>
            <w:r>
              <w:rPr/>
              <w:t>2040</w:t>
            </w:r>
          </w:p>
        </w:tc>
        <w:tc>
          <w:tcPr>
            <w:tcW w:w="980" w:type="dxa"/>
            <w:tcBorders/>
            <w:vAlign w:val="center"/>
          </w:tcPr>
          <w:p>
            <w:pPr>
              <w:pStyle w:val="TableContents"/>
              <w:bidi w:val="0"/>
              <w:spacing w:before="0" w:after="0"/>
              <w:jc w:val="center"/>
              <w:rPr/>
            </w:pPr>
            <w:r>
              <w:rPr/>
              <w:t>912,584</w:t>
            </w:r>
          </w:p>
        </w:tc>
      </w:tr>
      <w:tr>
        <w:trPr/>
        <w:tc>
          <w:tcPr>
            <w:tcW w:w="725" w:type="dxa"/>
            <w:tcBorders/>
            <w:vAlign w:val="center"/>
          </w:tcPr>
          <w:p>
            <w:pPr>
              <w:pStyle w:val="TableContents"/>
              <w:bidi w:val="0"/>
              <w:spacing w:before="0" w:after="0"/>
              <w:jc w:val="center"/>
              <w:rPr/>
            </w:pPr>
            <w:r>
              <w:rPr/>
              <w:t>2041</w:t>
            </w:r>
          </w:p>
        </w:tc>
        <w:tc>
          <w:tcPr>
            <w:tcW w:w="980" w:type="dxa"/>
            <w:tcBorders/>
            <w:vAlign w:val="center"/>
          </w:tcPr>
          <w:p>
            <w:pPr>
              <w:pStyle w:val="TableContents"/>
              <w:bidi w:val="0"/>
              <w:spacing w:before="0" w:after="0"/>
              <w:jc w:val="center"/>
              <w:rPr/>
            </w:pPr>
            <w:r>
              <w:rPr/>
              <w:t>873,528</w:t>
            </w:r>
          </w:p>
        </w:tc>
      </w:tr>
      <w:tr>
        <w:trPr/>
        <w:tc>
          <w:tcPr>
            <w:tcW w:w="725" w:type="dxa"/>
            <w:tcBorders/>
            <w:vAlign w:val="center"/>
          </w:tcPr>
          <w:p>
            <w:pPr>
              <w:pStyle w:val="TableContents"/>
              <w:bidi w:val="0"/>
              <w:spacing w:before="0" w:after="0"/>
              <w:jc w:val="center"/>
              <w:rPr/>
            </w:pPr>
            <w:r>
              <w:rPr/>
              <w:t>2042</w:t>
            </w:r>
          </w:p>
        </w:tc>
        <w:tc>
          <w:tcPr>
            <w:tcW w:w="980" w:type="dxa"/>
            <w:tcBorders/>
            <w:vAlign w:val="center"/>
          </w:tcPr>
          <w:p>
            <w:pPr>
              <w:pStyle w:val="TableContents"/>
              <w:bidi w:val="0"/>
              <w:spacing w:before="0" w:after="0"/>
              <w:jc w:val="center"/>
              <w:rPr/>
            </w:pPr>
            <w:r>
              <w:rPr/>
              <w:t>831,542</w:t>
            </w:r>
          </w:p>
        </w:tc>
      </w:tr>
      <w:tr>
        <w:trPr/>
        <w:tc>
          <w:tcPr>
            <w:tcW w:w="725" w:type="dxa"/>
            <w:tcBorders/>
            <w:vAlign w:val="center"/>
          </w:tcPr>
          <w:p>
            <w:pPr>
              <w:pStyle w:val="TableContents"/>
              <w:bidi w:val="0"/>
              <w:spacing w:before="0" w:after="0"/>
              <w:jc w:val="center"/>
              <w:rPr/>
            </w:pPr>
            <w:r>
              <w:rPr/>
              <w:t>2043</w:t>
            </w:r>
          </w:p>
        </w:tc>
        <w:tc>
          <w:tcPr>
            <w:tcW w:w="980" w:type="dxa"/>
            <w:tcBorders/>
            <w:vAlign w:val="center"/>
          </w:tcPr>
          <w:p>
            <w:pPr>
              <w:pStyle w:val="TableContents"/>
              <w:bidi w:val="0"/>
              <w:spacing w:before="0" w:after="0"/>
              <w:jc w:val="center"/>
              <w:rPr/>
            </w:pPr>
            <w:r>
              <w:rPr/>
              <w:t>786,408</w:t>
            </w:r>
          </w:p>
        </w:tc>
      </w:tr>
      <w:tr>
        <w:trPr/>
        <w:tc>
          <w:tcPr>
            <w:tcW w:w="725" w:type="dxa"/>
            <w:tcBorders/>
            <w:vAlign w:val="center"/>
          </w:tcPr>
          <w:p>
            <w:pPr>
              <w:pStyle w:val="TableContents"/>
              <w:bidi w:val="0"/>
              <w:spacing w:before="0" w:after="0"/>
              <w:jc w:val="center"/>
              <w:rPr/>
            </w:pPr>
            <w:r>
              <w:rPr/>
              <w:t>2044</w:t>
            </w:r>
          </w:p>
        </w:tc>
        <w:tc>
          <w:tcPr>
            <w:tcW w:w="980" w:type="dxa"/>
            <w:tcBorders/>
            <w:vAlign w:val="center"/>
          </w:tcPr>
          <w:p>
            <w:pPr>
              <w:pStyle w:val="TableContents"/>
              <w:bidi w:val="0"/>
              <w:spacing w:before="0" w:after="0"/>
              <w:jc w:val="center"/>
              <w:rPr/>
            </w:pPr>
            <w:r>
              <w:rPr/>
              <w:t>737,889</w:t>
            </w:r>
          </w:p>
        </w:tc>
      </w:tr>
      <w:tr>
        <w:trPr/>
        <w:tc>
          <w:tcPr>
            <w:tcW w:w="725" w:type="dxa"/>
            <w:tcBorders/>
            <w:vAlign w:val="center"/>
          </w:tcPr>
          <w:p>
            <w:pPr>
              <w:pStyle w:val="TableContents"/>
              <w:bidi w:val="0"/>
              <w:spacing w:before="0" w:after="0"/>
              <w:jc w:val="center"/>
              <w:rPr/>
            </w:pPr>
            <w:r>
              <w:rPr/>
              <w:t>2045</w:t>
            </w:r>
          </w:p>
        </w:tc>
        <w:tc>
          <w:tcPr>
            <w:tcW w:w="980" w:type="dxa"/>
            <w:tcBorders/>
            <w:vAlign w:val="center"/>
          </w:tcPr>
          <w:p>
            <w:pPr>
              <w:pStyle w:val="TableContents"/>
              <w:bidi w:val="0"/>
              <w:spacing w:before="0" w:after="0"/>
              <w:jc w:val="center"/>
              <w:rPr/>
            </w:pPr>
            <w:r>
              <w:rPr/>
              <w:t>685,730</w:t>
            </w:r>
          </w:p>
        </w:tc>
      </w:tr>
      <w:tr>
        <w:trPr/>
        <w:tc>
          <w:tcPr>
            <w:tcW w:w="725" w:type="dxa"/>
            <w:tcBorders/>
            <w:vAlign w:val="center"/>
          </w:tcPr>
          <w:p>
            <w:pPr>
              <w:pStyle w:val="TableContents"/>
              <w:bidi w:val="0"/>
              <w:spacing w:before="0" w:after="0"/>
              <w:jc w:val="center"/>
              <w:rPr/>
            </w:pPr>
            <w:r>
              <w:rPr/>
              <w:t>2046</w:t>
            </w:r>
          </w:p>
        </w:tc>
        <w:tc>
          <w:tcPr>
            <w:tcW w:w="980" w:type="dxa"/>
            <w:tcBorders/>
            <w:vAlign w:val="center"/>
          </w:tcPr>
          <w:p>
            <w:pPr>
              <w:pStyle w:val="TableContents"/>
              <w:bidi w:val="0"/>
              <w:spacing w:before="0" w:after="0"/>
              <w:jc w:val="center"/>
              <w:rPr/>
            </w:pPr>
            <w:r>
              <w:rPr/>
              <w:t>629,660</w:t>
            </w:r>
          </w:p>
        </w:tc>
      </w:tr>
      <w:tr>
        <w:trPr/>
        <w:tc>
          <w:tcPr>
            <w:tcW w:w="725" w:type="dxa"/>
            <w:tcBorders/>
            <w:vAlign w:val="center"/>
          </w:tcPr>
          <w:p>
            <w:pPr>
              <w:pStyle w:val="TableContents"/>
              <w:bidi w:val="0"/>
              <w:spacing w:before="0" w:after="0"/>
              <w:jc w:val="center"/>
              <w:rPr/>
            </w:pPr>
            <w:r>
              <w:rPr/>
              <w:t>2047</w:t>
            </w:r>
          </w:p>
        </w:tc>
        <w:tc>
          <w:tcPr>
            <w:tcW w:w="980" w:type="dxa"/>
            <w:tcBorders/>
            <w:vAlign w:val="center"/>
          </w:tcPr>
          <w:p>
            <w:pPr>
              <w:pStyle w:val="TableContents"/>
              <w:bidi w:val="0"/>
              <w:spacing w:before="0" w:after="0"/>
              <w:jc w:val="center"/>
              <w:rPr/>
            </w:pPr>
            <w:r>
              <w:rPr/>
              <w:t>569,385</w:t>
            </w:r>
          </w:p>
        </w:tc>
      </w:tr>
      <w:tr>
        <w:trPr/>
        <w:tc>
          <w:tcPr>
            <w:tcW w:w="725" w:type="dxa"/>
            <w:tcBorders/>
            <w:vAlign w:val="center"/>
          </w:tcPr>
          <w:p>
            <w:pPr>
              <w:pStyle w:val="TableContents"/>
              <w:bidi w:val="0"/>
              <w:spacing w:before="0" w:after="0"/>
              <w:jc w:val="center"/>
              <w:rPr/>
            </w:pPr>
            <w:r>
              <w:rPr/>
              <w:t>2048</w:t>
            </w:r>
          </w:p>
        </w:tc>
        <w:tc>
          <w:tcPr>
            <w:tcW w:w="980" w:type="dxa"/>
            <w:tcBorders/>
            <w:vAlign w:val="center"/>
          </w:tcPr>
          <w:p>
            <w:pPr>
              <w:pStyle w:val="TableContents"/>
              <w:bidi w:val="0"/>
              <w:spacing w:before="0" w:after="0"/>
              <w:jc w:val="center"/>
              <w:rPr/>
            </w:pPr>
            <w:r>
              <w:rPr/>
              <w:t>504,588</w:t>
            </w:r>
          </w:p>
        </w:tc>
      </w:tr>
      <w:tr>
        <w:trPr/>
        <w:tc>
          <w:tcPr>
            <w:tcW w:w="725" w:type="dxa"/>
            <w:tcBorders/>
            <w:vAlign w:val="center"/>
          </w:tcPr>
          <w:p>
            <w:pPr>
              <w:pStyle w:val="TableContents"/>
              <w:bidi w:val="0"/>
              <w:spacing w:before="0" w:after="0"/>
              <w:jc w:val="center"/>
              <w:rPr/>
            </w:pPr>
            <w:r>
              <w:rPr/>
              <w:t>2049</w:t>
            </w:r>
          </w:p>
        </w:tc>
        <w:tc>
          <w:tcPr>
            <w:tcW w:w="980" w:type="dxa"/>
            <w:tcBorders/>
            <w:vAlign w:val="center"/>
          </w:tcPr>
          <w:p>
            <w:pPr>
              <w:pStyle w:val="TableContents"/>
              <w:bidi w:val="0"/>
              <w:spacing w:before="0" w:after="0"/>
              <w:jc w:val="center"/>
              <w:rPr/>
            </w:pPr>
            <w:r>
              <w:rPr/>
              <w:t>434,933</w:t>
            </w:r>
          </w:p>
        </w:tc>
      </w:tr>
      <w:tr>
        <w:trPr/>
        <w:tc>
          <w:tcPr>
            <w:tcW w:w="725" w:type="dxa"/>
            <w:tcBorders/>
            <w:vAlign w:val="center"/>
          </w:tcPr>
          <w:p>
            <w:pPr>
              <w:pStyle w:val="TableContents"/>
              <w:bidi w:val="0"/>
              <w:spacing w:before="0" w:after="0"/>
              <w:jc w:val="center"/>
              <w:rPr/>
            </w:pPr>
            <w:r>
              <w:rPr/>
              <w:t>2050</w:t>
            </w:r>
          </w:p>
        </w:tc>
        <w:tc>
          <w:tcPr>
            <w:tcW w:w="980" w:type="dxa"/>
            <w:tcBorders/>
            <w:vAlign w:val="center"/>
          </w:tcPr>
          <w:p>
            <w:pPr>
              <w:pStyle w:val="TableContents"/>
              <w:bidi w:val="0"/>
              <w:spacing w:before="0" w:after="0"/>
              <w:jc w:val="center"/>
              <w:rPr/>
            </w:pPr>
            <w:r>
              <w:rPr/>
              <w:t>360,053</w:t>
            </w:r>
          </w:p>
        </w:tc>
      </w:tr>
      <w:tr>
        <w:trPr/>
        <w:tc>
          <w:tcPr>
            <w:tcW w:w="725" w:type="dxa"/>
            <w:tcBorders/>
            <w:vAlign w:val="center"/>
          </w:tcPr>
          <w:p>
            <w:pPr>
              <w:pStyle w:val="TableContents"/>
              <w:bidi w:val="0"/>
              <w:spacing w:before="0" w:after="0"/>
              <w:jc w:val="center"/>
              <w:rPr/>
            </w:pPr>
            <w:r>
              <w:rPr/>
              <w:t>2051</w:t>
            </w:r>
          </w:p>
        </w:tc>
        <w:tc>
          <w:tcPr>
            <w:tcW w:w="980" w:type="dxa"/>
            <w:tcBorders/>
            <w:vAlign w:val="center"/>
          </w:tcPr>
          <w:p>
            <w:pPr>
              <w:pStyle w:val="TableContents"/>
              <w:bidi w:val="0"/>
              <w:spacing w:before="0" w:after="0"/>
              <w:jc w:val="center"/>
              <w:rPr/>
            </w:pPr>
            <w:r>
              <w:rPr/>
              <w:t>279,557</w:t>
            </w:r>
          </w:p>
        </w:tc>
      </w:tr>
      <w:tr>
        <w:trPr/>
        <w:tc>
          <w:tcPr>
            <w:tcW w:w="725" w:type="dxa"/>
            <w:tcBorders/>
            <w:vAlign w:val="center"/>
          </w:tcPr>
          <w:p>
            <w:pPr>
              <w:pStyle w:val="TableContents"/>
              <w:bidi w:val="0"/>
              <w:spacing w:before="0" w:after="0"/>
              <w:jc w:val="center"/>
              <w:rPr/>
            </w:pPr>
            <w:r>
              <w:rPr/>
              <w:t>2052</w:t>
            </w:r>
          </w:p>
        </w:tc>
        <w:tc>
          <w:tcPr>
            <w:tcW w:w="980" w:type="dxa"/>
            <w:tcBorders/>
            <w:vAlign w:val="center"/>
          </w:tcPr>
          <w:p>
            <w:pPr>
              <w:pStyle w:val="TableContents"/>
              <w:bidi w:val="0"/>
              <w:spacing w:before="0" w:after="0"/>
              <w:jc w:val="center"/>
              <w:rPr/>
            </w:pPr>
            <w:r>
              <w:rPr/>
              <w:t>193,023</w:t>
            </w:r>
          </w:p>
        </w:tc>
      </w:tr>
      <w:tr>
        <w:trPr/>
        <w:tc>
          <w:tcPr>
            <w:tcW w:w="725" w:type="dxa"/>
            <w:tcBorders/>
            <w:vAlign w:val="center"/>
          </w:tcPr>
          <w:p>
            <w:pPr>
              <w:pStyle w:val="TableContents"/>
              <w:bidi w:val="0"/>
              <w:spacing w:before="0" w:after="0"/>
              <w:jc w:val="center"/>
              <w:rPr/>
            </w:pPr>
            <w:r>
              <w:rPr/>
              <w:t>2053</w:t>
            </w:r>
          </w:p>
        </w:tc>
        <w:tc>
          <w:tcPr>
            <w:tcW w:w="980" w:type="dxa"/>
            <w:tcBorders/>
            <w:vAlign w:val="center"/>
          </w:tcPr>
          <w:p>
            <w:pPr>
              <w:pStyle w:val="TableContents"/>
              <w:bidi w:val="0"/>
              <w:spacing w:before="0" w:after="0"/>
              <w:jc w:val="center"/>
              <w:rPr/>
            </w:pPr>
            <w:r>
              <w:rPr/>
              <w:t>100,000</w:t>
            </w:r>
          </w:p>
        </w:tc>
      </w:tr>
      <w:tr>
        <w:trPr/>
        <w:tc>
          <w:tcPr>
            <w:tcW w:w="725" w:type="dxa"/>
            <w:tcBorders/>
            <w:vAlign w:val="center"/>
          </w:tcPr>
          <w:p>
            <w:pPr>
              <w:pStyle w:val="TableContents"/>
              <w:bidi w:val="0"/>
              <w:spacing w:before="0" w:after="0"/>
              <w:jc w:val="center"/>
              <w:rPr/>
            </w:pPr>
            <w:r>
              <w:rPr/>
              <w:t>2054</w:t>
            </w:r>
          </w:p>
        </w:tc>
        <w:tc>
          <w:tcPr>
            <w:tcW w:w="980" w:type="dxa"/>
            <w:tcBorders/>
            <w:vAlign w:val="center"/>
          </w:tcPr>
          <w:p>
            <w:pPr>
              <w:pStyle w:val="TableContents"/>
              <w:bidi w:val="0"/>
              <w:spacing w:before="0" w:after="283"/>
              <w:jc w:val="center"/>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50" w:name="ef20023760_ex21-1.htm"/>
      <w:bookmarkStart w:id="251" w:name="ksef20023760_ex211"/>
      <w:bookmarkStart w:id="252" w:name="ef20023760_ex21-1.htm"/>
      <w:bookmarkStart w:id="253" w:name="ksef20023760_ex211"/>
      <w:bookmarkEnd w:id="252"/>
      <w:bookmarkEnd w:id="25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Subsidiaries of South Plains Financial, Inc.</w:t>
      </w:r>
    </w:p>
    <w:p>
      <w:pPr>
        <w:pStyle w:val="TextBody"/>
        <w:bidi w:val="0"/>
        <w:spacing w:before="0" w:after="0"/>
        <w:jc w:val="left"/>
        <w:rPr/>
      </w:pPr>
      <w:r>
        <w:rPr/>
      </w:r>
    </w:p>
    <w:tbl>
      <w:tblPr>
        <w:tblW w:w="6010" w:type="dxa"/>
        <w:jc w:val="left"/>
        <w:tblInd w:w="0" w:type="dxa"/>
        <w:tblLayout w:type="fixed"/>
        <w:tblCellMar>
          <w:top w:w="0" w:type="dxa"/>
          <w:left w:w="0" w:type="dxa"/>
          <w:bottom w:w="0" w:type="dxa"/>
          <w:right w:w="0" w:type="dxa"/>
        </w:tblCellMar>
      </w:tblPr>
      <w:tblGrid>
        <w:gridCol w:w="3740"/>
        <w:gridCol w:w="2270"/>
      </w:tblGrid>
      <w:tr>
        <w:trPr/>
        <w:tc>
          <w:tcPr>
            <w:tcW w:w="3740" w:type="dxa"/>
            <w:tcBorders/>
            <w:vAlign w:val="center"/>
          </w:tcPr>
          <w:p>
            <w:pPr>
              <w:pStyle w:val="TableContents"/>
              <w:bidi w:val="0"/>
              <w:spacing w:before="0" w:after="0"/>
              <w:jc w:val="left"/>
              <w:rPr>
                <w:b/>
                <w:u w:val="single"/>
              </w:rPr>
            </w:pPr>
            <w:r>
              <w:rPr>
                <w:b/>
                <w:u w:val="single"/>
              </w:rPr>
              <w:t>Entity Name</w:t>
            </w:r>
          </w:p>
        </w:tc>
        <w:tc>
          <w:tcPr>
            <w:tcW w:w="2270" w:type="dxa"/>
            <w:tcBorders/>
            <w:vAlign w:val="center"/>
          </w:tcPr>
          <w:p>
            <w:pPr>
              <w:pStyle w:val="TableContents"/>
              <w:bidi w:val="0"/>
              <w:spacing w:before="0" w:after="0"/>
              <w:jc w:val="left"/>
              <w:rPr>
                <w:b/>
                <w:u w:val="single"/>
              </w:rPr>
            </w:pPr>
            <w:r>
              <w:rPr>
                <w:b/>
                <w:u w:val="single"/>
              </w:rPr>
              <w:t>State of Incorporation</w:t>
            </w:r>
          </w:p>
        </w:tc>
      </w:tr>
      <w:tr>
        <w:trPr/>
        <w:tc>
          <w:tcPr>
            <w:tcW w:w="374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283"/>
              <w:jc w:val="left"/>
              <w:rPr/>
            </w:pPr>
            <w:r>
              <w:rPr/>
            </w:r>
          </w:p>
        </w:tc>
      </w:tr>
      <w:tr>
        <w:trPr/>
        <w:tc>
          <w:tcPr>
            <w:tcW w:w="3740" w:type="dxa"/>
            <w:tcBorders/>
            <w:vAlign w:val="center"/>
          </w:tcPr>
          <w:p>
            <w:pPr>
              <w:pStyle w:val="TableContents"/>
              <w:bidi w:val="0"/>
              <w:spacing w:before="0" w:after="0"/>
              <w:jc w:val="left"/>
              <w:rPr/>
            </w:pPr>
            <w:r>
              <w:rPr/>
              <w:t>CB Provence, LLC</w:t>
            </w:r>
          </w:p>
        </w:tc>
        <w:tc>
          <w:tcPr>
            <w:tcW w:w="2270" w:type="dxa"/>
            <w:tcBorders/>
            <w:vAlign w:val="center"/>
          </w:tcPr>
          <w:p>
            <w:pPr>
              <w:pStyle w:val="TableContents"/>
              <w:bidi w:val="0"/>
              <w:spacing w:before="0" w:after="0"/>
              <w:jc w:val="left"/>
              <w:rPr/>
            </w:pPr>
            <w:r>
              <w:rPr/>
              <w:t>Texas</w:t>
            </w:r>
          </w:p>
        </w:tc>
      </w:tr>
      <w:tr>
        <w:trPr/>
        <w:tc>
          <w:tcPr>
            <w:tcW w:w="3740" w:type="dxa"/>
            <w:tcBorders/>
            <w:vAlign w:val="center"/>
          </w:tcPr>
          <w:p>
            <w:pPr>
              <w:pStyle w:val="TableContents"/>
              <w:bidi w:val="0"/>
              <w:spacing w:before="0" w:after="0"/>
              <w:jc w:val="left"/>
              <w:rPr/>
            </w:pPr>
            <w:r>
              <w:rPr/>
              <w:t>CBT Brushy Creek, LLC</w:t>
            </w:r>
          </w:p>
        </w:tc>
        <w:tc>
          <w:tcPr>
            <w:tcW w:w="2270" w:type="dxa"/>
            <w:tcBorders/>
            <w:vAlign w:val="center"/>
          </w:tcPr>
          <w:p>
            <w:pPr>
              <w:pStyle w:val="TableContents"/>
              <w:bidi w:val="0"/>
              <w:spacing w:before="0" w:after="0"/>
              <w:jc w:val="left"/>
              <w:rPr/>
            </w:pPr>
            <w:r>
              <w:rPr/>
              <w:t>Texas</w:t>
            </w:r>
          </w:p>
        </w:tc>
      </w:tr>
      <w:tr>
        <w:trPr/>
        <w:tc>
          <w:tcPr>
            <w:tcW w:w="3740" w:type="dxa"/>
            <w:tcBorders/>
            <w:vAlign w:val="center"/>
          </w:tcPr>
          <w:p>
            <w:pPr>
              <w:pStyle w:val="TableContents"/>
              <w:bidi w:val="0"/>
              <w:spacing w:before="0" w:after="0"/>
              <w:jc w:val="left"/>
              <w:rPr/>
            </w:pPr>
            <w:r>
              <w:rPr/>
              <w:t>CBT Properties, LLC</w:t>
            </w:r>
          </w:p>
        </w:tc>
        <w:tc>
          <w:tcPr>
            <w:tcW w:w="2270" w:type="dxa"/>
            <w:tcBorders/>
            <w:vAlign w:val="center"/>
          </w:tcPr>
          <w:p>
            <w:pPr>
              <w:pStyle w:val="TableContents"/>
              <w:bidi w:val="0"/>
              <w:spacing w:before="0" w:after="0"/>
              <w:jc w:val="left"/>
              <w:rPr/>
            </w:pPr>
            <w:r>
              <w:rPr/>
              <w:t>Texas</w:t>
            </w:r>
          </w:p>
        </w:tc>
      </w:tr>
      <w:tr>
        <w:trPr/>
        <w:tc>
          <w:tcPr>
            <w:tcW w:w="3740" w:type="dxa"/>
            <w:tcBorders/>
            <w:vAlign w:val="center"/>
          </w:tcPr>
          <w:p>
            <w:pPr>
              <w:pStyle w:val="TableContents"/>
              <w:bidi w:val="0"/>
              <w:spacing w:before="0" w:after="0"/>
              <w:jc w:val="left"/>
              <w:rPr/>
            </w:pPr>
            <w:r>
              <w:rPr/>
              <w:t>City Bank</w:t>
            </w:r>
          </w:p>
        </w:tc>
        <w:tc>
          <w:tcPr>
            <w:tcW w:w="2270" w:type="dxa"/>
            <w:tcBorders/>
            <w:vAlign w:val="center"/>
          </w:tcPr>
          <w:p>
            <w:pPr>
              <w:pStyle w:val="TableContents"/>
              <w:bidi w:val="0"/>
              <w:spacing w:before="0" w:after="0"/>
              <w:jc w:val="left"/>
              <w:rPr/>
            </w:pPr>
            <w:r>
              <w:rPr/>
              <w:t>Texas</w:t>
            </w:r>
          </w:p>
        </w:tc>
      </w:tr>
      <w:tr>
        <w:trPr/>
        <w:tc>
          <w:tcPr>
            <w:tcW w:w="3740" w:type="dxa"/>
            <w:tcBorders/>
            <w:vAlign w:val="center"/>
          </w:tcPr>
          <w:p>
            <w:pPr>
              <w:pStyle w:val="TableContents"/>
              <w:bidi w:val="0"/>
              <w:spacing w:before="0" w:after="0"/>
              <w:jc w:val="left"/>
              <w:rPr/>
            </w:pPr>
            <w:r>
              <w:rPr/>
              <w:t>Ruidoso Retail, Inc.</w:t>
            </w:r>
          </w:p>
        </w:tc>
        <w:tc>
          <w:tcPr>
            <w:tcW w:w="2270" w:type="dxa"/>
            <w:tcBorders/>
            <w:vAlign w:val="center"/>
          </w:tcPr>
          <w:p>
            <w:pPr>
              <w:pStyle w:val="TableContents"/>
              <w:bidi w:val="0"/>
              <w:spacing w:before="0" w:after="0"/>
              <w:jc w:val="left"/>
              <w:rPr/>
            </w:pPr>
            <w:r>
              <w:rPr/>
              <w:t>Texas</w:t>
            </w:r>
          </w:p>
        </w:tc>
      </w:tr>
      <w:tr>
        <w:trPr/>
        <w:tc>
          <w:tcPr>
            <w:tcW w:w="3740" w:type="dxa"/>
            <w:tcBorders/>
            <w:vAlign w:val="center"/>
          </w:tcPr>
          <w:p>
            <w:pPr>
              <w:pStyle w:val="TableContents"/>
              <w:bidi w:val="0"/>
              <w:spacing w:before="0" w:after="0"/>
              <w:jc w:val="left"/>
              <w:rPr/>
            </w:pPr>
            <w:r>
              <w:rPr/>
              <w:t>South Plains Financial Capital Trust III</w:t>
            </w:r>
          </w:p>
        </w:tc>
        <w:tc>
          <w:tcPr>
            <w:tcW w:w="2270" w:type="dxa"/>
            <w:tcBorders/>
            <w:vAlign w:val="center"/>
          </w:tcPr>
          <w:p>
            <w:pPr>
              <w:pStyle w:val="TableContents"/>
              <w:bidi w:val="0"/>
              <w:spacing w:before="0" w:after="0"/>
              <w:jc w:val="left"/>
              <w:rPr/>
            </w:pPr>
            <w:r>
              <w:rPr/>
              <w:t>Delaware</w:t>
            </w:r>
          </w:p>
        </w:tc>
      </w:tr>
      <w:tr>
        <w:trPr/>
        <w:tc>
          <w:tcPr>
            <w:tcW w:w="3740" w:type="dxa"/>
            <w:tcBorders/>
            <w:vAlign w:val="center"/>
          </w:tcPr>
          <w:p>
            <w:pPr>
              <w:pStyle w:val="TableContents"/>
              <w:bidi w:val="0"/>
              <w:spacing w:before="0" w:after="0"/>
              <w:jc w:val="left"/>
              <w:rPr/>
            </w:pPr>
            <w:r>
              <w:rPr/>
              <w:t>South Plains Financial Capital Trust IV</w:t>
            </w:r>
          </w:p>
        </w:tc>
        <w:tc>
          <w:tcPr>
            <w:tcW w:w="2270" w:type="dxa"/>
            <w:tcBorders/>
            <w:vAlign w:val="center"/>
          </w:tcPr>
          <w:p>
            <w:pPr>
              <w:pStyle w:val="TableContents"/>
              <w:bidi w:val="0"/>
              <w:spacing w:before="0" w:after="0"/>
              <w:jc w:val="left"/>
              <w:rPr/>
            </w:pPr>
            <w:r>
              <w:rPr/>
              <w:t>Delaware</w:t>
            </w:r>
          </w:p>
        </w:tc>
      </w:tr>
      <w:tr>
        <w:trPr/>
        <w:tc>
          <w:tcPr>
            <w:tcW w:w="3740" w:type="dxa"/>
            <w:tcBorders/>
            <w:vAlign w:val="center"/>
          </w:tcPr>
          <w:p>
            <w:pPr>
              <w:pStyle w:val="TableContents"/>
              <w:bidi w:val="0"/>
              <w:spacing w:before="0" w:after="0"/>
              <w:jc w:val="left"/>
              <w:rPr/>
            </w:pPr>
            <w:r>
              <w:rPr/>
              <w:t>South Plains Financial Capital Trust V</w:t>
            </w:r>
          </w:p>
        </w:tc>
        <w:tc>
          <w:tcPr>
            <w:tcW w:w="2270" w:type="dxa"/>
            <w:tcBorders/>
            <w:vAlign w:val="center"/>
          </w:tcPr>
          <w:p>
            <w:pPr>
              <w:pStyle w:val="TableContents"/>
              <w:bidi w:val="0"/>
              <w:spacing w:before="0" w:after="0"/>
              <w:jc w:val="left"/>
              <w:rPr/>
            </w:pPr>
            <w:r>
              <w:rPr/>
              <w:t>Delaware</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54" w:name="ef20023760_ex23-1.htm"/>
      <w:bookmarkStart w:id="255" w:name="ksef20023760_ex231"/>
      <w:bookmarkStart w:id="256" w:name="ef20023760_ex23-1.htm"/>
      <w:bookmarkStart w:id="257" w:name="ksef20023760_ex231"/>
      <w:bookmarkEnd w:id="256"/>
      <w:bookmarkEnd w:id="25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 of South Plains Financial, Inc. on Form S-8 (No. 333-231667) and on Form S-4/A (No. 333-250021) of our report dated March 15, 2024, on our audits of the consolidated financial statements of South Plains Financial, Inc. as of December 31, 2023 and 2022, and for each of the years in the two-year period ended December 31, 2023, which is included in this Annual Report on Form 10-K.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b/>
          <w:color w:val="000000"/>
          <w:sz w:val="20"/>
        </w:rPr>
        <w:t>FORVIS,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Houston, Texas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March 15, 2024</w:t>
      </w:r>
    </w:p>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58" w:name="ef20023760_ex23-2.htm"/>
      <w:bookmarkStart w:id="259" w:name="ksef20023760_ex232"/>
      <w:bookmarkStart w:id="260" w:name="ef20023760_ex23-2.htm"/>
      <w:bookmarkStart w:id="261" w:name="ksef20023760_ex232"/>
      <w:bookmarkEnd w:id="260"/>
      <w:bookmarkEnd w:id="26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the Shareholders, Board of Directors and Audit Committee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 Plains Financial,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Lubbock, Texas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incorporation by reference in South Plains Financial, Inc.’s Registration Statement (No. 333-231667) on Form S-8 and the Registration Statement (No. 333-250021) on Form S-4/A of our report dated March 7, 2022 relating to the consolidated financial statements of South Plains Financial, Inc. for the year ended December 31, 2021, before the effects of the immaterial correction to retrospectively adjust cash flow activity of certain mortgage loans described in Note 22, which report appears in this Annual Report on Form 10-K. We also consent to the reference to our firm under the caption “Experts” in the Form S-4/A.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b/>
          <w:color w:val="000000"/>
          <w:sz w:val="20"/>
        </w:rPr>
        <w:t>Weaver and Tidwell,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Fort Worth, Texas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March 15, 2024</w:t>
      </w:r>
    </w:p>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62" w:name="ef20023760_ex31-1.htm"/>
      <w:bookmarkStart w:id="263" w:name="ksef20023760_ex311"/>
      <w:bookmarkStart w:id="264" w:name="ef20023760_ex31-1.htm"/>
      <w:bookmarkStart w:id="265" w:name="ksef20023760_ex311"/>
      <w:bookmarkEnd w:id="264"/>
      <w:bookmarkEnd w:id="26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Curtis C. Griffith, certify that: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color w:val="000000"/>
              </w:rPr>
            </w:pPr>
            <w:r>
              <w:rPr>
                <w:color w:val="000000"/>
              </w:rPr>
              <w:t>1.</w:t>
            </w:r>
          </w:p>
        </w:tc>
        <w:tc>
          <w:tcPr>
            <w:tcW w:w="10011" w:type="dxa"/>
            <w:tcBorders/>
            <w:vAlign w:val="center"/>
          </w:tcPr>
          <w:p>
            <w:pPr>
              <w:pStyle w:val="TableContents"/>
              <w:bidi w:val="0"/>
              <w:spacing w:before="0" w:after="0"/>
              <w:jc w:val="both"/>
              <w:rPr>
                <w:color w:val="000000"/>
              </w:rPr>
            </w:pPr>
            <w:r>
              <w:rPr>
                <w:color w:val="000000"/>
              </w:rPr>
              <w:t>I have reviewed this Annual Report on Form 10-K of South Plains Financial, Inc. (the “registrant”) for the year ended December 31, 2023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 xml:space="preserve">The registrant’s other certifying officer and I are responsible for establishing and maintaining disclosure controls and procedures (as defined in Exchange Act Rules 13a-15(e) and 15d-15(e)) </w:t>
            </w:r>
            <w:r>
              <w:rPr>
                <w:color w:val="000000"/>
              </w:rPr>
              <w:t>and internal control over financial reporting (as defined in Exchange Act Rules 13a-15(f) and 15d-15(f))</w:t>
            </w:r>
            <w:r>
              <w:rPr/>
              <w:t xml:space="preserve"> 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0"/>
              <w:jc w:val="both"/>
              <w:rPr/>
            </w:pPr>
            <w:r>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6150" w:type="dxa"/>
        <w:jc w:val="left"/>
        <w:tblInd w:w="0" w:type="dxa"/>
        <w:tblLayout w:type="fixed"/>
        <w:tblCellMar>
          <w:top w:w="0" w:type="dxa"/>
          <w:left w:w="0" w:type="dxa"/>
          <w:bottom w:w="0" w:type="dxa"/>
          <w:right w:w="0" w:type="dxa"/>
        </w:tblCellMar>
      </w:tblPr>
      <w:tblGrid>
        <w:gridCol w:w="2105"/>
        <w:gridCol w:w="365"/>
        <w:gridCol w:w="3680"/>
      </w:tblGrid>
      <w:tr>
        <w:trPr/>
        <w:tc>
          <w:tcPr>
            <w:tcW w:w="2105" w:type="dxa"/>
            <w:tcBorders/>
            <w:vAlign w:val="center"/>
          </w:tcPr>
          <w:p>
            <w:pPr>
              <w:pStyle w:val="TableContents"/>
              <w:bidi w:val="0"/>
              <w:spacing w:before="0" w:after="0"/>
              <w:jc w:val="left"/>
              <w:rPr/>
            </w:pPr>
            <w:r>
              <w:rPr/>
              <w:t>Date: March 15, 2024</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1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3680" w:type="dxa"/>
            <w:tcBorders/>
            <w:vAlign w:val="center"/>
          </w:tcPr>
          <w:p>
            <w:pPr>
              <w:pStyle w:val="TableContents"/>
              <w:bidi w:val="0"/>
              <w:spacing w:before="0" w:after="0"/>
              <w:jc w:val="center"/>
              <w:rPr/>
            </w:pPr>
            <w:r>
              <w:rPr/>
              <w:t>Curtis C. Griffith</w:t>
            </w:r>
          </w:p>
        </w:tc>
      </w:tr>
      <w:tr>
        <w:trPr/>
        <w:tc>
          <w:tcPr>
            <w:tcW w:w="21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3680" w:type="dxa"/>
            <w:tcBorders/>
            <w:vAlign w:val="center"/>
          </w:tcPr>
          <w:p>
            <w:pPr>
              <w:pStyle w:val="TableContents"/>
              <w:bidi w:val="0"/>
              <w:spacing w:before="0" w:after="0"/>
              <w:jc w:val="center"/>
              <w:rPr/>
            </w:pPr>
            <w:r>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right"/>
        <w:rPr/>
      </w:pPr>
      <w:r>
        <w:rPr/>
      </w:r>
    </w:p>
    <w:p>
      <w:pPr>
        <w:pStyle w:val="HorizontalLine"/>
        <w:pBdr>
          <w:bottom w:val="single" w:sz="12" w:space="0" w:color="808080"/>
        </w:pBdr>
        <w:bidi w:val="0"/>
        <w:jc w:val="left"/>
        <w:rPr/>
      </w:pPr>
      <w:r>
        <w:rPr/>
      </w:r>
      <w:bookmarkStart w:id="266" w:name="ef20023760_ex31-2.htm"/>
      <w:bookmarkStart w:id="267" w:name="ksef20023760_ex312"/>
      <w:bookmarkStart w:id="268" w:name="ef20023760_ex31-2.htm"/>
      <w:bookmarkStart w:id="269" w:name="ksef20023760_ex312"/>
      <w:bookmarkEnd w:id="268"/>
      <w:bookmarkEnd w:id="26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Steven B. Crockett, certify that: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1.</w:t>
            </w:r>
          </w:p>
        </w:tc>
        <w:tc>
          <w:tcPr>
            <w:tcW w:w="10011" w:type="dxa"/>
            <w:tcBorders/>
            <w:vAlign w:val="center"/>
          </w:tcPr>
          <w:p>
            <w:pPr>
              <w:pStyle w:val="TableContents"/>
              <w:bidi w:val="0"/>
              <w:spacing w:before="0" w:after="0"/>
              <w:jc w:val="both"/>
              <w:rPr/>
            </w:pPr>
            <w:r>
              <w:rPr/>
              <w:t>I have reviewed this Annual Report on Form 10-K of South Plains Financial, Inc. (the “registrant”) for the year ended December 31, 2023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 xml:space="preserve">The registrant’s other certifying officer and I are responsible for establishing and maintaining disclosure controls and procedures (as defined in Exchange Act Rules 13a-15(e) and 15d-15(e)) </w:t>
            </w:r>
            <w:r>
              <w:rPr>
                <w:color w:val="000000"/>
              </w:rPr>
              <w:t xml:space="preserve">and internal control over financial reporting (as defined in Exchange Act Rules 13a-15(f) and 15d-15(f)) </w:t>
            </w:r>
            <w:r>
              <w:rPr/>
              <w:t>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0"/>
              <w:jc w:val="both"/>
              <w:rPr/>
            </w:pPr>
            <w:r>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680" w:type="dxa"/>
        <w:jc w:val="left"/>
        <w:tblInd w:w="0" w:type="dxa"/>
        <w:tblLayout w:type="fixed"/>
        <w:tblCellMar>
          <w:top w:w="0" w:type="dxa"/>
          <w:left w:w="0" w:type="dxa"/>
          <w:bottom w:w="0" w:type="dxa"/>
          <w:right w:w="0" w:type="dxa"/>
        </w:tblCellMar>
      </w:tblPr>
      <w:tblGrid>
        <w:gridCol w:w="2105"/>
        <w:gridCol w:w="365"/>
        <w:gridCol w:w="2210"/>
      </w:tblGrid>
      <w:tr>
        <w:trPr/>
        <w:tc>
          <w:tcPr>
            <w:tcW w:w="2105" w:type="dxa"/>
            <w:tcBorders/>
            <w:vAlign w:val="center"/>
          </w:tcPr>
          <w:p>
            <w:pPr>
              <w:pStyle w:val="TableContents"/>
              <w:bidi w:val="0"/>
              <w:spacing w:before="0" w:after="0"/>
              <w:jc w:val="left"/>
              <w:rPr/>
            </w:pPr>
            <w:r>
              <w:rPr/>
              <w:t>Date: March 15, 2024</w:t>
            </w:r>
          </w:p>
        </w:tc>
        <w:tc>
          <w:tcPr>
            <w:tcW w:w="365"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10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210" w:type="dxa"/>
            <w:tcBorders/>
            <w:vAlign w:val="center"/>
          </w:tcPr>
          <w:p>
            <w:pPr>
              <w:pStyle w:val="TableContents"/>
              <w:bidi w:val="0"/>
              <w:spacing w:before="0" w:after="0"/>
              <w:jc w:val="center"/>
              <w:rPr/>
            </w:pPr>
            <w:r>
              <w:rPr/>
              <w:t>Steven B. Crockett</w:t>
            </w:r>
          </w:p>
        </w:tc>
      </w:tr>
      <w:tr>
        <w:trPr/>
        <w:tc>
          <w:tcPr>
            <w:tcW w:w="210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21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70" w:name="ef20023760_ex32-1.htm"/>
      <w:bookmarkStart w:id="271" w:name="ksef20023760_ex321"/>
      <w:bookmarkStart w:id="272" w:name="ef20023760_ex32-1.htm"/>
      <w:bookmarkStart w:id="273" w:name="ksef20023760_ex321"/>
      <w:bookmarkEnd w:id="272"/>
      <w:bookmarkEnd w:id="27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Annual Report on Form 10-K of South Plains Financial, Inc. (the “Company”) for the year ended December 31, 2023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150" w:type="dxa"/>
        <w:jc w:val="left"/>
        <w:tblInd w:w="0" w:type="dxa"/>
        <w:tblLayout w:type="fixed"/>
        <w:tblCellMar>
          <w:top w:w="0" w:type="dxa"/>
          <w:left w:w="0" w:type="dxa"/>
          <w:bottom w:w="0" w:type="dxa"/>
          <w:right w:w="0" w:type="dxa"/>
        </w:tblCellMar>
      </w:tblPr>
      <w:tblGrid>
        <w:gridCol w:w="2105"/>
        <w:gridCol w:w="365"/>
        <w:gridCol w:w="3680"/>
      </w:tblGrid>
      <w:tr>
        <w:trPr/>
        <w:tc>
          <w:tcPr>
            <w:tcW w:w="2105" w:type="dxa"/>
            <w:tcBorders/>
            <w:vAlign w:val="center"/>
          </w:tcPr>
          <w:p>
            <w:pPr>
              <w:pStyle w:val="TableContents"/>
              <w:bidi w:val="0"/>
              <w:spacing w:before="0" w:after="0"/>
              <w:jc w:val="left"/>
              <w:rPr/>
            </w:pPr>
            <w:r>
              <w:rPr/>
              <w:t>Date: March 15, 2024</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1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3680" w:type="dxa"/>
            <w:tcBorders/>
            <w:vAlign w:val="center"/>
          </w:tcPr>
          <w:p>
            <w:pPr>
              <w:pStyle w:val="TableContents"/>
              <w:bidi w:val="0"/>
              <w:spacing w:before="0" w:after="0"/>
              <w:jc w:val="center"/>
              <w:rPr/>
            </w:pPr>
            <w:r>
              <w:rPr/>
              <w:t>Curtis C. Griffith</w:t>
            </w:r>
          </w:p>
        </w:tc>
      </w:tr>
      <w:tr>
        <w:trPr/>
        <w:tc>
          <w:tcPr>
            <w:tcW w:w="21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3680" w:type="dxa"/>
            <w:tcBorders/>
            <w:vAlign w:val="center"/>
          </w:tcPr>
          <w:p>
            <w:pPr>
              <w:pStyle w:val="TableContents"/>
              <w:bidi w:val="0"/>
              <w:spacing w:before="0" w:after="0"/>
              <w:jc w:val="center"/>
              <w:rPr/>
            </w:pPr>
            <w:r>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74" w:name="ef20023760_ex32-2.htm"/>
      <w:bookmarkStart w:id="275" w:name="ksef20023760_ex322"/>
      <w:bookmarkStart w:id="276" w:name="ef20023760_ex32-2.htm"/>
      <w:bookmarkStart w:id="277" w:name="ksef20023760_ex322"/>
      <w:bookmarkEnd w:id="276"/>
      <w:bookmarkEnd w:id="27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Annual Report on Form 10-K of South Plains Financial, Inc. (the “Company”) for the year ended December 31, 2023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680" w:type="dxa"/>
        <w:jc w:val="left"/>
        <w:tblInd w:w="0" w:type="dxa"/>
        <w:tblLayout w:type="fixed"/>
        <w:tblCellMar>
          <w:top w:w="0" w:type="dxa"/>
          <w:left w:w="0" w:type="dxa"/>
          <w:bottom w:w="0" w:type="dxa"/>
          <w:right w:w="0" w:type="dxa"/>
        </w:tblCellMar>
      </w:tblPr>
      <w:tblGrid>
        <w:gridCol w:w="2105"/>
        <w:gridCol w:w="365"/>
        <w:gridCol w:w="2210"/>
      </w:tblGrid>
      <w:tr>
        <w:trPr/>
        <w:tc>
          <w:tcPr>
            <w:tcW w:w="2105" w:type="dxa"/>
            <w:tcBorders/>
            <w:vAlign w:val="center"/>
          </w:tcPr>
          <w:p>
            <w:pPr>
              <w:pStyle w:val="TableContents"/>
              <w:bidi w:val="0"/>
              <w:spacing w:before="0" w:after="0"/>
              <w:jc w:val="left"/>
              <w:rPr/>
            </w:pPr>
            <w:r>
              <w:rPr/>
              <w:t>Date: March 15, 2024</w:t>
            </w:r>
          </w:p>
        </w:tc>
        <w:tc>
          <w:tcPr>
            <w:tcW w:w="365"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10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210" w:type="dxa"/>
            <w:tcBorders/>
            <w:vAlign w:val="center"/>
          </w:tcPr>
          <w:p>
            <w:pPr>
              <w:pStyle w:val="TableContents"/>
              <w:bidi w:val="0"/>
              <w:spacing w:before="0" w:after="0"/>
              <w:jc w:val="center"/>
              <w:rPr/>
            </w:pPr>
            <w:r>
              <w:rPr/>
              <w:t>Steven B. Crockett</w:t>
            </w:r>
          </w:p>
        </w:tc>
      </w:tr>
      <w:tr>
        <w:trPr/>
        <w:tc>
          <w:tcPr>
            <w:tcW w:w="2105"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r>
          </w:p>
        </w:tc>
        <w:tc>
          <w:tcPr>
            <w:tcW w:w="221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3668/000114036119013399/ex2_1.htm" TargetMode="External"/><Relationship Id="rId4" Type="http://schemas.openxmlformats.org/officeDocument/2006/relationships/hyperlink" Target="https://www.sec.gov/Archives/edgar/data/1163668/000114036123016009/brhc10050915_ex2-1.htm" TargetMode="External"/><Relationship Id="rId5" Type="http://schemas.openxmlformats.org/officeDocument/2006/relationships/hyperlink" Target="https://www.sec.gov/Archives/edgar/data/1163668/000114036119007042/s002614x4_ex3-1.htm" TargetMode="External"/><Relationship Id="rId6" Type="http://schemas.openxmlformats.org/officeDocument/2006/relationships/hyperlink" Target="https://www.sec.gov/Archives/edgar/data/0001163668/000114036121036078/brhc10030259_ex3-1.htm" TargetMode="External"/><Relationship Id="rId7" Type="http://schemas.openxmlformats.org/officeDocument/2006/relationships/hyperlink" Target="https://www.sec.gov/Archives/edgar/data/1163668/000114036119007758/s002614x6_ex4-1.htm" TargetMode="External"/><Relationship Id="rId8" Type="http://schemas.openxmlformats.org/officeDocument/2006/relationships/hyperlink" Target="https://www.sec.gov/Archives/edgar/data/1163668/000114036120021876/brhc10015606_ex4-1.htm" TargetMode="External"/><Relationship Id="rId9" Type="http://schemas.openxmlformats.org/officeDocument/2006/relationships/hyperlink" Target="https://www.sec.gov/Archives/edgar/data/1163668/000114036120021876/brhc10015606_ex4-1.htm" TargetMode="External"/><Relationship Id="rId10" Type="http://schemas.openxmlformats.org/officeDocument/2006/relationships/hyperlink" Target="https://www.sec.gov/Archives/edgar/data/1163668/000114036119013399/ex10_1.htm" TargetMode="External"/><Relationship Id="rId11" Type="http://schemas.openxmlformats.org/officeDocument/2006/relationships/hyperlink" Target="https://www.sec.gov/Archives/edgar/data/1163668/000114036119013399/ex10_2.htm" TargetMode="External"/><Relationship Id="rId12" Type="http://schemas.openxmlformats.org/officeDocument/2006/relationships/hyperlink" Target="https://www.sec.gov/Archives/edgar/data/1163668/000114036119022915/ex10_1.htm" TargetMode="External"/><Relationship Id="rId13" Type="http://schemas.openxmlformats.org/officeDocument/2006/relationships/hyperlink" Target="https://www.sec.gov/Archives/edgar/data/1163668/000114036119007758/s002614x6_ex10-4.htm" TargetMode="External"/><Relationship Id="rId14" Type="http://schemas.openxmlformats.org/officeDocument/2006/relationships/hyperlink" Target="https://www.sec.gov/Archives/edgar/data/0001163668/000114036121042617/brhc10032142_ex10-1.htm" TargetMode="External"/><Relationship Id="rId15" Type="http://schemas.openxmlformats.org/officeDocument/2006/relationships/hyperlink" Target="https://www.sec.gov/Archives/edgar/data/0001163668/000114036121042617/brhc10032142_ex10-2.htm" TargetMode="External"/><Relationship Id="rId16" Type="http://schemas.openxmlformats.org/officeDocument/2006/relationships/hyperlink" Target="https://www.sec.gov/Archives/edgar/data/1163668/000114036119007758/s002614x6_ex10-1.htm" TargetMode="External"/><Relationship Id="rId17" Type="http://schemas.openxmlformats.org/officeDocument/2006/relationships/hyperlink" Target="https://www.sec.gov/Archives/edgar/data/1163668/000114036119007758/s002614x6_ex10-2.htm" TargetMode="External"/><Relationship Id="rId18" Type="http://schemas.openxmlformats.org/officeDocument/2006/relationships/hyperlink" Target="https://www.sec.gov/Archives/edgar/data/1163668/000114036119007758/s002614x6_ex10-3.htm" TargetMode="External"/><Relationship Id="rId19" Type="http://schemas.openxmlformats.org/officeDocument/2006/relationships/hyperlink" Target="https://www.sec.gov/Archives/edgar/data/1163668/000114036119007758/s002614x6_ex10-9.htm" TargetMode="External"/><Relationship Id="rId20" Type="http://schemas.openxmlformats.org/officeDocument/2006/relationships/hyperlink" Target="https://www.sec.gov/Archives/edgar/data/1163668/000114036119007758/s002614x6_ex10-5.htm" TargetMode="External"/><Relationship Id="rId21" Type="http://schemas.openxmlformats.org/officeDocument/2006/relationships/hyperlink" Target="https://www.sec.gov/Archives/edgar/data/1163668/000114036119007758/s002614x6_ex10-6.htm" TargetMode="External"/><Relationship Id="rId22" Type="http://schemas.openxmlformats.org/officeDocument/2006/relationships/hyperlink" Target="https://www.sec.gov/Archives/edgar/data/1163668/000114036119007758/s002614x6_ex10-7.htm" TargetMode="External"/><Relationship Id="rId23" Type="http://schemas.openxmlformats.org/officeDocument/2006/relationships/hyperlink" Target="https://www.sec.gov/Archives/edgar/data/1163668/000114036119007758/s002614x6_ex10-8.htm" TargetMode="External"/><Relationship Id="rId24" Type="http://schemas.openxmlformats.org/officeDocument/2006/relationships/hyperlink" Target="https://www.sec.gov/Archives/edgar/data/1163668/000114036120021876/brhc10015606_ex10-1.htm" TargetMode="External"/><Relationship Id="rId25" Type="http://schemas.openxmlformats.org/officeDocument/2006/relationships/hyperlink" Target="https://www.sec.gov/Archives/edgar/data/1163668/000114036120021876/bhrc10015606_ex10-2.htm" TargetMode="External"/><Relationship Id="rId26" Type="http://schemas.openxmlformats.org/officeDocument/2006/relationships/hyperlink" Target="https://www.sec.gov/Archives/edgar/data/0001163668/000114036121035472/brhc10030069_ex16-1.htm" TargetMode="External"/><Relationship Id="rId27" Type="http://schemas.openxmlformats.org/officeDocument/2006/relationships/hyperlink" Target="https://www.sec.gov/Archives/edgar/data/1163668/000114036122009010/brhc10035098_ex16-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96309</Words>
  <Characters>531255</Characters>
  <CharactersWithSpaces>633549</CharactersWithSpaces>
  <Paragraphs>22131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