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149860</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178435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3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For the transition period from ______ to 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165100</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2"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21"/>
          <w:szCs w:val="21"/>
          <w:color w:val="auto"/>
        </w:rPr>
        <w:t>As of August 14, 2020, the registrant had 18,059,174 shares of common stock, par value $1.00 per share, outstanding.</w:t>
      </w:r>
    </w:p>
    <w:p>
      <w:pPr>
        <w:sectPr>
          <w:pgSz w:w="11900" w:h="16838" w:orient="portrait"/>
          <w:cols w:equalWidth="0" w:num="1">
            <w:col w:w="11240"/>
          </w:cols>
          <w:pgMar w:left="320" w:top="535"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CCEEFF"/>
            </w:tcBorders>
          </w:tcPr>
          <w:p>
            <w:pPr>
              <w:spacing w:after="0"/>
              <w:rPr>
                <w:sz w:val="20"/>
                <w:szCs w:val="20"/>
                <w:color w:val="auto"/>
              </w:rPr>
            </w:pPr>
          </w:p>
        </w:tc>
        <w:tc>
          <w:tcPr>
            <w:tcW w:w="96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shd w:val="clear" w:color="auto" w:fill="CCEEFF"/>
          </w:tcPr>
          <w:p>
            <w:pPr>
              <w:spacing w:after="0"/>
              <w:rPr>
                <w:sz w:val="18"/>
                <w:szCs w:val="18"/>
                <w:color w:val="auto"/>
              </w:rPr>
            </w:pP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(Unaudited)</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18"/>
                <w:szCs w:val="18"/>
                <w:color w:val="auto"/>
              </w:rPr>
            </w:pPr>
          </w:p>
        </w:tc>
        <w:tc>
          <w:tcPr>
            <w:tcW w:w="96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 (Unaudited)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960" w:type="dxa"/>
            <w:vAlign w:val="bottom"/>
            <w:shd w:val="clear" w:color="auto" w:fill="CCEEFF"/>
          </w:tcPr>
          <w:p>
            <w:pPr>
              <w:spacing w:after="0"/>
              <w:rPr>
                <w:sz w:val="18"/>
                <w:szCs w:val="18"/>
                <w:color w:val="auto"/>
              </w:rPr>
            </w:pP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Changes in Stockholders’ Equity (Unaudited)</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60" w:type="dxa"/>
            <w:vAlign w:val="bottom"/>
          </w:tcPr>
          <w:p>
            <w:pPr>
              <w:spacing w:after="0"/>
              <w:rPr>
                <w:sz w:val="18"/>
                <w:szCs w:val="18"/>
                <w:color w:val="auto"/>
              </w:rPr>
            </w:pPr>
          </w:p>
        </w:tc>
        <w:tc>
          <w:tcPr>
            <w:tcW w:w="96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60" w:type="dxa"/>
            <w:vAlign w:val="bottom"/>
            <w:shd w:val="clear" w:color="auto" w:fill="CCEEFF"/>
          </w:tcPr>
          <w:p>
            <w:pPr>
              <w:spacing w:after="0"/>
              <w:rPr>
                <w:sz w:val="18"/>
                <w:szCs w:val="18"/>
                <w:color w:val="auto"/>
              </w:rPr>
            </w:pP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Quantitative and Qualitative Disclosures About Market Risk</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OTHER INFORMATION</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Proceedings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Risk Factors</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20" w:type="dxa"/>
            <w:vAlign w:val="bottom"/>
            <w:shd w:val="clear" w:color="auto" w:fill="CCEEFF"/>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620" w:type="dxa"/>
            <w:vAlign w:val="bottom"/>
          </w:tcPr>
          <w:p>
            <w:pPr>
              <w:ind w:left="1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96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582"/>
        </w:trPr>
        <w:tc>
          <w:tcPr>
            <w:tcW w:w="960" w:type="dxa"/>
            <w:vAlign w:val="bottom"/>
          </w:tcPr>
          <w:p>
            <w:pPr>
              <w:spacing w:after="0"/>
              <w:rPr>
                <w:sz w:val="24"/>
                <w:szCs w:val="24"/>
                <w:color w:val="auto"/>
              </w:rPr>
            </w:pPr>
          </w:p>
        </w:tc>
        <w:tc>
          <w:tcPr>
            <w:tcW w:w="9620" w:type="dxa"/>
            <w:vAlign w:val="bottom"/>
          </w:tcPr>
          <w:p>
            <w:pPr>
              <w:ind w:left="4620"/>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24"/>
                <w:szCs w:val="24"/>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93"/>
              </w:rPr>
              <w:t>June 30, 2020   December 31, 2019</w:t>
            </w:r>
          </w:p>
        </w:tc>
        <w:tc>
          <w:tcPr>
            <w:tcW w:w="0" w:type="dxa"/>
            <w:vAlign w:val="bottom"/>
          </w:tcPr>
          <w:p>
            <w:pPr>
              <w:spacing w:after="0"/>
              <w:rPr>
                <w:sz w:val="1"/>
                <w:szCs w:val="1"/>
                <w:color w:val="auto"/>
              </w:rPr>
            </w:pPr>
          </w:p>
        </w:tc>
      </w:tr>
      <w:tr>
        <w:trPr>
          <w:trHeight w:val="234"/>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3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51,256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56,246</w:t>
            </w:r>
          </w:p>
        </w:tc>
        <w:tc>
          <w:tcPr>
            <w:tcW w:w="0" w:type="dxa"/>
            <w:vAlign w:val="bottom"/>
          </w:tcPr>
          <w:p>
            <w:pPr>
              <w:spacing w:after="0"/>
              <w:rPr>
                <w:sz w:val="1"/>
                <w:szCs w:val="1"/>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204,845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101,853</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730,674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49,035</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Loans held for investment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2,331,716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Bank-owned life insurance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70,071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36,160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28,320</w:t>
            </w:r>
          </w:p>
        </w:tc>
        <w:tc>
          <w:tcPr>
            <w:tcW w:w="0" w:type="dxa"/>
            <w:vAlign w:val="bottom"/>
          </w:tcPr>
          <w:p>
            <w:pPr>
              <w:spacing w:after="0"/>
              <w:rPr>
                <w:sz w:val="1"/>
                <w:szCs w:val="1"/>
                <w:color w:val="auto"/>
              </w:rPr>
            </w:pPr>
          </w:p>
        </w:tc>
      </w:tr>
      <w:tr>
        <w:trPr>
          <w:trHeight w:val="257"/>
        </w:trPr>
        <w:tc>
          <w:tcPr>
            <w:tcW w:w="8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3,584,532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940,853</w:t>
            </w:r>
          </w:p>
        </w:tc>
        <w:tc>
          <w:tcPr>
            <w:tcW w:w="100" w:type="dxa"/>
            <w:vAlign w:val="bottom"/>
          </w:tcPr>
          <w:p>
            <w:pPr>
              <w:spacing w:after="0"/>
              <w:rPr>
                <w:sz w:val="18"/>
                <w:szCs w:val="18"/>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790,921</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2,006,984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ind w:left="340"/>
              <w:spacing w:after="0"/>
              <w:rPr>
                <w:sz w:val="20"/>
                <w:szCs w:val="20"/>
                <w:color w:val="auto"/>
              </w:rPr>
            </w:pPr>
            <w:r>
              <w:rPr>
                <w:rFonts w:ascii="Arial" w:cs="Arial" w:eastAsia="Arial" w:hAnsi="Arial"/>
                <w:sz w:val="18"/>
                <w:szCs w:val="18"/>
                <w:color w:val="auto"/>
              </w:rPr>
              <w:t>Total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2,947,837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2,696,857</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37,165</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47,731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&amp; other borrowings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Subordinated debt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3,247,998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2,930,985</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$1.00 par value per share, 30,000,000 shares authorized; 18,059,174 and 18,036,115 issued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outstanding at June 30, 2020 and December 31, 2019, respectively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16"/>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140,620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140,492</w:t>
            </w:r>
          </w:p>
        </w:tc>
        <w:tc>
          <w:tcPr>
            <w:tcW w:w="0" w:type="dxa"/>
            <w:vAlign w:val="bottom"/>
          </w:tcPr>
          <w:p>
            <w:pPr>
              <w:spacing w:after="0"/>
              <w:rPr>
                <w:sz w:val="1"/>
                <w:szCs w:val="1"/>
                <w:color w:val="auto"/>
              </w:rPr>
            </w:pPr>
          </w:p>
        </w:tc>
      </w:tr>
      <w:tr>
        <w:trPr>
          <w:trHeight w:val="216"/>
        </w:trPr>
        <w:tc>
          <w:tcPr>
            <w:tcW w:w="8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146,696</w:t>
            </w:r>
          </w:p>
        </w:tc>
        <w:tc>
          <w:tcPr>
            <w:tcW w:w="0" w:type="dxa"/>
            <w:vAlign w:val="bottom"/>
          </w:tcPr>
          <w:p>
            <w:pPr>
              <w:spacing w:after="0"/>
              <w:rPr>
                <w:sz w:val="1"/>
                <w:szCs w:val="1"/>
                <w:color w:val="auto"/>
              </w:rPr>
            </w:pPr>
          </w:p>
        </w:tc>
      </w:tr>
      <w:tr>
        <w:trPr>
          <w:trHeight w:val="223"/>
        </w:trPr>
        <w:tc>
          <w:tcPr>
            <w:tcW w:w="83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336,534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3,584,532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60,876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32,509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69,744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7,043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12,028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7,672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9,097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15,130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19,367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2,506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6,823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3,421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9,406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6,762</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5,615</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5,615</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28,002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7,317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losses on cash flow hedges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3,484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18,586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5,780</w:t>
            </w:r>
          </w:p>
        </w:tc>
      </w:tr>
      <w:tr>
        <w:trPr>
          <w:trHeight w:val="257"/>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120" w:type="dxa"/>
            <w:vAlign w:val="bottom"/>
            <w:gridSpan w:val="5"/>
            <w:vMerge w:val="restart"/>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ESOP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Retained</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Capital</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19"/>
                <w:szCs w:val="19"/>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Stock</w:t>
            </w:r>
          </w:p>
        </w:tc>
        <w:tc>
          <w:tcPr>
            <w:tcW w:w="10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119,834</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154,580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920" w:type="dxa"/>
            <w:vAlign w:val="bottom"/>
          </w:tcPr>
          <w:p>
            <w:pPr>
              <w:jc w:val="right"/>
              <w:spacing w:after="0"/>
              <w:rPr>
                <w:sz w:val="20"/>
                <w:szCs w:val="20"/>
                <w:color w:val="auto"/>
              </w:rPr>
            </w:pPr>
            <w:r>
              <w:rPr>
                <w:rFonts w:ascii="Arial" w:cs="Arial" w:eastAsia="Arial" w:hAnsi="Arial"/>
                <w:sz w:val="18"/>
                <w:szCs w:val="18"/>
                <w:color w:val="auto"/>
              </w:rPr>
              <w:t>3,207,000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48,185</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Other comprehensive (loss),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Terminated ESOP put option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liability awards modified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equity awards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11,450</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Cumulative change in accounting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8"/>
                <w:szCs w:val="18"/>
                <w:color w:val="auto"/>
              </w:rPr>
              <w:t>principle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17,978,520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129,408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291,113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18,036,115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146,696</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306,182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Common - $0.03 per share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18,586</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w w:val="94"/>
              </w:rPr>
              <w:t>and vesting of restricted stock units,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rPr>
              <w:t>net of 17,178 shares for cashless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w w:val="94"/>
              </w:rPr>
              <w:t>exercise and net of 7,608 shares for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taxes</w:t>
            </w:r>
          </w:p>
        </w:tc>
        <w:tc>
          <w:tcPr>
            <w:tcW w:w="920" w:type="dxa"/>
            <w:vAlign w:val="bottom"/>
          </w:tcPr>
          <w:p>
            <w:pPr>
              <w:jc w:val="right"/>
              <w:spacing w:after="0"/>
              <w:rPr>
                <w:sz w:val="20"/>
                <w:szCs w:val="20"/>
                <w:color w:val="auto"/>
              </w:rPr>
            </w:pPr>
            <w:r>
              <w:rPr>
                <w:rFonts w:ascii="Arial" w:cs="Arial" w:eastAsia="Arial" w:hAnsi="Arial"/>
                <w:sz w:val="18"/>
                <w:szCs w:val="18"/>
                <w:color w:val="auto"/>
              </w:rPr>
              <w:t>27,759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Extinguish treasury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(4,700)</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18,059,174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140,620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158,311</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336,534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123,328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160,370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920" w:type="dxa"/>
            <w:vAlign w:val="bottom"/>
          </w:tcPr>
          <w:p>
            <w:pPr>
              <w:jc w:val="right"/>
              <w:spacing w:after="0"/>
              <w:rPr>
                <w:sz w:val="20"/>
                <w:szCs w:val="20"/>
                <w:color w:val="auto"/>
              </w:rPr>
            </w:pPr>
            <w:r>
              <w:rPr>
                <w:rFonts w:ascii="Arial" w:cs="Arial" w:eastAsia="Arial" w:hAnsi="Arial"/>
                <w:sz w:val="18"/>
                <w:szCs w:val="18"/>
                <w:color w:val="auto"/>
              </w:rPr>
              <w:t>3,207,000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48,185</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Terminated ESOP put option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liability awards modified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equity awards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11,450</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17,978,520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140,189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129,408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291,113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18,056,014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18,056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140,699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153,238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326,890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Cash dividends: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 $0.03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and vesting of restricted stock units,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16,518 shares for cashless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exercise and net of 2,622 shares for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Extinguish treasury stock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18,059,174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140,620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158,311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336,534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8"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(2,441)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567,294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274,021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(584,696)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(263,676)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change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 receivable and other assets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18,340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r>
      <w:tr>
        <w:trPr>
          <w:trHeight w:val="223"/>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(8,580)</w:t>
            </w: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94,514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93,478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(193,060)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Purchases of premises and equipment, net</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(2,402)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(2,406)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premises and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Proceeds from sales of foreclosed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from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(190,525)</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change in 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250,980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4,404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short-term borrowings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common stock issuance, net</w:t>
            </w: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notes payable &amp; other borrowings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to tax authorities for stock-based compensation</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made on notes payable and other borrowings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dividends on common stock</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(1,083)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from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297,107</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39,371</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98,002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162,127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256,101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408,116</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liability awards modified to equity awards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780"/>
        <w:spacing w:after="0" w:line="238" w:lineRule="auto"/>
        <w:rPr>
          <w:sz w:val="20"/>
          <w:szCs w:val="20"/>
          <w:color w:val="auto"/>
        </w:rPr>
      </w:pPr>
      <w:r>
        <w:rPr>
          <w:rFonts w:ascii="Arial" w:cs="Arial" w:eastAsia="Arial" w:hAnsi="Arial"/>
          <w:sz w:val="22"/>
          <w:szCs w:val="22"/>
          <w:b w:val="1"/>
          <w:bCs w:val="1"/>
          <w:color w:val="auto"/>
        </w:rPr>
        <w:t>SOUTH PLAINS FINANCIAL, INC. AND SUBSIDIARIES NOTES TO CONSOLIDATED FINANCIAL STATEMENTS (Unaudited)</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9" w:lineRule="exact"/>
        <w:rPr>
          <w:sz w:val="20"/>
          <w:szCs w:val="20"/>
          <w:color w:val="auto"/>
        </w:rPr>
      </w:pPr>
    </w:p>
    <w:p>
      <w:pPr>
        <w:jc w:val="both"/>
        <w:ind w:firstLine="1"/>
        <w:spacing w:after="0" w:line="238" w:lineRule="auto"/>
        <w:rPr>
          <w:sz w:val="20"/>
          <w:szCs w:val="20"/>
          <w:color w:val="auto"/>
        </w:rPr>
      </w:pPr>
      <w:r>
        <w:rPr>
          <w:rFonts w:ascii="Arial" w:cs="Arial" w:eastAsia="Arial" w:hAnsi="Arial"/>
          <w:sz w:val="22"/>
          <w:szCs w:val="22"/>
          <w:i w:val="1"/>
          <w:iCs w:val="1"/>
          <w:u w:val="single" w:color="auto"/>
          <w:color w:val="auto"/>
        </w:rPr>
        <w:t>Nature of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 South Plains Financial, Inc. (“SPFI”) is a Texas corporation and registered bank holding company that</w:t>
      </w:r>
      <w:r>
        <w:rPr>
          <w:rFonts w:ascii="Arial" w:cs="Arial" w:eastAsia="Arial" w:hAnsi="Arial"/>
          <w:sz w:val="22"/>
          <w:szCs w:val="22"/>
          <w:i w:val="1"/>
          <w:iCs w:val="1"/>
          <w:color w:val="auto"/>
        </w:rPr>
        <w:t xml:space="preserve"> </w:t>
      </w:r>
      <w:r>
        <w:rPr>
          <w:rFonts w:ascii="Arial" w:cs="Arial" w:eastAsia="Arial" w:hAnsi="Arial"/>
          <w:sz w:val="22"/>
          <w:szCs w:val="22"/>
          <w:color w:val="auto"/>
        </w:rPr>
        <w:t>conducts its principal 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420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Windmark Insurance Agency, Inc. (“Windmark”)</w:t>
            </w:r>
          </w:p>
        </w:tc>
        <w:tc>
          <w:tcPr>
            <w:tcW w:w="420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420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4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420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4200" w:type="dxa"/>
            <w:vAlign w:val="bottom"/>
            <w:shd w:val="clear" w:color="auto" w:fill="CCEEFF"/>
          </w:tcPr>
          <w:p>
            <w:pPr>
              <w:spacing w:after="0"/>
              <w:rPr>
                <w:sz w:val="18"/>
                <w:szCs w:val="18"/>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420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Basis of Presentation and Consolidation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consolidated financial statements in this Quarterly Report on Form 10-Q (this</w:t>
      </w:r>
      <w:r>
        <w:rPr>
          <w:rFonts w:ascii="Arial" w:cs="Arial" w:eastAsia="Arial" w:hAnsi="Arial"/>
          <w:sz w:val="19"/>
          <w:szCs w:val="19"/>
          <w:i w:val="1"/>
          <w:iCs w:val="1"/>
          <w:color w:val="auto"/>
        </w:rPr>
        <w:t xml:space="preserve"> </w:t>
      </w:r>
      <w:r>
        <w:rPr>
          <w:rFonts w:ascii="Arial" w:cs="Arial" w:eastAsia="Arial" w:hAnsi="Arial"/>
          <w:sz w:val="19"/>
          <w:szCs w:val="19"/>
          <w:color w:val="auto"/>
        </w:rPr>
        <w:t>“Form 10-Q”) include the accounts of SPFI and its wholly owned consolidated subsidiaries (collectively referred to as the “Company”) identified above. All significant intercompany balances and transactions have been eliminated in consolidation.</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in the Company’s Annual Report on Form 10-K for the year ended December 31, 2019. Operating results for the interim periods disclosed herein are not necessarily indicative of the results that may be expected for a full year or any future period.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Change in Capital Structure</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On March 11, 2019, the Company amended and restated its Certificate of Formation. The Amended and Restated Certificate of Formation increased the number of authorized shares of common stock, par value $1.00 per share, from 1,000,000 to 30,000,000.</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Loans</w:t>
      </w:r>
      <w:r>
        <w:rPr>
          <w:rFonts w:ascii="Arial" w:cs="Arial" w:eastAsia="Arial" w:hAnsi="Arial"/>
          <w:sz w:val="19"/>
          <w:szCs w:val="19"/>
          <w:i w:val="1"/>
          <w:iCs w:val="1"/>
          <w:color w:val="auto"/>
        </w:rPr>
        <w:t xml:space="preserve"> </w:t>
      </w:r>
      <w:r>
        <w:rPr>
          <w:rFonts w:ascii="Arial" w:cs="Arial" w:eastAsia="Arial" w:hAnsi="Arial"/>
          <w:sz w:val="19"/>
          <w:szCs w:val="19"/>
          <w:color w:val="auto"/>
        </w:rPr>
        <w:t>– 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ectPr>
          <w:pgSz w:w="11900" w:h="16838" w:orient="portrait"/>
          <w:cols w:equalWidth="0" w:num="1">
            <w:col w:w="11240"/>
          </w:cols>
          <w:pgMar w:left="320" w:top="121" w:right="3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Allowance for Loan Losses</w:t>
      </w:r>
      <w:r>
        <w:rPr>
          <w:rFonts w:ascii="Arial" w:cs="Arial" w:eastAsia="Arial" w:hAnsi="Arial"/>
          <w:sz w:val="19"/>
          <w:szCs w:val="19"/>
          <w:i w:val="1"/>
          <w:iCs w:val="1"/>
          <w:color w:val="auto"/>
        </w:rPr>
        <w:t xml:space="preserve"> </w:t>
      </w:r>
      <w:r>
        <w:rPr>
          <w:rFonts w:ascii="Arial" w:cs="Arial" w:eastAsia="Arial" w:hAnsi="Arial"/>
          <w:sz w:val="19"/>
          <w:szCs w:val="19"/>
          <w:color w:val="auto"/>
        </w:rPr>
        <w:t>– 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Acquired Loans</w:t>
      </w:r>
      <w:r>
        <w:rPr>
          <w:rFonts w:ascii="Arial" w:cs="Arial" w:eastAsia="Arial" w:hAnsi="Arial"/>
          <w:sz w:val="22"/>
          <w:szCs w:val="22"/>
          <w:i w:val="1"/>
          <w:iCs w:val="1"/>
          <w:color w:val="auto"/>
        </w:rPr>
        <w:t xml:space="preserve"> </w:t>
      </w:r>
      <w:r>
        <w:rPr>
          <w:rFonts w:ascii="Arial" w:cs="Arial" w:eastAsia="Arial" w:hAnsi="Arial"/>
          <w:sz w:val="22"/>
          <w:szCs w:val="22"/>
          <w:color w:val="auto"/>
        </w:rPr>
        <w:t>– Loans that the Company acquires in connection with business combinations are recorded at fair value with no</w:t>
      </w:r>
      <w:r>
        <w:rPr>
          <w:rFonts w:ascii="Arial" w:cs="Arial" w:eastAsia="Arial" w:hAnsi="Arial"/>
          <w:sz w:val="22"/>
          <w:szCs w:val="22"/>
          <w:i w:val="1"/>
          <w:iCs w:val="1"/>
          <w:color w:val="auto"/>
        </w:rPr>
        <w:t xml:space="preserve"> </w:t>
      </w:r>
      <w:r>
        <w:rPr>
          <w:rFonts w:ascii="Arial" w:cs="Arial" w:eastAsia="Arial" w:hAnsi="Arial"/>
          <w:sz w:val="22"/>
          <w:szCs w:val="22"/>
          <w:color w:val="auto"/>
        </w:rPr>
        <w:t>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9"/>
          <w:szCs w:val="19"/>
          <w:i w:val="1"/>
          <w:iCs w:val="1"/>
          <w:color w:val="auto"/>
        </w:rPr>
        <w:t>Loans and Debt Securities Acquired with Deteriorated Credit Quality.</w:t>
      </w:r>
      <w:r>
        <w:rPr>
          <w:rFonts w:ascii="Arial" w:cs="Arial" w:eastAsia="Arial" w:hAnsi="Arial"/>
          <w:sz w:val="19"/>
          <w:szCs w:val="19"/>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ectPr>
          <w:pgSz w:w="11900" w:h="16838" w:orient="portrait"/>
          <w:cols w:equalWidth="0" w:num="1">
            <w:col w:w="11240"/>
          </w:cols>
          <w:pgMar w:left="320" w:top="121" w:right="339" w:bottom="413"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13"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Goodwill and Other Intangible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remaining other intangible assets consist of customer relationship and employment agreement intangible assets and are amortized over their estimated useful lives of 5 years.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u w:val="single" w:color="auto"/>
          <w:color w:val="auto"/>
        </w:rPr>
        <w:t>Stock-based Compensation</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sponsors an equity incentive plan under which options to acquire shares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Reclassification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amounts in the Company’s Annual Report on Form 10-K, for the year ended December 31, 2019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reclassified to conform to the 2020 presentation.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GAAP for nongovernmental entities. Updates to ASC are prescribed in Accounting Standards Updates</w:t>
      </w:r>
      <w:r>
        <w:rPr>
          <w:rFonts w:ascii="Arial" w:cs="Arial" w:eastAsia="Arial" w:hAnsi="Arial"/>
          <w:sz w:val="22"/>
          <w:szCs w:val="22"/>
          <w:i w:val="1"/>
          <w:iCs w:val="1"/>
          <w:color w:val="auto"/>
        </w:rPr>
        <w:t xml:space="preserve"> </w:t>
      </w:r>
      <w:r>
        <w:rPr>
          <w:rFonts w:ascii="Arial" w:cs="Arial" w:eastAsia="Arial" w:hAnsi="Arial"/>
          <w:sz w:val="22"/>
          <w:szCs w:val="22"/>
          <w:color w:val="auto"/>
        </w:rPr>
        <w:t>(“ASU”), which are not authoritative until incorporated into ASC.</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ASU 2016-13 Financial Instruments - Credit Losses (Topic 326). </w:t>
      </w:r>
      <w:r>
        <w:rPr>
          <w:rFonts w:ascii="Arial" w:cs="Arial" w:eastAsia="Arial" w:hAnsi="Arial"/>
          <w:sz w:val="22"/>
          <w:szCs w:val="22"/>
          <w:color w:val="auto"/>
        </w:rPr>
        <w:t>The FASB issued guidance to replace the incurred loss model</w:t>
      </w:r>
      <w:r>
        <w:rPr>
          <w:rFonts w:ascii="Arial" w:cs="Arial" w:eastAsia="Arial" w:hAnsi="Arial"/>
          <w:sz w:val="22"/>
          <w:szCs w:val="22"/>
          <w:i w:val="1"/>
          <w:iCs w:val="1"/>
          <w:color w:val="auto"/>
        </w:rPr>
        <w:t xml:space="preserve"> </w:t>
      </w:r>
      <w:r>
        <w:rPr>
          <w:rFonts w:ascii="Arial" w:cs="Arial" w:eastAsia="Arial" w:hAnsi="Arial"/>
          <w:sz w:val="22"/>
          <w:szCs w:val="22"/>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ASU 2017-04, Intangibles - Goodwill and Other (Topic 350). </w:t>
      </w:r>
      <w:r>
        <w:rPr>
          <w:rFonts w:ascii="Arial" w:cs="Arial" w:eastAsia="Arial" w:hAnsi="Arial"/>
          <w:sz w:val="19"/>
          <w:szCs w:val="19"/>
          <w:color w:val="auto"/>
        </w:rPr>
        <w:t>This ASU simplifies the accounting for goodwill impairment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by eliminating 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significant impact on its financial statements. The Company’s policy is to test goodwill for impairment annually or on an interim basis if an event triggering impairment may have occurred. During the period ended June 30, 2020, the economic disruption and uncertainty surrounding the ongoing COVID-19 pandemic and the recent volatility in the market price of crude oil resulted in a decrease in the Company’s stock price. The Company believed this resulted in a triggering event requiring an interim goodwill impairment quantitative analysis. Under the new simplified guidance, the Company’s estimated fair value as of June 30, 2020, exceeded its carrying amount resulting in no impairment charge for the period. Management will continue to evaluate the economic conditions at future reporting periods for applicable changes.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Subsequent Events</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has evaluated subsequent events and transactions from June 30, 2020 through the date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Form 10-Q was filed with the SEC for potential recognition or disclosure as required by GAAP and determined that there were no material subsequent events requiring recognition or disclosure.</w:t>
      </w:r>
    </w:p>
    <w:p>
      <w:pPr>
        <w:spacing w:after="0" w:line="21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2020</w:t>
            </w:r>
          </w:p>
        </w:tc>
        <w:tc>
          <w:tcPr>
            <w:tcW w:w="4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214,576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224,032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358,304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107,562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35,960</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703,777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26,915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730,674</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94,512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7"/>
        </w:trPr>
        <w:tc>
          <w:tcPr>
            <w:tcW w:w="14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1"/>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fair value of securities at June 30, 2020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5"/>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197,387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206,050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484,451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703,777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730,674</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At both June 30, 2020 and December 31, 2019, there were no holdings of securities of any one issuer, other than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government and its agencies, in an amount greater than 10% of stockholders’ equity.</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Securities with a carrying value of approximately $268.0 million and $211.0 million at June 30, 2020 and December 31, 2019, respectively, were pledged to collateralize public deposits and for other purposes as required or permitted by law.</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segregates securities with unrealized losses at the periods indicated, by the duration they have been in a loss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June 30, 2020</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405,209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were two securities with an unrealized loss at June 30, 2020.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June 30, 2020, management believes the impairments detailed in the table above are temporary and no impairment loss has been realized in the Company’s consolidated financial statements.</w:t>
      </w: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tab/>
        <w:t>LOANS HELD FOR INVESTMENT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Loans held for investment are summarized by category as of the periods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96,638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(40,635)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ectPr>
          <w:pgSz w:w="11900" w:h="16838" w:orient="portrait"/>
          <w:cols w:equalWidth="0" w:num="1">
            <w:col w:w="11240"/>
          </w:cols>
          <w:pgMar w:left="320" w:top="122" w:right="339" w:bottom="76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6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u w:val="single" w:color="auto"/>
          <w:color w:val="auto"/>
        </w:rPr>
        <w:t>Commercial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 Commercial real estate loans are also subject to underwriting standards and processes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allowance for loan losses was $40.6 million at June 30, 2020, compared to $24.2 million at December 31, 2019. The allowance for loan losses to loans held for investment was 1.74% at June 30, 2020 and 1.13% at December 31, 2019. The increase in the allowance for loan losses in the second quarter of 2020 compared to the second quarter of 2019 is a result of economic effects from the ongoing COVID-19 pandemic as well as the decline in oil and gas prices that started in the first quarter of 2020. The increase in the provision for loan losses in the second quarter 2020 compared to the first quarter 2020 is a result of a further worsening of the economy and continued uncertainty from the ongoing COVID-19 pandemic. The full extent of the impact of the COVID-19 pandemic on the economy and the Company’s customers is still unknown at this time. Accordingly, additional provisions for loan losses may be necessary in future periods.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June 30, 2020</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0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June 30, 2019</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5,335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5,415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8,325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7"/>
        </w:trPr>
        <w:tc>
          <w:tcPr>
            <w:tcW w:w="30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22" w:right="339" w:bottom="0" w:gutter="0" w:footer="0" w:header="0"/>
        </w:sectPr>
      </w:pPr>
    </w:p>
    <w:bookmarkStart w:id="14" w:name="page15"/>
    <w:bookmarkEnd w:id="14"/>
    <w:p>
      <w:pPr>
        <w:spacing w:after="0"/>
        <w:tabs>
          <w:tab w:leader="none" w:pos="4600" w:val="left"/>
          <w:tab w:leader="none" w:pos="5240" w:val="left"/>
          <w:tab w:leader="none" w:pos="5980" w:val="left"/>
          <w:tab w:leader="none" w:pos="6840" w:val="left"/>
          <w:tab w:leader="none" w:pos="7360" w:val="left"/>
          <w:tab w:leader="none" w:pos="8140" w:val="left"/>
          <w:tab w:leader="none" w:pos="8680" w:val="left"/>
          <w:tab w:leader="none" w:pos="9520" w:val="left"/>
          <w:tab w:leader="none" w:pos="10000" w:val="left"/>
          <w:tab w:leader="none" w:pos="106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23,381</w:t>
        <w:tab/>
        <w:t>$</w:t>
      </w:r>
      <w:r>
        <w:rPr>
          <w:sz w:val="20"/>
          <w:szCs w:val="20"/>
          <w:color w:val="auto"/>
        </w:rPr>
        <w:tab/>
      </w:r>
      <w:r>
        <w:rPr>
          <w:rFonts w:ascii="Arial" w:cs="Arial" w:eastAsia="Arial" w:hAnsi="Arial"/>
          <w:sz w:val="18"/>
          <w:szCs w:val="18"/>
          <w:color w:val="auto"/>
        </w:rPr>
        <w:t>875</w:t>
        <w:tab/>
        <w:t>$</w:t>
      </w:r>
      <w:r>
        <w:rPr>
          <w:sz w:val="20"/>
          <w:szCs w:val="20"/>
          <w:color w:val="auto"/>
        </w:rPr>
        <w:tab/>
      </w:r>
      <w:r>
        <w:rPr>
          <w:rFonts w:ascii="Arial" w:cs="Arial" w:eastAsia="Arial" w:hAnsi="Arial"/>
          <w:sz w:val="18"/>
          <w:szCs w:val="18"/>
          <w:color w:val="auto"/>
        </w:rPr>
        <w:t>(546)</w:t>
        <w:tab/>
        <w:t>$</w:t>
      </w:r>
      <w:r>
        <w:rPr>
          <w:sz w:val="20"/>
          <w:szCs w:val="20"/>
          <w:color w:val="auto"/>
        </w:rPr>
        <w:tab/>
      </w:r>
      <w:r>
        <w:rPr>
          <w:rFonts w:ascii="Arial" w:cs="Arial" w:eastAsia="Arial" w:hAnsi="Arial"/>
          <w:sz w:val="18"/>
          <w:szCs w:val="18"/>
          <w:color w:val="auto"/>
        </w:rPr>
        <w:t>461</w:t>
        <w:tab/>
        <w:t>$</w:t>
      </w:r>
      <w:r>
        <w:rPr>
          <w:sz w:val="20"/>
          <w:szCs w:val="20"/>
          <w:color w:val="auto"/>
        </w:rPr>
        <w:tab/>
      </w:r>
      <w:r>
        <w:rPr>
          <w:rFonts w:ascii="Arial" w:cs="Arial" w:eastAsia="Arial" w:hAnsi="Arial"/>
          <w:sz w:val="16"/>
          <w:szCs w:val="16"/>
          <w:color w:val="auto"/>
        </w:rPr>
        <w:t>24,171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13194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31945" cy="3429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462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2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six months ended June 30, 2020</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16"/>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19,367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40,635</w:t>
            </w:r>
          </w:p>
        </w:tc>
      </w:tr>
      <w:tr>
        <w:trPr>
          <w:trHeight w:val="21"/>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six months ended June 30, 2019</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24,171</w:t>
            </w:r>
          </w:p>
        </w:tc>
      </w:tr>
      <w:tr>
        <w:trPr>
          <w:trHeight w:val="20"/>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c>
          <w:tcPr>
            <w:tcW w:w="0" w:type="dxa"/>
            <w:vAlign w:val="bottom"/>
          </w:tcPr>
          <w:p>
            <w:pPr>
              <w:spacing w:after="0"/>
              <w:rPr>
                <w:sz w:val="1"/>
                <w:szCs w:val="1"/>
                <w:color w:val="auto"/>
              </w:rPr>
            </w:pPr>
          </w:p>
        </w:tc>
      </w:tr>
      <w:tr>
        <w:trPr>
          <w:trHeight w:val="175"/>
        </w:trPr>
        <w:tc>
          <w:tcPr>
            <w:tcW w:w="3700" w:type="dxa"/>
            <w:vAlign w:val="bottom"/>
            <w:gridSpan w:val="3"/>
          </w:tcPr>
          <w:p>
            <w:pPr>
              <w:spacing w:after="0" w:line="176" w:lineRule="exact"/>
              <w:rPr>
                <w:sz w:val="20"/>
                <w:szCs w:val="20"/>
                <w:color w:val="auto"/>
              </w:rPr>
            </w:pPr>
            <w:r>
              <w:rPr>
                <w:rFonts w:ascii="Arial" w:cs="Arial" w:eastAsia="Arial" w:hAnsi="Arial"/>
                <w:sz w:val="18"/>
                <w:szCs w:val="18"/>
                <w:color w:val="auto"/>
              </w:rPr>
              <w:t>June 30, 2020</w:t>
            </w:r>
          </w:p>
        </w:tc>
        <w:tc>
          <w:tcPr>
            <w:tcW w:w="2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651,527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324,868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620,027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358,471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202,263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96,638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2,323,548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39,759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2,139,456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vMerge w:val="restart"/>
          </w:tcPr>
          <w:p>
            <w:pPr>
              <w:jc w:val="right"/>
              <w:ind w:right="194"/>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Impaired loan information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June 30, 2020</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8,587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4,737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7,467</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6,764</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All impaired loans $250,000 and greater were specifically evaluated for impairment. Interest income recognized using a cash-basis method on impaired loans for the six-month period ended June 30, 2020 and the year ended December 31, 2019 was not significant. Additional funds committed to be advanced on impaired loans are not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provides an age analysis on accruing past-due loans and nonaccrual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Past Due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June 30, 2020</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13,528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internal classifications of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June 30, 2020</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59,906</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655,906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17,547</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325,942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620,905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5,717</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360,308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202,263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69,468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69,754</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96,638</w:t>
            </w:r>
          </w:p>
        </w:tc>
      </w:tr>
      <w:tr>
        <w:trPr>
          <w:trHeight w:val="216"/>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2,236,369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95,347</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2,331,716</w:t>
            </w:r>
          </w:p>
        </w:tc>
      </w:tr>
      <w:tr>
        <w:trPr>
          <w:trHeight w:val="20"/>
        </w:trPr>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26,254</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r>
      <w:tr>
        <w:trPr>
          <w:trHeight w:val="20"/>
        </w:trPr>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section 4013 of the Coronavirus Aid, Relief, and Economic Security Act (the “CARES Act”), banks may elect to deem that loan modifications do not result in a classification as a troubled debt restructuring (“TDR”) if they are (1) related to the COVID-19 pandemic; (2) executed on a loan that was not more than 30 days past due as of December 31, 2019; and (3) executed between March 1, 2020, and the earlier of (A) 60 days after the date of termination of the national emergency or (B) December 31, 2020. The Company elected to adopt these provisions of the CARES Act.</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line="77"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response to the COVID-19 pandemic, the Company implemented a short-term deferral modification program that complies with ASC Subtopic 310-40 and the Joint Interagency Regulatory Guidance. As of June 30, 2020, the Company had modified approximately $415.6 million in loans that comply with ASC Subtopic 310-40 and the Joint Interagency Regulatory Guidance. These modifications include: $298.1 million in six months of interest-only payments, $68.1 million in 90 day commercial payment deferrals, and $49.4 million in consumer one to four month payment deferrals. The total of all of these short-term modifications represented 17.8% of outstanding loans held for investment at June 30, 2020.</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do comply with the provisions of section 4013 of the CARES Act. As of June 30, 2020 the Company had 19 loans totaling approximately $48.8 million subject to these deferral and modification agreements, representing 2.1% of outstanding loans held for investment.</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were no loans modified as troubled debt restructurings during the six-month period ended June 30, 2020 and the year ended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440" w:type="dxa"/>
            <w:vAlign w:val="bottom"/>
          </w:tcPr>
          <w:p>
            <w:pPr>
              <w:ind w:left="100"/>
              <w:spacing w:after="0"/>
              <w:rPr>
                <w:sz w:val="20"/>
                <w:szCs w:val="20"/>
                <w:color w:val="auto"/>
              </w:rPr>
            </w:pPr>
            <w:r>
              <w:rPr>
                <w:rFonts w:ascii="Arial" w:cs="Arial" w:eastAsia="Arial" w:hAnsi="Arial"/>
                <w:sz w:val="18"/>
                <w:szCs w:val="18"/>
                <w:b w:val="1"/>
                <w:bCs w:val="1"/>
                <w:color w:val="auto"/>
              </w:rPr>
              <w:t>GOODWILL AND INTANGIBLES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8680" w:type="dxa"/>
            <w:vAlign w:val="bottom"/>
            <w:gridSpan w:val="2"/>
          </w:tcPr>
          <w:p>
            <w:pPr>
              <w:spacing w:after="0"/>
              <w:rPr>
                <w:sz w:val="20"/>
                <w:szCs w:val="20"/>
                <w:color w:val="auto"/>
              </w:rPr>
            </w:pPr>
            <w:r>
              <w:rPr>
                <w:rFonts w:ascii="Arial" w:cs="Arial" w:eastAsia="Arial" w:hAnsi="Arial"/>
                <w:sz w:val="22"/>
                <w:szCs w:val="22"/>
                <w:color w:val="auto"/>
              </w:rPr>
              <w:t>Goodwill and other intangible assets are summarized below: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Arising from business combinations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shd w:val="clear" w:color="auto" w:fill="CCEEFF"/>
          </w:tcPr>
          <w:p>
            <w:pPr>
              <w:spacing w:after="0"/>
              <w:rPr>
                <w:sz w:val="2"/>
                <w:szCs w:val="2"/>
                <w:color w:val="auto"/>
              </w:rPr>
            </w:pPr>
          </w:p>
        </w:tc>
        <w:tc>
          <w:tcPr>
            <w:tcW w:w="8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Ending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19,968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 intangibles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Arising from business combinations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8,446</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8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BORROWING ARRANGEMENTS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40" w:type="dxa"/>
            <w:vAlign w:val="bottom"/>
            <w:vMerge w:val="continue"/>
          </w:tcPr>
          <w:p>
            <w:pPr>
              <w:spacing w:after="0"/>
              <w:rPr>
                <w:sz w:val="24"/>
                <w:szCs w:val="24"/>
                <w:color w:val="auto"/>
              </w:rPr>
            </w:pPr>
          </w:p>
        </w:tc>
        <w:tc>
          <w:tcPr>
            <w:tcW w:w="8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 Payable and Other Borrowings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City Bank has multiple advances from the Federal Home Loan Bank of Dallas (“FHLB”). The advances are collateralized through the line of credit with FHLB with interest payable monthly and principal due at maturity. In April 2020, City Bank borrowed $75 million from FHLB, on a term of three months, for liquidity needs associated with funding Paycheck Protection Program loans.</w:t>
      </w:r>
    </w:p>
    <w:p>
      <w:pPr>
        <w:spacing w:after="0" w:line="2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w:t>
      </w:r>
    </w:p>
    <w:p>
      <w:pPr>
        <w:sectPr>
          <w:pgSz w:w="11900" w:h="16915" w:orient="portrait"/>
          <w:cols w:equalWidth="0" w:num="1">
            <w:col w:w="11240"/>
          </w:cols>
          <w:pgMar w:left="320" w:top="122" w:right="339" w:bottom="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9"/>
          <w:szCs w:val="19"/>
          <w:color w:val="auto"/>
        </w:rPr>
        <w:t>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six months ended June 30, 2020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6"/>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Six Months Ended June 30, 2020</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248,966</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20.93</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(27,851)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(20,151)</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1,663,961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09"/>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09"/>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 summary of assumptions used to calculate the fair values of the awards granted during the periods noted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total intrinsic value of options exercised during the six months ended June 30, 2020 was $185 thousand. There were no options exercised during the six months ended June 30, 2019.</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16, 2019, the Company approved the conversion of its previously issued stock appreciation rights (“SARs”) to stock options. There were 1,401,000 outstanding SARs that were converted effective as of May 6, 2019. The fair value of the SARs was $11.5 million at the conversion date. During the modification of these awards from liabilities to equity, the Company accelerated the expiration date, between two and four years, on 750,000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 upon conversion on May 6, 2019.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Units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4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Six Months Ended June 30, 2020</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r>
      <w:tr>
        <w:trPr>
          <w:trHeight w:val="22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4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June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r>
      <w:tr>
        <w:trPr>
          <w:trHeight w:val="21"/>
        </w:trPr>
        <w:tc>
          <w:tcPr>
            <w:tcW w:w="2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49"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9"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Restricted stock units granted under the Plan typically vest over five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total unrecognized compensation cost for the awards outstanding under the Plan at June 30, 2020 was $3.7 million and will be recognized over a weighted average remaining period of 1.91 years. The total fair value of restricted stock units vested during the six months ended June 30, 2020 was $489,000. There was no vesting of restricted stock units during the six months ended June 30, 2019.</w:t>
      </w:r>
    </w:p>
    <w:p>
      <w:pPr>
        <w:spacing w:after="0" w:line="21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Financial instruments with off-balance-sheet risk</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is a party to financial instruments with off-balance-sheet risk in</w:t>
      </w:r>
      <w:r>
        <w:rPr>
          <w:rFonts w:ascii="Arial" w:cs="Arial" w:eastAsia="Arial" w:hAnsi="Arial"/>
          <w:sz w:val="21"/>
          <w:szCs w:val="21"/>
          <w:i w:val="1"/>
          <w:iCs w:val="1"/>
          <w:color w:val="auto"/>
        </w:rPr>
        <w:t xml:space="preserve"> </w:t>
      </w:r>
      <w:r>
        <w:rPr>
          <w:rFonts w:ascii="Arial" w:cs="Arial" w:eastAsia="Arial" w:hAnsi="Arial"/>
          <w:sz w:val="21"/>
          <w:szCs w:val="21"/>
          <w:color w:val="auto"/>
        </w:rPr>
        <w:t>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Financial instruments whose contract amounts represent credit risk outstanding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ordinary course of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believes that the aggregate ultimate liability, if any, arising from these matters will not materially affect the Company’s consolidated financial statements.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FHLB Letters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uses FHLB letters of credit to pledge to certain public deposits. The balance of these</w:t>
      </w:r>
      <w:r>
        <w:rPr>
          <w:rFonts w:ascii="Arial" w:cs="Arial" w:eastAsia="Arial" w:hAnsi="Arial"/>
          <w:sz w:val="22"/>
          <w:szCs w:val="22"/>
          <w:i w:val="1"/>
          <w:iCs w:val="1"/>
          <w:color w:val="auto"/>
        </w:rPr>
        <w:t xml:space="preserve"> </w:t>
      </w:r>
      <w:r>
        <w:rPr>
          <w:rFonts w:ascii="Arial" w:cs="Arial" w:eastAsia="Arial" w:hAnsi="Arial"/>
          <w:sz w:val="22"/>
          <w:szCs w:val="22"/>
          <w:color w:val="auto"/>
        </w:rPr>
        <w:t>FHLB letters of credit was $199.0 million at June 30, 2020 and December 31, 2019, respectively.</w:t>
      </w:r>
    </w:p>
    <w:p>
      <w:pPr>
        <w:spacing w:after="0" w:line="20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REGULATORY MATTERS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Common Equity Tier 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ectPr>
          <w:pgSz w:w="11900" w:h="16838" w:orient="portrait"/>
          <w:cols w:equalWidth="0" w:num="1">
            <w:col w:w="11240"/>
          </w:cols>
          <w:pgMar w:left="320" w:top="121" w:right="339" w:bottom="571"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1"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June 30, 2020 and December 31, 2019, that the Company and its bank subsidiary met all capital adequacy requirements to which they are subject.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2020,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June 30, 2020 that management believes have changed the bank subsidiary’s category.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2020</w:t>
            </w:r>
          </w:p>
        </w:tc>
        <w:tc>
          <w:tcPr>
            <w:tcW w:w="222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395,127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289,774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383,541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289,704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334,080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234,579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348,975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234,522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220,726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3"/>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3"/>
          </w:tcPr>
          <w:p>
            <w:pPr>
              <w:ind w:left="1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289,080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193,183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348,975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193,136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179,340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334,080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140,247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348,975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140,170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173,817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373,684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263,769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263,702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213,527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213,473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175,846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175,801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120,219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121,235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1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ectPr>
          <w:pgSz w:w="11900" w:h="16838" w:orient="portrait"/>
          <w:cols w:equalWidth="0" w:num="1">
            <w:col w:w="11240"/>
          </w:cols>
          <w:pgMar w:left="320" w:top="121" w:right="339" w:bottom="976"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76"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fair value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cash flow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Mortgage banking derivatives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Notional</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1"/>
              </w:rPr>
              <w:t>Notional</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186,175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4,275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186,175</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156,022</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58,948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156,022</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45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10. EARNINGS PER SHARE</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96"/>
        </w:trPr>
        <w:tc>
          <w:tcPr>
            <w:tcW w:w="5980" w:type="dxa"/>
            <w:vAlign w:val="bottom"/>
          </w:tcPr>
          <w:p>
            <w:pPr>
              <w:spacing w:after="0"/>
              <w:rPr>
                <w:sz w:val="20"/>
                <w:szCs w:val="20"/>
                <w:color w:val="auto"/>
              </w:rPr>
            </w:pPr>
            <w:r>
              <w:rPr>
                <w:rFonts w:ascii="Arial" w:cs="Arial" w:eastAsia="Arial" w:hAnsi="Arial"/>
                <w:sz w:val="22"/>
                <w:szCs w:val="22"/>
                <w:color w:val="auto"/>
                <w:w w:val="98"/>
              </w:rPr>
              <w:t>The factors used in the earnings per share computation follow: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4"/>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18,061,705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16,459,366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18,052,405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15,620,106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290,871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104,215</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18,224,630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16,563,543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18,343,276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15,724,321</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Financial results by reportable segment are detailed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June 30, 2020</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5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(13,133)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(13,133)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24,896</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(34,061)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(35,207)</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7,004</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5,792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5,615</w:t>
            </w:r>
          </w:p>
        </w:tc>
      </w:tr>
      <w:tr>
        <w:trPr>
          <w:trHeight w:val="21"/>
        </w:trPr>
        <w:tc>
          <w:tcPr>
            <w:tcW w:w="2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June 30, 2019</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5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(29,098)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(29,930)</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7,735</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r>
      <w:tr>
        <w:trPr>
          <w:trHeight w:val="216"/>
        </w:trPr>
        <w:tc>
          <w:tcPr>
            <w:tcW w:w="25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6,080</w:t>
            </w:r>
          </w:p>
        </w:tc>
      </w:tr>
      <w:tr>
        <w:trPr>
          <w:trHeight w:val="20"/>
        </w:trPr>
        <w:tc>
          <w:tcPr>
            <w:tcW w:w="2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Financial results by reportable segment are detailed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Six Months Ended June 30, 2020</w:t>
            </w: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40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(19,367)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(66,892)</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(2,326)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(69,218)</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15,833</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12,928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r>
      <w:tr>
        <w:trPr>
          <w:trHeight w:val="20"/>
        </w:trPr>
        <w:tc>
          <w:tcPr>
            <w:tcW w:w="2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Six Months Ended June 30, 2,019</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8"/>
        </w:trPr>
        <w:tc>
          <w:tcPr>
            <w:tcW w:w="2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25,778</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Noninterest expense</w:t>
            </w:r>
          </w:p>
        </w:tc>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(58,170)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(59,966)</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Net income</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4880" w:type="dxa"/>
            <w:vAlign w:val="bottom"/>
            <w:vMerge w:val="restart"/>
          </w:tcPr>
          <w:p>
            <w:pPr>
              <w:jc w:val="right"/>
              <w:ind w:right="1539"/>
              <w:spacing w:after="0"/>
              <w:rPr>
                <w:sz w:val="20"/>
                <w:szCs w:val="20"/>
                <w:color w:val="auto"/>
              </w:rPr>
            </w:pPr>
            <w:r>
              <w:rPr>
                <w:rFonts w:ascii="Arial" w:cs="Arial" w:eastAsia="Arial" w:hAnsi="Arial"/>
                <w:sz w:val="14"/>
                <w:szCs w:val="14"/>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4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4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DISCLOSURES</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2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2020</w:t>
            </w:r>
          </w:p>
        </w:tc>
        <w:tc>
          <w:tcPr>
            <w:tcW w:w="496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224,032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224,032</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358,304</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107,562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107,562</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35,960</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88,980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88,980</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(4,038)</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7,292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7,292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(best efforts)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32,809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(best efforts)</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16,226</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16,226</w:t>
            </w:r>
          </w:p>
        </w:tc>
      </w:tr>
    </w:tbl>
    <w:p>
      <w:pPr>
        <w:sectPr>
          <w:pgSz w:w="11900" w:h="16838" w:orient="portrait"/>
          <w:cols w:equalWidth="0" w:num="1">
            <w:col w:w="11240"/>
          </w:cols>
          <w:pgMar w:left="320" w:top="121"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Impaired loans</w:t>
      </w:r>
      <w:r>
        <w:rPr>
          <w:rFonts w:ascii="Arial" w:cs="Arial" w:eastAsia="Arial" w:hAnsi="Arial"/>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quantitative information about non-recurring Level 3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5"/>
              </w:rPr>
              <w:t>Techniques</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5"/>
        </w:trPr>
        <w:tc>
          <w:tcPr>
            <w:tcW w:w="2320" w:type="dxa"/>
            <w:vAlign w:val="bottom"/>
            <w:gridSpan w:val="3"/>
          </w:tcPr>
          <w:p>
            <w:pPr>
              <w:spacing w:after="0" w:line="176" w:lineRule="exact"/>
              <w:rPr>
                <w:sz w:val="20"/>
                <w:szCs w:val="20"/>
                <w:color w:val="auto"/>
              </w:rPr>
            </w:pPr>
            <w:r>
              <w:rPr>
                <w:rFonts w:ascii="Arial" w:cs="Arial" w:eastAsia="Arial" w:hAnsi="Arial"/>
                <w:sz w:val="18"/>
                <w:szCs w:val="18"/>
                <w:color w:val="auto"/>
              </w:rPr>
              <w:t>June 30, 2020</w:t>
            </w:r>
          </w:p>
        </w:tc>
        <w:tc>
          <w:tcPr>
            <w:tcW w:w="6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7,292</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1,335</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1,883</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fair values, and related carrying amounts, of the Company’s financial instruments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June 30, 2020</w:t>
            </w:r>
          </w:p>
        </w:tc>
        <w:tc>
          <w:tcPr>
            <w:tcW w:w="3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256,101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256,101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256,101</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2,291,081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2,295,647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2,295,647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70,071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70,071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70,071</w:t>
            </w:r>
          </w:p>
        </w:tc>
      </w:tr>
      <w:tr>
        <w:trPr>
          <w:trHeight w:val="216"/>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2,947,837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2,717,245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2,952,590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462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1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2,119,426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2,123,289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2,123,289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69,397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14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2,696,857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2,354,999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2,701,193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49"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In June 2020, Windmark acquired the operating assets of a crop insurance agency in Nebraska for $687 thousand. Fair value of the assets acquired in this transaction as of the closing date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 Texas State Bank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November 2019, the Company completed its acquisition of West Texas State Bank (“WTSB”). This transaction resulted in six additional branches. The Company paid the shareholders of WTSB $76.1 million in cash, for all outstanding stock of WTSB and resulted in 100% ownership interest.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total goodwill of $19.8 million which is calculated as the excess of both the consideration exchanged and liabilities assumed compared to the fair market value of identifiable assets acquired. None of the goodwill recognized is expected to be deductible for income tax purposes.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incurred expenses related to the acquisition of approximately $955,000 for the year ended December 31, 2019, which are included in noninterest expense in the consolidated statements of comprehensive income.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Non-credit impaired loans had a fair value of $196.2 million at the acquisition date and contractual balance of $198.4 million. As of the acquisition date, the Company expects that an insignificant amount of the contractual balance of these loans will be uncollectible. The difference of $2.2 million will be recognized into interest income as an adjustment to yield over the life of the loans. Purchased credit impaired loans were insignificant.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the assets acquired and liabilities assumed in this transaction as of the closing date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time deposits in banks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446,202</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1002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w:t>
            </w:r>
          </w:p>
        </w:tc>
        <w:tc>
          <w:tcPr>
            <w:tcW w:w="100" w:type="dxa"/>
            <w:vAlign w:val="bottom"/>
          </w:tcPr>
          <w:p>
            <w:pPr>
              <w:spacing w:after="0"/>
              <w:rPr>
                <w:sz w:val="18"/>
                <w:szCs w:val="18"/>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recorded in acquisition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the first six months of 2020, the Company made measurement period adjustments to reflect facts and circumstances in existence as of the closing date of the acquisition. These adjustments primarily included a $1.2 million increase in goodwill, a $900,000 decrease in loans, and a $300,000 increase in other liabilities. The amount of income recorded in current period earnings that would have been recorded in the previous reporting period had the adjustment been recognized as of the acquisition date is not significant. 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the third quarter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2019 (the “Annual Report on Form 10-K”) filed with the Securities and Exchange Commission (the “SEC”) on March 25, 2020.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autionary Notice Regarding Forward-Looking Statements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3"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ectPr>
          <w:pgSz w:w="11900" w:h="16838" w:orient="portrait"/>
          <w:cols w:equalWidth="0" w:num="1">
            <w:col w:w="11240"/>
          </w:cols>
          <w:pgMar w:left="320" w:top="121" w:right="339" w:bottom="0" w:gutter="0" w:footer="0" w:header="0"/>
        </w:sectPr>
      </w:pPr>
    </w:p>
    <w:p>
      <w:pPr>
        <w:spacing w:after="0" w:line="209"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and its uncertain economic impact on the Company’s customers and communities;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w:t>
      </w:r>
    </w:p>
    <w:p>
      <w:pPr>
        <w:sectPr>
          <w:pgSz w:w="11900" w:h="16838" w:orient="portrait"/>
          <w:cols w:equalWidth="0" w:num="1">
            <w:col w:w="11240"/>
          </w:cols>
          <w:pgMar w:left="320" w:top="121" w:right="339" w:bottom="0" w:gutter="0" w:footer="0" w:header="0"/>
          <w:type w:val="continuous"/>
        </w:sectPr>
      </w:pPr>
    </w:p>
    <w:bookmarkStart w:id="30" w:name="page31"/>
    <w:bookmarkEnd w:id="30"/>
    <w:p>
      <w:pPr>
        <w:ind w:left="324"/>
        <w:spacing w:after="0"/>
        <w:rPr>
          <w:sz w:val="20"/>
          <w:szCs w:val="20"/>
          <w:color w:val="auto"/>
        </w:rPr>
      </w:pPr>
      <w:r>
        <w:rPr>
          <w:rFonts w:ascii="Arial" w:cs="Arial" w:eastAsia="Arial" w:hAnsi="Arial"/>
          <w:sz w:val="18"/>
          <w:szCs w:val="18"/>
          <w:color w:val="auto"/>
        </w:rPr>
        <w:t>acquisitions;</w:t>
      </w:r>
    </w:p>
    <w:p>
      <w:pPr>
        <w:spacing w:after="0" w:line="23" w:lineRule="exact"/>
        <w:rPr>
          <w:sz w:val="20"/>
          <w:szCs w:val="20"/>
          <w:color w:val="auto"/>
        </w:rPr>
      </w:pPr>
    </w:p>
    <w:p>
      <w:pPr>
        <w:ind w:left="324" w:hanging="324"/>
        <w:spacing w:after="0" w:line="250"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324" w:right="20" w:hanging="324"/>
        <w:spacing w:after="0" w:line="260"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spacing w:after="0" w:line="397"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34"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(“Dodd-Frank Act”),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foregoing factors should not be construed as exhaustive and should be read together with the other cautionary statements included in this Form 10-Q and the risk factors set forth in our 2019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Company maintains an Internet web site at </w:t>
      </w:r>
      <w:r>
        <w:rPr>
          <w:rFonts w:ascii="Arial" w:cs="Arial" w:eastAsia="Arial" w:hAnsi="Arial"/>
          <w:sz w:val="21"/>
          <w:szCs w:val="21"/>
          <w:i w:val="1"/>
          <w:iCs w:val="1"/>
          <w:u w:val="single" w:color="auto"/>
          <w:color w:val="auto"/>
        </w:rPr>
        <w:t>www.spfi.bank</w:t>
      </w:r>
      <w:r>
        <w:rPr>
          <w:rFonts w:ascii="Arial" w:cs="Arial" w:eastAsia="Arial" w:hAnsi="Arial"/>
          <w:sz w:val="21"/>
          <w:szCs w:val="21"/>
          <w:color w:val="auto"/>
        </w:rPr>
        <w:t xml:space="preserve">. The Company makes available, free of charge, on its web site (under </w:t>
      </w:r>
      <w:r>
        <w:rPr>
          <w:rFonts w:ascii="Arial" w:cs="Arial" w:eastAsia="Arial" w:hAnsi="Arial"/>
          <w:sz w:val="21"/>
          <w:szCs w:val="21"/>
          <w:i w:val="1"/>
          <w:iCs w:val="1"/>
          <w:u w:val="single" w:color="auto"/>
          <w:color w:val="auto"/>
        </w:rPr>
        <w:t>www.spfi.bank/financials-filings/sec-filings</w:t>
      </w:r>
      <w:r>
        <w:rPr>
          <w:rFonts w:ascii="Arial" w:cs="Arial" w:eastAsia="Arial" w:hAnsi="Arial"/>
          <w:sz w:val="21"/>
          <w:szCs w:val="21"/>
          <w:color w:val="auto"/>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21"/>
          <w:szCs w:val="21"/>
          <w:i w:val="1"/>
          <w:iCs w:val="1"/>
          <w:u w:val="single" w:color="auto"/>
          <w:color w:val="auto"/>
        </w:rPr>
        <w:t>www.spfi.bank/corporate-governance/documents-charters</w:t>
      </w:r>
      <w:r>
        <w:rPr>
          <w:rFonts w:ascii="Arial" w:cs="Arial" w:eastAsia="Arial" w:hAnsi="Arial"/>
          <w:sz w:val="21"/>
          <w:szCs w:val="21"/>
          <w:i w:val="1"/>
          <w:iCs w:val="1"/>
          <w:color w:val="auto"/>
        </w:rPr>
        <w:t xml:space="preserve"> </w:t>
      </w:r>
      <w:r>
        <w:rPr>
          <w:rFonts w:ascii="Arial" w:cs="Arial" w:eastAsia="Arial" w:hAnsi="Arial"/>
          <w:sz w:val="21"/>
          <w:szCs w:val="21"/>
          <w:color w:val="auto"/>
        </w:rPr>
        <w:t>) links to the Company’s Code of Conduct and the charters for its board committees. In addition, the SEC maintains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Internet site (at </w:t>
      </w:r>
      <w:r>
        <w:rPr>
          <w:rFonts w:ascii="Arial" w:cs="Arial" w:eastAsia="Arial" w:hAnsi="Arial"/>
          <w:sz w:val="21"/>
          <w:szCs w:val="21"/>
          <w:i w:val="1"/>
          <w:iCs w:val="1"/>
          <w:u w:val="single" w:color="auto"/>
          <w:color w:val="auto"/>
        </w:rPr>
        <w:t>www.sec.gov</w:t>
      </w:r>
      <w:r>
        <w:rPr>
          <w:rFonts w:ascii="Arial" w:cs="Arial" w:eastAsia="Arial" w:hAnsi="Arial"/>
          <w:sz w:val="21"/>
          <w:szCs w:val="21"/>
          <w:color w:val="auto"/>
        </w:rPr>
        <w:t xml:space="preserve"> ) that contains reports, proxy and information statements, and other information regarding issuers that file electronically with the SEC.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Company routinely posts important information for investors on its web site (under </w:t>
      </w:r>
      <w:r>
        <w:rPr>
          <w:rFonts w:ascii="Arial" w:cs="Arial" w:eastAsia="Arial" w:hAnsi="Arial"/>
          <w:sz w:val="21"/>
          <w:szCs w:val="21"/>
          <w:i w:val="1"/>
          <w:iCs w:val="1"/>
          <w:u w:val="single" w:color="auto"/>
          <w:color w:val="auto"/>
        </w:rPr>
        <w:t>www.spfi.bank</w:t>
      </w:r>
      <w:r>
        <w:rPr>
          <w:rFonts w:ascii="Arial" w:cs="Arial" w:eastAsia="Arial" w:hAnsi="Arial"/>
          <w:sz w:val="21"/>
          <w:szCs w:val="21"/>
          <w:color w:val="auto"/>
        </w:rPr>
        <w:t xml:space="preserve"> and, more specifically, under the News &amp; Events tab at </w:t>
      </w:r>
      <w:r>
        <w:rPr>
          <w:rFonts w:ascii="Arial" w:cs="Arial" w:eastAsia="Arial" w:hAnsi="Arial"/>
          <w:sz w:val="21"/>
          <w:szCs w:val="21"/>
          <w:i w:val="1"/>
          <w:iCs w:val="1"/>
          <w:u w:val="single" w:color="auto"/>
          <w:color w:val="auto"/>
        </w:rPr>
        <w:t>www.spfi.bank/news-events/press-releases</w:t>
      </w:r>
      <w:r>
        <w:rPr>
          <w:rFonts w:ascii="Arial" w:cs="Arial" w:eastAsia="Arial" w:hAnsi="Arial"/>
          <w:sz w:val="21"/>
          <w:szCs w:val="21"/>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Form 10-Q.</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COVID-19 Update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spread of the novel coronavirus (“COVID-19”) continues to cause significant disruptions in the U.S. economy since it was declared a pandemic in March 2020 by the World Health Organization. The changes have impacted our clients, their industries, as well as the financial services industry. At this time, we cannot predict the impact or how long the economy or our impacted clients will be disrupted.</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Company’s Business Continuity Oversight Committee, which has monitored the spread of the COVID-19 pandemic since January 2020, continues to monitor the impact of the ongoing COVID-19 pandemic, as well as employee and customer communications. The Company’s Pandemic Task Force, created in March 2020, continues to implement South Plains’ Business Continuity Plan to ensure the safety of the Company’s employees and customers while maintaining the operational and financial integrity of the Bank. Non-essential employees were transitioned to a work-from-home environment, strict protocols for employees deemed essential were adopted to ensure adequate social distancing and all Bank facilities are receiving incremental cleaning and sanitization. In March, the Company restricted access to its bank lobbies customers are currently served through appointments only, as well as through the Bank’s drive-through windows and digital platforms. The Company’s operations center continues to provide essential employees the necessary room to social distance while seamlessly supporting the Bank’s customers and performing the critical tasks necessary to keep the Bank’s operations running efficiently. The facility also provides support for the Bank’s employees who are working remotely.</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the COVID-19 pandemic. As previously disclosed, the Bank has assigned its Chairman, Chief Executive Officer, Chief Credit Officer and Chief Lending Officer to partner with the Bank’s lenders on those borrowers most impacted by the COVID-19 pandemic to ensure the Company remains proactive in addressing those credits with the appropriate oversight and modifications when warranted. As part of the Bank’s efforts to support its customers and protect the Bank, the Bank has offered varying forms of loan modifications ranging from 90-day payment deferrals to 6- to 12-month interest only terms to provide borrowers relief. As of June 30, 2020, total loan modifications attributed to COVID-19 were approximately $464 million, or 19.9%, of the Company’s loan portfolio. The modification breakdown is: 64% of modified loans are interest only with periods of up to 6 months, 15% of modified loans are 90 day payment deferrals on commercial customers, 10% of modified loans are interest only periods longer than 6 months, primarily in the Bank’s hotel portfolio, and 11% of modified loans are payment deferrals of one to four months on consumer loans.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Bank continues to actively assist its customers in accessing the Paycheck Protection Program (the “PPP”) administered by the Small Business Administration (the “SBA”) and created under the Coronavirus Aid, Relief, and Economic Security Act (the “CARES Act”). During the second quarter of 2020, the Bank originated approximately 2,050 PPP loans totaling $215 million. The Bank has utilized its lines of credit with the Federal Home Loan Bank of Dallas (the “FHLB”) and/or the Federal Reserve Bank of Dallas (the “FRB”) to supplement funding for origination of PPP loans as needed. Helping City Bank’s customers access</w:t>
      </w:r>
    </w:p>
    <w:p>
      <w:pPr>
        <w:spacing w:after="0" w:line="4" w:lineRule="exact"/>
        <w:rPr>
          <w:sz w:val="20"/>
          <w:szCs w:val="20"/>
          <w:color w:val="auto"/>
        </w:rPr>
      </w:pPr>
    </w:p>
    <w:p>
      <w:pPr>
        <w:jc w:val="both"/>
        <w:ind w:firstLine="8"/>
        <w:spacing w:after="0" w:line="287" w:lineRule="auto"/>
        <w:tabs>
          <w:tab w:leader="none" w:pos="4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loans is just one way that the Bank has been helping its customers and communities during this challenging time. City Bank has also been a supporter of the South Plains and Permian Basin food banks and recently increased its financial support given the challenging economic environment for so many.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Finally, as previously announced on April 16, 2020, the Company temporarily suspended its stock repurchase program in response to the ongoing COVID-19 pandemic. Suspending the stock repurchase program has allowed the Company to preserve capital and provide liquidity to meet the credit needs of the customers, small businesses and local communities served by the</w:t>
      </w:r>
    </w:p>
    <w:p>
      <w:pPr>
        <w:sectPr>
          <w:pgSz w:w="11900" w:h="16838" w:orient="portrait"/>
          <w:cols w:equalWidth="0" w:num="1">
            <w:col w:w="11240"/>
          </w:cols>
          <w:pgMar w:left="320" w:top="121" w:right="339" w:bottom="0" w:gutter="0" w:footer="0" w:header="0"/>
        </w:sectPr>
      </w:pPr>
    </w:p>
    <w:bookmarkStart w:id="33" w:name="page34"/>
    <w:bookmarkEnd w:id="33"/>
    <w:p>
      <w:pPr>
        <w:spacing w:after="0" w:line="251" w:lineRule="auto"/>
        <w:rPr>
          <w:sz w:val="20"/>
          <w:szCs w:val="20"/>
          <w:color w:val="auto"/>
        </w:rPr>
      </w:pPr>
      <w:r>
        <w:rPr>
          <w:rFonts w:ascii="Arial" w:cs="Arial" w:eastAsia="Arial" w:hAnsi="Arial"/>
          <w:sz w:val="22"/>
          <w:szCs w:val="22"/>
          <w:color w:val="auto"/>
        </w:rPr>
        <w:t>Company and City Bank. The Company believes that it remains strong and well-capitalized, and the Company may reinstate the stock repurchase program in the future.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currently unable to fully assess or predict the extent of the effects of the COVID-19 pandemic on our operations as the ultimate impact will depend on factors that are currently unknown and/or beyond our control. Please refer to Part II, Item 1A, “Risk Factors” of the Form 10-Q.</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had net income of $5.6 million for the three months ended June 30, 2020, compared to net income of $6.1 million for the three months ended June 30, 2019. Return on average equity was 6.81% and return on average assets was 0.64% for the three months ended June 30, 2020, compared to 9.57% and 0.89%, respectively, for the three months ended June 30, 2019.</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total assets increased $347.4 million, or 10.7%, to $3.58 billion at June 30, 2020, compared to $3.24 billion at December 31, 2019. Our gross loans held for investment increased $188.1 million, or 8.8%, to $2.33 billion at June 30, 2020, compared to $2.14 billion at December 31, 2019. Our securities portfolio increased $23.0 million, or 3.3%, to $730.7 million at June 30, 2020, compared to $707.7 million at December 31, 2019. Total deposits increased $251.0 million, or 9.3%, to $2.95 billion at June 30, 2020, compared to $2.70 billion at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income decreased by $0.5 million to $5.6 million for the three months ended June 30, 2020, compared to $6.1 million for the three months ended June 30, 2019. This decrease was primarily the result of an increase of $5.6 million net interest income and an increase of $11.2 million in noninterest income, offset by a $12.3 million increase in provision for loan losses and an increase of $5.3 million in noninterest expense.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income increased by $1.8 million to $12.7 million for the six months ended June 30, 2020, compared to $10.9 million for the six months ended June 30, 2019. The increase was primarily the result of an increase of $11.3 million in net interest income and an increase of $18.0 million in noninterest income, partially offset by an increase of $17.9 million in the provision for loan losses and an increase of $9.3 million in noninterest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28,825</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1,946,602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248,915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31,387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0.29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348,106</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3,258,611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34,297</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2,575,010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32,610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247,571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174,944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3,506,182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2,749,954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1,650,159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1,330</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1,449,169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317,323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16,449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11,085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2,227,133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3,559</w:t>
            </w:r>
          </w:p>
        </w:tc>
        <w:tc>
          <w:tcPr>
            <w:tcW w:w="200" w:type="dxa"/>
            <w:vAlign w:val="bottom"/>
          </w:tcPr>
          <w:p>
            <w:pPr>
              <w:spacing w:after="0"/>
              <w:rPr>
                <w:sz w:val="19"/>
                <w:szCs w:val="19"/>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1,945,442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516,783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45,576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32,890</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331,712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254,839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3,506,182</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2,749,954</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30,738</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24,938</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3.59%</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59,879</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85,652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6,672</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279,293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119,538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31,780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1.06</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3,108,186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70,179</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2,558,124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64,717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249,114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175,689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3,357,300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2,733,813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1,598,048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3,986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1,459,684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23,597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0.84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807</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27,100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2,163,180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1,958,586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15,130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508,951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36,364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31,021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324,057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235,255</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3,357,300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2,733,813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61,082</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49,587</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3.69%</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w:t>
      </w:r>
    </w:p>
    <w:p>
      <w:pPr>
        <w:spacing w:after="0" w:line="1" w:lineRule="exact"/>
        <w:rPr>
          <w:sz w:val="20"/>
          <w:szCs w:val="20"/>
          <w:color w:val="auto"/>
        </w:rPr>
      </w:pPr>
    </w:p>
    <w:p>
      <w:pPr>
        <w:jc w:val="both"/>
        <w:ind w:firstLine="8"/>
        <w:spacing w:after="0" w:line="234" w:lineRule="auto"/>
        <w:tabs>
          <w:tab w:leader="none" w:pos="279" w:val="left"/>
        </w:tabs>
        <w:numPr>
          <w:ilvl w:val="0"/>
          <w:numId w:val="16"/>
        </w:numPr>
        <w:rPr>
          <w:rFonts w:ascii="Arial" w:cs="Arial" w:eastAsia="Arial" w:hAnsi="Arial"/>
          <w:sz w:val="22"/>
          <w:szCs w:val="22"/>
          <w:color w:val="auto"/>
        </w:rPr>
      </w:pPr>
      <w:r>
        <w:rPr>
          <w:rFonts w:ascii="Arial" w:cs="Arial" w:eastAsia="Arial" w:hAnsi="Arial"/>
          <w:sz w:val="22"/>
          <w:szCs w:val="22"/>
          <w:color w:val="auto"/>
        </w:rPr>
        <w:t>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6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(4,372)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8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2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589"/>
        </w:trPr>
        <w:tc>
          <w:tcPr>
            <w:tcW w:w="466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1536"/>
              <w:spacing w:after="0"/>
              <w:rPr>
                <w:sz w:val="20"/>
                <w:szCs w:val="20"/>
                <w:color w:val="auto"/>
              </w:rPr>
            </w:pPr>
            <w:r>
              <w:rPr>
                <w:rFonts w:ascii="Arial" w:cs="Arial" w:eastAsia="Arial" w:hAnsi="Arial"/>
                <w:sz w:val="14"/>
                <w:szCs w:val="14"/>
                <w:color w:val="auto"/>
              </w:rPr>
              <w:t>32</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6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right"/>
              <w:ind w:right="9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(5,136)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Net interest income for the three months ended June 30, 2020 was $30.4 million, compared to $24.8 million for the three months ended June 30, 2019, an increase of $5.6 million, or 22.6%. The increase in net interest income was comprised of a $1.5 million, or 5.2%, increase in interest income and a $4.1 million, or 53.6%, decrease in interest expense. Interest and fees on loans increased by $1.3 million from the second quarter of 2019 due to growth of $429.1 million in average loans, primarily from the Company’s acquisition of West Texas State Bank (“WTSB”) as well as the PPP loans that were originated in the second quarter of 2020, partially offset by a decrease of 64 basis points in non-PPP loan rates due to the decline in the interest rate environment experienced in the first quarter of 2020. The PPP loans yielded 2.53% during the second quarter of 2020, which includes accretion of the related SBA lenders fees for processing PPP loans during the quarter. As of June 30, 2020, the Company has received and deferred $7.7 million in PPP related SBA fees and is accreting these fees into interest income over the life of the applicable loans. If a PPP loan is forgiven or paid off before maturity, the remaining unamortized fee is accreted to income at that time. During the second quarter of 2020, the Company recognized $641,000 in PPP related SBA fees. The Company expects that the majority of PPP loans will begin to be forgiven over the next several quarters.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$4.1 million decrease in interest expense for the three months ended June 30, 2020 was primarily due to a decrease in the interest rate paid on interest-bearing liabilities of 94 basis points, partially offset by an increase of $281.7 million in average interest-bearing liabilities over the same period in 2019. The increase in average interest-bearing liabilities was primarily due to increased deposits, from the acquisition of WTSB, PPP loan funding and other government stimulus payments and programs as well as organic growth, and an additional $75.0 million in borrowings to augment liquidity in funding the PPP loans. Additionally, average noninterest-bearing demand deposits increased to $901.8 million at June 30, 2020 from $516.8 million at June 30, 2019.</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June 30, 2020, net interest margin and net interest spread were 3.79% and 3.59%, respectively, compared to 3.88% and 3.50% for the same period in 2019, which reflects the increase in interest income and the decrease in interest expense discussed above.</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interest income for the six months ended June 30, 2020 was $60.6 million, compared to $49.4 million for the six months ended June 30, 2019, an increase of $11.2 million, or 22.8%. The increase in net interest income was comprised of an $5.2 million, or 8.1%, increase in interest income and a $6.0 million, or 39.9%, decrease in interest expense. The growth in interest income was primarily attributable to a $320.2 million, or 16.4%, increase in average loans outstanding for the six-month period ended June 30, 2020, compared to the six-month period ended June 30, 2019, partially offset by an decrease of 36 basis points in the yield on total loans, excluding PPP loans. The increase in average loans outstanding was primarily due to the PPP loans originated during the second quarter of 2020 as well as the loans acquired from WTSB.</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$6.0 million decrease in interest expense for the six months ended June 30, 2020 was primarily related to an decrease of 71 basis points in the rate paid on interest-bearing liabilities, partially offset by an increase of $204.6 million, or 10.4%, in average interest-bearing liabilities over the same period in 2019. The increase in average interest-bearing liabilities was primarily due to increased deposits, from the acquisition of WTSB, PPP loan funding and other government stimulus payments and programs as well as organic growth, and an additional $75.0 million in borrowings to augment liquidity in funding the PPP loans. Additionally, average noninterest-bearing demand deposits increased to $833.7 million at June 30, 2020 from $509.0 million at June 30, 2019.</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six months ended June 30, 2020, net interest margin and net interest spread were 3.95% and 3.69%, respectively, compared to 3.91% and 3.54% for the same period in 2019, which reflects the increase in interest income and the decrease in interest expense discussed above.</w:t>
      </w:r>
    </w:p>
    <w:p>
      <w:pPr>
        <w:sectPr>
          <w:pgSz w:w="11900" w:h="16838" w:orient="portrait"/>
          <w:cols w:equalWidth="0" w:num="1">
            <w:col w:w="11240"/>
          </w:cols>
          <w:pgMar w:left="320" w:top="122"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0" w:name="page41"/>
    <w:bookmarkEnd w:id="40"/>
    <w:p>
      <w:pPr>
        <w:spacing w:after="0" w:line="65"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provision for loan losses for the three months ended June 30, 2020 was $13.1 million compared to $875,000 for the three months ended June 30, 2019. The provision for loan losses for the six months ended June 30, 2020 was $19.4 million, compared to $1.5 million for the six months ended June 30, 2019. The increase in the provision for loan losses in the second quarter of 2020 and year to date 2020 compared to the same quarter and period in 2019 is primarily a result of the uncertain economic effects from the ongoing COVID-19 pandemic as well as the decline in oil and gas prices. The allowance for loan losses as a percentage of loans held for investment was 1.74% at June 30, 2020 and 1.13% at December 31, 2019. Further discussion of the allowance for loan losses is noted below.</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6,652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11,303</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26,708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Noninterest income for the three months ended June 30, 2020 was $24.9 million, compared to $13.7 million for the three months ended June 30, 2019, an increase of $11.2 million, or 81.7%. Income from mortgage banking activities increased $11.3 million, or 169.9%, to $18.0 million for the three months ended June 30, 2020 from $6.7 million for the three months ended June 30, 2019. The increase was due primarily to an increase of $368.9 million in mortgage loan originations for the three months ended June 30, 2020, compared to the three months ended June 30, 2019. Additionally, fiduciary income increased $409,000 and service charges on deposit accounts decreased for the three months ended June 30, 2020 compared to the three months ended June 30, 2019. The increase in fiduciary income was primarily due to new customer acquisition with estate executorship and trust management as the primary services in late third quarter 2019. The decrease in service charges on deposit accounts was primarily from reduced customer spending and activity during the ongoing COVID-19 pandemic.</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Noninterest income for the six months ended June 30, 2020 was $43.8 million, compared to $25.8 million for the six months ended June 30, 2019, an increase of $18.0 million, or 69.8%. Income from mortgage banking activities increased $15.2 million, or 131.9%, to $26.7 million for the six months ended June 30, 2020 from $11.5 million for the six months ended June 30, 2019. This increase was primarily a result of an increase of $321.1 million in mortgage loan originations for the six months ended June 30, 2020, compared to the six months ended June 30, 2019, in addition to a $2.3 million gain on sale of securities in the first quarter of 2020. Fiduciary income increased $862,000 and income from insurance activities decreased $779,000 for the three months ended March 31, 2020 compared to the three months ended March 31, 2019. The increase in fiduciary income was primarily due to new customer acquisition with estate executorship and trust management as the primary services in late third quarter 2019. The decrease in income from insurance activities was due to ASC 606, “Revenue from Contracts with Customers,” becoming effective for the Company’s interim reporting periods in March 2020. The result of adoption is that there is a delay in the annual cycle of revenue recognition for insurance activities as compared to previous years.</w:t>
      </w:r>
    </w:p>
    <w:p>
      <w:pPr>
        <w:sectPr>
          <w:pgSz w:w="11900" w:h="16903" w:orient="portrait"/>
          <w:cols w:equalWidth="0" w:num="1">
            <w:col w:w="11240"/>
          </w:cols>
          <w:pgMar w:left="320" w:top="122" w:right="339" w:bottom="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expense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3,416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3,421</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6,762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Noninterest expense for the three months ended June 30, 2020 was $35.2 million compared to $29.9 million for the three months ended June 30, 2019, an increase of $5.3 million, or 17.6%. Salaries and employee benefits increased $2.8 million, or 15.1%, from $18.8 million for the three months ended June 30, 2019 to $21.6 million for the three months ended June 30, 2020. This increase in salaries and employee benefits expense was predominately related to an additional $2.6 million in commissions paid on the higher volume of mortgage loan originations and personnel in the Bank’s branches in the Permian Basin that were acquired in the fourth quarter of 2019 through the Company’s acquisition of WTSB, partially offset by a reduction in the Bank’s online mortgage platform personnel and other efficiency enhancements. There was also an increase in variable mortgage expenses, such as appraisal expenses, due to the increased mortgage production during the quarter. Other noninterest expenses also increased due to the acquisition of WTSB, including occupancy and other noninterest expenses for the branches acquired and core deposit intangible amortization expense.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Noninterest expense for the six months ended June 30, 2020 was $69.2 million, compared to $60.0 million for the six months ended</w:t>
      </w:r>
      <w:r>
        <w:rPr>
          <w:sz w:val="1"/>
          <w:szCs w:val="1"/>
          <w:color w:val="auto"/>
        </w:rPr>
        <w:drawing>
          <wp:inline distT="0" distB="0" distL="0" distR="0">
            <wp:extent cx="43180" cy="146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146050"/>
                    </a:xfrm>
                    <a:prstGeom prst="rect">
                      <a:avLst/>
                    </a:prstGeom>
                    <a:noFill/>
                    <a:ln>
                      <a:noFill/>
                    </a:ln>
                  </pic:spPr>
                </pic:pic>
              </a:graphicData>
            </a:graphic>
          </wp:inline>
        </w:drawing>
      </w:r>
      <w:r>
        <w:rPr>
          <w:rFonts w:ascii="Arial" w:cs="Arial" w:eastAsia="Arial" w:hAnsi="Arial"/>
          <w:sz w:val="19"/>
          <w:szCs w:val="19"/>
          <w:color w:val="auto"/>
        </w:rPr>
        <w:t>June 30, 2019, an increase of $9.3 million, or 15.4%. Salaries and employee benefits increased $4.5 million, or 11.9%, from $37.9</w:t>
      </w:r>
      <w:r>
        <w:rPr>
          <w:sz w:val="1"/>
          <w:szCs w:val="1"/>
          <w:color w:val="auto"/>
        </w:rPr>
        <w:drawing>
          <wp:inline distT="0" distB="0" distL="0" distR="0">
            <wp:extent cx="34290" cy="146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19"/>
          <w:szCs w:val="19"/>
          <w:color w:val="auto"/>
        </w:rPr>
        <w:t>million for the six months ended June 30, 2019 to $42.4 million for the six months ended June 30, 2020. This increase in salaries and employee benefits expense was predominately driven by the WTSB acquisition and increased commission paid on the higher volume of mortgage loan originations. Other noninterest expenses increased $2.6 million for the six months ended June 30, 2020, compared to the same period in 2019. This increase was primarily due to core expenses for the acquired WTSB branches, core deposit intangible amortization expense, higher commissions and other variable mortgage expenses as a result of increased production, $331,000 in data conversion expenses and $300,000 in computer equipment purchased in connection with upgrading the equipment at the acquired branches as well as at existing branches. The computer equipment purchases were expensed due to the individual items falling below the Company’s capitalization threshold.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Total assets increased $34.7 million, or 10.7%, to $3.58 billion at June 30, 2020, compared to $3.24 billion at December 31, 2019. Our gross loans held for investment increased $188.1 million, or 8.8%, to $2.33 billion at June 30, 2020, compared to $2.14 billion at December 31, 2019. Our securities portfolio increased $23.0 million, or 3.3%, to $730.7 million at June 30, 2020, compared to $707.7 million at December 31, 2019. Total deposits increased $25.1 million, or 9.3% to $2.95 billion at June 30, 2020, compared to $2.70 billion at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the balance and associated percentage of each major category in our loans held for investment portfolio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655,906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325,942</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309,505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620,905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441,398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362,796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202,263</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69,754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2,331,716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(40,635)</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(24,197)</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2,291,081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Loans held for investment increased $188.1 million, or 8.8%, to $2.33 billion at June 30, 2020, compared to $2.14 billion at December 31, 2019. This increase in our loans was primarily due to the origination of $215.3 million in PPP loans, partially offset by the early payoff of two relationships totaling $22.2 million during the first quarter of 2020.</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Bank is primarily involved in real estate, commercial, agricultural and consumer lending activities with customers throughout Texas and Eastern New Mexico. We have a collateral concentration, as 63.1% of our loans held for investment were secured by real property as of June 30, 2020, compared to 65.5% as of December 31, 2019. We believe that these loans are not concentrated in any one single property type and that they are geographically dispersed throughout the areas we serve. Although the Bank has diversified loan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Commercial real estate loans decreased $2.3 million, or 0.3%, to $655.9 million as of June 30, 2020 from $658.2 million as of December 31, 2019.</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Commercial specialized loans increased $16.4 million, or 5.3%, to $325.9 million as of June 30, 2020 from $309.5 million as of December 31, 2019. This increase was primarily due to a net increase of $17.3 million in energy loans.</w:t>
      </w:r>
    </w:p>
    <w:p>
      <w:pPr>
        <w:sectPr>
          <w:pgSz w:w="11900" w:h="16838" w:orient="portrait"/>
          <w:cols w:equalWidth="0" w:num="1">
            <w:col w:w="11240"/>
          </w:cols>
          <w:pgMar w:left="320" w:top="122" w:right="339" w:bottom="211" w:gutter="0" w:footer="0" w:header="0"/>
        </w:sectPr>
      </w:pPr>
    </w:p>
    <w:bookmarkStart w:id="44" w:name="page45"/>
    <w:bookmarkEnd w:id="44"/>
    <w:p>
      <w:pPr>
        <w:jc w:val="both"/>
        <w:spacing w:after="0" w:line="297" w:lineRule="auto"/>
        <w:rPr>
          <w:sz w:val="20"/>
          <w:szCs w:val="20"/>
          <w:color w:val="auto"/>
        </w:rPr>
      </w:pPr>
      <w:r>
        <w:rPr>
          <w:rFonts w:ascii="Arial" w:cs="Arial" w:eastAsia="Arial" w:hAnsi="Arial"/>
          <w:sz w:val="19"/>
          <w:szCs w:val="19"/>
          <w:color w:val="auto"/>
        </w:rPr>
        <w:t>Commercial general loans increased $179.5 million, or 40.7%, to $620.9 million as of June 30, 2020 from $441.4 million as of December 31, 2019. The increase in commercial general loans was primarily due to PPP loans originations totaling $215.3 million, partially offset by the early payoff of two relationships totaling $22.2 million during the first quarter of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Consumer</w:t>
      </w:r>
      <w:r>
        <w:rPr>
          <w:rFonts w:ascii="Arial" w:cs="Arial" w:eastAsia="Arial" w:hAnsi="Arial"/>
          <w:sz w:val="19"/>
          <w:szCs w:val="19"/>
          <w:color w:val="auto"/>
        </w:rPr>
        <w:t>. We utilize a computer-based credit scoring analysis to supplement our policies and procedures in underwriting</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Consumer and other loans decreased $19.7 million, or 3.0%, to $632.3 million as of June 30, 2020, from $652.0 million as of December 31, 2019. The decrease in these loans was primarily the result of indirect auto loan originations slowing in 2020 to a level that is less than the payments on these loans as a result of worsening economic conditions surrounding the COVID-19 pandemic. As of June 30, 2020, our consumer loan portfolio was comprised of $360.3 million in 1-4 family residential loans, $202.2 million in auto loans, and $69.8 million in other consumer loans.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 loans</w:t>
      </w:r>
      <w:r>
        <w:rPr>
          <w:rFonts w:ascii="Arial" w:cs="Arial" w:eastAsia="Arial" w:hAnsi="Arial"/>
          <w:sz w:val="22"/>
          <w:szCs w:val="22"/>
          <w:i w:val="1"/>
          <w:iCs w:val="1"/>
          <w:color w:val="auto"/>
        </w:rPr>
        <w:t xml:space="preserve"> </w:t>
      </w:r>
      <w:r>
        <w:rPr>
          <w:rFonts w:ascii="Arial" w:cs="Arial" w:eastAsia="Arial" w:hAnsi="Arial"/>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Construction loans increased $14.1 million, or 17.1%, to $96.6 million as of June 30, 2020 from $82.5 million as of December 31, 2019. The increase resulted from continued organic growth, especially in our Lubbock/South Plains and Dallas/Ft. Worth markets.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allowance for loan losses was $40.6 million at June 30, 2020, compared to $24.2 million at December 31, 2019, an increase of $16.4 million, or 67.9%. The increase is primarily a result of management’s estimate of economic effects of the COVID-19 pandemic as well as the decline in oil and gas prices. These effects caused us to downgrade the risk ratings on some of the more at-risk sectors in our portfolio, primarily energy and hospitality, during the first quarter and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2"/>
        </w:trPr>
        <w:tc>
          <w:tcPr>
            <w:tcW w:w="4620" w:type="dxa"/>
            <w:vAlign w:val="bottom"/>
            <w:gridSpan w:val="3"/>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5,090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charge-offs totaled $1.6 million and were 0.27% (annualized) of average loans outstanding for the three months ended June 30, 2020, compared to $85,000 and 0.02% for the three months ended June 30, 2019. Net charge-offs totaled $2.9 million and were 0.26% (annualized) of average loans outstanding for the six months ended June 30, 2020, compared to $438,000 and 0.05% for the six months ended June 30, 2019. The increase in net charge-offs for the quarter-to-date comparison was primarily the result of a $822,000 charge-off on an acquired direct energy relationship as well as several other smaller charge-offs on commercial-general loans during the second quarter of 2020. The increase in net charge-offs for the year-to-date comparison was primarily the result of a $518,000 charge-off on a retail commercial relationship as well as two smaller commercial-general charge-offs during the first quarter of 2020, in addition to the second quarter 2020 charge-offs noted above. The allowance for loan losses as a percentage of loans held for investment was 1.74% at June 30, 2020 and 1.13% at December 31,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6,614</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3,939</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Quality</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Nonaccrual loans:</w:t>
            </w:r>
          </w:p>
        </w:tc>
        <w:tc>
          <w:tcPr>
            <w:tcW w:w="160" w:type="dxa"/>
            <w:vAlign w:val="bottom"/>
          </w:tcPr>
          <w:p>
            <w:pPr>
              <w:spacing w:after="0"/>
              <w:rPr>
                <w:sz w:val="20"/>
                <w:szCs w:val="20"/>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(Dollars in thousands)</w:t>
            </w: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nonaccrual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ectPr>
          <w:pgSz w:w="11900" w:h="16838" w:orient="portrait"/>
          <w:cols w:equalWidth="0" w:num="1">
            <w:col w:w="11240"/>
          </w:cols>
          <w:pgMar w:left="320" w:top="122" w:right="339" w:bottom="0" w:gutter="0" w:footer="0" w:header="0"/>
        </w:sectPr>
      </w:pPr>
    </w:p>
    <w:bookmarkStart w:id="48" w:name="page49"/>
    <w:bookmarkEnd w:id="48"/>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had no loans restructured as TDRs during the first six months of 2020 or 2019. TDRs are excluded from our nonperforming loans unless they otherwise meet the definition of nonaccrual loans or past due 90 days or more.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COVID-19 Industry Exposures. </w:t>
      </w:r>
      <w:r>
        <w:rPr>
          <w:rFonts w:ascii="Arial" w:cs="Arial" w:eastAsia="Arial" w:hAnsi="Arial"/>
          <w:sz w:val="22"/>
          <w:szCs w:val="22"/>
          <w:color w:val="auto"/>
        </w:rPr>
        <w:t>The Company’s COVID-19 industry exposures at June 30, 2020 were:</w:t>
      </w:r>
    </w:p>
    <w:p>
      <w:pPr>
        <w:spacing w:after="0" w:line="13"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Restaurant and retail owner-occupied loans totaled $86.4 million (or 3.7% of total loans). The average loan size is $296,000. There was $564,000 in classified loans and $475,000 in loans past due greater than 30 days. The related allowance for loan losses to total restaurant and retail owner-occupied loans is 2.22%. Approximately 34% of these loans had been modified during 2020 as a result of the COVID-19 pandemic. Of these modifications, 78% were for six months of interest-only payments with remaining 22% being 90 day payment deferrals.</w:t>
      </w:r>
    </w:p>
    <w:p>
      <w:pPr>
        <w:spacing w:after="0" w:line="2" w:lineRule="exact"/>
        <w:rPr>
          <w:rFonts w:ascii="Arial" w:cs="Arial" w:eastAsia="Arial" w:hAnsi="Arial"/>
          <w:sz w:val="17"/>
          <w:szCs w:val="17"/>
          <w:color w:val="auto"/>
        </w:rPr>
      </w:pPr>
    </w:p>
    <w:p>
      <w:pPr>
        <w:jc w:val="both"/>
        <w:ind w:left="6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Hospitality and assisted living center loans totaled $115.2 million (or 4.9% of total loans), excluding properties under construction. The average loan size is $2.6 million. There was $46.5 million in classified loans and $10.6 million in loans past due more than 30 days. There is also $2.8 million in nonaccrual loans. The related allowance for loan losses to total hospitality and assisted living center loans is 6.78%. Approximately 81% of these loans had been modified during 2020 as a result of the COVID-19 pandemic. Of these modifications, 48% were for interest-only periods exceeding six months, interest rate reduction, or a combination of both, 42% were for up to six months of interest-only payments, and the remaining 10% being 90 day payment deferrals.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Oil and Gas Exposures. </w:t>
      </w:r>
      <w:r>
        <w:rPr>
          <w:rFonts w:ascii="Arial" w:cs="Arial" w:eastAsia="Arial" w:hAnsi="Arial"/>
          <w:sz w:val="22"/>
          <w:szCs w:val="22"/>
          <w:color w:val="auto"/>
        </w:rPr>
        <w:t>The Company’s direct energy sector loans totaled $78.6 million (or 3.4% of total loans) at June 30, 2020.</w:t>
      </w:r>
      <w:r>
        <w:rPr>
          <w:rFonts w:ascii="Arial" w:cs="Arial" w:eastAsia="Arial" w:hAnsi="Arial"/>
          <w:sz w:val="22"/>
          <w:szCs w:val="22"/>
          <w:i w:val="1"/>
          <w:iCs w:val="1"/>
          <w:color w:val="auto"/>
        </w:rPr>
        <w:t xml:space="preserve"> </w:t>
      </w:r>
      <w:r>
        <w:rPr>
          <w:rFonts w:ascii="Arial" w:cs="Arial" w:eastAsia="Arial" w:hAnsi="Arial"/>
          <w:sz w:val="22"/>
          <w:szCs w:val="22"/>
          <w:color w:val="auto"/>
        </w:rPr>
        <w:t>There was $50,000 in nonaccrual loans. Management has expanded the monitoring of the loans in this category. The related allowance for loan losses to direct energy loans is 5.65%. Approximately 13% of these loans had been modified during 2020 as a result of the COVID-19 pandemic. Of these modifications, 89% were for six months of interest-only payments with remaining 11% being 90 day payment deferrals.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securities portfolio increased $23.0 million, or 3.3%, to $730.7 million at June 30, 2020, compared to $707.7 million at December 31, 2019. The increase was due to the purchase of $121.3 million in Texas municipal securities and unrealized gain of $26.9 million, partially offset by the sale of $92.2 million in mortgage-backed securities and $30.6 million in maturities. The sale of the mortgage-backed securities occurred in January 2020 and generated a gain of $2.3 million.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fair value of the securities portfolio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214,576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224,032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9,456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358,304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14,588</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107,562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33,416</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35,960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703,777</w:t>
            </w:r>
          </w:p>
        </w:tc>
        <w:tc>
          <w:tcPr>
            <w:tcW w:w="26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730,674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26,897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707,650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Certain securities have fair values less than amortized cost and, therefore, contain unrealized losses. At June 30, 2020,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As of June 30, 2020</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2"/>
              </w:rPr>
              <w:t>Due in One</w:t>
            </w:r>
          </w:p>
        </w:tc>
        <w:tc>
          <w:tcPr>
            <w:tcW w:w="160" w:type="dxa"/>
            <w:vAlign w:val="bottom"/>
          </w:tcPr>
          <w:p>
            <w:pPr>
              <w:spacing w:after="0"/>
              <w:rPr>
                <w:sz w:val="17"/>
                <w:szCs w:val="17"/>
                <w:color w:val="auto"/>
              </w:rPr>
            </w:pPr>
          </w:p>
        </w:tc>
        <w:tc>
          <w:tcPr>
            <w:tcW w:w="208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520"/>
              <w:spacing w:after="0" w:line="198" w:lineRule="exact"/>
              <w:rPr>
                <w:sz w:val="20"/>
                <w:szCs w:val="20"/>
                <w:color w:val="auto"/>
              </w:rPr>
            </w:pPr>
            <w:r>
              <w:rPr>
                <w:rFonts w:ascii="Arial" w:cs="Arial" w:eastAsia="Arial" w:hAnsi="Arial"/>
                <w:sz w:val="18"/>
                <w:szCs w:val="18"/>
                <w:b w:val="1"/>
                <w:bCs w:val="1"/>
                <w:color w:val="auto"/>
                <w:w w:val="96"/>
              </w:rPr>
              <w:t>Due after Five Year</w:t>
            </w:r>
          </w:p>
        </w:tc>
        <w:tc>
          <w:tcPr>
            <w:tcW w:w="180" w:type="dxa"/>
            <w:vAlign w:val="bottom"/>
          </w:tcPr>
          <w:p>
            <w:pPr>
              <w:spacing w:after="0"/>
              <w:rPr>
                <w:sz w:val="17"/>
                <w:szCs w:val="17"/>
                <w:color w:val="auto"/>
              </w:rPr>
            </w:pPr>
          </w:p>
        </w:tc>
        <w:tc>
          <w:tcPr>
            <w:tcW w:w="1800" w:type="dxa"/>
            <w:vAlign w:val="bottom"/>
            <w:gridSpan w:val="3"/>
          </w:tcPr>
          <w:p>
            <w:pPr>
              <w:ind w:left="44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08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60" w:type="dxa"/>
            <w:vAlign w:val="bottom"/>
            <w:gridSpan w:val="4"/>
          </w:tcPr>
          <w:p>
            <w:pPr>
              <w:ind w:left="42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w:t>
            </w:r>
          </w:p>
        </w:tc>
        <w:tc>
          <w:tcPr>
            <w:tcW w:w="1140" w:type="dxa"/>
            <w:vAlign w:val="bottom"/>
            <w:gridSpan w:val="2"/>
          </w:tcPr>
          <w:p>
            <w:pPr>
              <w:jc w:val="center"/>
              <w:ind w:right="207"/>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Yield</w:t>
            </w:r>
          </w:p>
        </w:tc>
        <w:tc>
          <w:tcPr>
            <w:tcW w:w="1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140" w:type="dxa"/>
            <w:vAlign w:val="bottom"/>
            <w:gridSpan w:val="2"/>
          </w:tcPr>
          <w:p>
            <w:pPr>
              <w:jc w:val="center"/>
              <w:ind w:right="207"/>
              <w:spacing w:after="0"/>
              <w:rPr>
                <w:sz w:val="20"/>
                <w:szCs w:val="20"/>
                <w:color w:val="auto"/>
              </w:rPr>
            </w:pPr>
            <w:r>
              <w:rPr>
                <w:rFonts w:ascii="Arial" w:cs="Arial" w:eastAsia="Arial" w:hAnsi="Arial"/>
                <w:sz w:val="18"/>
                <w:szCs w:val="18"/>
                <w:b w:val="1"/>
                <w:bCs w:val="1"/>
                <w:color w:val="auto"/>
                <w:w w:val="97"/>
              </w:rPr>
              <w:t>Yield</w:t>
            </w:r>
          </w:p>
        </w:tc>
        <w:tc>
          <w:tcPr>
            <w:tcW w:w="1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Yield</w:t>
            </w:r>
          </w:p>
        </w:tc>
        <w:tc>
          <w:tcPr>
            <w:tcW w:w="180" w:type="dxa"/>
            <w:vAlign w:val="bottom"/>
          </w:tcPr>
          <w:p>
            <w:pPr>
              <w:spacing w:after="0"/>
              <w:rPr>
                <w:sz w:val="20"/>
                <w:szCs w:val="2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34"/>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(Dollars</w:t>
            </w:r>
          </w:p>
        </w:tc>
        <w:tc>
          <w:tcPr>
            <w:tcW w:w="280" w:type="dxa"/>
            <w:vAlign w:val="bottom"/>
          </w:tcPr>
          <w:p>
            <w:pPr>
              <w:jc w:val="right"/>
              <w:ind w:right="87"/>
              <w:spacing w:after="0"/>
              <w:rPr>
                <w:sz w:val="20"/>
                <w:szCs w:val="20"/>
                <w:color w:val="auto"/>
              </w:rPr>
            </w:pPr>
            <w:r>
              <w:rPr>
                <w:rFonts w:ascii="Arial" w:cs="Arial" w:eastAsia="Arial" w:hAnsi="Arial"/>
                <w:sz w:val="15"/>
                <w:szCs w:val="15"/>
                <w:b w:val="1"/>
                <w:bCs w:val="1"/>
                <w:color w:val="auto"/>
                <w:w w:val="74"/>
              </w:rPr>
              <w:t>in</w:t>
            </w: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thousands)</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15,672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197,387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1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15,150</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327,761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2"/>
        </w:trPr>
        <w:tc>
          <w:tcPr>
            <w:tcW w:w="236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107,319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6,267</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1140" w:type="dxa"/>
            <w:vAlign w:val="bottom"/>
            <w:gridSpan w:val="2"/>
          </w:tcPr>
          <w:p>
            <w:pPr>
              <w:jc w:val="right"/>
              <w:ind w:right="47"/>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30,822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665,884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1"/>
              </w:rPr>
              <w:t>As of December 31, 2019</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2"/>
              </w:rPr>
              <w:t>Due in One</w:t>
            </w:r>
          </w:p>
        </w:tc>
        <w:tc>
          <w:tcPr>
            <w:tcW w:w="160" w:type="dxa"/>
            <w:vAlign w:val="bottom"/>
          </w:tcPr>
          <w:p>
            <w:pPr>
              <w:spacing w:after="0"/>
              <w:rPr>
                <w:sz w:val="17"/>
                <w:szCs w:val="17"/>
                <w:color w:val="auto"/>
              </w:rPr>
            </w:pPr>
          </w:p>
        </w:tc>
        <w:tc>
          <w:tcPr>
            <w:tcW w:w="208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00" w:type="dxa"/>
            <w:vAlign w:val="bottom"/>
            <w:gridSpan w:val="3"/>
          </w:tcPr>
          <w:p>
            <w:pPr>
              <w:ind w:left="44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08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60" w:type="dxa"/>
            <w:vAlign w:val="bottom"/>
            <w:gridSpan w:val="4"/>
          </w:tcPr>
          <w:p>
            <w:pPr>
              <w:ind w:left="42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w:t>
            </w:r>
          </w:p>
        </w:tc>
        <w:tc>
          <w:tcPr>
            <w:tcW w:w="1140" w:type="dxa"/>
            <w:vAlign w:val="bottom"/>
            <w:gridSpan w:val="2"/>
          </w:tcPr>
          <w:p>
            <w:pPr>
              <w:jc w:val="center"/>
              <w:ind w:right="207"/>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Yield</w:t>
            </w:r>
          </w:p>
        </w:tc>
        <w:tc>
          <w:tcPr>
            <w:tcW w:w="1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140" w:type="dxa"/>
            <w:vAlign w:val="bottom"/>
            <w:gridSpan w:val="2"/>
          </w:tcPr>
          <w:p>
            <w:pPr>
              <w:jc w:val="center"/>
              <w:ind w:right="207"/>
              <w:spacing w:after="0"/>
              <w:rPr>
                <w:sz w:val="20"/>
                <w:szCs w:val="20"/>
                <w:color w:val="auto"/>
              </w:rPr>
            </w:pPr>
            <w:r>
              <w:rPr>
                <w:rFonts w:ascii="Arial" w:cs="Arial" w:eastAsia="Arial" w:hAnsi="Arial"/>
                <w:sz w:val="18"/>
                <w:szCs w:val="18"/>
                <w:b w:val="1"/>
                <w:bCs w:val="1"/>
                <w:color w:val="auto"/>
                <w:w w:val="97"/>
              </w:rPr>
              <w:t>Yield</w:t>
            </w:r>
          </w:p>
        </w:tc>
        <w:tc>
          <w:tcPr>
            <w:tcW w:w="1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Yield</w:t>
            </w:r>
          </w:p>
        </w:tc>
        <w:tc>
          <w:tcPr>
            <w:tcW w:w="180" w:type="dxa"/>
            <w:vAlign w:val="bottom"/>
          </w:tcPr>
          <w:p>
            <w:pPr>
              <w:spacing w:after="0"/>
              <w:rPr>
                <w:sz w:val="20"/>
                <w:szCs w:val="20"/>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34"/>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(Dollars</w:t>
            </w:r>
          </w:p>
        </w:tc>
        <w:tc>
          <w:tcPr>
            <w:tcW w:w="280" w:type="dxa"/>
            <w:vAlign w:val="bottom"/>
          </w:tcPr>
          <w:p>
            <w:pPr>
              <w:jc w:val="right"/>
              <w:ind w:right="87"/>
              <w:spacing w:after="0"/>
              <w:rPr>
                <w:sz w:val="20"/>
                <w:szCs w:val="20"/>
                <w:color w:val="auto"/>
              </w:rPr>
            </w:pPr>
            <w:r>
              <w:rPr>
                <w:rFonts w:ascii="Arial" w:cs="Arial" w:eastAsia="Arial" w:hAnsi="Arial"/>
                <w:sz w:val="15"/>
                <w:szCs w:val="15"/>
                <w:b w:val="1"/>
                <w:bCs w:val="1"/>
                <w:color w:val="auto"/>
                <w:w w:val="74"/>
              </w:rPr>
              <w:t>in</w:t>
            </w: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thousands)</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1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140" w:type="dxa"/>
            <w:vAlign w:val="bottom"/>
            <w:gridSpan w:val="2"/>
          </w:tcPr>
          <w:p>
            <w:pPr>
              <w:jc w:val="right"/>
              <w:ind w:right="47"/>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14,206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78,808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23,513</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439,377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2"/>
        </w:trPr>
        <w:tc>
          <w:tcPr>
            <w:tcW w:w="236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107,443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6,787</w:t>
            </w:r>
          </w:p>
        </w:tc>
        <w:tc>
          <w:tcPr>
            <w:tcW w:w="1140" w:type="dxa"/>
            <w:vAlign w:val="bottom"/>
            <w:gridSpan w:val="2"/>
          </w:tcPr>
          <w:p>
            <w:pPr>
              <w:jc w:val="right"/>
              <w:ind w:right="47"/>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37,719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661,461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247"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47"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Total deposits at June 30, 2020 were $2.95 billion, representing an increase of $25.1 million, or 9.3%, compared to $2.70 billion at December 31, 2019. The increase in total deposits since December 31, 2019 is primarily due to organic growth, customers depositing funds received from PPP loans and maintaining higher balances, and other government stimulus payments and programs. As of June 30, 2020, 31.9% of total deposits were comprised of noninterest-bearing demand accounts, 57.2% of interest-bearing non-maturity accounts and 10.9% of time deposits.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deposit mix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940,853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790,921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344,485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318,379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1,231,534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322,495</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356,023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2,947,837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tables set forth the remaining maturity of time deposits of $100,000 and greater as of the date indicated: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83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Time deposits $100,000 or greater with remaining maturity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three months through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After six months through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620" w:hanging="615"/>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25,728</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31,513</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56,312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124,085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029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237,638</w:t>
      </w:r>
    </w:p>
    <w:p>
      <w:pPr>
        <w:spacing w:after="0" w:line="222" w:lineRule="exact"/>
        <w:rPr>
          <w:sz w:val="20"/>
          <w:szCs w:val="20"/>
          <w:color w:val="auto"/>
        </w:rPr>
      </w:pPr>
    </w:p>
    <w:p>
      <w:pPr>
        <w:sectPr>
          <w:pgSz w:w="11900" w:h="16838" w:orient="portrait"/>
          <w:cols w:equalWidth="0" w:num="2">
            <w:col w:w="9300" w:space="720"/>
            <w:col w:w="1220"/>
          </w:cols>
          <w:pgMar w:left="320" w:top="122" w:right="3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FHLB Advances</w:t>
      </w:r>
      <w:r>
        <w:rPr>
          <w:rFonts w:ascii="Arial" w:cs="Arial" w:eastAsia="Arial" w:hAnsi="Arial"/>
          <w:sz w:val="21"/>
          <w:szCs w:val="21"/>
          <w:color w:val="auto"/>
        </w:rPr>
        <w:t>. The FHLB allows us to borrow, both short and long-term, on a blanket floating lien status collateralized by first</w:t>
      </w:r>
      <w:r>
        <w:rPr>
          <w:rFonts w:ascii="Arial" w:cs="Arial" w:eastAsia="Arial" w:hAnsi="Arial"/>
          <w:sz w:val="21"/>
          <w:szCs w:val="21"/>
          <w:i w:val="1"/>
          <w:iCs w:val="1"/>
          <w:color w:val="auto"/>
        </w:rPr>
        <w:t xml:space="preserve"> </w:t>
      </w:r>
      <w:r>
        <w:rPr>
          <w:rFonts w:ascii="Arial" w:cs="Arial" w:eastAsia="Arial" w:hAnsi="Arial"/>
          <w:sz w:val="21"/>
          <w:szCs w:val="21"/>
          <w:color w:val="auto"/>
        </w:rPr>
        <w:t>mortgage loans and commercial real estate loans as well as FHLB stock. At June 30, 2020 and December 31, 2019, we had total remaining borrowing capacity from the FHLB of $416.6 million and $304.8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FHLB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4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158,462</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126,731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i w:val="1"/>
          <w:iCs w:val="1"/>
          <w:color w:val="auto"/>
        </w:rPr>
        <w:t>Federal Reserve Bank of Dallas</w:t>
      </w:r>
      <w:r>
        <w:rPr>
          <w:rFonts w:ascii="Arial" w:cs="Arial" w:eastAsia="Arial" w:hAnsi="Arial"/>
          <w:sz w:val="19"/>
          <w:szCs w:val="19"/>
          <w:color w:val="auto"/>
        </w:rPr>
        <w:t>. The Bank has a line of credit with the FRB. The amount of the line is determined on a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basis by the FRB. The line is collateralized by a blanket floating lien on all agriculture, commercial and consumer loans. The amount of the line was $686.9 million and $547.6 million at June 30, 2020 and December 31,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FRB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1"/>
              </w:rPr>
              <w:t>As of/For the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0"/>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4"/>
              </w:rPr>
              <w:t>2019</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7"/>
          </w:tcPr>
          <w:p>
            <w:pPr>
              <w:ind w:left="36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8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2,637</w:t>
            </w:r>
          </w:p>
        </w:tc>
        <w:tc>
          <w:tcPr>
            <w:tcW w:w="8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2,115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Lines of Credit</w:t>
      </w:r>
      <w:r>
        <w:rPr>
          <w:rFonts w:ascii="Arial" w:cs="Arial" w:eastAsia="Arial" w:hAnsi="Arial"/>
          <w:sz w:val="19"/>
          <w:szCs w:val="19"/>
          <w:color w:val="auto"/>
        </w:rPr>
        <w:t>. The Bank has uncollateralized lines of credit with multiple banks as a source of funding for liquidity</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The total amount of the lines was $165.0 million as of June 30, 2020 and December 31, 2019. The lines were not used during the three or six month periods ended June 30, 2020 or the three or six month periods ending June 30, 2019.</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Subordinated Debt Securities</w:t>
      </w:r>
      <w:r>
        <w:rPr>
          <w:rFonts w:ascii="Arial" w:cs="Arial" w:eastAsia="Arial" w:hAnsi="Arial"/>
          <w:sz w:val="19"/>
          <w:szCs w:val="19"/>
          <w:color w:val="auto"/>
        </w:rPr>
        <w:t>. In December 2018, the Company issued $26.5 million in subordinated debt securities.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The balance of subordinated debt securities as of June 30, 2020 and December 31, 2019 was $26.5 million.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Junior Subordinated Deferrable Interest Debentures and Trust Preferred Securities</w:t>
      </w:r>
      <w:r>
        <w:rPr>
          <w:rFonts w:ascii="Arial" w:cs="Arial" w:eastAsia="Arial" w:hAnsi="Arial"/>
          <w:sz w:val="19"/>
          <w:szCs w:val="19"/>
          <w:color w:val="auto"/>
        </w:rPr>
        <w:t>. Between March 2004 and June 2007,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2020 and December 31, 2019.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Stated</w:t>
            </w:r>
          </w:p>
        </w:tc>
        <w:tc>
          <w:tcPr>
            <w:tcW w:w="24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Maturity Date of</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Trust Preferred</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Issue</w:t>
            </w:r>
          </w:p>
        </w:tc>
        <w:tc>
          <w:tcPr>
            <w:tcW w:w="120" w:type="dxa"/>
            <w:vAlign w:val="bottom"/>
          </w:tcPr>
          <w:p>
            <w:pPr>
              <w:spacing w:after="0"/>
              <w:rPr>
                <w:sz w:val="17"/>
                <w:szCs w:val="17"/>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Trust Preferred</w:t>
            </w:r>
          </w:p>
        </w:tc>
        <w:tc>
          <w:tcPr>
            <w:tcW w:w="100" w:type="dxa"/>
            <w:vAlign w:val="bottom"/>
          </w:tcPr>
          <w:p>
            <w:pPr>
              <w:spacing w:after="0"/>
              <w:rPr>
                <w:sz w:val="17"/>
                <w:szCs w:val="17"/>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Amount of</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Securities and</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3460" w:type="dxa"/>
            <w:vAlign w:val="bottom"/>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Securities</w:t>
            </w:r>
          </w:p>
        </w:tc>
        <w:tc>
          <w:tcPr>
            <w:tcW w:w="100" w:type="dxa"/>
            <w:vAlign w:val="bottom"/>
          </w:tcPr>
          <w:p>
            <w:pPr>
              <w:spacing w:after="0"/>
              <w:rPr>
                <w:sz w:val="21"/>
                <w:szCs w:val="21"/>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88"/>
              </w:rPr>
              <w:t>Debentures</w:t>
            </w:r>
          </w:p>
        </w:tc>
        <w:tc>
          <w:tcPr>
            <w:tcW w:w="1400" w:type="dxa"/>
            <w:vAlign w:val="bottom"/>
            <w:gridSpan w:val="2"/>
          </w:tcPr>
          <w:p>
            <w:pPr>
              <w:jc w:val="center"/>
              <w:ind w:right="100"/>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244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3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10,310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3-mo. LIBOR + 265 bps; 3.69%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South Plains Financial Capital Trust IV</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20,619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2440" w:type="dxa"/>
            <w:vAlign w:val="bottom"/>
          </w:tcPr>
          <w:p>
            <w:pPr>
              <w:ind w:left="120"/>
              <w:spacing w:after="0"/>
              <w:rPr>
                <w:sz w:val="20"/>
                <w:szCs w:val="20"/>
                <w:color w:val="auto"/>
              </w:rPr>
            </w:pPr>
            <w:r>
              <w:rPr>
                <w:rFonts w:ascii="Arial" w:cs="Arial" w:eastAsia="Arial" w:hAnsi="Arial"/>
                <w:sz w:val="18"/>
                <w:szCs w:val="18"/>
                <w:color w:val="auto"/>
                <w:w w:val="91"/>
              </w:rPr>
              <w:t>3-mo. LIBOR + 139 bps; 1.70%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15,464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3-mo. LIBOR + 150 bps; 1.81%</w:t>
            </w: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46,393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 as of last reset date, prior to June 30,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At June 30, 2020, the Bank had the capacity to borrow additional funds from the FHLB of up to approximately $416.6 million and the capacity to borrow from the FRB discount window of approximately $686.9 million. The FRB has also lowered the primary credit rate to 0.25% and extended the term to 90 days to enhance liquidity and encourage use of the Federal Reserve discount window. In addition, the Company maintains overnight fed fund purchase arrangements with correspondent banks.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 Management believes that these sources of liquidity will provide adequate funding and liquidity to address the economic uncertainties caused by the ongoing COVID-19 pandemic. However, during this period management is closely monitoring the Company’s potential liquidity needs, and if general economic conditions, the COVID-19 pandemic, or other events cause these sources of liquidity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Total shareholders’ equity increased to $336.5 million as of June 30, 2020, compared to $306.2 million as of December 31, 2019, an increase of $30.3 million, or 9.9%. The increase from December 31, 2019 was primarily the result of $12.7 million in net earnings for the six months ended June 30, 2020, and a change in accumulated other comprehensive income of $18.6 million, net of tax.</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At June 30, 2020, both the Company and the Bank met all the capital adequacy requirements to which the Company and the Bank were subject. At June 30, 2020, the Bank was “well capitalized” under the regulatory framework for prompt corrective action. Management believes that no conditions or events have occurred since June 30, 2020 that would materially adversely change such capital classifications. From time to time, we may need to raise additional capital to support the Company’s and the Bank’s further growth and to maintain our “well capitalized” status.</w:t>
      </w:r>
    </w:p>
    <w:p>
      <w:pPr>
        <w:sectPr>
          <w:pgSz w:w="11900" w:h="16838" w:orient="portrait"/>
          <w:cols w:equalWidth="0" w:num="1">
            <w:col w:w="11240"/>
          </w:cols>
          <w:pgMar w:left="320" w:top="122" w:right="339"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Company’s and the Bank’s regulatory capital ratios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395,127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14.88%</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334,080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289,080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334,080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383,541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14.67%</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348,975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348,975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348,975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Treasury Stock</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March 13, 2020, the Company approved a stock buyback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The Program has an expiration date of April 15, 2021. The Program may be terminated or amended by the Company’s board of directors at any time prior to the expiration date. On April 16, 2020, the Company announced a temporary suspension of the Program. Suspending the stock repurchase program will allow the Company to preserve capital and provide liquidity to meet the credit needs of the customers, small businesses and local communities served by the Company and City Bank. The Company believes that it remains strong and well-capitalized, and the Company may reinstate the stock repurchase program in the future.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the three months ended June 30, 2020, the Company purchased 4,700 shares of its common stock at a weighted average price of $13.03 per share for an aggregate amount of $61,000, and were immediately cancelled. These purchases were all in April 2020 and prior to the Company’s temporary suspension of the Program. The Company accounted for the transactions under the cost method. These transactions are recorded as “Purchase of treasury stock” in the accompanying consolidated statements of changes in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ectPr>
          <w:pgSz w:w="11900" w:h="16838" w:orient="portrait"/>
          <w:cols w:equalWidth="0" w:num="1">
            <w:col w:w="11240"/>
          </w:cols>
          <w:pgMar w:left="320" w:top="122"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460,429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409,969</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r>
        <w:trPr>
          <w:trHeight w:val="257"/>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470,262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ectPr>
          <w:pgSz w:w="11900" w:h="16838" w:orient="portrait"/>
          <w:cols w:equalWidth="0" w:num="1">
            <w:col w:w="11240"/>
          </w:cols>
          <w:pgMar w:left="320" w:top="122" w:right="339" w:bottom="49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9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summarize the simulated change in net interest income over a 12-month horizon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0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7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7"/>
                <w:szCs w:val="17"/>
                <w:color w:val="auto"/>
              </w:rPr>
            </w:pPr>
          </w:p>
        </w:tc>
      </w:tr>
      <w:tr>
        <w:trPr>
          <w:trHeight w:val="194"/>
        </w:trPr>
        <w:tc>
          <w:tcPr>
            <w:tcW w:w="7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Change in Interest Rates (Basis Points)</w:t>
            </w:r>
          </w:p>
        </w:tc>
        <w:tc>
          <w:tcPr>
            <w:tcW w:w="156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w w:val="90"/>
              </w:rPr>
              <w:t>Net Interest Income</w:t>
            </w:r>
          </w:p>
        </w:tc>
        <w:tc>
          <w:tcPr>
            <w:tcW w:w="18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2"/>
              </w:rPr>
              <w:t>Net Interest Income</w:t>
            </w:r>
          </w:p>
        </w:tc>
      </w:tr>
      <w:tr>
        <w:trPr>
          <w:trHeight w:val="28"/>
        </w:trPr>
        <w:tc>
          <w:tcPr>
            <w:tcW w:w="300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+200</w:t>
            </w:r>
          </w:p>
        </w:tc>
        <w:tc>
          <w:tcPr>
            <w:tcW w:w="48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-100</w:t>
            </w:r>
          </w:p>
        </w:tc>
        <w:tc>
          <w:tcPr>
            <w:tcW w:w="48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(0.23)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June 30, 2020.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 all</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have original maturities within three months, as cash and cash equivalents.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 than temporary are included in gain or loss on sale of securities. The cost of securities sold is based on the specific identification method.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 reported</w:t>
      </w:r>
      <w:r>
        <w:rPr>
          <w:rFonts w:ascii="Arial" w:cs="Arial" w:eastAsia="Arial" w:hAnsi="Arial"/>
          <w:sz w:val="19"/>
          <w:szCs w:val="19"/>
          <w:i w:val="1"/>
          <w:iCs w:val="1"/>
          <w:color w:val="auto"/>
        </w:rPr>
        <w:t xml:space="preserve"> </w:t>
      </w:r>
      <w:r>
        <w:rPr>
          <w:rFonts w:ascii="Arial" w:cs="Arial" w:eastAsia="Arial" w:hAnsi="Arial"/>
          <w:sz w:val="19"/>
          <w:szCs w:val="19"/>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ectPr>
          <w:pgSz w:w="11900" w:h="16838" w:orient="portrait"/>
          <w:cols w:equalWidth="0" w:num="1">
            <w:col w:w="11240"/>
          </w:cols>
          <w:pgMar w:left="320" w:top="122" w:right="339" w:bottom="0" w:gutter="0" w:footer="0" w:header="0"/>
        </w:sectPr>
      </w:pPr>
    </w:p>
    <w:bookmarkStart w:id="57" w:name="page58"/>
    <w:bookmarkEnd w:id="57"/>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Goodwill and Other Intangible Assets. </w:t>
      </w:r>
      <w:r>
        <w:rPr>
          <w:rFonts w:ascii="Arial" w:cs="Arial" w:eastAsia="Arial" w:hAnsi="Arial"/>
          <w:sz w:val="22"/>
          <w:szCs w:val="22"/>
          <w:color w:val="auto"/>
        </w:rPr>
        <w:t>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ectPr>
          <w:pgSz w:w="11900" w:h="16838" w:orient="portrait"/>
          <w:cols w:equalWidth="0" w:num="1">
            <w:col w:w="11240"/>
          </w:cols>
          <w:pgMar w:left="320" w:top="122" w:right="339" w:bottom="35" w:gutter="0" w:footer="0" w:header="0"/>
        </w:sectPr>
      </w:pPr>
    </w:p>
    <w:bookmarkStart w:id="59" w:name="page60"/>
    <w:bookmarkEnd w:id="59"/>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were no changes in the Company’s internal control over financial reporting (as such term is defined in Rules 13a-15(f) and 15d-15(f) under the Exchange Act) that occurred during the three months ended June 30, 2020 that have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and its subsidiaries are subject to various legal actions, as described in our Annual Report on Form 10-K for the year ended December 31, 2019 (the “2019 Annual Report on Form 10-K”) filed with the SEC on March 25, 2020. There are no material developments in the legal actions described in our 2019 Annual Report on Form 10-K.</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In connection with the recent acquisition of WTSB), the Company and the Bank filed a lawsuit in the 72nd Judicial District Court of Lubbock County, Texas: </w:t>
      </w:r>
      <w:r>
        <w:rPr>
          <w:rFonts w:ascii="Arial" w:cs="Arial" w:eastAsia="Arial" w:hAnsi="Arial"/>
          <w:sz w:val="19"/>
          <w:szCs w:val="19"/>
          <w:i w:val="1"/>
          <w:iCs w:val="1"/>
          <w:color w:val="auto"/>
        </w:rPr>
        <w:t>South Plains Financial, Inc. and City Bank v. R. Jay Phillips and West Texas State Bank</w:t>
      </w:r>
      <w:r>
        <w:rPr>
          <w:rFonts w:ascii="Arial" w:cs="Arial" w:eastAsia="Arial" w:hAnsi="Arial"/>
          <w:sz w:val="19"/>
          <w:szCs w:val="19"/>
          <w:color w:val="auto"/>
        </w:rPr>
        <w:t>, Case No. 202053938, on April 8, 2020 (as amended). The petition names as defendants Mr. R. Jay Phillips (“Phillips”) and WTSB.</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petition alleges that Phillips, the former Chairman of the Board and Chief Executive Officer of WTSB, made false representations and misstatements to the Company and the Bank regarding the amount of expenses that were to be incurred as a result of WTSB’s termination of its core data processing contract, as required under the terms of the transaction. In particular, the petition alleges that Phillips’ material misrepresentations, which were certified in writing, resulted in an incorrect quantification of WTSB’s transaction-related expenses and, in turn, inflated the consideration paid by the Company. The petition seeks actual damages, punitive damages, exemplary damages, and attorney’s fees, and, alternatively, rescission of the Company’s acquisition of WTSB.</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Phillips filed a counterclaim on May 6, 2020 seeking indemnification from City Bank, as successor to WTSB through merger, including reimbursement and payment of expenses incurred in connection with the lawsuit. The Company intends to vigorously pursue its claim; however, it is not possible at this time to determine with any degree of certainty the ultimate outcome of the litigation. If the case is not resolved, the lawsuit could result in costs associated with indemnification of Phillips and advancement of expenses not covered by insurance.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as described above or in our 2019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Quarterly Report on Form 10-Q for the three months ended June 30, 2020 (this “Form 10-Q”) and the risk factors previously disclosed under the heading “Risk Factors” in Part I, Item 1A of our 2019 Annual Report on Form 10-K. The following risk factors represent material changes in the risk factors disclosed by the Company in the 2019 Annual Report on Form 10-K.</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The COVID-19 pandemic is adversely affecting us and our customers, employees, and third-party service providers, and the adverse impacts on our business, financial position, results of operations, and prospects could be significant.</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COVID-19 pandemic continues to negatively impacted the global economy, disrupt global supply chains, lower equity market valuations, create significant volatility and disruption in financial markets, increase unemployment levels and decrease consumer confidence generally. In addition, the pandemic caused the temporary closures of many businesses and the institution of social distancing and sheltering in place requirements in many states and communities. The pandemic could influence the recognition of credit losses in our loan portfolios and increase our allowance for credit losses, particularly as businesses remain closed and as more customers are expected to draw on their lines of credit or seek additional loans to help finance their businesses. Furthermore, the pandemic could affect the stability of our deposit base as well as our capital and liquidity position, impair the ability of borrowers to repay outstanding loans, impair the value of collateral securing loans, result in lost revenue and cause us to incur additional expenses. Similarly, because of changing economic and market conditions affecting issuers, we may be required to recognize other-than-temporary impairments in future periods on the securities we hold as well as reductions in other comprehensive income.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extent of the impact of the COVID-19 pandemic on our capital, liquidity, and other financial positions and on our business, results of operations, and prospects will depend on a number of evolving factors, including: (i) the duration, extent, and severity of the pandemic, (ii) the response of governmental and nongovernmental authorities, (iii) the effect on our customers, counterparties, employees, and third-party service providers</w:t>
      </w:r>
      <w:r>
        <w:rPr>
          <w:rFonts w:ascii="Arial" w:cs="Arial" w:eastAsia="Arial" w:hAnsi="Arial"/>
          <w:sz w:val="22"/>
          <w:szCs w:val="22"/>
          <w:i w:val="1"/>
          <w:iCs w:val="1"/>
          <w:color w:val="auto"/>
        </w:rPr>
        <w:t>,</w:t>
      </w:r>
      <w:r>
        <w:rPr>
          <w:rFonts w:ascii="Arial" w:cs="Arial" w:eastAsia="Arial" w:hAnsi="Arial"/>
          <w:sz w:val="22"/>
          <w:szCs w:val="22"/>
          <w:color w:val="auto"/>
        </w:rPr>
        <w:t xml:space="preserve"> (iv) the effect on economies and markets, and (v) the success of hardship relief efforts to bridge the gap to reopening the economy. Even after the COVID-19 pandemic has subsided, we may continue to experience materially adverse impacts to our business as a result of the pandemic’s global economic impact, including the availability of credit, adverse impacts on our liquidity and any recession that has occurred or may occur in the future.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duration of the pandemic and the resulting business interruptions and related impacts on our business and operations, which will depend on future developments, are highly uncertain and cannot be reasonably estimated at this time. The pandemic could cause us to experience higher credit losses in our lending portfolio, impairment of our goodwill and other financial assets,</w:t>
      </w:r>
    </w:p>
    <w:p>
      <w:pPr>
        <w:sectPr>
          <w:pgSz w:w="11900" w:h="16838" w:orient="portrait"/>
          <w:cols w:equalWidth="0" w:num="1">
            <w:col w:w="11240"/>
          </w:cols>
          <w:pgMar w:left="320" w:top="122" w:right="339" w:bottom="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reduced demand for our products and services, and other negative impacts on our financial position, results of operations, and prospects.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U.S. government has implemented programs to directly compensate individuals and grant or loan money to businesses in an effort to provide funding while the economy is shut down and in the process of re-opening. Many banks, including City Bank, have implemented hardship relief programs that include payment deferral and short-term funding options. The success of these programs could mute the effect on the Company’s credit losses, which may be difficult to determine.</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significant number of our borrowers have requested and received short-term loan payment deferrals. Although we expect most of these loans to return to normal payment schedules upon the expiration of their deferral, these deferrals may negatively impact our revenue and other results of operations in the near term and, if not effective in mitigating the effect of the COVID-19 pandemic on our customers, may adversely affect our business and results of operations more substantially over a longer period of time. Moreover, the cumulative effects of the COVID-19 pandemic and the measures implemented by governments to combat the pandemic on the mortgaged properties may cause borrowers to be unable to meet their payment obligations under mortgage loans that we hold and may result in significant losses.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There are no comparable recent events that provide guidance as to the effect the spread of the COVID-19 pandemic may have, and, as a result, the ultimate impact of the outbreak is highly uncertain and subject to change. We do not yet know the full extent of the impacts on our business, our operations or the global economy as a whole. However, the effects could have a material impact on our results of operations and heighten many of our known risks described in the “Risk Factors” section of our Annual Report on Form 10-K for the fiscal year ended December 31, 2019.</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Current and future restrictions on our workforce’s access to our facilities and our reliance on third parties could limit our ability to meet customer servicing expectations and have a material adverse effect on our operations.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rely on business processes and profit center activity that largely depend on people, technology, and the use of complex systems and models to manage our business, including access to information technology systems and models as well as information, applications, payment systems and other services provided by third parties. In response to COVID-19, we have modified our business practices with a majority of our employees working remotely from their homes to have our operations uninterrupted as much as possible. Further, technology in employees’ homes may not be as robust as in our offices and could cause the networks, information systems, applications, and other tools available to employees to be more limited or less reliable than in our offices, the continuation of these work-from-home measures introduces additional operational risk, especially including increased cybersecurity risk. These cyber risks include greater phishing, malware, and other cybersecurity attacks, vulnerability to disruptions of our information technology infrastructure and telecommunications systems for remote operations, increased risk of unauthorized dissemination of confidential information, limited ability to restore the systems in the event of a systems failure or interruption, great risk of a security breach resulting in destruction or misuse of valuable information, and potential impairment of our ability to perform critical functions, including wiring funds, all of which could expose us to risks of data or financial loss, litigation and liability and could seriously disrupt our operations and the operations of any impacted customers.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Moreover, we rely on many third parties in our business operations, including appraisers of real property collateral, vendors that supply essential services such as loan servicers, providers of financial information, systems and analytical tools and providers of electronic payment and settlement systems, and local and federal government agencies, offices, and courthouses. In light of the developing measures responding to the pandemic, many of these entities have limited the availability and access of their services. For example, loan origination could be delayed due to the limited availability of real estate appraisers for the collateral. Loan closings could be delayed related to reductions in available staff in recording offices or the closing of courthouses in certain counties, which slows the process for title work, mortgage and UCC filings in those counties. If the third party service providers continue to have limited capacities for a prolonged period or if additional limitations or potential disruptions in these services materialize, it may negatively affect our operations.</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Changes in market interest rates or capital markets, including volatility resulting from the COVID-19 pandemic, could affect our revenues and expenses, the value of assets and obligations, and the availability and cost of capital or liquidity.</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COVID-19 pandemic continues to significantly affect the financial markets and has resulted in a number of Federal Reserve actions. Market interest rates have declined significantly. On March 3, 2020, the 10-year Treasury yield fell below 1.00% for the first time, and the Federal Reserve reduced the target federal funds rate by 50 basis points to 1.00% to 1.25%. On March 15, 2020, the Federal Reserve further reduced the target federal funds rate by 100 basis points to 0.00% to 0.25% and announced a $700 billion quantitative easing program in response to the expected economic downturn caused by the COVID-19 pandemic. The Federal Reserve reduced the interest that it pays on excess reserves from 1.60% to 1.10% on March 3, 2020, and then to 0.10% on March 15, 2020. We expect that these reductions in interest rates, especially if prolonged, could adversely affect our net interest income and margins and our profitability.</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our business mix, and the fact that most of our assets and liabilities are financial in nature, we tend to be sensitive to market interest rate movements and the performance of the financial markets. Our primary source of income is net interest income, which is the difference between the interest income generated by our interest-earning assets (consisting primarily of loans and, to a lesser extent, securities) and the interest expense generated by our interest-bearing liabilities.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the continued spread of the COVID-19 pandemic has also led to disruption and volatility in financial markets, which could increase our cost of capital and adversely affect our ability to access financial markets, which may in turn affect the value of the subordinated notes. This market volatility has resulted in a significant decline, and we may continue to experience further declines, in our stock price and market capitalization, which could result in goodwill impairment charges.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As a participating lender in the PPP, we are subject to additional risks of litigation from our customers or other parties and regulatory enforcement regarding our processing and forgiveness of PPP loans, as well as risks that the SBA may not fund some or all PPP loan guaranties.</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response to the COVID-19 pandemic, President Trump signed into law the CARES Act on March 27, 2020. Among other things, the CARES Act created a new facility, titled the “Paycheck Protection Program,” to the SBA’s 7(a) Loan Program. Under the PPP, small businesses and other entities and individuals can apply for loans from existing SBA lenders and other approved regulated lenders that enroll in the program, subject to numerous limitations and eligibility criteria. We are participating as a lender in the PPP and, as of June 30, 2020, the Bank had funded approximately 2,050 loans under the PPP, representing an unpaid principal balance of $215 million.</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PPP opened on April 3, 2020; however, because of the short time frame between the passing of the CARES Act and the opening of the PPP, there was and continues to be ambiguity in the laws, rules, and guidance regarding the requirements and operation of the PPP, which exposes the Company to risks relating to noncompliance with the PPP. For instance, other financial institutions have experienced litigation related to their policies and procedures for accepting and processing applications for the</w:t>
      </w:r>
    </w:p>
    <w:p>
      <w:pPr>
        <w:spacing w:after="0" w:line="3" w:lineRule="exact"/>
        <w:rPr>
          <w:sz w:val="20"/>
          <w:szCs w:val="20"/>
          <w:color w:val="auto"/>
        </w:rPr>
      </w:pPr>
    </w:p>
    <w:p>
      <w:pPr>
        <w:ind w:right="20" w:firstLine="8"/>
        <w:spacing w:after="0" w:line="308" w:lineRule="auto"/>
        <w:tabs>
          <w:tab w:leader="none" w:pos="447"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financial liability, litigation costs or reputational damage caused by PPP related litigation could have a material adverse impact on our business, financial condition and results of operations.</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we have credit risk on PPP loans if a determination is made by the SBA that there is a deficiency in the manner in which the loan was originated, funded, or serviced. We also have credit risk related to how forgiveness of the PPP loans is handled and how the forgiveness amounts are determined. We cannot predict what operational, credit, or other shortfalls may arise as a result of the Company making loans under the PPP or how such shortfalls may adversely affect our financial condition, results of operations and future prospects.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160" w:type="dxa"/>
            <w:vAlign w:val="bottom"/>
            <w:tcBorders>
              <w:bottom w:val="single" w:sz="8" w:color="CCEEFF"/>
            </w:tcBorders>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00" w:type="dxa"/>
            <w:vAlign w:val="bottom"/>
            <w:shd w:val="clear" w:color="auto" w:fill="CCEEFF"/>
          </w:tcPr>
          <w:p>
            <w:pPr>
              <w:spacing w:after="0" w:line="201" w:lineRule="exact"/>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3.1</w:t>
              </w:r>
            </w:hyperlink>
          </w:p>
        </w:tc>
        <w:tc>
          <w:tcPr>
            <w:tcW w:w="160" w:type="dxa"/>
            <w:vAlign w:val="bottom"/>
            <w:shd w:val="clear" w:color="auto" w:fill="CCEEFF"/>
          </w:tcPr>
          <w:p>
            <w:pPr>
              <w:spacing w:after="0"/>
              <w:rPr>
                <w:sz w:val="17"/>
                <w:szCs w:val="17"/>
                <w:color w:val="auto"/>
              </w:rPr>
            </w:pPr>
          </w:p>
        </w:tc>
        <w:tc>
          <w:tcPr>
            <w:tcW w:w="9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Amended and Restated Certificate of Formation of South Plains Financial, Inc. (incorporated by reference to Exhibit 3.1 to the</w:t>
            </w:r>
          </w:p>
        </w:tc>
      </w:tr>
      <w:tr>
        <w:trPr>
          <w:trHeight w:val="230"/>
        </w:trPr>
        <w:tc>
          <w:tcPr>
            <w:tcW w:w="110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Company’s Form S-1 filed with the Commission on April 12, 2019) (File No. 333-230851)</w:t>
            </w:r>
          </w:p>
        </w:tc>
      </w:t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02"/>
        </w:trPr>
        <w:tc>
          <w:tcPr>
            <w:tcW w:w="1100" w:type="dxa"/>
            <w:vAlign w:val="bottom"/>
            <w:shd w:val="clear" w:color="auto" w:fill="CCEEFF"/>
          </w:tcPr>
          <w:p>
            <w:pPr>
              <w:spacing w:after="0" w:line="201" w:lineRule="exact"/>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3.2</w:t>
              </w:r>
            </w:hyperlink>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w:t>
            </w:r>
          </w:p>
        </w:tc>
      </w:tr>
      <w:tr>
        <w:trPr>
          <w:trHeight w:val="230"/>
        </w:trPr>
        <w:tc>
          <w:tcPr>
            <w:tcW w:w="110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with the Commission on April 12, 2019) (File No. 333-230851)</w:t>
            </w:r>
          </w:p>
        </w:tc>
      </w:t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31.1*</w:t>
              </w:r>
            </w:hyperlink>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31.2*</w:t>
              </w:r>
            </w:hyperlink>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32.1**</w:t>
              </w:r>
            </w:hyperlink>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32.2**</w:t>
              </w:r>
            </w:hyperlink>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The following material from South Plains Financial, Inc.’s Form 10-Q for the quarter ended June 30, 2020, formatted in XBRL</w:t>
            </w:r>
          </w:p>
        </w:tc>
      </w:tr>
      <w:tr>
        <w:trPr>
          <w:trHeight w:val="230"/>
        </w:trPr>
        <w:tc>
          <w:tcPr>
            <w:tcW w:w="1100" w:type="dxa"/>
            <w:vAlign w:val="bottom"/>
          </w:tcPr>
          <w:p>
            <w:pPr>
              <w:spacing w:after="0"/>
              <w:rPr>
                <w:sz w:val="20"/>
                <w:szCs w:val="20"/>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260"/>
        <w:spacing w:after="0" w:line="260" w:lineRule="auto"/>
        <w:rPr>
          <w:sz w:val="20"/>
          <w:szCs w:val="20"/>
          <w:color w:val="auto"/>
        </w:rPr>
      </w:pPr>
      <w:r>
        <w:rPr>
          <w:rFonts w:ascii="Arial" w:cs="Arial" w:eastAsia="Arial" w:hAnsi="Arial"/>
          <w:sz w:val="18"/>
          <w:szCs w:val="18"/>
          <w:color w:val="auto"/>
        </w:rPr>
        <w:t>Comprehensive Income, (iii) Consolidated Statements of Changes in Stockholders’ Equity, (iv) Consolidated Statements of Cash Flows, and (v) Notes to Unaudited Consolidated Financial Statements.</w:t>
      </w:r>
    </w:p>
    <w:p>
      <w:pPr>
        <w:spacing w:after="0" w:line="21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6180" w:val="left"/>
          <w:tab w:leader="none" w:pos="8140" w:val="left"/>
        </w:tabs>
        <w:rPr>
          <w:sz w:val="20"/>
          <w:szCs w:val="20"/>
          <w:color w:val="auto"/>
        </w:rPr>
      </w:pPr>
      <w:r>
        <w:rPr>
          <w:rFonts w:ascii="Arial" w:cs="Arial" w:eastAsia="Arial" w:hAnsi="Arial"/>
          <w:sz w:val="18"/>
          <w:szCs w:val="18"/>
          <w:color w:val="auto"/>
        </w:rPr>
        <w:t>Date:</w:t>
        <w:tab/>
        <w:t>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6180" w:val="left"/>
          <w:tab w:leader="none" w:pos="8080" w:val="left"/>
        </w:tabs>
        <w:rPr>
          <w:sz w:val="20"/>
          <w:szCs w:val="20"/>
          <w:color w:val="auto"/>
        </w:rPr>
      </w:pPr>
      <w:r>
        <w:rPr>
          <w:rFonts w:ascii="Arial" w:cs="Arial" w:eastAsia="Arial" w:hAnsi="Arial"/>
          <w:sz w:val="18"/>
          <w:szCs w:val="18"/>
          <w:color w:val="auto"/>
        </w:rPr>
        <w:t>Date:</w:t>
        <w:tab/>
        <w:t>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 and Treasurer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Form10-Q of South Plains Financial, Inc. (the “registrant”) for the quarter ended June 30,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60" w:val="left"/>
          <w:tab w:leader="none" w:pos="768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June 30,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2020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14,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2020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14,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6"/>
    </w:lvl>
  </w:abstractNum>
  <w:abstractNum w:abstractNumId="5">
    <w:nsid w:val="4E6AFB66"/>
    <w:multiLevelType w:val="hybridMultilevel"/>
    <w:lvl w:ilvl="0">
      <w:lvlJc w:val="left"/>
      <w:lvlText w:val="%1."/>
      <w:numFmt w:val="decimal"/>
      <w:start w:val="7"/>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upperLetter"/>
      <w:start w:val="68"/>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upperLetter"/>
      <w:start w:val="68"/>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72" Type="http://schemas.openxmlformats.org/officeDocument/2006/relationships/hyperlink" Target="http://www.sec.gov/Archives/edgar/data/1163668/000114036119007042/s002614x4_ex3-1.htm" TargetMode="External"/><Relationship Id="rId73" Type="http://schemas.openxmlformats.org/officeDocument/2006/relationships/hyperlink" Target="http://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2020-08-14T06:19:47Z</dcterms:created>
  <dcterms:modified xsi:type="dcterms:W3CDTF">2020-08-14T06:19:47Z</dcterms:modified>
</cp:coreProperties>
</file>