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6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4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83946P107</w:t>
            </w:r>
          </w:p>
        </w:tc>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5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Richard D. Campbell</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5"/>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2900" w:type="dxa"/>
            <w:vAlign w:val="bottom"/>
            <w:tcBorders>
              <w:right w:val="single" w:sz="8" w:color="BFBFBF"/>
            </w:tcBorders>
            <w:shd w:val="clear" w:color="auto" w:fill="BFBFBF"/>
          </w:tcPr>
          <w:p>
            <w:pPr>
              <w:spacing w:after="0"/>
              <w:rPr>
                <w:sz w:val="20"/>
                <w:szCs w:val="20"/>
                <w:color w:val="auto"/>
              </w:rPr>
            </w:pPr>
          </w:p>
        </w:tc>
        <w:tc>
          <w:tcPr>
            <w:tcW w:w="55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2900" w:type="dxa"/>
            <w:vAlign w:val="bottom"/>
            <w:tcBorders>
              <w:right w:val="single" w:sz="8" w:color="BFBFBF"/>
            </w:tcBorders>
            <w:shd w:val="clear" w:color="auto" w:fill="BFBFBF"/>
          </w:tcPr>
          <w:p>
            <w:pPr>
              <w:spacing w:after="0"/>
              <w:rPr>
                <w:sz w:val="24"/>
                <w:szCs w:val="24"/>
                <w:color w:val="auto"/>
              </w:rPr>
            </w:pPr>
          </w:p>
        </w:tc>
        <w:tc>
          <w:tcPr>
            <w:tcW w:w="55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2900" w:type="dxa"/>
            <w:vAlign w:val="bottom"/>
            <w:tcBorders>
              <w:bottom w:val="single" w:sz="8" w:color="auto"/>
              <w:right w:val="single" w:sz="8" w:color="BFBFBF"/>
            </w:tcBorders>
            <w:shd w:val="clear" w:color="auto" w:fill="BFBFBF"/>
          </w:tcPr>
          <w:p>
            <w:pPr>
              <w:spacing w:after="0"/>
              <w:rPr>
                <w:sz w:val="23"/>
                <w:szCs w:val="23"/>
                <w:color w:val="auto"/>
              </w:rPr>
            </w:pPr>
          </w:p>
        </w:tc>
        <w:tc>
          <w:tcPr>
            <w:tcW w:w="55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ind w:left="8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1,750,154 (1)</w:t>
            </w: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ind w:left="8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5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vMerge w:val="continue"/>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ind w:left="8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46,367</w:t>
            </w:r>
          </w:p>
        </w:tc>
        <w:tc>
          <w:tcPr>
            <w:tcW w:w="5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55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ind w:left="8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1,703,787</w:t>
            </w: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2"/>
              </w:rPr>
              <w:t>1,750,154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2920" w:type="dxa"/>
            <w:vAlign w:val="bottom"/>
            <w:tcBorders>
              <w:bottom w:val="single" w:sz="8" w:color="auto"/>
            </w:tcBorders>
            <w:gridSpan w:val="2"/>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9.9% (2)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Includes (i) 6,367 shares held individually by Mr. Campbell, (ii) 1,274 shares covered by outstanding restricted stock units held of record by Mr. Campbell, (iii) 40,000 shares held by Racham Investment Group LLC over which Mr. Campbell exercises the authority to vote and dispose, and (iv) 1,703,787 held by Henry TAW LP over which Mr. Campbell exercises the authority to vote and dispose.</w:t>
      </w:r>
    </w:p>
    <w:p>
      <w:pPr>
        <w:spacing w:after="0" w:line="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Percentage based on 17,760,243 shares of common stock outstanding as of December 31,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6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83946P107</w:t>
            </w:r>
          </w:p>
        </w:tc>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Henry TAW LP</w:t>
            </w: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4220" w:type="dxa"/>
            <w:vAlign w:val="bottom"/>
            <w:tcBorders>
              <w:bottom w:val="single" w:sz="8" w:color="auto"/>
            </w:tcBorders>
            <w:gridSpan w:val="5"/>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2900" w:type="dxa"/>
            <w:vAlign w:val="bottom"/>
            <w:tcBorders>
              <w:right w:val="single" w:sz="8" w:color="BFBFBF"/>
            </w:tcBorders>
            <w:shd w:val="clear" w:color="auto" w:fill="BFBFBF"/>
          </w:tcPr>
          <w:p>
            <w:pPr>
              <w:spacing w:after="0"/>
              <w:rPr>
                <w:sz w:val="20"/>
                <w:szCs w:val="20"/>
                <w:color w:val="auto"/>
              </w:rPr>
            </w:pPr>
          </w:p>
        </w:tc>
        <w:tc>
          <w:tcPr>
            <w:tcW w:w="55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2900" w:type="dxa"/>
            <w:vAlign w:val="bottom"/>
            <w:tcBorders>
              <w:right w:val="single" w:sz="8" w:color="BFBFBF"/>
            </w:tcBorders>
            <w:shd w:val="clear" w:color="auto" w:fill="BFBFBF"/>
          </w:tcPr>
          <w:p>
            <w:pPr>
              <w:spacing w:after="0"/>
              <w:rPr>
                <w:sz w:val="24"/>
                <w:szCs w:val="24"/>
                <w:color w:val="auto"/>
              </w:rPr>
            </w:pPr>
          </w:p>
        </w:tc>
        <w:tc>
          <w:tcPr>
            <w:tcW w:w="55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2900" w:type="dxa"/>
            <w:vAlign w:val="bottom"/>
            <w:tcBorders>
              <w:bottom w:val="single" w:sz="8" w:color="auto"/>
              <w:right w:val="single" w:sz="8" w:color="BFBFBF"/>
            </w:tcBorders>
            <w:shd w:val="clear" w:color="auto" w:fill="BFBFBF"/>
          </w:tcPr>
          <w:p>
            <w:pPr>
              <w:spacing w:after="0"/>
              <w:rPr>
                <w:sz w:val="23"/>
                <w:szCs w:val="23"/>
                <w:color w:val="auto"/>
              </w:rPr>
            </w:pPr>
          </w:p>
        </w:tc>
        <w:tc>
          <w:tcPr>
            <w:tcW w:w="55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State of Texas</w:t>
            </w: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0</w:t>
            </w: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5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vMerge w:val="continue"/>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5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1,703,787 (1)</w:t>
            </w: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1,703,787 (1)</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2920" w:type="dxa"/>
            <w:vAlign w:val="bottom"/>
            <w:tcBorders>
              <w:bottom w:val="single" w:sz="8" w:color="auto"/>
            </w:tcBorders>
            <w:gridSpan w:val="2"/>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9.6% (2)</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2920" w:type="dxa"/>
            <w:vAlign w:val="bottom"/>
            <w:tcBorders>
              <w:bottom w:val="single" w:sz="8" w:color="auto"/>
            </w:tcBorders>
            <w:gridSpan w:val="2"/>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Pursuant to a voting agreement and irrevocable proxy, Mr. Campbell exercises sole voting authority with respect to the shares of Company common stock held by Henry TAW LP and also has authority to dispose of any such shares.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Percentage based on 17,760,243 shares of common stock outstanding as of December 31,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South Plains Financial, Inc. (the “Company”)</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5219 City Bank Parkway, Lubbock, Texas 79407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Richard D. Campbell (“Mr. Campbell”)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Henry TAW LP (“Henry TAW”)</w:t>
      </w:r>
    </w:p>
    <w:p>
      <w:pPr>
        <w:spacing w:after="0" w:line="23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Campbell: 3525 Andrews Highway, Midland, Texas 79703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Henry TAW: 3525 Andrews Highway, Midland, Texas 79703</w:t>
      </w:r>
    </w:p>
    <w:p>
      <w:pPr>
        <w:spacing w:after="0" w:line="23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Campbell is a citizen of the United States of America.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Henry TAW is a Texas limited partnership.</w:t>
      </w:r>
    </w:p>
    <w:p>
      <w:pPr>
        <w:spacing w:after="0" w:line="23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$1.00 per share</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83946P107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tcPr>
          <w:p>
            <w:pPr>
              <w:ind w:left="660"/>
              <w:spacing w:after="0"/>
              <w:rPr>
                <w:sz w:val="20"/>
                <w:szCs w:val="20"/>
                <w:color w:val="auto"/>
              </w:rPr>
            </w:pPr>
            <w:r>
              <w:rPr>
                <w:rFonts w:ascii="Arial" w:cs="Arial" w:eastAsia="Arial" w:hAnsi="Arial"/>
                <w:sz w:val="18"/>
                <w:szCs w:val="18"/>
                <w:color w:val="auto"/>
              </w:rPr>
              <w:t>(a)</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(b)</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Bank as defined in Section 3(a)(6) of the Act (15 U.S.C. 78c);</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(c)</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(d)</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(e)</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(f)</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(g)</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(h)</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425"/>
        </w:trPr>
        <w:tc>
          <w:tcPr>
            <w:tcW w:w="1080" w:type="dxa"/>
            <w:vAlign w:val="bottom"/>
          </w:tcPr>
          <w:p>
            <w:pPr>
              <w:ind w:left="660"/>
              <w:spacing w:after="0"/>
              <w:rPr>
                <w:sz w:val="20"/>
                <w:szCs w:val="20"/>
                <w:color w:val="auto"/>
              </w:rPr>
            </w:pPr>
            <w:r>
              <w:rPr>
                <w:rFonts w:ascii="Arial" w:cs="Arial" w:eastAsia="Arial" w:hAnsi="Arial"/>
                <w:sz w:val="18"/>
                <w:szCs w:val="18"/>
                <w:color w:val="auto"/>
              </w:rPr>
              <w:t>(i)</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 Investment</w:t>
            </w:r>
          </w:p>
        </w:tc>
      </w:tr>
      <w:tr>
        <w:trPr>
          <w:trHeight w:val="230"/>
        </w:trPr>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Company Act of 1940 (15 U.S.C. 80a-3);</w:t>
            </w:r>
          </w:p>
        </w:tc>
      </w:tr>
      <w:tr>
        <w:trPr>
          <w:trHeight w:val="479"/>
        </w:trPr>
        <w:tc>
          <w:tcPr>
            <w:tcW w:w="1080" w:type="dxa"/>
            <w:vAlign w:val="bottom"/>
          </w:tcPr>
          <w:p>
            <w:pPr>
              <w:ind w:left="660"/>
              <w:spacing w:after="0"/>
              <w:rPr>
                <w:sz w:val="20"/>
                <w:szCs w:val="20"/>
                <w:color w:val="auto"/>
              </w:rPr>
            </w:pPr>
            <w:r>
              <w:rPr>
                <w:rFonts w:ascii="Arial" w:cs="Arial" w:eastAsia="Arial" w:hAnsi="Arial"/>
                <w:sz w:val="18"/>
                <w:szCs w:val="18"/>
                <w:color w:val="auto"/>
              </w:rPr>
              <w:t>(j)</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rPr>
              <w:t>A non-U.S. institution in accordance with § 240.13d-1(b)(1)(ii)(J);</w:t>
            </w:r>
          </w:p>
        </w:tc>
      </w:tr>
      <w:tr>
        <w:trPr>
          <w:trHeight w:val="425"/>
        </w:trPr>
        <w:tc>
          <w:tcPr>
            <w:tcW w:w="1080" w:type="dxa"/>
            <w:vAlign w:val="bottom"/>
          </w:tcPr>
          <w:p>
            <w:pPr>
              <w:ind w:left="660"/>
              <w:spacing w:after="0"/>
              <w:rPr>
                <w:sz w:val="20"/>
                <w:szCs w:val="20"/>
                <w:color w:val="auto"/>
              </w:rPr>
            </w:pPr>
            <w:r>
              <w:rPr>
                <w:rFonts w:ascii="Arial" w:cs="Arial" w:eastAsia="Arial" w:hAnsi="Arial"/>
                <w:sz w:val="18"/>
                <w:szCs w:val="18"/>
                <w:color w:val="auto"/>
              </w:rPr>
              <w:t>(k)</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460" w:type="dxa"/>
            <w:vAlign w:val="bottom"/>
          </w:tcPr>
          <w:p>
            <w:pPr>
              <w:ind w:left="340"/>
              <w:spacing w:after="0"/>
              <w:rPr>
                <w:sz w:val="20"/>
                <w:szCs w:val="20"/>
                <w:color w:val="auto"/>
              </w:rPr>
            </w:pPr>
            <w:r>
              <w:rPr>
                <w:rFonts w:ascii="Arial" w:cs="Arial" w:eastAsia="Arial" w:hAnsi="Arial"/>
                <w:sz w:val="18"/>
                <w:szCs w:val="18"/>
                <w:color w:val="auto"/>
                <w:w w:val="93"/>
              </w:rPr>
              <w:t>Group, in accordance with § 240.13d-1(b)(1)(ii)(K). If filing as a non-U.S. institution in accordance with § 240.13d-1(b)(1)(ii)</w:t>
            </w:r>
          </w:p>
        </w:tc>
      </w:tr>
      <w:tr>
        <w:trPr>
          <w:trHeight w:val="230"/>
        </w:trPr>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(J), please specify the type of institution: ____</w:t>
            </w:r>
          </w:p>
        </w:tc>
      </w:tr>
      <w:tr>
        <w:trPr>
          <w:trHeight w:val="582"/>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tcPr>
          <w:p>
            <w:pPr>
              <w:ind w:left="3520"/>
              <w:spacing w:after="0"/>
              <w:rPr>
                <w:sz w:val="20"/>
                <w:szCs w:val="20"/>
                <w:color w:val="auto"/>
              </w:rPr>
            </w:pPr>
            <w:r>
              <w:rPr>
                <w:rFonts w:ascii="Arial" w:cs="Arial" w:eastAsia="Arial" w:hAnsi="Arial"/>
                <w:sz w:val="14"/>
                <w:szCs w:val="14"/>
                <w:color w:val="auto"/>
              </w:rPr>
              <w:t>Page 4 of 7</w:t>
            </w:r>
          </w:p>
        </w:tc>
      </w:tr>
      <w:tr>
        <w:trPr>
          <w:trHeight w:val="46"/>
        </w:trPr>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items 5 through 11 on cover pages.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49" w:lineRule="exact"/>
        <w:rPr>
          <w:sz w:val="20"/>
          <w:szCs w:val="20"/>
          <w:color w:val="auto"/>
        </w:rPr>
      </w:pPr>
    </w:p>
    <w:p>
      <w:pPr>
        <w:ind w:left="66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Exhibit 99.1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15, 2022</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4445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b w:val="1"/>
          <w:bCs w:val="1"/>
          <w:color w:val="auto"/>
        </w:rPr>
        <w:t>Richard D. Campbell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Henry Taw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D. Cambell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This Agreement is made pursuant to Rule 13d-1(k)(1) under the Securities Exchange Act of 1934, as amended (the “Exchange Act”), by and among the parties listed below, each referred to herein as a “Joint Filer.” The Joint Filers agree that a statement of beneficial ownership as required by Section 13(d) of the Exchange Act and the rules thereunder may be filed on each of their behalf on Schedule 13D or Schedule 13G, as appropriate, with respect to their ownership of common stock of South Plains Financial, Inc., and that said joint filing may thereafter be amended by further joint filings. The Joint Filers state that they each satisfy the requirements for making a joint filing under Rule 13d-1. This Agreement may be executed in any number of counterparts, all of which taken together shall constitute one and the same instrument.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hereby execute this Joint Filing Agreement as of this 15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February,</w:t>
      </w:r>
    </w:p>
    <w:p>
      <w:pPr>
        <w:spacing w:after="0"/>
        <w:rPr>
          <w:sz w:val="20"/>
          <w:szCs w:val="20"/>
          <w:color w:val="auto"/>
        </w:rPr>
      </w:pPr>
      <w:r>
        <w:rPr>
          <w:rFonts w:ascii="Arial" w:cs="Arial" w:eastAsia="Arial" w:hAnsi="Arial"/>
          <w:sz w:val="22"/>
          <w:szCs w:val="22"/>
          <w:color w:val="auto"/>
        </w:rPr>
        <w:t>2022.</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Richard D. Campbell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Henry Taw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D. Campbell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2022-02-16T05:15:49Z</dcterms:created>
  <dcterms:modified xsi:type="dcterms:W3CDTF">2022-02-16T05:15:49Z</dcterms:modified>
</cp:coreProperties>
</file>