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7894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894955"/>
                    </a:xfrm>
                    <a:prstGeom prst="rect">
                      <a:avLst/>
                    </a:prstGeom>
                    <a:noFill/>
                  </pic:spPr>
                </pic:pic>
              </a:graphicData>
            </a:graphic>
          </wp:anchor>
        </w:drawing>
      </w:r>
    </w:p>
    <w:p>
      <w:pPr>
        <w:spacing w:after="0" w:line="113" w:lineRule="exact"/>
        <w:rPr>
          <w:sz w:val="24"/>
          <w:szCs w:val="24"/>
          <w:color w:val="auto"/>
        </w:rPr>
      </w:pPr>
    </w:p>
    <w:p>
      <w:pPr>
        <w:sectPr>
          <w:pgSz w:w="11900" w:h="16883"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Griffith Curtis 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24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SPFI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8"/>
        </w:trPr>
        <w:tc>
          <w:tcPr>
            <w:tcW w:w="80" w:type="dxa"/>
            <w:vAlign w:val="bottom"/>
            <w:tcBorders>
              <w:bottom w:val="single" w:sz="8" w:color="2C2C2C"/>
            </w:tcBorders>
          </w:tcPr>
          <w:p>
            <w:pPr>
              <w:spacing w:after="0"/>
              <w:rPr>
                <w:sz w:val="7"/>
                <w:szCs w:val="7"/>
                <w:color w:val="auto"/>
              </w:rPr>
            </w:pPr>
          </w:p>
        </w:tc>
        <w:tc>
          <w:tcPr>
            <w:tcW w:w="3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3740" w:type="dxa"/>
            <w:vAlign w:val="bottom"/>
            <w:gridSpan w:val="2"/>
            <w:vMerge w:val="continue"/>
          </w:tcPr>
          <w:p>
            <w:pPr>
              <w:spacing w:after="0"/>
              <w:rPr>
                <w:sz w:val="3"/>
                <w:szCs w:val="3"/>
                <w:color w:val="auto"/>
              </w:rPr>
            </w:pPr>
          </w:p>
        </w:tc>
        <w:tc>
          <w:tcPr>
            <w:tcW w:w="33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7"/>
                <w:szCs w:val="17"/>
                <w:color w:val="0000FF"/>
              </w:rPr>
              <w:t>Chairman and CEO</w:t>
            </w:r>
          </w:p>
        </w:tc>
        <w:tc>
          <w:tcPr>
            <w:tcW w:w="0" w:type="dxa"/>
            <w:vAlign w:val="bottom"/>
          </w:tcPr>
          <w:p>
            <w:pPr>
              <w:spacing w:after="0" w:line="20" w:lineRule="exact"/>
              <w:rPr>
                <w:sz w:val="1"/>
                <w:szCs w:val="1"/>
                <w:color w:val="auto"/>
              </w:rPr>
            </w:pPr>
          </w:p>
        </w:tc>
      </w:tr>
      <w:tr>
        <w:trPr>
          <w:trHeight w:val="226"/>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06/13/2024</w:t>
            </w:r>
          </w:p>
        </w:tc>
        <w:tc>
          <w:tcPr>
            <w:tcW w:w="500" w:type="dxa"/>
            <w:vAlign w:val="bottom"/>
          </w:tcPr>
          <w:p>
            <w:pPr>
              <w:spacing w:after="0"/>
              <w:rPr>
                <w:sz w:val="19"/>
                <w:szCs w:val="19"/>
                <w:color w:val="auto"/>
              </w:rPr>
            </w:pPr>
          </w:p>
        </w:tc>
        <w:tc>
          <w:tcPr>
            <w:tcW w:w="33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2C2C2C"/>
            </w:tcBorders>
          </w:tcPr>
          <w:p>
            <w:pPr>
              <w:spacing w:after="0"/>
              <w:rPr>
                <w:sz w:val="7"/>
                <w:szCs w:val="7"/>
                <w:color w:val="auto"/>
              </w:rPr>
            </w:pPr>
          </w:p>
        </w:tc>
        <w:tc>
          <w:tcPr>
            <w:tcW w:w="3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30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26"/>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06/17/2024</w:t>
            </w:r>
          </w:p>
        </w:tc>
        <w:tc>
          <w:tcPr>
            <w:tcW w:w="500" w:type="dxa"/>
            <w:vAlign w:val="bottom"/>
          </w:tcPr>
          <w:p>
            <w:pPr>
              <w:spacing w:after="0"/>
              <w:rPr>
                <w:sz w:val="19"/>
                <w:szCs w:val="19"/>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83"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06/13/2024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3,000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1,060,797</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jc w:val="center"/>
              <w:ind w:right="27"/>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06/13/2024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4,830</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25.86</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1,055,967</w:t>
            </w:r>
          </w:p>
        </w:tc>
        <w:tc>
          <w:tcPr>
            <w:tcW w:w="920" w:type="dxa"/>
            <w:vAlign w:val="bottom"/>
            <w:tcBorders>
              <w:bottom w:val="single" w:sz="8" w:color="2C2C2C"/>
            </w:tcBorders>
          </w:tcPr>
          <w:p>
            <w:pPr>
              <w:jc w:val="center"/>
              <w:ind w:right="27"/>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45,360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435,000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CCG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64,000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RTW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BLW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(7)</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WHW</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(8)</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SSG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(9)</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JBG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sold the securities as a block sale broker transaction.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50" w:lineRule="exact"/>
        <w:rPr>
          <w:rFonts w:ascii="Times New Roman" w:cs="Times New Roman" w:eastAsia="Times New Roman" w:hAnsi="Times New Roman"/>
          <w:sz w:val="13"/>
          <w:szCs w:val="13"/>
          <w:color w:val="008000"/>
        </w:rPr>
      </w:pPr>
    </w:p>
    <w:p>
      <w:pPr>
        <w:ind w:left="40" w:right="4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executed a trade order through a broker-dealer which resulted in multiple same day, same way open market sales, with prices ranging from $25.80 to $26.00 per share. The Reporting Person has reported these sales on an aggregate basis using the weighted average price for the transactions. The Reporting Person undertakes to provide, upon request by the Securities and Exchange Commission staff, the Issuer, or a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Person's spouse.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Curtis C. Griffith 2021 Irrevocable Trust ("CCG Trust"), over which the Reporting Person's spouse, who shares the Reporting Person's household, serves as trustee. The members of the Reporting Person's immediate family are the beneficiaries of this trust.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Richard Thomas White 2021 Trust ("RTW Trust"), over which the Reporting Person serves as trustee. A member of the Reporting Person's immediate family is the beneficiary of this trust.</w:t>
      </w:r>
    </w:p>
    <w:p>
      <w:pPr>
        <w:sectPr>
          <w:pgSz w:w="11900" w:h="16883" w:orient="portrait"/>
          <w:cols w:equalWidth="0" w:num="1">
            <w:col w:w="11080"/>
          </w:cols>
          <w:pgMar w:left="460" w:top="219" w:right="359" w:bottom="0" w:gutter="0" w:footer="0" w:header="0"/>
          <w:type w:val="continuous"/>
        </w:sectPr>
      </w:pPr>
    </w:p>
    <w:bookmarkStart w:id="1" w:name="page2"/>
    <w:bookmarkEnd w:id="1"/>
    <w:p>
      <w:pPr>
        <w:ind w:right="18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Birdie Lucille White 2021 Trust ("BLW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William Hogan White 2021 Trust ("WHW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Sydney Suzanne Griffith 2021 Trust ("SSG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right="8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Johnathan Brockway Griffith 2021 Trust ("JBG Trust"), over which the Reporting Person serves as trustee. A member of the Reporting Person's immediate family is the beneficiary of this trust.</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3"/>
          <w:szCs w:val="13"/>
          <w:color w:val="008000"/>
        </w:rPr>
        <w:t>The purpose of this amendment is solely to correct a typographical error relating to the "Date of Earliest Transaction" disclosed in Box 3 of the Reporting Person's Form 4 filed on June 17, 2024, which incorrectly stated a "Date of Earliest Transaction" of 06/14/2023. This corrected Form 4 reflects the correct "Date of Earliest Transaction" of 06/14/2024 in Box 3.</w:t>
      </w: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17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Curtis C.  06/17/2024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340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5195"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2024-06-17T15:51:13Z</dcterms:created>
  <dcterms:modified xsi:type="dcterms:W3CDTF">2024-06-17T15:51:13Z</dcterms:modified>
</cp:coreProperties>
</file>