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South Plains Financial, Inc.</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001-38895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75-2453320</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35" w:right="339" w:bottom="1440" w:gutter="0" w:footer="0" w:header="0"/>
          <w:type w:val="continuous"/>
        </w:sectPr>
      </w:pPr>
    </w:p>
    <w:p>
      <w:pPr>
        <w:spacing w:after="0" w:line="45"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020" w:space="720"/>
            <w:col w:w="250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South Plains Financial, Inc. (the “Company”) held its 2021 Annual Meeting of Shareholders virtually on May 18, 2021 (the “Annual Meeting”). There were 18,053,229 shares of the Company’s common stock outstanding on the record date and entitled to vote at the Annual Meeting and 15,336,664 shares were represented in person or by proxy, which constituted a quorum to conduct business at the Annual Meeting. The shareholders of the Company voted on and approved the following proposals, which are described in more detail in the Company’s Definitive Proxy Statement on Schedule 14A for the 2021 Annual Meeting of Shareholders filed by the Company with the Securities and Exchange Commission on April 5, 2021:</w:t>
      </w:r>
    </w:p>
    <w:p>
      <w:pPr>
        <w:spacing w:after="0" w:line="161" w:lineRule="exact"/>
        <w:rPr>
          <w:sz w:val="20"/>
          <w:szCs w:val="20"/>
          <w:color w:val="auto"/>
        </w:rPr>
      </w:pPr>
    </w:p>
    <w:p>
      <w:pPr>
        <w:jc w:val="both"/>
        <w:ind w:left="34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two (2) Class II directors to serve on the Company’s board of directors until the Company’s 2024 annual meeting of shareholders or each until their respective successor or successors are duly elected and qualified or until their earlier death, resignation or removal. Final voting results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8"/>
                <w:szCs w:val="18"/>
                <w:color w:val="auto"/>
              </w:rPr>
              <w:t>Name of Class I Nominee</w:t>
            </w:r>
          </w:p>
        </w:tc>
        <w:tc>
          <w:tcPr>
            <w:tcW w:w="2320" w:type="dxa"/>
            <w:vAlign w:val="bottom"/>
            <w:gridSpan w:val="3"/>
          </w:tcPr>
          <w:p>
            <w:pPr>
              <w:jc w:val="center"/>
              <w:ind w:left="350"/>
              <w:spacing w:after="0"/>
              <w:rPr>
                <w:sz w:val="20"/>
                <w:szCs w:val="20"/>
                <w:color w:val="auto"/>
              </w:rPr>
            </w:pPr>
            <w:r>
              <w:rPr>
                <w:rFonts w:ascii="Arial" w:cs="Arial" w:eastAsia="Arial" w:hAnsi="Arial"/>
                <w:sz w:val="18"/>
                <w:szCs w:val="18"/>
                <w:color w:val="auto"/>
                <w:w w:val="87"/>
              </w:rPr>
              <w:t>Votes For</w:t>
            </w:r>
          </w:p>
        </w:tc>
        <w:tc>
          <w:tcPr>
            <w:tcW w:w="256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Votes Against</w:t>
            </w:r>
          </w:p>
        </w:tc>
        <w:tc>
          <w:tcPr>
            <w:tcW w:w="182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Abstentions</w:t>
            </w:r>
          </w:p>
        </w:tc>
        <w:tc>
          <w:tcPr>
            <w:tcW w:w="1700" w:type="dxa"/>
            <w:vAlign w:val="bottom"/>
            <w:gridSpan w:val="2"/>
          </w:tcPr>
          <w:p>
            <w:pPr>
              <w:spacing w:after="0"/>
              <w:rPr>
                <w:sz w:val="20"/>
                <w:szCs w:val="20"/>
                <w:color w:val="auto"/>
              </w:rPr>
            </w:pPr>
            <w:r>
              <w:rPr>
                <w:rFonts w:ascii="Arial" w:cs="Arial" w:eastAsia="Arial" w:hAnsi="Arial"/>
                <w:sz w:val="18"/>
                <w:szCs w:val="18"/>
                <w:color w:val="auto"/>
              </w:rPr>
              <w:t>Broker Non-Votes</w:t>
            </w:r>
          </w:p>
        </w:tc>
      </w:tr>
      <w:tr>
        <w:trPr>
          <w:trHeight w:val="21"/>
        </w:trPr>
        <w:tc>
          <w:tcPr>
            <w:tcW w:w="188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Cory T. Newsom</w:t>
            </w:r>
          </w:p>
        </w:tc>
        <w:tc>
          <w:tcPr>
            <w:tcW w:w="232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11,144,237</w:t>
            </w:r>
          </w:p>
        </w:tc>
        <w:tc>
          <w:tcPr>
            <w:tcW w:w="15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1,161,990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1,436,417</w:t>
            </w:r>
          </w:p>
        </w:tc>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1,594,020</w:t>
            </w:r>
          </w:p>
        </w:tc>
        <w:tc>
          <w:tcPr>
            <w:tcW w:w="400" w:type="dxa"/>
            <w:vAlign w:val="bottom"/>
            <w:shd w:val="clear" w:color="auto" w:fill="CCEEFF"/>
          </w:tcPr>
          <w:p>
            <w:pPr>
              <w:spacing w:after="0"/>
              <w:rPr>
                <w:sz w:val="18"/>
                <w:szCs w:val="18"/>
                <w:color w:val="auto"/>
              </w:rPr>
            </w:pPr>
          </w:p>
        </w:tc>
      </w:tr>
      <w:tr>
        <w:trPr>
          <w:trHeight w:val="230"/>
        </w:trPr>
        <w:tc>
          <w:tcPr>
            <w:tcW w:w="2840" w:type="dxa"/>
            <w:vAlign w:val="bottom"/>
            <w:gridSpan w:val="2"/>
          </w:tcPr>
          <w:p>
            <w:pPr>
              <w:ind w:left="560"/>
              <w:spacing w:after="0"/>
              <w:rPr>
                <w:sz w:val="20"/>
                <w:szCs w:val="20"/>
                <w:color w:val="auto"/>
              </w:rPr>
            </w:pPr>
            <w:r>
              <w:rPr>
                <w:rFonts w:ascii="Arial" w:cs="Arial" w:eastAsia="Arial" w:hAnsi="Arial"/>
                <w:sz w:val="18"/>
                <w:szCs w:val="18"/>
                <w:color w:val="auto"/>
              </w:rPr>
              <w:t>Noe G. Valles</w:t>
            </w:r>
          </w:p>
        </w:tc>
        <w:tc>
          <w:tcPr>
            <w:tcW w:w="23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11,149,661</w:t>
            </w:r>
          </w:p>
        </w:tc>
        <w:tc>
          <w:tcPr>
            <w:tcW w:w="15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1,143,822</w:t>
            </w:r>
          </w:p>
        </w:tc>
        <w:tc>
          <w:tcPr>
            <w:tcW w:w="10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1,449,161</w:t>
            </w:r>
          </w:p>
        </w:tc>
        <w:tc>
          <w:tcPr>
            <w:tcW w:w="96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1,594,020</w:t>
            </w:r>
          </w:p>
        </w:tc>
        <w:tc>
          <w:tcPr>
            <w:tcW w:w="400" w:type="dxa"/>
            <w:vAlign w:val="bottom"/>
          </w:tcPr>
          <w:p>
            <w:pPr>
              <w:spacing w:after="0"/>
              <w:rPr>
                <w:sz w:val="20"/>
                <w:szCs w:val="20"/>
                <w:color w:val="auto"/>
              </w:rPr>
            </w:pPr>
          </w:p>
        </w:tc>
      </w:tr>
    </w:tbl>
    <w:p>
      <w:pPr>
        <w:spacing w:after="0" w:line="187" w:lineRule="exact"/>
        <w:rPr>
          <w:sz w:val="20"/>
          <w:szCs w:val="20"/>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Weaver and Tidwell, L.L.P. as the independent registered public accounting firm of the Company for the year ending December 31, 2021. Final voting results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Votes For</w:t>
            </w:r>
          </w:p>
        </w:tc>
        <w:tc>
          <w:tcPr>
            <w:tcW w:w="3000" w:type="dxa"/>
            <w:vAlign w:val="bottom"/>
            <w:gridSpan w:val="3"/>
          </w:tcPr>
          <w:p>
            <w:pPr>
              <w:jc w:val="center"/>
              <w:ind w:right="640"/>
              <w:spacing w:after="0"/>
              <w:rPr>
                <w:sz w:val="20"/>
                <w:szCs w:val="20"/>
                <w:color w:val="auto"/>
              </w:rPr>
            </w:pPr>
            <w:r>
              <w:rPr>
                <w:rFonts w:ascii="Arial" w:cs="Arial" w:eastAsia="Arial" w:hAnsi="Arial"/>
                <w:sz w:val="18"/>
                <w:szCs w:val="18"/>
                <w:color w:val="auto"/>
                <w:w w:val="89"/>
              </w:rPr>
              <w:t>Votes Against</w:t>
            </w:r>
          </w:p>
        </w:tc>
        <w:tc>
          <w:tcPr>
            <w:tcW w:w="15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Abstentions</w:t>
            </w:r>
          </w:p>
        </w:tc>
        <w:tc>
          <w:tcPr>
            <w:tcW w:w="2240" w:type="dxa"/>
            <w:vAlign w:val="bottom"/>
          </w:tcPr>
          <w:p>
            <w:pPr>
              <w:spacing w:after="0"/>
              <w:rPr>
                <w:sz w:val="17"/>
                <w:szCs w:val="17"/>
                <w:color w:val="auto"/>
              </w:rPr>
            </w:pPr>
          </w:p>
        </w:tc>
      </w:tr>
      <w:tr>
        <w:trPr>
          <w:trHeight w:val="21"/>
        </w:trPr>
        <w:tc>
          <w:tcPr>
            <w:tcW w:w="2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6"/>
        </w:trPr>
        <w:tc>
          <w:tcPr>
            <w:tcW w:w="2260" w:type="dxa"/>
            <w:vAlign w:val="bottom"/>
          </w:tcPr>
          <w:p>
            <w:pPr>
              <w:spacing w:after="0"/>
              <w:rPr>
                <w:sz w:val="18"/>
                <w:szCs w:val="18"/>
                <w:color w:val="auto"/>
              </w:rPr>
            </w:pPr>
          </w:p>
        </w:tc>
        <w:tc>
          <w:tcPr>
            <w:tcW w:w="2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13,786,578</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3,464</w:t>
            </w: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1,546,622</w:t>
            </w:r>
          </w:p>
        </w:tc>
        <w:tc>
          <w:tcPr>
            <w:tcW w:w="70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398"/>
        </w:trPr>
        <w:tc>
          <w:tcPr>
            <w:tcW w:w="2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SOUTH PLAINS FINANCIAL, INC.</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May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2021-05-20T15:26:17Z</dcterms:created>
  <dcterms:modified xsi:type="dcterms:W3CDTF">2021-05-20T15:26:17Z</dcterms:modified>
</cp:coreProperties>
</file>