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37"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As filed with the Securities and Exchange Commission on November 12, 2020.</w:t>
      </w:r>
    </w:p>
    <w:p>
      <w:pPr>
        <w:spacing w:after="0" w:line="36" w:lineRule="exact"/>
        <w:rPr>
          <w:sz w:val="24"/>
          <w:szCs w:val="24"/>
          <w:color w:val="auto"/>
        </w:rPr>
      </w:pPr>
    </w:p>
    <w:p>
      <w:pPr>
        <w:ind w:left="77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61722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109220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64770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85725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South Plains Financial,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53975</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p>
      <w:pPr>
        <w:spacing w:after="0" w:line="284" w:lineRule="exact"/>
        <w:rPr>
          <w:sz w:val="24"/>
          <w:szCs w:val="24"/>
          <w:color w:val="auto"/>
        </w:rPr>
      </w:pPr>
    </w:p>
    <w:p>
      <w:pPr>
        <w:ind w:left="2200"/>
        <w:spacing w:after="0"/>
        <w:rPr>
          <w:sz w:val="20"/>
          <w:szCs w:val="20"/>
          <w:color w:val="auto"/>
        </w:rPr>
      </w:pPr>
      <w:r>
        <w:rPr>
          <w:rFonts w:ascii="Arial" w:cs="Arial" w:eastAsia="Arial" w:hAnsi="Arial"/>
          <w:sz w:val="13"/>
          <w:szCs w:val="13"/>
          <w:b w:val="1"/>
          <w:bCs w:val="1"/>
          <w:color w:val="auto"/>
        </w:rPr>
        <w:t>Texas</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75-2453320</w:t>
      </w:r>
    </w:p>
    <w:p>
      <w:pPr>
        <w:spacing w:after="0" w:line="98" w:lineRule="exact"/>
        <w:rPr>
          <w:sz w:val="24"/>
          <w:szCs w:val="24"/>
          <w:color w:val="auto"/>
        </w:rPr>
      </w:pPr>
    </w:p>
    <w:p>
      <w:pPr>
        <w:sectPr>
          <w:pgSz w:w="11900" w:h="16838" w:orient="portrait"/>
          <w:cols w:equalWidth="0" w:num="2">
            <w:col w:w="6260" w:space="720"/>
            <w:col w:w="2740"/>
          </w:cols>
          <w:pgMar w:left="1080" w:top="225" w:right="1099" w:bottom="1440" w:gutter="0" w:footer="0" w:header="0"/>
          <w:type w:val="continuous"/>
        </w:sectPr>
      </w:pPr>
    </w:p>
    <w:p>
      <w:pPr>
        <w:ind w:left="56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69215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59" w:lineRule="exact"/>
        <w:rPr>
          <w:sz w:val="24"/>
          <w:szCs w:val="24"/>
          <w:color w:val="auto"/>
        </w:rPr>
      </w:pPr>
    </w:p>
    <w:p>
      <w:pPr>
        <w:sectPr>
          <w:pgSz w:w="11900" w:h="16838" w:orient="portrait"/>
          <w:cols w:equalWidth="0" w:num="2">
            <w:col w:w="5380" w:space="720"/>
            <w:col w:w="3620"/>
          </w:cols>
          <w:pgMar w:left="1080" w:top="225" w:right="109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5219 City Bank Parkway</w:t>
      </w:r>
    </w:p>
    <w:p>
      <w:pPr>
        <w:jc w:val="center"/>
        <w:spacing w:after="0" w:line="233" w:lineRule="auto"/>
        <w:rPr>
          <w:sz w:val="20"/>
          <w:szCs w:val="20"/>
          <w:color w:val="auto"/>
        </w:rPr>
      </w:pPr>
      <w:r>
        <w:rPr>
          <w:rFonts w:ascii="Arial" w:cs="Arial" w:eastAsia="Arial" w:hAnsi="Arial"/>
          <w:sz w:val="15"/>
          <w:szCs w:val="15"/>
          <w:b w:val="1"/>
          <w:bCs w:val="1"/>
          <w:color w:val="auto"/>
        </w:rPr>
        <w:t>Lubbock, Texas 79407</w:t>
      </w:r>
    </w:p>
    <w:p>
      <w:pPr>
        <w:jc w:val="center"/>
        <w:spacing w:after="0" w:line="225" w:lineRule="auto"/>
        <w:rPr>
          <w:sz w:val="20"/>
          <w:szCs w:val="20"/>
          <w:color w:val="auto"/>
        </w:rPr>
      </w:pPr>
      <w:r>
        <w:rPr>
          <w:rFonts w:ascii="Arial" w:cs="Arial" w:eastAsia="Arial" w:hAnsi="Arial"/>
          <w:sz w:val="15"/>
          <w:szCs w:val="15"/>
          <w:b w:val="1"/>
          <w:bCs w:val="1"/>
          <w:color w:val="auto"/>
        </w:rPr>
        <w:t>(806) 792-7101</w:t>
      </w:r>
    </w:p>
    <w:p>
      <w:pPr>
        <w:jc w:val="center"/>
        <w:spacing w:after="0"/>
        <w:rPr>
          <w:sz w:val="20"/>
          <w:szCs w:val="20"/>
          <w:color w:val="auto"/>
        </w:rPr>
      </w:pPr>
      <w:r>
        <w:rPr>
          <w:rFonts w:ascii="Arial" w:cs="Arial" w:eastAsia="Arial" w:hAnsi="Arial"/>
          <w:sz w:val="15"/>
          <w:szCs w:val="15"/>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45720</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Curtis C. Griffith</w:t>
      </w:r>
    </w:p>
    <w:p>
      <w:pPr>
        <w:jc w:val="center"/>
        <w:spacing w:after="0" w:line="233" w:lineRule="auto"/>
        <w:rPr>
          <w:sz w:val="20"/>
          <w:szCs w:val="20"/>
          <w:color w:val="auto"/>
        </w:rPr>
      </w:pPr>
      <w:r>
        <w:rPr>
          <w:rFonts w:ascii="Arial" w:cs="Arial" w:eastAsia="Arial" w:hAnsi="Arial"/>
          <w:sz w:val="15"/>
          <w:szCs w:val="15"/>
          <w:b w:val="1"/>
          <w:bCs w:val="1"/>
          <w:color w:val="auto"/>
        </w:rPr>
        <w:t>Chairman and Chief Executive Officer</w:t>
      </w:r>
    </w:p>
    <w:p>
      <w:pPr>
        <w:jc w:val="center"/>
        <w:spacing w:after="0" w:line="225" w:lineRule="auto"/>
        <w:rPr>
          <w:sz w:val="20"/>
          <w:szCs w:val="20"/>
          <w:color w:val="auto"/>
        </w:rPr>
      </w:pPr>
      <w:r>
        <w:rPr>
          <w:rFonts w:ascii="Arial" w:cs="Arial" w:eastAsia="Arial" w:hAnsi="Arial"/>
          <w:sz w:val="15"/>
          <w:szCs w:val="15"/>
          <w:b w:val="1"/>
          <w:bCs w:val="1"/>
          <w:color w:val="auto"/>
        </w:rPr>
        <w:t>South Plains Financial, Inc.</w:t>
      </w:r>
    </w:p>
    <w:p>
      <w:pPr>
        <w:jc w:val="center"/>
        <w:spacing w:after="0" w:line="225" w:lineRule="auto"/>
        <w:rPr>
          <w:sz w:val="20"/>
          <w:szCs w:val="20"/>
          <w:color w:val="auto"/>
        </w:rPr>
      </w:pPr>
      <w:r>
        <w:rPr>
          <w:rFonts w:ascii="Arial" w:cs="Arial" w:eastAsia="Arial" w:hAnsi="Arial"/>
          <w:sz w:val="15"/>
          <w:szCs w:val="15"/>
          <w:b w:val="1"/>
          <w:bCs w:val="1"/>
          <w:color w:val="auto"/>
        </w:rPr>
        <w:t>5219 City Bank Parkway</w:t>
      </w:r>
    </w:p>
    <w:p>
      <w:pPr>
        <w:jc w:val="center"/>
        <w:spacing w:after="0" w:line="226" w:lineRule="auto"/>
        <w:rPr>
          <w:sz w:val="20"/>
          <w:szCs w:val="20"/>
          <w:color w:val="auto"/>
        </w:rPr>
      </w:pPr>
      <w:r>
        <w:rPr>
          <w:rFonts w:ascii="Arial" w:cs="Arial" w:eastAsia="Arial" w:hAnsi="Arial"/>
          <w:sz w:val="15"/>
          <w:szCs w:val="15"/>
          <w:b w:val="1"/>
          <w:bCs w:val="1"/>
          <w:color w:val="auto"/>
        </w:rPr>
        <w:t>Lubbock, Texas 79407</w:t>
      </w:r>
    </w:p>
    <w:p>
      <w:pPr>
        <w:jc w:val="center"/>
        <w:spacing w:after="0" w:line="225" w:lineRule="auto"/>
        <w:rPr>
          <w:sz w:val="20"/>
          <w:szCs w:val="20"/>
          <w:color w:val="auto"/>
        </w:rPr>
      </w:pPr>
      <w:r>
        <w:rPr>
          <w:rFonts w:ascii="Arial" w:cs="Arial" w:eastAsia="Arial" w:hAnsi="Arial"/>
          <w:sz w:val="15"/>
          <w:szCs w:val="15"/>
          <w:b w:val="1"/>
          <w:bCs w:val="1"/>
          <w:color w:val="auto"/>
        </w:rPr>
        <w:t>(806) 792-7101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53975</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Copies to:</w:t>
      </w:r>
    </w:p>
    <w:p>
      <w:pPr>
        <w:spacing w:after="0" w:line="9" w:lineRule="exact"/>
        <w:rPr>
          <w:sz w:val="24"/>
          <w:szCs w:val="24"/>
          <w:color w:val="auto"/>
        </w:rPr>
      </w:pPr>
    </w:p>
    <w:p>
      <w:pPr>
        <w:ind w:left="4240"/>
        <w:spacing w:after="0"/>
        <w:rPr>
          <w:sz w:val="20"/>
          <w:szCs w:val="20"/>
          <w:color w:val="auto"/>
        </w:rPr>
      </w:pPr>
      <w:r>
        <w:rPr>
          <w:rFonts w:ascii="Arial" w:cs="Arial" w:eastAsia="Arial" w:hAnsi="Arial"/>
          <w:sz w:val="15"/>
          <w:szCs w:val="15"/>
          <w:b w:val="1"/>
          <w:bCs w:val="1"/>
          <w:color w:val="auto"/>
        </w:rPr>
        <w:t>Peter G. Weinstock</w:t>
      </w:r>
    </w:p>
    <w:p>
      <w:pPr>
        <w:ind w:left="4260"/>
        <w:spacing w:after="0" w:line="225" w:lineRule="auto"/>
        <w:rPr>
          <w:sz w:val="20"/>
          <w:szCs w:val="20"/>
          <w:color w:val="auto"/>
        </w:rPr>
      </w:pPr>
      <w:r>
        <w:rPr>
          <w:rFonts w:ascii="Arial" w:cs="Arial" w:eastAsia="Arial" w:hAnsi="Arial"/>
          <w:sz w:val="15"/>
          <w:szCs w:val="15"/>
          <w:b w:val="1"/>
          <w:bCs w:val="1"/>
          <w:color w:val="auto"/>
        </w:rPr>
        <w:t>Heather A. Eastep</w:t>
      </w:r>
    </w:p>
    <w:p>
      <w:pPr>
        <w:jc w:val="center"/>
        <w:spacing w:after="0" w:line="225" w:lineRule="auto"/>
        <w:rPr>
          <w:sz w:val="20"/>
          <w:szCs w:val="20"/>
          <w:color w:val="auto"/>
        </w:rPr>
      </w:pPr>
      <w:r>
        <w:rPr>
          <w:rFonts w:ascii="Arial" w:cs="Arial" w:eastAsia="Arial" w:hAnsi="Arial"/>
          <w:sz w:val="15"/>
          <w:szCs w:val="15"/>
          <w:b w:val="1"/>
          <w:bCs w:val="1"/>
          <w:color w:val="auto"/>
        </w:rPr>
        <w:t>Hunton Andrews Kurth LLP</w:t>
      </w:r>
    </w:p>
    <w:p>
      <w:pPr>
        <w:jc w:val="center"/>
        <w:spacing w:after="0" w:line="226" w:lineRule="auto"/>
        <w:rPr>
          <w:sz w:val="20"/>
          <w:szCs w:val="20"/>
          <w:color w:val="auto"/>
        </w:rPr>
      </w:pPr>
      <w:r>
        <w:rPr>
          <w:rFonts w:ascii="Arial" w:cs="Arial" w:eastAsia="Arial" w:hAnsi="Arial"/>
          <w:sz w:val="15"/>
          <w:szCs w:val="15"/>
          <w:b w:val="1"/>
          <w:bCs w:val="1"/>
          <w:color w:val="auto"/>
        </w:rPr>
        <w:t>1445 Ross Avenue, Suite 3700</w:t>
      </w:r>
    </w:p>
    <w:p>
      <w:pPr>
        <w:jc w:val="center"/>
        <w:spacing w:after="0" w:line="225" w:lineRule="auto"/>
        <w:rPr>
          <w:sz w:val="20"/>
          <w:szCs w:val="20"/>
          <w:color w:val="auto"/>
        </w:rPr>
      </w:pPr>
      <w:r>
        <w:rPr>
          <w:rFonts w:ascii="Arial" w:cs="Arial" w:eastAsia="Arial" w:hAnsi="Arial"/>
          <w:sz w:val="15"/>
          <w:szCs w:val="15"/>
          <w:b w:val="1"/>
          <w:bCs w:val="1"/>
          <w:color w:val="auto"/>
        </w:rPr>
        <w:t>Dallas, Texas 75202</w:t>
      </w:r>
    </w:p>
    <w:p>
      <w:pPr>
        <w:ind w:left="4760" w:hanging="374"/>
        <w:spacing w:after="0" w:line="226" w:lineRule="auto"/>
        <w:tabs>
          <w:tab w:leader="none" w:pos="4760" w:val="left"/>
        </w:tabs>
        <w:numPr>
          <w:ilvl w:val="1"/>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979-3000</w:t>
      </w:r>
    </w:p>
    <w:p>
      <w:pPr>
        <w:ind w:left="4400" w:hanging="368"/>
        <w:spacing w:after="0"/>
        <w:tabs>
          <w:tab w:leader="none" w:pos="440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880-0011 (facsimile)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53975</wp:posOffset>
            </wp:positionV>
            <wp:extent cx="1097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the effective date of this registration statement.</w:t>
      </w:r>
    </w:p>
    <w:p>
      <w:pPr>
        <w:spacing w:after="0" w:line="46" w:lineRule="exact"/>
        <w:rPr>
          <w:sz w:val="24"/>
          <w:szCs w:val="24"/>
          <w:color w:val="auto"/>
        </w:rPr>
      </w:pPr>
    </w:p>
    <w:p>
      <w:pPr>
        <w:jc w:val="both"/>
        <w:spacing w:after="0" w:line="193" w:lineRule="exact"/>
        <w:rPr>
          <w:sz w:val="20"/>
          <w:szCs w:val="20"/>
          <w:color w:val="auto"/>
        </w:rPr>
      </w:pPr>
      <w:r>
        <w:rPr>
          <w:rFonts w:ascii="Arial" w:cs="Arial" w:eastAsia="Arial" w:hAnsi="Arial"/>
          <w:sz w:val="15"/>
          <w:szCs w:val="15"/>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5"/>
          <w:szCs w:val="15"/>
          <w:color w:val="auto"/>
        </w:rPr>
        <w:t>☐</w:t>
      </w:r>
    </w:p>
    <w:p>
      <w:pPr>
        <w:spacing w:after="0" w:line="6" w:lineRule="exact"/>
        <w:rPr>
          <w:sz w:val="24"/>
          <w:szCs w:val="24"/>
          <w:color w:val="auto"/>
        </w:rPr>
      </w:pPr>
    </w:p>
    <w:p>
      <w:pPr>
        <w:jc w:val="both"/>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jc w:val="both"/>
        <w:spacing w:after="0" w:line="189"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 w:lineRule="exact"/>
        <w:rPr>
          <w:sz w:val="24"/>
          <w:szCs w:val="24"/>
          <w:color w:val="auto"/>
        </w:rPr>
      </w:pPr>
    </w:p>
    <w:p>
      <w:pPr>
        <w:jc w:val="both"/>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4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180" w:type="dxa"/>
            <w:vAlign w:val="bottom"/>
          </w:tcPr>
          <w:p>
            <w:pPr>
              <w:ind w:left="1100"/>
              <w:spacing w:after="0" w:line="151" w:lineRule="exact"/>
              <w:rPr>
                <w:sz w:val="20"/>
                <w:szCs w:val="20"/>
                <w:color w:val="auto"/>
              </w:rPr>
            </w:pPr>
            <w:r>
              <w:rPr>
                <w:rFonts w:ascii="MS PGothic" w:cs="MS PGothic" w:eastAsia="MS PGothic" w:hAnsi="MS PGothic"/>
                <w:sz w:val="15"/>
                <w:szCs w:val="15"/>
                <w:color w:val="auto"/>
              </w:rPr>
              <w:t>☐</w:t>
            </w:r>
          </w:p>
        </w:tc>
        <w:tc>
          <w:tcPr>
            <w:tcW w:w="3640" w:type="dxa"/>
            <w:vAlign w:val="bottom"/>
          </w:tcPr>
          <w:p>
            <w:pPr>
              <w:ind w:left="940"/>
              <w:spacing w:after="0"/>
              <w:rPr>
                <w:sz w:val="20"/>
                <w:szCs w:val="20"/>
                <w:color w:val="auto"/>
              </w:rPr>
            </w:pPr>
            <w:r>
              <w:rPr>
                <w:rFonts w:ascii="Arial" w:cs="Arial" w:eastAsia="Arial" w:hAnsi="Arial"/>
                <w:sz w:val="15"/>
                <w:szCs w:val="15"/>
                <w:color w:val="auto"/>
              </w:rPr>
              <w:t>Accelerated filer</w:t>
            </w:r>
          </w:p>
        </w:tc>
        <w:tc>
          <w:tcPr>
            <w:tcW w:w="1160" w:type="dxa"/>
            <w:vAlign w:val="bottom"/>
          </w:tcPr>
          <w:p>
            <w:pPr>
              <w:ind w:left="10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0"/>
        </w:trPr>
        <w:tc>
          <w:tcPr>
            <w:tcW w:w="2460" w:type="dxa"/>
            <w:vAlign w:val="bottom"/>
          </w:tcPr>
          <w:p>
            <w:pPr>
              <w:spacing w:after="0"/>
              <w:rPr>
                <w:sz w:val="20"/>
                <w:szCs w:val="20"/>
                <w:color w:val="auto"/>
              </w:rPr>
            </w:pPr>
            <w:r>
              <w:rPr>
                <w:rFonts w:ascii="Arial" w:cs="Arial" w:eastAsia="Arial" w:hAnsi="Arial"/>
                <w:sz w:val="15"/>
                <w:szCs w:val="15"/>
                <w:color w:val="auto"/>
              </w:rPr>
              <w:t>Non-accelerated filer</w:t>
            </w:r>
          </w:p>
        </w:tc>
        <w:tc>
          <w:tcPr>
            <w:tcW w:w="2180" w:type="dxa"/>
            <w:vAlign w:val="bottom"/>
          </w:tcPr>
          <w:p>
            <w:pPr>
              <w:ind w:left="1100"/>
              <w:spacing w:after="0" w:line="151" w:lineRule="exact"/>
              <w:rPr>
                <w:sz w:val="20"/>
                <w:szCs w:val="20"/>
                <w:color w:val="auto"/>
              </w:rPr>
            </w:pPr>
            <w:r>
              <w:rPr>
                <w:rFonts w:ascii="MS PGothic" w:cs="MS PGothic" w:eastAsia="MS PGothic" w:hAnsi="MS PGothic"/>
                <w:sz w:val="15"/>
                <w:szCs w:val="15"/>
                <w:color w:val="auto"/>
              </w:rPr>
              <w:t>☒</w:t>
            </w:r>
          </w:p>
        </w:tc>
        <w:tc>
          <w:tcPr>
            <w:tcW w:w="3640" w:type="dxa"/>
            <w:vAlign w:val="bottom"/>
          </w:tcPr>
          <w:p>
            <w:pPr>
              <w:ind w:left="940"/>
              <w:spacing w:after="0"/>
              <w:rPr>
                <w:sz w:val="20"/>
                <w:szCs w:val="20"/>
                <w:color w:val="auto"/>
              </w:rPr>
            </w:pPr>
            <w:r>
              <w:rPr>
                <w:rFonts w:ascii="Arial" w:cs="Arial" w:eastAsia="Arial" w:hAnsi="Arial"/>
                <w:sz w:val="15"/>
                <w:szCs w:val="15"/>
                <w:color w:val="auto"/>
              </w:rPr>
              <w:t>Smaller reporting company</w:t>
            </w:r>
          </w:p>
        </w:tc>
        <w:tc>
          <w:tcPr>
            <w:tcW w:w="1160" w:type="dxa"/>
            <w:vAlign w:val="bottom"/>
          </w:tcPr>
          <w:p>
            <w:pPr>
              <w:ind w:left="10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0"/>
        </w:trPr>
        <w:tc>
          <w:tcPr>
            <w:tcW w:w="24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3640" w:type="dxa"/>
            <w:vAlign w:val="bottom"/>
          </w:tcPr>
          <w:p>
            <w:pPr>
              <w:ind w:left="940"/>
              <w:spacing w:after="0"/>
              <w:rPr>
                <w:sz w:val="20"/>
                <w:szCs w:val="20"/>
                <w:color w:val="auto"/>
              </w:rPr>
            </w:pPr>
            <w:r>
              <w:rPr>
                <w:rFonts w:ascii="Arial" w:cs="Arial" w:eastAsia="Arial" w:hAnsi="Arial"/>
                <w:sz w:val="15"/>
                <w:szCs w:val="15"/>
                <w:color w:val="auto"/>
              </w:rPr>
              <w:t>Emerging growth company</w:t>
            </w:r>
          </w:p>
        </w:tc>
        <w:tc>
          <w:tcPr>
            <w:tcW w:w="1160" w:type="dxa"/>
            <w:vAlign w:val="bottom"/>
          </w:tcPr>
          <w:p>
            <w:pPr>
              <w:ind w:left="10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6" w:lineRule="exact"/>
        <w:rPr>
          <w:sz w:val="24"/>
          <w:szCs w:val="24"/>
          <w:color w:val="auto"/>
        </w:rPr>
      </w:pPr>
    </w:p>
    <w:p>
      <w:pPr>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If applicable, place an X in the box to designate the appropriate rule provision relied upon in conducting this transaction:</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4940" w:type="dxa"/>
            <w:vAlign w:val="bottom"/>
            <w:gridSpan w:val="3"/>
          </w:tcPr>
          <w:p>
            <w:pPr>
              <w:spacing w:after="0" w:line="173" w:lineRule="exact"/>
              <w:rPr>
                <w:sz w:val="20"/>
                <w:szCs w:val="20"/>
                <w:color w:val="auto"/>
              </w:rPr>
            </w:pPr>
            <w:r>
              <w:rPr>
                <w:rFonts w:ascii="Arial" w:cs="Arial" w:eastAsia="Arial" w:hAnsi="Arial"/>
                <w:sz w:val="15"/>
                <w:szCs w:val="15"/>
                <w:color w:val="auto"/>
              </w:rPr>
              <w:t xml:space="preserve">Exchange Act Rule 13e-4(i) (Cross-Border Issuer Tender Offer) </w:t>
            </w:r>
            <w:r>
              <w:rPr>
                <w:rFonts w:ascii="MS PGothic" w:cs="MS PGothic" w:eastAsia="MS PGothic" w:hAnsi="MS PGothic"/>
                <w:sz w:val="15"/>
                <w:szCs w:val="15"/>
                <w:color w:val="auto"/>
              </w:rPr>
              <w:t>☐</w:t>
            </w:r>
          </w:p>
        </w:tc>
        <w:tc>
          <w:tcPr>
            <w:tcW w:w="4780" w:type="dxa"/>
            <w:vAlign w:val="bottom"/>
            <w:gridSpan w:val="4"/>
          </w:tcPr>
          <w:p>
            <w:pPr>
              <w:ind w:left="40"/>
              <w:spacing w:after="0" w:line="173" w:lineRule="exact"/>
              <w:rPr>
                <w:sz w:val="20"/>
                <w:szCs w:val="20"/>
                <w:color w:val="auto"/>
              </w:rPr>
            </w:pPr>
            <w:r>
              <w:rPr>
                <w:rFonts w:ascii="Arial" w:cs="Arial" w:eastAsia="Arial" w:hAnsi="Arial"/>
                <w:sz w:val="15"/>
                <w:szCs w:val="15"/>
                <w:color w:val="auto"/>
                <w:w w:val="98"/>
              </w:rPr>
              <w:t xml:space="preserve">Exchange Act Rule 14d-1(d) (Cross-Border Third-Party Tender Offer) </w:t>
            </w:r>
            <w:r>
              <w:rPr>
                <w:rFonts w:ascii="MS PGothic" w:cs="MS PGothic" w:eastAsia="MS PGothic" w:hAnsi="MS PGothic"/>
                <w:sz w:val="15"/>
                <w:szCs w:val="15"/>
                <w:color w:val="auto"/>
                <w:w w:val="98"/>
              </w:rPr>
              <w:t>☐</w:t>
            </w:r>
          </w:p>
        </w:tc>
        <w:tc>
          <w:tcPr>
            <w:tcW w:w="0" w:type="dxa"/>
            <w:vAlign w:val="bottom"/>
          </w:tcPr>
          <w:p>
            <w:pPr>
              <w:spacing w:after="0"/>
              <w:rPr>
                <w:sz w:val="1"/>
                <w:szCs w:val="1"/>
                <w:color w:val="auto"/>
              </w:rPr>
            </w:pPr>
          </w:p>
        </w:tc>
      </w:tr>
      <w:tr>
        <w:trPr>
          <w:trHeight w:val="255"/>
        </w:trPr>
        <w:tc>
          <w:tcPr>
            <w:tcW w:w="310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CALCULATION OF REGISTRATION FEE</w:t>
            </w:r>
          </w:p>
        </w:tc>
        <w:tc>
          <w:tcPr>
            <w:tcW w:w="15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100" w:type="dxa"/>
            <w:vAlign w:val="bottom"/>
            <w:vMerge w:val="restart"/>
          </w:tcPr>
          <w:p>
            <w:pPr>
              <w:jc w:val="center"/>
              <w:ind w:left="45"/>
              <w:spacing w:after="0"/>
              <w:rPr>
                <w:sz w:val="20"/>
                <w:szCs w:val="20"/>
                <w:color w:val="auto"/>
              </w:rPr>
            </w:pPr>
            <w:r>
              <w:rPr>
                <w:rFonts w:ascii="Arial" w:cs="Arial" w:eastAsia="Arial" w:hAnsi="Arial"/>
                <w:sz w:val="14"/>
                <w:szCs w:val="14"/>
                <w:b w:val="1"/>
                <w:bCs w:val="1"/>
                <w:color w:val="auto"/>
                <w:w w:val="89"/>
              </w:rPr>
              <w:t>Title of each class of securities to be</w:t>
            </w:r>
          </w:p>
        </w:tc>
        <w:tc>
          <w:tcPr>
            <w:tcW w:w="22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ind w:right="6"/>
              <w:spacing w:after="0"/>
              <w:rPr>
                <w:sz w:val="20"/>
                <w:szCs w:val="20"/>
                <w:color w:val="auto"/>
              </w:rPr>
            </w:pPr>
            <w:r>
              <w:rPr>
                <w:rFonts w:ascii="Arial" w:cs="Arial" w:eastAsia="Arial" w:hAnsi="Arial"/>
                <w:sz w:val="14"/>
                <w:szCs w:val="14"/>
                <w:b w:val="1"/>
                <w:bCs w:val="1"/>
                <w:color w:val="auto"/>
                <w:w w:val="91"/>
              </w:rPr>
              <w:t>Proposed maximum</w:t>
            </w:r>
          </w:p>
        </w:tc>
        <w:tc>
          <w:tcPr>
            <w:tcW w:w="100" w:type="dxa"/>
            <w:vAlign w:val="bottom"/>
          </w:tcPr>
          <w:p>
            <w:pPr>
              <w:spacing w:after="0"/>
              <w:rPr>
                <w:sz w:val="19"/>
                <w:szCs w:val="19"/>
                <w:color w:val="auto"/>
              </w:rPr>
            </w:pPr>
          </w:p>
        </w:tc>
        <w:tc>
          <w:tcPr>
            <w:tcW w:w="1520" w:type="dxa"/>
            <w:vAlign w:val="bottom"/>
            <w:tcBorders>
              <w:right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1"/>
              </w:rPr>
              <w:t>Proposed maximum</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 registration</w:t>
            </w:r>
          </w:p>
        </w:tc>
        <w:tc>
          <w:tcPr>
            <w:tcW w:w="0" w:type="dxa"/>
            <w:vAlign w:val="bottom"/>
          </w:tcPr>
          <w:p>
            <w:pPr>
              <w:spacing w:after="0"/>
              <w:rPr>
                <w:sz w:val="1"/>
                <w:szCs w:val="1"/>
                <w:color w:val="auto"/>
              </w:rPr>
            </w:pPr>
          </w:p>
        </w:tc>
      </w:tr>
      <w:tr>
        <w:trPr>
          <w:trHeight w:val="145"/>
        </w:trPr>
        <w:tc>
          <w:tcPr>
            <w:tcW w:w="310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Amount to be registered</w:t>
            </w:r>
          </w:p>
        </w:tc>
        <w:tc>
          <w:tcPr>
            <w:tcW w:w="1620" w:type="dxa"/>
            <w:vAlign w:val="bottom"/>
            <w:tcBorders>
              <w:right w:val="single" w:sz="8" w:color="auto"/>
            </w:tcBorders>
          </w:tcPr>
          <w:p>
            <w:pPr>
              <w:jc w:val="center"/>
              <w:ind w:right="6"/>
              <w:spacing w:after="0" w:line="145" w:lineRule="exact"/>
              <w:rPr>
                <w:sz w:val="20"/>
                <w:szCs w:val="20"/>
                <w:color w:val="auto"/>
              </w:rPr>
            </w:pPr>
            <w:r>
              <w:rPr>
                <w:rFonts w:ascii="Arial" w:cs="Arial" w:eastAsia="Arial" w:hAnsi="Arial"/>
                <w:sz w:val="14"/>
                <w:szCs w:val="14"/>
                <w:b w:val="1"/>
                <w:bCs w:val="1"/>
                <w:color w:val="auto"/>
                <w:w w:val="92"/>
              </w:rPr>
              <w:t>offering price per</w:t>
            </w:r>
          </w:p>
        </w:tc>
        <w:tc>
          <w:tcPr>
            <w:tcW w:w="100" w:type="dxa"/>
            <w:vAlign w:val="bottom"/>
          </w:tcPr>
          <w:p>
            <w:pPr>
              <w:spacing w:after="0"/>
              <w:rPr>
                <w:sz w:val="12"/>
                <w:szCs w:val="12"/>
                <w:color w:val="auto"/>
              </w:rPr>
            </w:pPr>
          </w:p>
        </w:tc>
        <w:tc>
          <w:tcPr>
            <w:tcW w:w="1520" w:type="dxa"/>
            <w:vAlign w:val="bottom"/>
            <w:tcBorders>
              <w:right w:val="single" w:sz="8" w:color="auto"/>
            </w:tcBorders>
          </w:tcPr>
          <w:p>
            <w:pPr>
              <w:jc w:val="center"/>
              <w:ind w:right="107"/>
              <w:spacing w:after="0" w:line="145" w:lineRule="exact"/>
              <w:rPr>
                <w:sz w:val="20"/>
                <w:szCs w:val="20"/>
                <w:color w:val="auto"/>
              </w:rPr>
            </w:pPr>
            <w:r>
              <w:rPr>
                <w:rFonts w:ascii="Arial" w:cs="Arial" w:eastAsia="Arial" w:hAnsi="Arial"/>
                <w:sz w:val="14"/>
                <w:szCs w:val="14"/>
                <w:b w:val="1"/>
                <w:bCs w:val="1"/>
                <w:color w:val="auto"/>
                <w:w w:val="89"/>
              </w:rPr>
              <w:t>aggregate offering</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3100" w:type="dxa"/>
            <w:vAlign w:val="bottom"/>
            <w:tcBorders>
              <w:bottom w:val="single" w:sz="8" w:color="auto"/>
            </w:tcBorders>
          </w:tcPr>
          <w:p>
            <w:pPr>
              <w:jc w:val="center"/>
              <w:ind w:left="65"/>
              <w:spacing w:after="0"/>
              <w:rPr>
                <w:sz w:val="20"/>
                <w:szCs w:val="20"/>
                <w:color w:val="auto"/>
              </w:rPr>
            </w:pPr>
            <w:r>
              <w:rPr>
                <w:rFonts w:ascii="Arial" w:cs="Arial" w:eastAsia="Arial" w:hAnsi="Arial"/>
                <w:sz w:val="14"/>
                <w:szCs w:val="14"/>
                <w:b w:val="1"/>
                <w:bCs w:val="1"/>
                <w:color w:val="auto"/>
                <w:w w:val="88"/>
              </w:rPr>
              <w:t>registered</w:t>
            </w:r>
          </w:p>
        </w:tc>
        <w:tc>
          <w:tcPr>
            <w:tcW w:w="220" w:type="dxa"/>
            <w:vAlign w:val="bottom"/>
            <w:tcBorders>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vMerge w:val="continue"/>
          </w:tcPr>
          <w:p>
            <w:pPr>
              <w:spacing w:after="0"/>
              <w:rPr>
                <w:sz w:val="21"/>
                <w:szCs w:val="21"/>
                <w:color w:val="auto"/>
              </w:rPr>
            </w:pPr>
          </w:p>
        </w:tc>
        <w:tc>
          <w:tcPr>
            <w:tcW w:w="1620" w:type="dxa"/>
            <w:vAlign w:val="bottom"/>
            <w:tcBorders>
              <w:bottom w:val="single" w:sz="8" w:color="auto"/>
              <w:right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5"/>
              </w:rPr>
              <w:t>security</w:t>
            </w:r>
            <w:r>
              <w:rPr>
                <w:rFonts w:ascii="Arial" w:cs="Arial" w:eastAsia="Arial" w:hAnsi="Arial"/>
                <w:sz w:val="23"/>
                <w:szCs w:val="23"/>
                <w:b w:val="1"/>
                <w:bCs w:val="1"/>
                <w:color w:val="auto"/>
                <w:w w:val="85"/>
                <w:vertAlign w:val="superscript"/>
              </w:rPr>
              <w:t>(1)</w:t>
            </w:r>
          </w:p>
        </w:tc>
        <w:tc>
          <w:tcPr>
            <w:tcW w:w="10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center"/>
              <w:ind w:right="67"/>
              <w:spacing w:after="0" w:line="242" w:lineRule="exact"/>
              <w:rPr>
                <w:sz w:val="20"/>
                <w:szCs w:val="20"/>
                <w:color w:val="auto"/>
              </w:rPr>
            </w:pPr>
            <w:r>
              <w:rPr>
                <w:rFonts w:ascii="Arial" w:cs="Arial" w:eastAsia="Arial" w:hAnsi="Arial"/>
                <w:sz w:val="14"/>
                <w:szCs w:val="14"/>
                <w:b w:val="1"/>
                <w:bCs w:val="1"/>
                <w:color w:val="auto"/>
                <w:w w:val="88"/>
              </w:rPr>
              <w:t>price</w:t>
            </w:r>
            <w:r>
              <w:rPr>
                <w:rFonts w:ascii="Arial" w:cs="Arial" w:eastAsia="Arial" w:hAnsi="Arial"/>
                <w:sz w:val="23"/>
                <w:szCs w:val="23"/>
                <w:b w:val="1"/>
                <w:bCs w:val="1"/>
                <w:color w:val="auto"/>
                <w:w w:val="88"/>
                <w:vertAlign w:val="superscript"/>
              </w:rPr>
              <w:t>(2)</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fee</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5"/>
                <w:szCs w:val="15"/>
                <w:color w:val="auto"/>
                <w:w w:val="92"/>
              </w:rPr>
              <w:t>4.50% Fixed-to-Floating Rate Subordinated Notes</w:t>
            </w:r>
          </w:p>
        </w:tc>
        <w:tc>
          <w:tcPr>
            <w:tcW w:w="2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due 2030</w:t>
            </w:r>
          </w:p>
        </w:tc>
        <w:tc>
          <w:tcPr>
            <w:tcW w:w="22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jc w:val="right"/>
              <w:ind w:right="366"/>
              <w:spacing w:after="0"/>
              <w:rPr>
                <w:sz w:val="20"/>
                <w:szCs w:val="20"/>
                <w:color w:val="auto"/>
              </w:rPr>
            </w:pPr>
            <w:r>
              <w:rPr>
                <w:rFonts w:ascii="Arial" w:cs="Arial" w:eastAsia="Arial" w:hAnsi="Arial"/>
                <w:sz w:val="15"/>
                <w:szCs w:val="15"/>
                <w:color w:val="auto"/>
              </w:rPr>
              <w:t>$50,000,000</w:t>
            </w:r>
          </w:p>
        </w:tc>
        <w:tc>
          <w:tcPr>
            <w:tcW w:w="1620" w:type="dxa"/>
            <w:vAlign w:val="bottom"/>
            <w:tcBorders>
              <w:bottom w:val="single" w:sz="8" w:color="auto"/>
              <w:right w:val="single" w:sz="8" w:color="auto"/>
            </w:tcBorders>
          </w:tcPr>
          <w:p>
            <w:pPr>
              <w:jc w:val="right"/>
              <w:ind w:right="506"/>
              <w:spacing w:after="0"/>
              <w:rPr>
                <w:sz w:val="20"/>
                <w:szCs w:val="20"/>
                <w:color w:val="auto"/>
              </w:rPr>
            </w:pPr>
            <w:r>
              <w:rPr>
                <w:rFonts w:ascii="Arial" w:cs="Arial" w:eastAsia="Arial" w:hAnsi="Arial"/>
                <w:sz w:val="15"/>
                <w:szCs w:val="15"/>
                <w:color w:val="auto"/>
              </w:rPr>
              <w:t>100%</w:t>
            </w: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jc w:val="center"/>
              <w:ind w:right="67"/>
              <w:spacing w:after="0"/>
              <w:rPr>
                <w:sz w:val="20"/>
                <w:szCs w:val="20"/>
                <w:color w:val="auto"/>
              </w:rPr>
            </w:pPr>
            <w:r>
              <w:rPr>
                <w:rFonts w:ascii="Arial" w:cs="Arial" w:eastAsia="Arial" w:hAnsi="Arial"/>
                <w:sz w:val="15"/>
                <w:szCs w:val="15"/>
                <w:color w:val="auto"/>
                <w:w w:val="93"/>
              </w:rPr>
              <w:t>$50,000,000</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$5,455.00</w:t>
            </w:r>
          </w:p>
        </w:tc>
        <w:tc>
          <w:tcPr>
            <w:tcW w:w="0" w:type="dxa"/>
            <w:vAlign w:val="bottom"/>
          </w:tcPr>
          <w:p>
            <w:pPr>
              <w:spacing w:after="0"/>
              <w:rPr>
                <w:sz w:val="1"/>
                <w:szCs w:val="1"/>
                <w:color w:val="auto"/>
              </w:rPr>
            </w:pPr>
          </w:p>
        </w:tc>
      </w:tr>
      <w:tr>
        <w:trPr>
          <w:trHeight w:val="48"/>
        </w:trPr>
        <w:tc>
          <w:tcPr>
            <w:tcW w:w="3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360" w:hanging="356"/>
        <w:spacing w:after="0"/>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457(f) under the Securities Act of 1933, as amended (the “Securities Act”).</w:t>
      </w:r>
    </w:p>
    <w:p>
      <w:pPr>
        <w:spacing w:after="0" w:line="39" w:lineRule="exact"/>
        <w:rPr>
          <w:rFonts w:ascii="Arial" w:cs="Arial" w:eastAsia="Arial" w:hAnsi="Arial"/>
          <w:sz w:val="13"/>
          <w:szCs w:val="13"/>
          <w:color w:val="auto"/>
        </w:rPr>
      </w:pPr>
    </w:p>
    <w:p>
      <w:pPr>
        <w:ind w:left="360" w:hanging="356"/>
        <w:spacing w:after="0"/>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Calculated pursuant to Rule 457(f)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72390</wp:posOffset>
            </wp:positionV>
            <wp:extent cx="1097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31" w:lineRule="exact"/>
        <w:rPr>
          <w:sz w:val="24"/>
          <w:szCs w:val="24"/>
          <w:color w:val="auto"/>
        </w:rPr>
      </w:pPr>
    </w:p>
    <w:p>
      <w:pPr>
        <w:jc w:val="both"/>
        <w:spacing w:after="0" w:line="238"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313690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125095</wp:posOffset>
            </wp:positionV>
            <wp:extent cx="6172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176530</wp:posOffset>
            </wp:positionV>
            <wp:extent cx="617220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color w:val="FC0014"/>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C0014"/>
        </w:rPr>
        <w:t>SUBJECT TO COMPLETION, DATED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925830</wp:posOffset>
            </wp:positionV>
            <wp:extent cx="10972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180340</wp:posOffset>
            </wp:positionV>
            <wp:extent cx="2922905"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229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$50,000,000 aggregate principal amount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4.50% Fixed-to-Floating Rate Subordinated Notes due 2030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that have been registered under the Securities Act of 1933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any and all outstanding unregistered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4.50% Fixed-to-Floating Rate Subordinated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142875</wp:posOffset>
            </wp:positionV>
            <wp:extent cx="10972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54" w:lineRule="exact"/>
        <w:rPr>
          <w:sz w:val="20"/>
          <w:szCs w:val="20"/>
          <w:color w:val="auto"/>
        </w:rPr>
      </w:pPr>
    </w:p>
    <w:p>
      <w:pPr>
        <w:ind w:left="360"/>
        <w:spacing w:after="0"/>
        <w:tabs>
          <w:tab w:leader="none" w:pos="5800" w:val="left"/>
        </w:tabs>
        <w:rPr>
          <w:sz w:val="20"/>
          <w:szCs w:val="20"/>
          <w:color w:val="auto"/>
        </w:rPr>
      </w:pPr>
      <w:r>
        <w:rPr>
          <w:rFonts w:ascii="Arial" w:cs="Arial" w:eastAsia="Arial" w:hAnsi="Arial"/>
          <w:sz w:val="18"/>
          <w:szCs w:val="18"/>
          <w:color w:val="auto"/>
        </w:rPr>
        <w:t>The exchange offer will expire at 5:00 p.m., Eastern Standard Time, on</w:t>
      </w:r>
      <w:r>
        <w:rPr>
          <w:sz w:val="20"/>
          <w:szCs w:val="20"/>
          <w:color w:val="auto"/>
        </w:rPr>
        <w:tab/>
      </w:r>
      <w:r>
        <w:rPr>
          <w:rFonts w:ascii="Arial" w:cs="Arial" w:eastAsia="Arial" w:hAnsi="Arial"/>
          <w:sz w:val="14"/>
          <w:szCs w:val="14"/>
          <w:color w:val="auto"/>
        </w:rPr>
        <w:t>, 2020, unless extended.</w:t>
      </w:r>
    </w:p>
    <w:p>
      <w:pPr>
        <w:spacing w:after="0" w:line="117"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We are offering to exchange 4.50% Fixed-to-Floating Rate Subordinated Notes due 2030 that have been registered under the Securities Act of 1933, as amended (the “Securities Act”), which we refer to in this prospectus as the “New Notes,” for any and all of our outstanding unregistered 4.50% Fixed-to-Floating Rate Subordinated Notes due 2030 that we issued in a private placement on September 29, 2020, which we refer to in this prospectus as the “Old Notes.” We are making this offer to exchange the New Notes for the Old Notes to satisfy our obligations under certain registration rights agreements that we entered into with the purchasers of the Old Notes in connection with our issuance of the Old Notes to those purchasers.</w:t>
      </w:r>
    </w:p>
    <w:p>
      <w:pPr>
        <w:spacing w:after="0" w:line="75"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8"/>
          <w:szCs w:val="18"/>
          <w:color w:val="auto"/>
        </w:rPr>
        <w:t>We will not receive any cash proceeds from this exchange offer. The issuance of the New Notes in exchange for the Old Notes will not result in any increase in our outstanding indebtedness. Old Notes that are not exchanged for New Notes in this exchange offer will remain outstanding. The exchange offer is not subject to any minimum tender condition but is subject to certain customary conditions.</w:t>
      </w:r>
    </w:p>
    <w:p>
      <w:pPr>
        <w:spacing w:after="0" w:line="82"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Upon expiration of the exchange offer, all Old Notes that have been validly tendered and not withdrawn will be exchanged for an equal principal amount of New Notes. The terms of the New Notes are identical in all material respects to the terms of the Old Notes, except that the New Notes are registered under the Securities Act and are generally not subject to transfer restrictions, are not entitled to registration rights under the registration rights agreements that we entered into with the initial purchasers of the Old Notes and do not have the right to additional interest under the circumstances described in the registration rights agreements relating to our fulfillment of our registration obligations. The New Notes evidence the same debt as the Old Notes and are governed by the same indenture under which the Old Notes were issued.</w:t>
      </w:r>
    </w:p>
    <w:p>
      <w:pPr>
        <w:spacing w:after="0" w:line="75"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7"/>
          <w:szCs w:val="17"/>
          <w:color w:val="auto"/>
        </w:rPr>
        <w:t>There is no existing public market for the Old Notes or the New Notes and we do not expect any public market to develop in the future for either the Old Notes or the New Notes. The Old Notes are not listed on any national securities exchange or quotation system and we do not intend to list the New Notes on any national securities exchange or quotation system.</w:t>
      </w:r>
    </w:p>
    <w:p>
      <w:pPr>
        <w:spacing w:after="0" w:line="62"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8"/>
          <w:szCs w:val="18"/>
          <w:color w:val="auto"/>
        </w:rPr>
        <w:t>You may withdraw your book-entry tender of Old Notes at any time prior to the expiration of the exchange offer. We will exchange all of the outstanding Old Notes that are validly tendered and not validly withdrawn prior to the expiration of the exchange offer for an equal principal amount of New Notes.</w:t>
      </w:r>
    </w:p>
    <w:p>
      <w:pPr>
        <w:spacing w:after="0" w:line="81"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8"/>
          <w:szCs w:val="18"/>
          <w:color w:val="auto"/>
        </w:rPr>
        <w:t>Each broker-dealer that receives New Notes for its own account pursuant to the exchange offer must acknowledge that it will deliver a prospectus meeting the requirements of the Securities Act in connection with any resale of such New Notes. A broker-dealer that acquired Old Notes because of market-making or other trading activities may use this prospectus, as supplemented or amended from time to time, in connection with resales of the New Notes for a period of 180 days after the completion of the exchange offer. See “Plan of Distribution.”</w:t>
      </w:r>
    </w:p>
    <w:p>
      <w:pPr>
        <w:spacing w:after="0" w:line="80" w:lineRule="exact"/>
        <w:rPr>
          <w:sz w:val="20"/>
          <w:szCs w:val="20"/>
          <w:color w:val="auto"/>
        </w:rPr>
      </w:pPr>
    </w:p>
    <w:p>
      <w:pPr>
        <w:jc w:val="both"/>
        <w:ind w:firstLine="36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securities involves certain risks. See “Risk Factors” beginning on page </w:t>
      </w:r>
      <w:hyperlink w:anchor="page16">
        <w:r>
          <w:rPr>
            <w:rFonts w:ascii="Arial" w:cs="Arial" w:eastAsia="Arial" w:hAnsi="Arial"/>
            <w:sz w:val="18"/>
            <w:szCs w:val="18"/>
            <w:b w:val="1"/>
            <w:bCs w:val="1"/>
            <w:u w:val="single" w:color="auto"/>
            <w:color w:val="0000EE"/>
          </w:rPr>
          <w:t>13</w:t>
        </w:r>
      </w:hyperlink>
      <w:r>
        <w:rPr>
          <w:rFonts w:ascii="Arial" w:cs="Arial" w:eastAsia="Arial" w:hAnsi="Arial"/>
          <w:sz w:val="18"/>
          <w:szCs w:val="18"/>
          <w:b w:val="1"/>
          <w:bCs w:val="1"/>
          <w:color w:val="auto"/>
        </w:rPr>
        <w:t>, as well as the risk factors contained in our Annual Report on Form 10-K for the fiscal year ended December 31, 2019, our Quarterly Report on Form 10-Q for the fiscal quarter ended September 30, 2020 and in the other reports filed by us with the Securities and Exchange Commission and incorporated by reference into this prospectus.</w:t>
      </w:r>
    </w:p>
    <w:p>
      <w:pPr>
        <w:spacing w:after="0" w:line="79"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b w:val="1"/>
          <w:bCs w:val="1"/>
          <w:color w:val="auto"/>
        </w:rPr>
        <w:t>The securities to be exchanged are not savings accounts, deposits or other obligations of any of our bank or non-bank subsidiaries and are not insured by the Federal Deposit Insurance Corporation or any other governmental agency, nor are they obligations of, or guaranteed by, a bank or savings association.</w:t>
      </w:r>
    </w:p>
    <w:p>
      <w:pPr>
        <w:spacing w:after="0" w:line="73"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the Federal Deposit Insurance Corporation, the Board of Governors of the Federal Reserve System nor any other regulatory body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146050</wp:posOffset>
            </wp:positionV>
            <wp:extent cx="10972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ectPr>
          <w:pgSz w:w="11900" w:h="16838" w:orient="portrait"/>
          <w:cols w:equalWidth="0" w:num="1">
            <w:col w:w="9500"/>
          </w:cols>
          <w:pgMar w:left="1200" w:top="265" w:right="1199" w:bottom="636" w:gutter="0" w:footer="0" w:header="0"/>
        </w:sectPr>
      </w:pPr>
    </w:p>
    <w:p>
      <w:pPr>
        <w:spacing w:after="0" w:line="374" w:lineRule="exact"/>
        <w:rPr>
          <w:sz w:val="20"/>
          <w:szCs w:val="20"/>
          <w:color w:val="auto"/>
        </w:rPr>
      </w:pPr>
    </w:p>
    <w:p>
      <w:pPr>
        <w:ind w:left="2900"/>
        <w:spacing w:after="0"/>
        <w:tabs>
          <w:tab w:leader="none" w:pos="606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6"/>
          <w:szCs w:val="16"/>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5" w:right="1199" w:bottom="636" w:gutter="0" w:footer="0" w:header="0"/>
          <w:type w:val="continuous"/>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9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61"/>
        </w:trPr>
        <w:tc>
          <w:tcPr>
            <w:tcW w:w="8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r>
        <w:trPr>
          <w:trHeight w:val="236"/>
        </w:trPr>
        <w:tc>
          <w:tcPr>
            <w:tcW w:w="8120" w:type="dxa"/>
            <w:vAlign w:val="bottom"/>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300" w:type="dxa"/>
            <w:vAlign w:val="bottom"/>
            <w:gridSpan w:val="3"/>
            <w:shd w:val="clear" w:color="auto" w:fill="CCEEFF"/>
          </w:tcPr>
          <w:p>
            <w:pPr>
              <w:jc w:val="right"/>
              <w:ind w:right="8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75"/>
        </w:trPr>
        <w:tc>
          <w:tcPr>
            <w:tcW w:w="8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INCORPORATION OF CERTAIN DOCUMENTS BY REFERENCE</w:t>
              </w:r>
            </w:hyperlink>
          </w:p>
        </w:tc>
        <w:tc>
          <w:tcPr>
            <w:tcW w:w="300" w:type="dxa"/>
            <w:vAlign w:val="bottom"/>
            <w:gridSpan w:val="3"/>
          </w:tcPr>
          <w:p>
            <w:pPr>
              <w:jc w:val="right"/>
              <w:ind w:right="80"/>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812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WHERE YOU CAN FIND MORE INFORMATION</w:t>
              </w:r>
            </w:hyperlink>
          </w:p>
        </w:tc>
        <w:tc>
          <w:tcPr>
            <w:tcW w:w="300" w:type="dxa"/>
            <w:vAlign w:val="bottom"/>
            <w:gridSpan w:val="3"/>
            <w:shd w:val="clear" w:color="auto" w:fill="CCEEFF"/>
          </w:tcPr>
          <w:p>
            <w:pPr>
              <w:jc w:val="right"/>
              <w:ind w:right="8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74"/>
        </w:trPr>
        <w:tc>
          <w:tcPr>
            <w:tcW w:w="8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SPECIAL NOTE REGARDING FORWARD-LOOKING STATEMENTS</w:t>
              </w:r>
            </w:hyperlink>
          </w:p>
        </w:tc>
        <w:tc>
          <w:tcPr>
            <w:tcW w:w="300" w:type="dxa"/>
            <w:vAlign w:val="bottom"/>
            <w:gridSpan w:val="3"/>
          </w:tcPr>
          <w:p>
            <w:pPr>
              <w:jc w:val="right"/>
              <w:ind w:right="80"/>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74"/>
        </w:trPr>
        <w:tc>
          <w:tcPr>
            <w:tcW w:w="8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29"/>
        </w:trPr>
        <w:tc>
          <w:tcPr>
            <w:tcW w:w="8120" w:type="dxa"/>
            <w:vAlign w:val="bottom"/>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SUMMARY</w:t>
              </w:r>
            </w:hyperlink>
          </w:p>
        </w:tc>
        <w:tc>
          <w:tcPr>
            <w:tcW w:w="300" w:type="dxa"/>
            <w:vAlign w:val="bottom"/>
            <w:gridSpan w:val="3"/>
            <w:shd w:val="clear" w:color="auto" w:fill="CCEEFF"/>
          </w:tcPr>
          <w:p>
            <w:pPr>
              <w:jc w:val="right"/>
              <w:ind w:right="80"/>
              <w:spacing w:after="0"/>
              <w:rPr>
                <w:rFonts w:ascii="Arial" w:cs="Arial" w:eastAsia="Arial" w:hAnsi="Arial"/>
                <w:sz w:val="18"/>
                <w:szCs w:val="18"/>
                <w:color w:val="0000EE"/>
              </w:rPr>
            </w:pPr>
            <w:hyperlink w:anchor="page9">
              <w:r>
                <w:rPr>
                  <w:rFonts w:ascii="Arial" w:cs="Arial" w:eastAsia="Arial" w:hAnsi="Arial"/>
                  <w:sz w:val="18"/>
                  <w:szCs w:val="18"/>
                  <w:color w:val="0000EE"/>
                </w:rPr>
                <w:t>6</w:t>
              </w:r>
            </w:hyperlink>
          </w:p>
        </w:tc>
      </w:tr>
      <w:tr>
        <w:trPr>
          <w:trHeight w:val="75"/>
        </w:trPr>
        <w:tc>
          <w:tcPr>
            <w:tcW w:w="8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13</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USE OF PROCEEDS</w:t>
              </w:r>
            </w:hyperlink>
          </w:p>
        </w:tc>
        <w:tc>
          <w:tcPr>
            <w:tcW w:w="300" w:type="dxa"/>
            <w:vAlign w:val="bottom"/>
            <w:tcBorders>
              <w:bottom w:val="single" w:sz="8" w:color="CCEEFF"/>
            </w:tcBorders>
            <w:gridSpan w:val="3"/>
            <w:shd w:val="clear" w:color="auto" w:fill="CCEEFF"/>
          </w:tcPr>
          <w:p>
            <w:pPr>
              <w:jc w:val="right"/>
              <w:ind w:righ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23</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THE EXCHANGE OFFER</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24</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DESCRIPTION OF THE NOTES</w:t>
              </w:r>
            </w:hyperlink>
          </w:p>
        </w:tc>
        <w:tc>
          <w:tcPr>
            <w:tcW w:w="300" w:type="dxa"/>
            <w:vAlign w:val="bottom"/>
            <w:tcBorders>
              <w:bottom w:val="single" w:sz="8" w:color="CCEEFF"/>
            </w:tcBorders>
            <w:gridSpan w:val="3"/>
            <w:shd w:val="clear" w:color="auto" w:fill="CCEEFF"/>
          </w:tcPr>
          <w:p>
            <w:pPr>
              <w:jc w:val="right"/>
              <w:ind w:right="6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32</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CERTAIN UNITED STATES FEDERAL INCOME TAX CONSIDERATIONS</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45</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PLAN OF DISTRIBUTION</w:t>
              </w:r>
            </w:hyperlink>
          </w:p>
        </w:tc>
        <w:tc>
          <w:tcPr>
            <w:tcW w:w="300" w:type="dxa"/>
            <w:vAlign w:val="bottom"/>
            <w:tcBorders>
              <w:bottom w:val="single" w:sz="8" w:color="CCEEFF"/>
            </w:tcBorders>
            <w:gridSpan w:val="3"/>
            <w:shd w:val="clear" w:color="auto" w:fill="CCEEFF"/>
          </w:tcPr>
          <w:p>
            <w:pPr>
              <w:jc w:val="right"/>
              <w:ind w:right="6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46</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LEGAL MATTERS</w:t>
              </w:r>
            </w:hyperlink>
          </w:p>
        </w:tc>
        <w:tc>
          <w:tcPr>
            <w:tcW w:w="300" w:type="dxa"/>
            <w:vAlign w:val="bottom"/>
            <w:gridSpan w:val="3"/>
          </w:tcPr>
          <w:p>
            <w:pPr>
              <w:jc w:val="right"/>
              <w:ind w:right="6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47</w:t>
              </w:r>
            </w:hyperlink>
          </w:p>
        </w:tc>
      </w:tr>
      <w:tr>
        <w:trPr>
          <w:trHeight w:val="54"/>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8120" w:type="dxa"/>
            <w:vAlign w:val="bottom"/>
            <w:shd w:val="clear" w:color="auto" w:fill="CCEEFF"/>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EXPERTS</w:t>
              </w:r>
            </w:hyperlink>
          </w:p>
        </w:tc>
        <w:tc>
          <w:tcPr>
            <w:tcW w:w="300" w:type="dxa"/>
            <w:vAlign w:val="bottom"/>
            <w:gridSpan w:val="3"/>
            <w:shd w:val="clear" w:color="auto" w:fill="CCEEFF"/>
          </w:tcPr>
          <w:p>
            <w:pPr>
              <w:jc w:val="right"/>
              <w:ind w:right="6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48</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-2656840</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This prospectus is a part of a registration statement that we have filed with the Securities and Exchange Commission (the “SEC”) under the Securities Act. This prospectus does not contain all the information set forth in the registration statement, certain parts of which are omitted in accordance with the rules and regulations of the SEC. For further information with respect to us, the exchange offer and the securities offered by this prospectus, reference is made to the registration statement, including the exhibits to the registration statement and the documents incorporated by reference.</w:t>
      </w:r>
    </w:p>
    <w:p>
      <w:pPr>
        <w:spacing w:after="0" w:line="84"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We are providing this prospectus to holders of Old Notes in connection with our offer to exchange Old Notes for New Notes. We are not making this exchange offer in any jurisdiction where the exchange offer is not permitted.</w:t>
      </w:r>
    </w:p>
    <w:p>
      <w:pPr>
        <w:spacing w:after="0" w:line="1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and in the accompanying exchange offer transmittal documents filed by us with the SEC. We have not authorized any other person to provide you with any other information. We take no responsibility for, and provide no assurance as to the reliability of, any other information that others may give you. You should not assume that the information contained or incorporated by reference in this prospectus is accurate as of any date other than the date of the applicable document that contains that information. Our business, financial condition, results of operations and prospects may have changed since that date.</w:t>
      </w:r>
    </w:p>
    <w:p>
      <w:pPr>
        <w:spacing w:after="0" w:line="8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You should not consider any information in this prospectus to be investment, legal or tax advice. You should consult your own counsel, accountant and other advisors for legal, tax, business, financial and related advice regarding the exchange offer and ownership of these securities.</w:t>
      </w:r>
    </w:p>
    <w:p>
      <w:pPr>
        <w:spacing w:after="0" w:line="7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Each broker-dealer that receives New Notes for its own account in exchange for Old Notes acquired by the broker-dealer as a result of market-making or other trading activities must acknowledge that it will deliver a prospectus meeting the requirements of the Securities Act in connection with any resale of such New Notes. This prospectus, as it may be amended or supplemented from time to time, may be used by a participating broker-dealer in connection with resales of New Notes received in exchange for Old Notes. We have agreed in the letter of transmittal to make this prospectus, as amended or supplemented, available to any such broker-dealer that requests copies of this prospectus for use in connection with any such resale. See “Plan of Distribution.”</w:t>
      </w:r>
    </w:p>
    <w:p>
      <w:pPr>
        <w:spacing w:after="0" w:line="58"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References in this prospectus to “we,” “us,” “our,” the “Company” or “South Plains” refer to South Plains Financial, Inc. and its consolidated subsidiaries, unless the context otherwise requires. References in this prospectus to the “Bank” refer to City Bank, a Texas banking association and a wholly-owned subsidiary of the Company.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SEC allows us to incorporate by reference the information that we file with it into this prospectus, which means that we can disclose important information to you by referring you to other documents. This prospectus incorporates by reference the documents listed below that we have previously filed with the SEC (SEC File No. 001-38895):</w:t>
      </w:r>
    </w:p>
    <w:p>
      <w:pPr>
        <w:spacing w:after="0" w:line="79" w:lineRule="exact"/>
        <w:rPr>
          <w:sz w:val="20"/>
          <w:szCs w:val="20"/>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0000EE"/>
        </w:rPr>
      </w:pPr>
      <w:r>
        <w:rPr>
          <w:rFonts w:ascii="Arial" w:cs="Arial" w:eastAsia="Arial" w:hAnsi="Arial"/>
          <w:sz w:val="18"/>
          <w:szCs w:val="18"/>
          <w:color w:val="auto"/>
        </w:rPr>
        <w:t xml:space="preserve">our Annual Report on Form 10-K for the year ended December 31, 2019, filed with the SEC on </w:t>
      </w:r>
      <w:hyperlink r:id="rId29">
        <w:r>
          <w:rPr>
            <w:rFonts w:ascii="Arial" w:cs="Arial" w:eastAsia="Arial" w:hAnsi="Arial"/>
            <w:sz w:val="18"/>
            <w:szCs w:val="18"/>
            <w:u w:val="single" w:color="auto"/>
            <w:color w:val="0000EE"/>
          </w:rPr>
          <w:t>March 25,</w:t>
        </w:r>
      </w:hyperlink>
      <w:r>
        <w:rPr>
          <w:rFonts w:ascii="Arial" w:cs="Arial" w:eastAsia="Arial" w:hAnsi="Arial"/>
          <w:sz w:val="18"/>
          <w:szCs w:val="18"/>
          <w:color w:val="auto"/>
        </w:rPr>
        <w:t xml:space="preserve"> </w:t>
      </w:r>
      <w:hyperlink r:id="rId29">
        <w:r>
          <w:rPr>
            <w:rFonts w:ascii="Arial" w:cs="Arial" w:eastAsia="Arial" w:hAnsi="Arial"/>
            <w:sz w:val="18"/>
            <w:szCs w:val="18"/>
            <w:u w:val="single" w:color="auto"/>
            <w:color w:val="0000EE"/>
          </w:rPr>
          <w:t>2020</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jc w:val="both"/>
        <w:ind w:left="1000" w:right="319" w:hanging="348"/>
        <w:spacing w:after="0" w:line="263" w:lineRule="auto"/>
        <w:tabs>
          <w:tab w:leader="none" w:pos="1000" w:val="left"/>
        </w:tabs>
        <w:numPr>
          <w:ilvl w:val="0"/>
          <w:numId w:val="4"/>
        </w:numPr>
        <w:rPr>
          <w:rFonts w:ascii="Arial" w:cs="Arial" w:eastAsia="Arial" w:hAnsi="Arial"/>
          <w:sz w:val="18"/>
          <w:szCs w:val="18"/>
          <w:color w:val="000000"/>
        </w:rPr>
      </w:pPr>
      <w:r>
        <w:rPr>
          <w:rFonts w:ascii="Arial" w:cs="Arial" w:eastAsia="Arial" w:hAnsi="Arial"/>
          <w:sz w:val="18"/>
          <w:szCs w:val="18"/>
          <w:color w:val="auto"/>
        </w:rPr>
        <w:t xml:space="preserve">our Quarterly Reports on Form 10-Q for the quarter ended March 31, 2020, filed with the SEC on </w:t>
      </w:r>
      <w:hyperlink r:id="rId30">
        <w:r>
          <w:rPr>
            <w:rFonts w:ascii="Arial" w:cs="Arial" w:eastAsia="Arial" w:hAnsi="Arial"/>
            <w:sz w:val="18"/>
            <w:szCs w:val="18"/>
            <w:u w:val="single" w:color="auto"/>
            <w:color w:val="0000EE"/>
          </w:rPr>
          <w:t>May 13,</w:t>
        </w:r>
      </w:hyperlink>
      <w:r>
        <w:rPr>
          <w:rFonts w:ascii="Arial" w:cs="Arial" w:eastAsia="Arial" w:hAnsi="Arial"/>
          <w:sz w:val="18"/>
          <w:szCs w:val="18"/>
          <w:color w:val="auto"/>
        </w:rPr>
        <w:t xml:space="preserve"> </w:t>
      </w:r>
      <w:hyperlink r:id="rId30">
        <w:r>
          <w:rPr>
            <w:rFonts w:ascii="Arial" w:cs="Arial" w:eastAsia="Arial" w:hAnsi="Arial"/>
            <w:sz w:val="18"/>
            <w:szCs w:val="18"/>
            <w:u w:val="single" w:color="auto"/>
            <w:color w:val="0000EE"/>
          </w:rPr>
          <w:t>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for the quarter ended June 30, 2020, filed with the SEC on</w:t>
      </w:r>
      <w:r>
        <w:rPr>
          <w:rFonts w:ascii="Arial" w:cs="Arial" w:eastAsia="Arial" w:hAnsi="Arial"/>
          <w:sz w:val="18"/>
          <w:szCs w:val="18"/>
          <w:color w:val="0000EE"/>
        </w:rPr>
        <w:t xml:space="preserve"> </w:t>
      </w:r>
      <w:hyperlink r:id="rId31">
        <w:r>
          <w:rPr>
            <w:rFonts w:ascii="Arial" w:cs="Arial" w:eastAsia="Arial" w:hAnsi="Arial"/>
            <w:sz w:val="18"/>
            <w:szCs w:val="18"/>
            <w:u w:val="single" w:color="auto"/>
            <w:color w:val="0000EE"/>
          </w:rPr>
          <w:t>August 14,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 for the quarter</w:t>
      </w:r>
      <w:r>
        <w:rPr>
          <w:rFonts w:ascii="Arial" w:cs="Arial" w:eastAsia="Arial" w:hAnsi="Arial"/>
          <w:sz w:val="18"/>
          <w:szCs w:val="18"/>
          <w:color w:val="0000EE"/>
        </w:rPr>
        <w:t xml:space="preserve"> </w:t>
      </w:r>
      <w:r>
        <w:rPr>
          <w:rFonts w:ascii="Arial" w:cs="Arial" w:eastAsia="Arial" w:hAnsi="Arial"/>
          <w:sz w:val="18"/>
          <w:szCs w:val="18"/>
          <w:color w:val="000000"/>
        </w:rPr>
        <w:t xml:space="preserve">ended September 30, 2020, filed with the SEC on </w:t>
      </w:r>
      <w:hyperlink r:id="rId32">
        <w:r>
          <w:rPr>
            <w:rFonts w:ascii="Arial" w:cs="Arial" w:eastAsia="Arial" w:hAnsi="Arial"/>
            <w:sz w:val="18"/>
            <w:szCs w:val="18"/>
            <w:u w:val="single" w:color="auto"/>
            <w:color w:val="0000EE"/>
          </w:rPr>
          <w:t>November 6, 2020</w:t>
        </w:r>
      </w:hyperlink>
      <w:r>
        <w:rPr>
          <w:rFonts w:ascii="Arial" w:cs="Arial" w:eastAsia="Arial" w:hAnsi="Arial"/>
          <w:sz w:val="18"/>
          <w:szCs w:val="18"/>
          <w:color w:val="000000"/>
        </w:rPr>
        <w:t>;</w:t>
      </w:r>
    </w:p>
    <w:p>
      <w:pPr>
        <w:spacing w:after="0" w:line="75" w:lineRule="exact"/>
        <w:rPr>
          <w:rFonts w:ascii="Arial" w:cs="Arial" w:eastAsia="Arial" w:hAnsi="Arial"/>
          <w:sz w:val="18"/>
          <w:szCs w:val="18"/>
          <w:color w:val="000000"/>
        </w:rPr>
      </w:pPr>
    </w:p>
    <w:p>
      <w:pPr>
        <w:jc w:val="both"/>
        <w:ind w:left="1000" w:right="319" w:hanging="348"/>
        <w:spacing w:after="0" w:line="263" w:lineRule="auto"/>
        <w:tabs>
          <w:tab w:leader="none" w:pos="1000" w:val="left"/>
        </w:tabs>
        <w:numPr>
          <w:ilvl w:val="0"/>
          <w:numId w:val="4"/>
        </w:numPr>
        <w:rPr>
          <w:rFonts w:ascii="Arial" w:cs="Arial" w:eastAsia="Arial" w:hAnsi="Arial"/>
          <w:sz w:val="18"/>
          <w:szCs w:val="18"/>
          <w:color w:val="000000"/>
        </w:rPr>
      </w:pPr>
      <w:r>
        <w:rPr>
          <w:rFonts w:ascii="Arial" w:cs="Arial" w:eastAsia="Arial" w:hAnsi="Arial"/>
          <w:sz w:val="18"/>
          <w:szCs w:val="18"/>
          <w:color w:val="auto"/>
        </w:rPr>
        <w:t xml:space="preserve">our Current Reports on Form 8-K or Form 8-K/A filed on </w:t>
      </w:r>
      <w:hyperlink r:id="rId33">
        <w:r>
          <w:rPr>
            <w:rFonts w:ascii="Arial" w:cs="Arial" w:eastAsia="Arial" w:hAnsi="Arial"/>
            <w:sz w:val="18"/>
            <w:szCs w:val="18"/>
            <w:u w:val="single" w:color="auto"/>
            <w:color w:val="0000EE"/>
          </w:rPr>
          <w:t xml:space="preserve">January 17, 2020, </w:t>
        </w:r>
      </w:hyperlink>
      <w:hyperlink r:id="rId34">
        <w:r>
          <w:rPr>
            <w:rFonts w:ascii="Arial" w:cs="Arial" w:eastAsia="Arial" w:hAnsi="Arial"/>
            <w:sz w:val="18"/>
            <w:szCs w:val="18"/>
            <w:u w:val="single" w:color="auto"/>
            <w:color w:val="auto"/>
          </w:rPr>
          <w:t xml:space="preserve">January </w:t>
        </w:r>
        <w:r>
          <w:rPr>
            <w:rFonts w:ascii="Arial" w:cs="Arial" w:eastAsia="Arial" w:hAnsi="Arial"/>
            <w:sz w:val="18"/>
            <w:szCs w:val="18"/>
            <w:u w:val="single" w:color="auto"/>
            <w:color w:val="0000EE"/>
          </w:rPr>
          <w:t>28, 2020</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EE"/>
          </w:rPr>
          <w:t>March 16,</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EE"/>
          </w:rPr>
          <w:t>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6">
        <w:r>
          <w:rPr>
            <w:rFonts w:ascii="Arial" w:cs="Arial" w:eastAsia="Arial" w:hAnsi="Arial"/>
            <w:sz w:val="18"/>
            <w:szCs w:val="18"/>
            <w:u w:val="single" w:color="auto"/>
            <w:color w:val="0000EE"/>
          </w:rPr>
          <w:t>April 16,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7">
        <w:r>
          <w:rPr>
            <w:rFonts w:ascii="Arial" w:cs="Arial" w:eastAsia="Arial" w:hAnsi="Arial"/>
            <w:sz w:val="18"/>
            <w:szCs w:val="18"/>
            <w:u w:val="single" w:color="auto"/>
            <w:color w:val="0000EE"/>
          </w:rPr>
          <w:t>May 21,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8">
        <w:r>
          <w:rPr>
            <w:rFonts w:ascii="Arial" w:cs="Arial" w:eastAsia="Arial" w:hAnsi="Arial"/>
            <w:sz w:val="18"/>
            <w:szCs w:val="18"/>
            <w:u w:val="single" w:color="auto"/>
            <w:color w:val="0000EE"/>
          </w:rPr>
          <w:t>July 16,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9">
        <w:r>
          <w:rPr>
            <w:rFonts w:ascii="Arial" w:cs="Arial" w:eastAsia="Arial" w:hAnsi="Arial"/>
            <w:sz w:val="18"/>
            <w:szCs w:val="18"/>
            <w:u w:val="single" w:color="auto"/>
            <w:color w:val="0000EE"/>
          </w:rPr>
          <w:t xml:space="preserve">September 30, 2020 </w:t>
        </w:r>
      </w:hyperlink>
      <w:r>
        <w:rPr>
          <w:rFonts w:ascii="Arial" w:cs="Arial" w:eastAsia="Arial" w:hAnsi="Arial"/>
          <w:sz w:val="18"/>
          <w:szCs w:val="18"/>
          <w:color w:val="000000"/>
        </w:rPr>
        <w:t>(solely</w:t>
      </w:r>
      <w:r>
        <w:rPr>
          <w:rFonts w:ascii="Arial" w:cs="Arial" w:eastAsia="Arial" w:hAnsi="Arial"/>
          <w:sz w:val="18"/>
          <w:szCs w:val="18"/>
          <w:color w:val="0000EE"/>
        </w:rPr>
        <w:t xml:space="preserve"> </w:t>
      </w:r>
      <w:r>
        <w:rPr>
          <w:rFonts w:ascii="Arial" w:cs="Arial" w:eastAsia="Arial" w:hAnsi="Arial"/>
          <w:sz w:val="18"/>
          <w:szCs w:val="18"/>
          <w:color w:val="000000"/>
        </w:rPr>
        <w:t>with respect to items 1.01,</w:t>
      </w:r>
      <w:r>
        <w:rPr>
          <w:rFonts w:ascii="Arial" w:cs="Arial" w:eastAsia="Arial" w:hAnsi="Arial"/>
          <w:sz w:val="18"/>
          <w:szCs w:val="18"/>
          <w:color w:val="0000EE"/>
        </w:rPr>
        <w:t xml:space="preserve"> </w:t>
      </w:r>
      <w:r>
        <w:rPr>
          <w:rFonts w:ascii="Arial" w:cs="Arial" w:eastAsia="Arial" w:hAnsi="Arial"/>
          <w:sz w:val="18"/>
          <w:szCs w:val="18"/>
          <w:color w:val="000000"/>
        </w:rPr>
        <w:t xml:space="preserve">2.03, 8.01 and 9.01), </w:t>
      </w:r>
      <w:hyperlink r:id="rId40">
        <w:r>
          <w:rPr>
            <w:rFonts w:ascii="Arial" w:cs="Arial" w:eastAsia="Arial" w:hAnsi="Arial"/>
            <w:sz w:val="18"/>
            <w:szCs w:val="18"/>
            <w:u w:val="single" w:color="auto"/>
            <w:color w:val="0000EE"/>
          </w:rPr>
          <w:t>October 22, 2020</w:t>
        </w:r>
      </w:hyperlink>
      <w:r>
        <w:rPr>
          <w:rFonts w:ascii="Arial" w:cs="Arial" w:eastAsia="Arial" w:hAnsi="Arial"/>
          <w:sz w:val="18"/>
          <w:szCs w:val="18"/>
          <w:color w:val="000000"/>
        </w:rPr>
        <w:t xml:space="preserve">, and </w:t>
      </w:r>
      <w:hyperlink r:id="rId41">
        <w:r>
          <w:rPr>
            <w:rFonts w:ascii="Arial" w:cs="Arial" w:eastAsia="Arial" w:hAnsi="Arial"/>
            <w:sz w:val="18"/>
            <w:szCs w:val="18"/>
            <w:u w:val="single" w:color="auto"/>
            <w:color w:val="0000EE"/>
          </w:rPr>
          <w:t>November 2, 2020</w:t>
        </w:r>
      </w:hyperlink>
      <w:r>
        <w:rPr>
          <w:rFonts w:ascii="Arial" w:cs="Arial" w:eastAsia="Arial" w:hAnsi="Arial"/>
          <w:sz w:val="18"/>
          <w:szCs w:val="18"/>
          <w:color w:val="000000"/>
        </w:rPr>
        <w:t>; and</w:t>
      </w:r>
    </w:p>
    <w:p>
      <w:pPr>
        <w:spacing w:after="0" w:line="75" w:lineRule="exact"/>
        <w:rPr>
          <w:rFonts w:ascii="Arial" w:cs="Arial" w:eastAsia="Arial" w:hAnsi="Arial"/>
          <w:sz w:val="18"/>
          <w:szCs w:val="18"/>
          <w:color w:val="000000"/>
        </w:rPr>
      </w:pPr>
    </w:p>
    <w:p>
      <w:pPr>
        <w:jc w:val="both"/>
        <w:ind w:left="1000" w:right="319" w:hanging="348"/>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Schedule 14A, filed with the SEC on </w:t>
      </w:r>
      <w:hyperlink r:id="rId42">
        <w:r>
          <w:rPr>
            <w:rFonts w:ascii="Arial" w:cs="Arial" w:eastAsia="Arial" w:hAnsi="Arial"/>
            <w:sz w:val="18"/>
            <w:szCs w:val="18"/>
            <w:u w:val="single" w:color="auto"/>
            <w:color w:val="0000EE"/>
          </w:rPr>
          <w:t>April 2,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(solely to the extent incorporated by reference into Part III of our Annual Report on Form 10-K for the year ended December 31, 2019).</w:t>
      </w:r>
    </w:p>
    <w:p>
      <w:pPr>
        <w:spacing w:after="0" w:line="76" w:lineRule="exact"/>
        <w:rPr>
          <w:rFonts w:ascii="Arial" w:cs="Arial" w:eastAsia="Arial" w:hAnsi="Arial"/>
          <w:sz w:val="18"/>
          <w:szCs w:val="18"/>
          <w:color w:val="000000"/>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We incorporate by reference any additional documents that we may file with the SEC under Sections 13(a), 13(c), 14 or 15(d) of the Exchange Act (other than those furnished pursuant to Item 2.02 or Item 7.01 of Form 8-K or other information “furnished” to the SEC), from the date of the registration statement of which this prospectus is a part until the termination of the offering of the securities. These documents may include annual, quarterly and current reports, as well as proxy statements. Any material that we later file with the SEC will automatically update and supersede, where appropriate, the information previously filed with the SEC. These documents are available to you without charge. See “Where You Can Find More Information.”</w:t>
      </w:r>
    </w:p>
    <w:p>
      <w:pPr>
        <w:spacing w:after="0" w:line="69" w:lineRule="exact"/>
        <w:rPr>
          <w:rFonts w:ascii="Arial" w:cs="Arial" w:eastAsia="Arial" w:hAnsi="Arial"/>
          <w:sz w:val="18"/>
          <w:szCs w:val="18"/>
          <w:color w:val="000000"/>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herein by reference shall be deemed to be modified or superseded to the extent that a statement contained herein or in any other subsequently filed document that also is or is deemed to be incorporated herein by reference modifies or supersedes such statement in such document.</w:t>
      </w:r>
    </w:p>
    <w:p>
      <w:pPr>
        <w:spacing w:after="0" w:line="79" w:lineRule="exact"/>
        <w:rPr>
          <w:rFonts w:ascii="Arial" w:cs="Arial" w:eastAsia="Arial" w:hAnsi="Arial"/>
          <w:sz w:val="18"/>
          <w:szCs w:val="18"/>
          <w:color w:val="000000"/>
        </w:rPr>
      </w:pPr>
    </w:p>
    <w:p>
      <w:pPr>
        <w:ind w:left="660"/>
        <w:spacing w:after="0"/>
        <w:rPr>
          <w:sz w:val="20"/>
          <w:szCs w:val="20"/>
          <w:color w:val="auto"/>
        </w:rPr>
      </w:pPr>
      <w:r>
        <w:rPr>
          <w:rFonts w:ascii="Arial" w:cs="Arial" w:eastAsia="Arial" w:hAnsi="Arial"/>
          <w:sz w:val="16"/>
          <w:szCs w:val="16"/>
          <w:color w:val="auto"/>
        </w:rPr>
        <w:t>To ensure timely delivery of any requested information, holders of the Old Notes must make any request no</w:t>
      </w:r>
    </w:p>
    <w:p>
      <w:pPr>
        <w:spacing w:after="0" w:line="46" w:lineRule="exact"/>
        <w:rPr>
          <w:rFonts w:ascii="Arial" w:cs="Arial" w:eastAsia="Arial" w:hAnsi="Arial"/>
          <w:sz w:val="18"/>
          <w:szCs w:val="18"/>
          <w:color w:val="000000"/>
        </w:rPr>
      </w:pPr>
    </w:p>
    <w:p>
      <w:pPr>
        <w:jc w:val="both"/>
        <w:ind w:left="300" w:right="299"/>
        <w:spacing w:after="0" w:line="255" w:lineRule="auto"/>
        <w:rPr>
          <w:sz w:val="20"/>
          <w:szCs w:val="20"/>
          <w:color w:val="auto"/>
        </w:rPr>
      </w:pPr>
      <w:r>
        <w:rPr>
          <w:rFonts w:ascii="Arial" w:cs="Arial" w:eastAsia="Arial" w:hAnsi="Arial"/>
          <w:sz w:val="18"/>
          <w:szCs w:val="18"/>
          <w:color w:val="auto"/>
        </w:rPr>
        <w:t>later than , 2020, which is five business days before the expiration date of the exchange offer, or, if we decide to extend the expiration date of the exchange offer, no later than five business days before such extended expiration date.</w:t>
      </w:r>
    </w:p>
    <w:p>
      <w:pPr>
        <w:spacing w:after="0" w:line="190" w:lineRule="exact"/>
        <w:rPr>
          <w:rFonts w:ascii="Arial" w:cs="Arial" w:eastAsia="Arial" w:hAnsi="Arial"/>
          <w:sz w:val="18"/>
          <w:szCs w:val="18"/>
          <w:color w:val="000000"/>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000000"/>
        </w:rPr>
      </w:pPr>
      <w:r>
        <w:rPr>
          <w:rFonts w:ascii="Arial" w:cs="Arial" w:eastAsia="Arial" w:hAnsi="Arial"/>
          <w:sz w:val="18"/>
          <w:szCs w:val="18"/>
          <w:color w:val="000000"/>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are subject to the information requirements of the Securities Exchange Act of 1934, as amended (the “Exchange Act”), and therefore we file with the SEC annual, quarterly and current reports, proxy statements, information statements and other information. Our SEC filings are available to the public at the SEC’s web site at www.sec.gov or on our Internet web site, https://www.spfi.bank/investor-relations. The reference to our web site is not intended to be an active link and the information on our web site is not, and you must not consider the information to be, a part of this prospectus and is not incorporated by reference herein.</w:t>
      </w:r>
    </w:p>
    <w:p>
      <w:pPr>
        <w:spacing w:after="0" w:line="70"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We have filed with the SEC a registration statement on Form S-4 relating to the New Notes and the exchange offer. This prospectus is a part of the registration statement and, as permitted by SEC rules, does not contain all of the information in the registration statement. The registration statement, including the exhibits thereto, contains additional relevant information about us, the New Notes and the exchange offer. Whenever a reference is made in this prospectus to a contract or other document, the reference is only a summary and you should refer to the exhibits that form a part of the registration statement for a copy of the contract or other document. You can get a copy of the registration statement and the documents referred to below under “Incorporation of Certain Documents by Reference” from the SEC web site or our web site listed above. You can also obtain these documents from us, without charge (other than exhibits, unless the exhibits are specifically incorporated by reference), upon written or oral request at the following address and telephone number: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5219 City Bank Parkway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Lubbock, Texas 79407</w:t>
      </w:r>
    </w:p>
    <w:p>
      <w:pPr>
        <w:spacing w:after="0" w:line="9" w:lineRule="exact"/>
        <w:rPr>
          <w:sz w:val="20"/>
          <w:szCs w:val="20"/>
          <w:color w:val="auto"/>
        </w:rPr>
      </w:pPr>
    </w:p>
    <w:p>
      <w:pPr>
        <w:ind w:left="4380" w:hanging="438"/>
        <w:spacing w:after="0"/>
        <w:tabs>
          <w:tab w:leader="none" w:pos="4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792-7101</w:t>
      </w:r>
    </w:p>
    <w:p>
      <w:pPr>
        <w:spacing w:after="0" w:line="9" w:lineRule="exact"/>
        <w:rPr>
          <w:rFonts w:ascii="Arial" w:cs="Arial" w:eastAsia="Arial" w:hAnsi="Arial"/>
          <w:sz w:val="18"/>
          <w:szCs w:val="18"/>
          <w:color w:val="auto"/>
        </w:rPr>
      </w:pPr>
    </w:p>
    <w:p>
      <w:pPr>
        <w:ind w:left="3400"/>
        <w:spacing w:after="0"/>
        <w:rPr>
          <w:rFonts w:ascii="Arial" w:cs="Arial" w:eastAsia="Arial" w:hAnsi="Arial"/>
          <w:sz w:val="18"/>
          <w:szCs w:val="18"/>
          <w:color w:val="auto"/>
        </w:rPr>
      </w:pPr>
      <w:r>
        <w:rPr>
          <w:rFonts w:ascii="Arial" w:cs="Arial" w:eastAsia="Arial" w:hAnsi="Arial"/>
          <w:sz w:val="18"/>
          <w:szCs w:val="18"/>
          <w:color w:val="auto"/>
        </w:rPr>
        <w:t>Attention: Corporate Secretary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This prospectus and the documents incorporated herein by reference contain statements that we believe are “forward-looking statements” within the meaning of Section 27A of the Securities Act and Section 21E of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6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62" w:lineRule="exact"/>
        <w:rPr>
          <w:sz w:val="20"/>
          <w:szCs w:val="20"/>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ongoing COVID-19 pandemic and its uncertain economic impact on the Company’s customers and communities;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execute our expansion strategy and manage our growth, including identifying and consummating suitable acquisitions;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and economic conditions, particularly those affecting our market areas, as well as the concentration of our business in such market areas;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concentrations of loans secured by real estate located in our market areas;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our commercial loan portfolio, including the uncertain economic consequences of the ongoing COVID-19 pandemic or any deterioration in value of the general business assets that secure such loans;</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changes in the prices, values and sales volumes of commercial and residential real estate securing our real estate loans;</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associated with our agricultural loan portfolio, including the heightened sensitivity to weather conditions, commodity prices, and other factors generally outside the borrowers and our control;</w:t>
      </w:r>
    </w:p>
    <w:p>
      <w:pPr>
        <w:spacing w:after="0" w:line="3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the sale of crop insurance products, including termination of or substantial changes to the federal crop insurance program;</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the significant amount of credit that we have extended to a limited number of borrowers and in a limited geographic area;</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 funds deposits comprising a relatively high percentage of our deposits;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impairment on the goodwill we have recorded or may record in connection with business acquisitions;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our reputation;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successfully manage our credit risk and the sufficiency of our allowance for loan losses;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hire and retain qualified management personnel;</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our management team, including our ability to retain executive officers and key employees and their customer and community relationships;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 fluctuations, which could have an adverse effect on our profitability;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banks, credit unions and other financial services providers;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 or difficulties we may experience when implementing new technologies;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system failures, service denials, cyber-attacks and security breaches;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 error, fraudulent activity by employees or customers and inaccurate or incomplete information about our customers and counterparties;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capital requirements imposed by banking regulators, which may require us to raise capital at a time when capital is not available on favorable terms or at all;</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raise necessary capital to fund our acquisition strategy and operations or to meet increased minimum regulatory capital levels;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effects of litigation, investigations or similar matters to which we may be subject, including any effect on our reputation;</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 severe weather, acts of god, acts of war or terrorism, outbreaks of hostilities, public health outbreaks (such as the ongoing COVID-19 pandemic), other international or domestic calamities, and other matters beyond our control;</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17"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compliance with governmental and regulatory requirements, including the Dodd-Frank Act Wall Street Reform and Consumer Protection Act, Economic Growth, Regulatory Relief, and Consumer Protection Act, and others relating to banking, consumer protection, securities and tax matters; and</w:t>
      </w:r>
    </w:p>
    <w:p>
      <w:pPr>
        <w:spacing w:after="0" w:line="57" w:lineRule="exact"/>
        <w:rPr>
          <w:rFonts w:ascii="Arial" w:cs="Arial" w:eastAsia="Arial" w:hAnsi="Arial"/>
          <w:sz w:val="17"/>
          <w:szCs w:val="17"/>
          <w:color w:val="auto"/>
        </w:rPr>
      </w:pPr>
    </w:p>
    <w:p>
      <w:pPr>
        <w:jc w:val="both"/>
        <w:ind w:left="1000" w:right="299" w:hanging="348"/>
        <w:spacing w:after="0" w:line="311"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the laws, rules, regulations, interpretations or policies relating to financial institutions, accounting, tax, trade, monetary and fiscal matters, including the policies of the Board of Governors of the Federal Reserve System (“Federal Reserve”) and as a result of initiatives of the Trump administration.</w:t>
      </w:r>
    </w:p>
    <w:p>
      <w:pPr>
        <w:spacing w:after="0" w:line="4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Other factors not identified above, including those that are incorporated by reference under “Risk Factors” in this prospectus and in the “Risk Factors” and other sections of the documents that we incorporate by reference into this prospectus, including our Annual Reports on Form 10-K and our Quarterly Reports on Form 10-Q and in our other reports filed with the SEC, may also cause actual results to differ materially from those described in our forward-looking statements. Most of these factors are difficult to anticipate, are generally beyond our control and may prove to be inaccurate. You should consider these factors in connection with considering any forward-looking statements.</w:t>
      </w:r>
    </w:p>
    <w:p>
      <w:pPr>
        <w:spacing w:after="0" w:line="8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All forward-looking statements, expressed or implied, included in this prospectus or in a document incorporated by reference herein or therein are expressly qualified in their entirety by these cautionary statements. These cautionary statements should also be considered in connection with any subsequent written or oral forward-looking statements that we or persons acting on our behalf may issue. The Company cautions readers not to place undue reliance on any forward-looking statements, which represent our beliefs, assumptions and estimates only as of the dates on which such forward-looking statements were made.</w:t>
      </w:r>
    </w:p>
    <w:p>
      <w:pPr>
        <w:spacing w:after="0" w:line="66" w:lineRule="exact"/>
        <w:rPr>
          <w:sz w:val="20"/>
          <w:szCs w:val="20"/>
          <w:color w:val="auto"/>
        </w:rPr>
      </w:pPr>
    </w:p>
    <w:p>
      <w:pPr>
        <w:jc w:val="both"/>
        <w:ind w:left="300" w:right="319" w:firstLine="360"/>
        <w:spacing w:after="0" w:line="281" w:lineRule="auto"/>
        <w:rPr>
          <w:sz w:val="20"/>
          <w:szCs w:val="20"/>
          <w:color w:val="auto"/>
        </w:rPr>
      </w:pPr>
      <w:r>
        <w:rPr>
          <w:rFonts w:ascii="Arial" w:cs="Arial" w:eastAsia="Arial" w:hAnsi="Arial"/>
          <w:sz w:val="17"/>
          <w:szCs w:val="17"/>
          <w:b w:val="1"/>
          <w:bCs w:val="1"/>
          <w:color w:val="auto"/>
        </w:rPr>
        <w:t>Any forward-looking statement speaks only as of the date they were made. Except as otherwise required by applicable law, we disclaim any duty to update any forward-looking statements, all of which are expressly qualified by the statements in this section, to reflect new information obtained or events or circumstances that occur after the date any such forward-looking statement is made.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282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5653405" cy="728218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jc w:val="both"/>
        <w:ind w:left="320" w:right="279" w:firstLine="360"/>
        <w:spacing w:after="0" w:line="293" w:lineRule="auto"/>
        <w:rPr>
          <w:sz w:val="20"/>
          <w:szCs w:val="20"/>
          <w:color w:val="auto"/>
        </w:rPr>
      </w:pPr>
      <w:r>
        <w:rPr>
          <w:rFonts w:ascii="Arial" w:cs="Arial" w:eastAsia="Arial" w:hAnsi="Arial"/>
          <w:sz w:val="16"/>
          <w:szCs w:val="16"/>
          <w:i w:val="1"/>
          <w:iCs w:val="1"/>
          <w:color w:val="auto"/>
        </w:rPr>
        <w:t>This summary highlights selected information appearing elsewhere, or incorporated by reference, in this prospectus and is, therefore, qualified in its entirety by the more detailed information appearing elsewhere, or incorporated by reference, in this prospectus. It may not contain all of the information that may be important to you in deciding to exchange your Old Notes for New Notes. We urge you to read carefully this entire prospectus and the other documents to which it refers to understand fully the terms of the New Notes and the exchange offer. You should pay special attention to the “Risk Factors” and the “Cautionary Note Regarding Forward-Looking Statements.”</w:t>
      </w: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South Plains Financial, Inc.</w:t>
      </w: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20" w:right="279" w:firstLine="360"/>
        <w:spacing w:after="0" w:line="311" w:lineRule="auto"/>
        <w:rPr>
          <w:sz w:val="20"/>
          <w:szCs w:val="20"/>
          <w:color w:val="auto"/>
        </w:rPr>
      </w:pPr>
      <w:r>
        <w:rPr>
          <w:rFonts w:ascii="Arial" w:cs="Arial" w:eastAsia="Arial" w:hAnsi="Arial"/>
          <w:sz w:val="16"/>
          <w:szCs w:val="16"/>
          <w:color w:val="auto"/>
        </w:rPr>
        <w:t>South Plains Financial, Inc. (the “Company” or “SPFI”) is a bank holding company headquartered in Lubbock, Texas, and City Bank, SPFI’s wholly-owned banking subsidiary, is one of the largest independent banks in West Texas (“City Bank” or the “Bank”). The Company is hereafter collectively referred to as “we,” “us” or “our.”</w:t>
      </w:r>
    </w:p>
    <w:p>
      <w:pPr>
        <w:spacing w:after="0" w:line="41" w:lineRule="exact"/>
        <w:rPr>
          <w:sz w:val="20"/>
          <w:szCs w:val="20"/>
          <w:color w:val="auto"/>
        </w:rPr>
      </w:pPr>
    </w:p>
    <w:p>
      <w:pPr>
        <w:jc w:val="both"/>
        <w:ind w:left="320" w:right="279" w:firstLine="360"/>
        <w:spacing w:after="0" w:line="257" w:lineRule="auto"/>
        <w:rPr>
          <w:sz w:val="20"/>
          <w:szCs w:val="20"/>
          <w:color w:val="auto"/>
        </w:rPr>
      </w:pPr>
      <w:r>
        <w:rPr>
          <w:rFonts w:ascii="Arial" w:cs="Arial" w:eastAsia="Arial" w:hAnsi="Arial"/>
          <w:sz w:val="18"/>
          <w:szCs w:val="18"/>
          <w:color w:val="auto"/>
        </w:rPr>
        <w:t>We have additional banking operations in the Dallas, El Paso, Greater Houston, the Permian Basin, and College Station Texas markets, and the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80" w:lineRule="exact"/>
        <w:rPr>
          <w:sz w:val="20"/>
          <w:szCs w:val="20"/>
          <w:color w:val="auto"/>
        </w:rPr>
      </w:pPr>
    </w:p>
    <w:p>
      <w:pPr>
        <w:jc w:val="both"/>
        <w:ind w:left="320" w:right="279" w:firstLine="360"/>
        <w:spacing w:after="0" w:line="277" w:lineRule="auto"/>
        <w:rPr>
          <w:sz w:val="20"/>
          <w:szCs w:val="20"/>
          <w:color w:val="auto"/>
        </w:rPr>
      </w:pPr>
      <w:r>
        <w:rPr>
          <w:rFonts w:ascii="Arial" w:cs="Arial" w:eastAsia="Arial" w:hAnsi="Arial"/>
          <w:sz w:val="18"/>
          <w:szCs w:val="18"/>
          <w:color w:val="auto"/>
        </w:rPr>
        <w:t>We had total assets of $3.5 billion, gross loans held for investment of $2.3 billion, total deposits of $2.9 billion, and total shareholders’ equity of $352.6 million as of September 30, 2020.</w:t>
      </w:r>
    </w:p>
    <w:p>
      <w:pPr>
        <w:spacing w:after="0" w:line="62"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Our history dates back more than 75 years. We trace our beginnings to the founding of First State Bank of Morton, a community bank headquartered in West Texas that held approximately $1 million of total assets in 1941. In 1962, the bank was sold to new management, including J.K. Griffith, the father of our current Chairman and Chief Executive Officer, Curtis C. Griffith. Since Mr. Griffith was elected Chairman of First State Bank of Morton in 1984, the bank has transformed from a small-town institution with approximately $30 million in total assets and a single branch location into one of the largest community banks in West Texas. The parent company to First State Bank of Morton acquired South Plains National Bank of Levelland, Texas in 1991 and changed its name to South Plains Bank. The Company became the holding company to First State Bank of Morton and South Plains Bank in 1993, the same year we acquired City Bank. City Bank was originally established in Lubbock in 1984. We merged First State Bank of Morton and South Plains Bank into City Bank in 1998 and 1999, respectively. We had more than $175 million in assets upon the closing of these acquisitions.</w:t>
      </w:r>
    </w:p>
    <w:p>
      <w:pPr>
        <w:spacing w:after="0" w:line="74" w:lineRule="exact"/>
        <w:rPr>
          <w:sz w:val="20"/>
          <w:szCs w:val="20"/>
          <w:color w:val="auto"/>
        </w:rPr>
      </w:pPr>
    </w:p>
    <w:p>
      <w:pPr>
        <w:jc w:val="both"/>
        <w:ind w:left="320" w:right="279" w:firstLine="360"/>
        <w:spacing w:after="0" w:line="272" w:lineRule="auto"/>
        <w:rPr>
          <w:sz w:val="20"/>
          <w:szCs w:val="20"/>
          <w:color w:val="auto"/>
        </w:rPr>
      </w:pPr>
      <w:r>
        <w:rPr>
          <w:rFonts w:ascii="Arial" w:cs="Arial" w:eastAsia="Arial" w:hAnsi="Arial"/>
          <w:sz w:val="17"/>
          <w:szCs w:val="17"/>
          <w:color w:val="auto"/>
        </w:rPr>
        <w:t>We currently operate 25 full-service banking locations across seven geographic markets resulting from seven acquisitions, de novo branches, and the formation of a de novo bank in Ruidoso, New Mexico, which we later merged into the Bank. We also operate 15 loan production offices both in our banking markets and in certain key areas that primarily focus on mortgage loan production. We build long-lasting relationships with our customers by delivering high quality products and services and have sought to capitalize on the opportunities presented by continued consolidation in the banking industry. We believe a major contributor to our historical success has been our focus on becoming the community bank of choice in all markets that we serve.</w:t>
      </w:r>
    </w:p>
    <w:p>
      <w:pPr>
        <w:spacing w:after="0" w:line="69" w:lineRule="exact"/>
        <w:rPr>
          <w:sz w:val="20"/>
          <w:szCs w:val="20"/>
          <w:color w:val="auto"/>
        </w:rPr>
      </w:pPr>
    </w:p>
    <w:p>
      <w:pPr>
        <w:jc w:val="both"/>
        <w:ind w:left="320" w:right="299" w:firstLine="360"/>
        <w:spacing w:after="0" w:line="308" w:lineRule="auto"/>
        <w:rPr>
          <w:sz w:val="20"/>
          <w:szCs w:val="20"/>
          <w:color w:val="auto"/>
        </w:rPr>
      </w:pPr>
      <w:r>
        <w:rPr>
          <w:rFonts w:ascii="Arial" w:cs="Arial" w:eastAsia="Arial" w:hAnsi="Arial"/>
          <w:sz w:val="17"/>
          <w:szCs w:val="17"/>
          <w:color w:val="auto"/>
        </w:rPr>
        <w:t>We operate in two reportable segments of business, community banking, which includes City Bank, our sole banking subsidiary, and insurance, which includes Windmark Insurance Agency, Inc. (“Windmark”).</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headquarters are located at 5219 City Bank Parkway, Lubbock, Texas 79408. Our telephone number is</w:t>
      </w:r>
    </w:p>
    <w:p>
      <w:pPr>
        <w:spacing w:after="0" w:line="46" w:lineRule="exact"/>
        <w:rPr>
          <w:sz w:val="20"/>
          <w:szCs w:val="20"/>
          <w:color w:val="auto"/>
        </w:rPr>
      </w:pPr>
    </w:p>
    <w:p>
      <w:pPr>
        <w:jc w:val="both"/>
        <w:ind w:left="320" w:right="279" w:hanging="10"/>
        <w:spacing w:after="0" w:line="255"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792-7101. Our Internet website address is https://www.spfi.bank. The information contained in, or that can be accessed through, our website is not, and shall not be deemed to be, a part of, or incorporated into, this prospectus or any prospectus supplement.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623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5653405" cy="836231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of the Exchange Offer</w:t>
      </w:r>
    </w:p>
    <w:p>
      <w:pPr>
        <w:spacing w:after="0" w:line="121"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The following provides a summary of certain terms of the exchange offer. Please refer to the section “The Exchange Offer” appearing elsewhere in this prospectus for a more complete description of the exchange offer and the section “Description of the Notes” for a more complete description of the terms of the Old Notes and New Notes.</w:t>
      </w:r>
    </w:p>
    <w:p>
      <w:pPr>
        <w:spacing w:after="0" w:line="102"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3540" w:type="dxa"/>
            <w:vAlign w:val="bottom"/>
          </w:tcPr>
          <w:p>
            <w:pPr>
              <w:spacing w:after="0"/>
              <w:rPr>
                <w:sz w:val="20"/>
                <w:szCs w:val="20"/>
                <w:color w:val="auto"/>
              </w:rPr>
            </w:pPr>
            <w:r>
              <w:rPr>
                <w:rFonts w:ascii="Arial" w:cs="Arial" w:eastAsia="Arial" w:hAnsi="Arial"/>
                <w:sz w:val="18"/>
                <w:szCs w:val="18"/>
                <w:b w:val="1"/>
                <w:bCs w:val="1"/>
                <w:color w:val="auto"/>
              </w:rPr>
              <w:t>Old Notes</w:t>
            </w: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7"/>
              </w:rPr>
              <w:t>$50,000,000 in aggregate principal amount of 4.50%</w:t>
            </w:r>
          </w:p>
        </w:tc>
      </w:tr>
      <w:tr>
        <w:trPr>
          <w:trHeight w:val="230"/>
        </w:trPr>
        <w:tc>
          <w:tcPr>
            <w:tcW w:w="3540" w:type="dxa"/>
            <w:vAlign w:val="bottom"/>
          </w:tcPr>
          <w:p>
            <w:pPr>
              <w:spacing w:after="0"/>
              <w:rPr>
                <w:sz w:val="20"/>
                <w:szCs w:val="20"/>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5"/>
              </w:rPr>
              <w:t>Fixed-to-Floating Rate Subordinated Notes due 2030.</w:t>
            </w:r>
          </w:p>
        </w:tc>
      </w:tr>
      <w:tr>
        <w:trPr>
          <w:trHeight w:val="350"/>
        </w:trPr>
        <w:tc>
          <w:tcPr>
            <w:tcW w:w="3540" w:type="dxa"/>
            <w:vAlign w:val="bottom"/>
          </w:tcPr>
          <w:p>
            <w:pPr>
              <w:spacing w:after="0"/>
              <w:rPr>
                <w:sz w:val="20"/>
                <w:szCs w:val="20"/>
                <w:color w:val="auto"/>
              </w:rPr>
            </w:pPr>
            <w:r>
              <w:rPr>
                <w:rFonts w:ascii="Arial" w:cs="Arial" w:eastAsia="Arial" w:hAnsi="Arial"/>
                <w:sz w:val="18"/>
                <w:szCs w:val="18"/>
                <w:b w:val="1"/>
                <w:bCs w:val="1"/>
                <w:color w:val="auto"/>
              </w:rPr>
              <w:t>New Notes</w:t>
            </w: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9"/>
              </w:rPr>
              <w:t>Up to $50,000,000 in aggregate principal amount of</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4"/>
              </w:rPr>
              <w:t>4.50% Fixed-to-Floating Rate Subordinated Notes due</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4"/>
              </w:rPr>
              <w:t>2030 which have terms that are identical in all material</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4"/>
              </w:rPr>
              <w:t>respects to the terms of the Old Notes, except that the</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3"/>
              </w:rPr>
              <w:t>New Notes are registered under the Securities Act and</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2"/>
              </w:rPr>
              <w:t>are generally not subject to transfer restrictions, are not</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1"/>
              </w:rPr>
              <w:t>entitled to registration rights under the registration rights</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rPr>
              <w:t>agreements and do not have the right to additional</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6"/>
              </w:rPr>
              <w:t>interest  under  the  circumstances  described  in  the</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3"/>
              </w:rPr>
              <w:t>registration rights agreements relating to our fulfillment</w:t>
            </w:r>
          </w:p>
        </w:tc>
      </w:tr>
      <w:tr>
        <w:trPr>
          <w:trHeight w:val="230"/>
        </w:trPr>
        <w:tc>
          <w:tcPr>
            <w:tcW w:w="3540" w:type="dxa"/>
            <w:vAlign w:val="bottom"/>
          </w:tcPr>
          <w:p>
            <w:pPr>
              <w:spacing w:after="0"/>
              <w:rPr>
                <w:sz w:val="20"/>
                <w:szCs w:val="20"/>
                <w:color w:val="auto"/>
              </w:rPr>
            </w:pPr>
          </w:p>
        </w:tc>
        <w:tc>
          <w:tcPr>
            <w:tcW w:w="3020" w:type="dxa"/>
            <w:vAlign w:val="bottom"/>
            <w:gridSpan w:val="2"/>
          </w:tcPr>
          <w:p>
            <w:pPr>
              <w:ind w:left="780"/>
              <w:spacing w:after="0"/>
              <w:rPr>
                <w:sz w:val="20"/>
                <w:szCs w:val="20"/>
                <w:color w:val="auto"/>
              </w:rPr>
            </w:pPr>
            <w:r>
              <w:rPr>
                <w:rFonts w:ascii="Arial" w:cs="Arial" w:eastAsia="Arial" w:hAnsi="Arial"/>
                <w:sz w:val="18"/>
                <w:szCs w:val="18"/>
                <w:color w:val="auto"/>
                <w:w w:val="94"/>
              </w:rPr>
              <w:t>of our registration obligations.</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0"/>
        </w:trPr>
        <w:tc>
          <w:tcPr>
            <w:tcW w:w="3540" w:type="dxa"/>
            <w:vAlign w:val="bottom"/>
          </w:tcPr>
          <w:p>
            <w:pPr>
              <w:spacing w:after="0"/>
              <w:rPr>
                <w:sz w:val="20"/>
                <w:szCs w:val="20"/>
                <w:color w:val="auto"/>
              </w:rPr>
            </w:pPr>
            <w:r>
              <w:rPr>
                <w:rFonts w:ascii="Arial" w:cs="Arial" w:eastAsia="Arial" w:hAnsi="Arial"/>
                <w:sz w:val="18"/>
                <w:szCs w:val="18"/>
                <w:b w:val="1"/>
                <w:bCs w:val="1"/>
                <w:color w:val="auto"/>
              </w:rPr>
              <w:t>Exchange Offer</w:t>
            </w: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6"/>
              </w:rPr>
              <w:t>We are offering to exchange the New Notes for a like</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5"/>
              </w:rPr>
              <w:t>principal amount of Old Notes. Subject to the terms of</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4"/>
              </w:rPr>
              <w:t>this exchange offer, promptly following the termination</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3"/>
              </w:rPr>
              <w:t>of the exchange offer, we will exchange New Notes for</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6"/>
              </w:rPr>
              <w:t>all Old Notes that have been validly tendered and not</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rPr>
              <w:t>validly  withdrawn  prior  to  the  expiration  of  the</w:t>
            </w:r>
          </w:p>
        </w:tc>
      </w:tr>
      <w:tr>
        <w:trPr>
          <w:trHeight w:val="230"/>
        </w:trPr>
        <w:tc>
          <w:tcPr>
            <w:tcW w:w="3540" w:type="dxa"/>
            <w:vAlign w:val="bottom"/>
          </w:tcPr>
          <w:p>
            <w:pPr>
              <w:spacing w:after="0"/>
              <w:rPr>
                <w:sz w:val="20"/>
                <w:szCs w:val="20"/>
                <w:color w:val="auto"/>
              </w:rPr>
            </w:pPr>
          </w:p>
        </w:tc>
        <w:tc>
          <w:tcPr>
            <w:tcW w:w="2580" w:type="dxa"/>
            <w:vAlign w:val="bottom"/>
          </w:tcPr>
          <w:p>
            <w:pPr>
              <w:ind w:left="780"/>
              <w:spacing w:after="0"/>
              <w:rPr>
                <w:sz w:val="20"/>
                <w:szCs w:val="20"/>
                <w:color w:val="auto"/>
              </w:rPr>
            </w:pPr>
            <w:r>
              <w:rPr>
                <w:rFonts w:ascii="Arial" w:cs="Arial" w:eastAsia="Arial" w:hAnsi="Arial"/>
                <w:sz w:val="18"/>
                <w:szCs w:val="18"/>
                <w:color w:val="auto"/>
              </w:rPr>
              <w:t>exchange offer.</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7"/>
        </w:trPr>
        <w:tc>
          <w:tcPr>
            <w:tcW w:w="354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2580" w:type="dxa"/>
            <w:vAlign w:val="bottom"/>
          </w:tcPr>
          <w:p>
            <w:pPr>
              <w:ind w:left="780"/>
              <w:spacing w:after="0"/>
              <w:rPr>
                <w:sz w:val="20"/>
                <w:szCs w:val="20"/>
                <w:color w:val="auto"/>
              </w:rPr>
            </w:pPr>
            <w:r>
              <w:rPr>
                <w:rFonts w:ascii="Arial" w:cs="Arial" w:eastAsia="Arial" w:hAnsi="Arial"/>
                <w:sz w:val="18"/>
                <w:szCs w:val="18"/>
                <w:color w:val="auto"/>
              </w:rPr>
              <w:t>The  exchange  offer</w:t>
            </w:r>
          </w:p>
        </w:tc>
        <w:tc>
          <w:tcPr>
            <w:tcW w:w="440" w:type="dxa"/>
            <w:vAlign w:val="bottom"/>
          </w:tcPr>
          <w:p>
            <w:pPr>
              <w:ind w:left="20"/>
              <w:spacing w:after="0"/>
              <w:rPr>
                <w:sz w:val="20"/>
                <w:szCs w:val="20"/>
                <w:color w:val="auto"/>
              </w:rPr>
            </w:pPr>
            <w:r>
              <w:rPr>
                <w:rFonts w:ascii="Arial" w:cs="Arial" w:eastAsia="Arial" w:hAnsi="Arial"/>
                <w:sz w:val="18"/>
                <w:szCs w:val="18"/>
                <w:color w:val="auto"/>
              </w:rPr>
              <w:t>will</w:t>
            </w:r>
          </w:p>
        </w:tc>
        <w:tc>
          <w:tcPr>
            <w:tcW w:w="520" w:type="dxa"/>
            <w:vAlign w:val="bottom"/>
          </w:tcPr>
          <w:p>
            <w:pPr>
              <w:ind w:left="40"/>
              <w:spacing w:after="0"/>
              <w:rPr>
                <w:sz w:val="20"/>
                <w:szCs w:val="20"/>
                <w:color w:val="auto"/>
              </w:rPr>
            </w:pPr>
            <w:r>
              <w:rPr>
                <w:rFonts w:ascii="Arial" w:cs="Arial" w:eastAsia="Arial" w:hAnsi="Arial"/>
                <w:sz w:val="18"/>
                <w:szCs w:val="18"/>
                <w:color w:val="auto"/>
                <w:w w:val="93"/>
              </w:rPr>
              <w:t>expire</w:t>
            </w:r>
          </w:p>
        </w:tc>
        <w:tc>
          <w:tcPr>
            <w:tcW w:w="320" w:type="dxa"/>
            <w:vAlign w:val="bottom"/>
          </w:tcPr>
          <w:p>
            <w:pPr>
              <w:ind w:left="160"/>
              <w:spacing w:after="0"/>
              <w:rPr>
                <w:sz w:val="20"/>
                <w:szCs w:val="20"/>
                <w:color w:val="auto"/>
              </w:rPr>
            </w:pPr>
            <w:r>
              <w:rPr>
                <w:rFonts w:ascii="Arial" w:cs="Arial" w:eastAsia="Arial" w:hAnsi="Arial"/>
                <w:sz w:val="18"/>
                <w:szCs w:val="18"/>
                <w:color w:val="auto"/>
                <w:w w:val="92"/>
              </w:rPr>
              <w:t>at</w:t>
            </w:r>
          </w:p>
        </w:tc>
        <w:tc>
          <w:tcPr>
            <w:tcW w:w="1020" w:type="dxa"/>
            <w:vAlign w:val="bottom"/>
          </w:tcPr>
          <w:p>
            <w:pPr>
              <w:jc w:val="right"/>
              <w:spacing w:after="0"/>
              <w:rPr>
                <w:sz w:val="20"/>
                <w:szCs w:val="20"/>
                <w:color w:val="auto"/>
              </w:rPr>
            </w:pPr>
            <w:r>
              <w:rPr>
                <w:rFonts w:ascii="Arial" w:cs="Arial" w:eastAsia="Arial" w:hAnsi="Arial"/>
                <w:sz w:val="18"/>
                <w:szCs w:val="18"/>
                <w:color w:val="auto"/>
              </w:rPr>
              <w:t>5:00  p.m.,</w:t>
            </w:r>
          </w:p>
        </w:tc>
      </w:tr>
      <w:tr>
        <w:trPr>
          <w:trHeight w:val="230"/>
        </w:trPr>
        <w:tc>
          <w:tcPr>
            <w:tcW w:w="3540" w:type="dxa"/>
            <w:vAlign w:val="bottom"/>
          </w:tcPr>
          <w:p>
            <w:pPr>
              <w:spacing w:after="0"/>
              <w:rPr>
                <w:sz w:val="20"/>
                <w:szCs w:val="20"/>
                <w:color w:val="auto"/>
              </w:rPr>
            </w:pPr>
          </w:p>
        </w:tc>
        <w:tc>
          <w:tcPr>
            <w:tcW w:w="3020" w:type="dxa"/>
            <w:vAlign w:val="bottom"/>
            <w:gridSpan w:val="2"/>
          </w:tcPr>
          <w:p>
            <w:pPr>
              <w:ind w:left="780"/>
              <w:spacing w:after="0"/>
              <w:rPr>
                <w:sz w:val="20"/>
                <w:szCs w:val="20"/>
                <w:color w:val="auto"/>
              </w:rPr>
            </w:pPr>
            <w:r>
              <w:rPr>
                <w:rFonts w:ascii="Arial" w:cs="Arial" w:eastAsia="Arial" w:hAnsi="Arial"/>
                <w:sz w:val="18"/>
                <w:szCs w:val="18"/>
                <w:color w:val="auto"/>
              </w:rPr>
              <w:t>Eastern Standard Time, on</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w w:val="90"/>
              </w:rPr>
              <w:t>, 2020, unless extended.</w:t>
            </w:r>
          </w:p>
        </w:tc>
      </w:tr>
      <w:tr>
        <w:trPr>
          <w:trHeight w:val="350"/>
        </w:trPr>
        <w:tc>
          <w:tcPr>
            <w:tcW w:w="3540" w:type="dxa"/>
            <w:vAlign w:val="bottom"/>
          </w:tcPr>
          <w:p>
            <w:pPr>
              <w:spacing w:after="0"/>
              <w:rPr>
                <w:sz w:val="20"/>
                <w:szCs w:val="20"/>
                <w:color w:val="auto"/>
              </w:rPr>
            </w:pPr>
            <w:r>
              <w:rPr>
                <w:rFonts w:ascii="Arial" w:cs="Arial" w:eastAsia="Arial" w:hAnsi="Arial"/>
                <w:sz w:val="18"/>
                <w:szCs w:val="18"/>
                <w:b w:val="1"/>
                <w:bCs w:val="1"/>
                <w:color w:val="auto"/>
              </w:rPr>
              <w:t>Withdrawal Rights</w:t>
            </w: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8"/>
              </w:rPr>
              <w:t>You may withdraw the book-entry tender of your Old</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rPr>
              <w:t>Notes at any time before the expiration date. For a</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4"/>
              </w:rPr>
              <w:t>withdrawal of tendered Old Notes issued in book-entry</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4"/>
              </w:rPr>
              <w:t>form to be effective, the exchange agent must receive,</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4"/>
              </w:rPr>
              <w:t>on or prior to 5:00 p.m., Eastern Standard Time on the</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rPr>
              <w:t>expiration  date,  a  computer-generated  notice  of</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4"/>
              </w:rPr>
              <w:t>withdrawal, transmitted by Depository Trust Company,</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rPr>
              <w:t>or  DTC,  on  your  behalf  in  accordance  with  the</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6"/>
              </w:rPr>
              <w:t>appropriate procedures of DTC’s “Automated Tender</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4"/>
              </w:rPr>
              <w:t>Offer Program,” or ATOP. See “The Exchange Offer—</w:t>
            </w:r>
          </w:p>
        </w:tc>
      </w:tr>
      <w:tr>
        <w:trPr>
          <w:trHeight w:val="230"/>
        </w:trPr>
        <w:tc>
          <w:tcPr>
            <w:tcW w:w="3540" w:type="dxa"/>
            <w:vAlign w:val="bottom"/>
          </w:tcPr>
          <w:p>
            <w:pPr>
              <w:spacing w:after="0"/>
              <w:rPr>
                <w:sz w:val="20"/>
                <w:szCs w:val="20"/>
                <w:color w:val="auto"/>
              </w:rPr>
            </w:pPr>
          </w:p>
        </w:tc>
        <w:tc>
          <w:tcPr>
            <w:tcW w:w="2580" w:type="dxa"/>
            <w:vAlign w:val="bottom"/>
          </w:tcPr>
          <w:p>
            <w:pPr>
              <w:ind w:left="780"/>
              <w:spacing w:after="0"/>
              <w:rPr>
                <w:sz w:val="20"/>
                <w:szCs w:val="20"/>
                <w:color w:val="auto"/>
              </w:rPr>
            </w:pPr>
            <w:r>
              <w:rPr>
                <w:rFonts w:ascii="Arial" w:cs="Arial" w:eastAsia="Arial" w:hAnsi="Arial"/>
                <w:sz w:val="18"/>
                <w:szCs w:val="18"/>
                <w:color w:val="auto"/>
                <w:w w:val="93"/>
              </w:rPr>
              <w:t>Withdrawal of Tenders.”</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0"/>
        </w:trPr>
        <w:tc>
          <w:tcPr>
            <w:tcW w:w="3540" w:type="dxa"/>
            <w:vAlign w:val="bottom"/>
          </w:tcPr>
          <w:p>
            <w:pPr>
              <w:spacing w:after="0"/>
              <w:rPr>
                <w:sz w:val="20"/>
                <w:szCs w:val="20"/>
                <w:color w:val="auto"/>
              </w:rPr>
            </w:pPr>
            <w:r>
              <w:rPr>
                <w:rFonts w:ascii="Arial" w:cs="Arial" w:eastAsia="Arial" w:hAnsi="Arial"/>
                <w:sz w:val="18"/>
                <w:szCs w:val="18"/>
                <w:b w:val="1"/>
                <w:bCs w:val="1"/>
                <w:color w:val="auto"/>
              </w:rPr>
              <w:t>Conditions to Exchange Offer</w:t>
            </w: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3"/>
              </w:rPr>
              <w:t>This exchange offer is subject to customary conditions,</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7"/>
              </w:rPr>
              <w:t>which  we  may  waive.  See  “The  Exchange  Offer-</w:t>
            </w:r>
          </w:p>
        </w:tc>
      </w:tr>
      <w:tr>
        <w:trPr>
          <w:trHeight w:val="230"/>
        </w:trPr>
        <w:tc>
          <w:tcPr>
            <w:tcW w:w="3540" w:type="dxa"/>
            <w:vAlign w:val="bottom"/>
          </w:tcPr>
          <w:p>
            <w:pPr>
              <w:spacing w:after="0"/>
              <w:rPr>
                <w:sz w:val="20"/>
                <w:szCs w:val="20"/>
                <w:color w:val="auto"/>
              </w:rPr>
            </w:pPr>
          </w:p>
        </w:tc>
        <w:tc>
          <w:tcPr>
            <w:tcW w:w="2580" w:type="dxa"/>
            <w:vAlign w:val="bottom"/>
          </w:tcPr>
          <w:p>
            <w:pPr>
              <w:ind w:left="780"/>
              <w:spacing w:after="0"/>
              <w:rPr>
                <w:sz w:val="20"/>
                <w:szCs w:val="20"/>
                <w:color w:val="auto"/>
              </w:rPr>
            </w:pPr>
            <w:r>
              <w:rPr>
                <w:rFonts w:ascii="Arial" w:cs="Arial" w:eastAsia="Arial" w:hAnsi="Arial"/>
                <w:sz w:val="18"/>
                <w:szCs w:val="18"/>
                <w:color w:val="auto"/>
              </w:rPr>
              <w:t>Conditions.”</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7"/>
        </w:trPr>
        <w:tc>
          <w:tcPr>
            <w:tcW w:w="3540" w:type="dxa"/>
            <w:vAlign w:val="bottom"/>
          </w:tcPr>
          <w:p>
            <w:pPr>
              <w:spacing w:after="0"/>
              <w:rPr>
                <w:sz w:val="20"/>
                <w:szCs w:val="20"/>
                <w:color w:val="auto"/>
              </w:rPr>
            </w:pPr>
            <w:r>
              <w:rPr>
                <w:rFonts w:ascii="Arial" w:cs="Arial" w:eastAsia="Arial" w:hAnsi="Arial"/>
                <w:sz w:val="18"/>
                <w:szCs w:val="18"/>
                <w:b w:val="1"/>
                <w:bCs w:val="1"/>
                <w:color w:val="auto"/>
              </w:rPr>
              <w:t>Procedures for Tendering Old Notes</w:t>
            </w: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3"/>
              </w:rPr>
              <w:t>The Old Notes were issued in book-entry form, and are</w:t>
            </w:r>
          </w:p>
        </w:tc>
      </w:tr>
      <w:tr>
        <w:trPr>
          <w:trHeight w:val="216"/>
        </w:trPr>
        <w:tc>
          <w:tcPr>
            <w:tcW w:w="3540" w:type="dxa"/>
            <w:vAlign w:val="bottom"/>
          </w:tcPr>
          <w:p>
            <w:pPr>
              <w:spacing w:after="0"/>
              <w:rPr>
                <w:sz w:val="18"/>
                <w:szCs w:val="18"/>
                <w:color w:val="auto"/>
              </w:rPr>
            </w:pPr>
          </w:p>
        </w:tc>
        <w:tc>
          <w:tcPr>
            <w:tcW w:w="4880" w:type="dxa"/>
            <w:vAlign w:val="bottom"/>
            <w:gridSpan w:val="5"/>
          </w:tcPr>
          <w:p>
            <w:pPr>
              <w:ind w:left="780"/>
              <w:spacing w:after="0"/>
              <w:rPr>
                <w:sz w:val="20"/>
                <w:szCs w:val="20"/>
                <w:color w:val="auto"/>
              </w:rPr>
            </w:pPr>
            <w:r>
              <w:rPr>
                <w:rFonts w:ascii="Arial" w:cs="Arial" w:eastAsia="Arial" w:hAnsi="Arial"/>
                <w:sz w:val="18"/>
                <w:szCs w:val="18"/>
                <w:color w:val="auto"/>
                <w:w w:val="94"/>
              </w:rPr>
              <w:t>currently represented by global certificates held for the</w:t>
            </w:r>
          </w:p>
        </w:tc>
      </w:tr>
      <w:tr>
        <w:trPr>
          <w:trHeight w:val="230"/>
        </w:trPr>
        <w:tc>
          <w:tcPr>
            <w:tcW w:w="3540" w:type="dxa"/>
            <w:vAlign w:val="bottom"/>
          </w:tcPr>
          <w:p>
            <w:pPr>
              <w:spacing w:after="0"/>
              <w:rPr>
                <w:sz w:val="20"/>
                <w:szCs w:val="20"/>
                <w:color w:val="auto"/>
              </w:rPr>
            </w:pPr>
          </w:p>
        </w:tc>
        <w:tc>
          <w:tcPr>
            <w:tcW w:w="2580" w:type="dxa"/>
            <w:vAlign w:val="bottom"/>
          </w:tcPr>
          <w:p>
            <w:pPr>
              <w:ind w:left="780"/>
              <w:spacing w:after="0"/>
              <w:rPr>
                <w:sz w:val="20"/>
                <w:szCs w:val="20"/>
                <w:color w:val="auto"/>
              </w:rPr>
            </w:pPr>
            <w:r>
              <w:rPr>
                <w:rFonts w:ascii="Arial" w:cs="Arial" w:eastAsia="Arial" w:hAnsi="Arial"/>
                <w:sz w:val="18"/>
                <w:szCs w:val="18"/>
                <w:color w:val="auto"/>
              </w:rPr>
              <w:t>account  of  DTC,  as</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w w:val="99"/>
              </w:rPr>
              <w:t>depositary,</w:t>
            </w:r>
          </w:p>
        </w:tc>
        <w:tc>
          <w:tcPr>
            <w:tcW w:w="320" w:type="dxa"/>
            <w:vAlign w:val="bottom"/>
          </w:tcPr>
          <w:p>
            <w:pPr>
              <w:ind w:left="40"/>
              <w:spacing w:after="0"/>
              <w:rPr>
                <w:sz w:val="20"/>
                <w:szCs w:val="20"/>
                <w:color w:val="auto"/>
              </w:rPr>
            </w:pPr>
            <w:r>
              <w:rPr>
                <w:rFonts w:ascii="Arial" w:cs="Arial" w:eastAsia="Arial" w:hAnsi="Arial"/>
                <w:sz w:val="18"/>
                <w:szCs w:val="18"/>
                <w:color w:val="auto"/>
              </w:rPr>
              <w:t>or</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its  nominee.</w:t>
            </w:r>
          </w:p>
        </w:tc>
      </w:tr>
    </w:tbl>
    <w:p>
      <w:pPr>
        <w:ind w:left="4640"/>
        <w:spacing w:after="0"/>
        <w:rPr>
          <w:sz w:val="20"/>
          <w:szCs w:val="20"/>
          <w:color w:val="auto"/>
        </w:rPr>
      </w:pPr>
      <w:r>
        <w:rPr>
          <w:rFonts w:ascii="Arial" w:cs="Arial" w:eastAsia="Arial" w:hAnsi="Arial"/>
          <w:sz w:val="17"/>
          <w:szCs w:val="17"/>
          <w:color w:val="auto"/>
        </w:rPr>
        <w:t>Accordingly, DTC is treated as the registered holder of</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your Old Notes and will be the only entity that can</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tender your Old Notes for New Notes. In order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participate in the exchange offer, you must follow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procedures established by DTC for tendering Old Notes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held  in  book-entry  form.  These  ATOP  procedures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require that, prior to the expiration date of the exchange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offer, (i) DTC receive (a) your instructions to exchange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your Old Notes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 w:name="page11"/>
    <w:bookmarkEnd w:id="10"/>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73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5653405" cy="81737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and (b) your agreement to be bound by the terms of the</w:t>
      </w:r>
    </w:p>
    <w:p>
      <w:pPr>
        <w:spacing w:after="0" w:line="46"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accompanying letter of transmittal, and (ii) the exchange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agent receive a computer generated message known as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an “agent’s message” that is transmitted through ATOP.</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Please note that by using the ATOP procedures to tender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and exchange Old Notes, you will be bound by the terms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of the accompanying letter of transmittal, and you will</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be deemed to have made the acknowledgments and</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representations it contains.</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See “The Exchange Offer-Eligibility; Transferability”</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and “The Exchange Offer—Representations.”</w:t>
      </w:r>
    </w:p>
    <w:p>
      <w:pPr>
        <w:spacing w:after="0" w:line="99"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Certain United States Federal Income Tax</w:t>
            </w:r>
          </w:p>
        </w:tc>
        <w:tc>
          <w:tcPr>
            <w:tcW w:w="10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0"/>
        </w:trPr>
        <w:tc>
          <w:tcPr>
            <w:tcW w:w="3760" w:type="dxa"/>
            <w:vAlign w:val="bottom"/>
          </w:tcPr>
          <w:p>
            <w:pPr>
              <w:ind w:left="160"/>
              <w:spacing w:after="0"/>
              <w:rPr>
                <w:sz w:val="20"/>
                <w:szCs w:val="20"/>
                <w:color w:val="auto"/>
              </w:rPr>
            </w:pPr>
            <w:r>
              <w:rPr>
                <w:rFonts w:ascii="Arial" w:cs="Arial" w:eastAsia="Arial" w:hAnsi="Arial"/>
                <w:sz w:val="18"/>
                <w:szCs w:val="18"/>
                <w:b w:val="1"/>
                <w:bCs w:val="1"/>
                <w:color w:val="auto"/>
              </w:rPr>
              <w:t>Considerations</w:t>
            </w:r>
          </w:p>
        </w:tc>
        <w:tc>
          <w:tcPr>
            <w:tcW w:w="4100" w:type="dxa"/>
            <w:vAlign w:val="bottom"/>
            <w:gridSpan w:val="2"/>
          </w:tcPr>
          <w:p>
            <w:pPr>
              <w:ind w:left="560"/>
              <w:spacing w:after="0"/>
              <w:rPr>
                <w:sz w:val="20"/>
                <w:szCs w:val="20"/>
                <w:color w:val="auto"/>
              </w:rPr>
            </w:pPr>
            <w:r>
              <w:rPr>
                <w:rFonts w:ascii="Arial" w:cs="Arial" w:eastAsia="Arial" w:hAnsi="Arial"/>
                <w:sz w:val="18"/>
                <w:szCs w:val="18"/>
                <w:color w:val="auto"/>
              </w:rPr>
              <w:t>The exchange of Old Notes for New Notes</w:t>
            </w:r>
          </w:p>
        </w:tc>
        <w:tc>
          <w:tcPr>
            <w:tcW w:w="280" w:type="dxa"/>
            <w:vAlign w:val="bottom"/>
          </w:tcPr>
          <w:p>
            <w:pPr>
              <w:ind w:left="80"/>
              <w:spacing w:after="0"/>
              <w:rPr>
                <w:sz w:val="20"/>
                <w:szCs w:val="20"/>
                <w:color w:val="auto"/>
              </w:rPr>
            </w:pPr>
            <w:r>
              <w:rPr>
                <w:rFonts w:ascii="Arial" w:cs="Arial" w:eastAsia="Arial" w:hAnsi="Arial"/>
                <w:sz w:val="18"/>
                <w:szCs w:val="18"/>
                <w:color w:val="auto"/>
              </w:rPr>
              <w:t>in</w:t>
            </w:r>
          </w:p>
        </w:tc>
        <w:tc>
          <w:tcPr>
            <w:tcW w:w="280" w:type="dxa"/>
            <w:vAlign w:val="bottom"/>
          </w:tcPr>
          <w:p>
            <w:pPr>
              <w:jc w:val="right"/>
              <w:spacing w:after="0"/>
              <w:rPr>
                <w:sz w:val="20"/>
                <w:szCs w:val="20"/>
                <w:color w:val="auto"/>
              </w:rPr>
            </w:pPr>
            <w:r>
              <w:rPr>
                <w:rFonts w:ascii="Arial" w:cs="Arial" w:eastAsia="Arial" w:hAnsi="Arial"/>
                <w:sz w:val="18"/>
                <w:szCs w:val="18"/>
                <w:color w:val="auto"/>
                <w:w w:val="95"/>
              </w:rPr>
              <w:t>the</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1"/>
              </w:rPr>
              <w:t>exchange offer generally should not constitute a taxable</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7"/>
              </w:rPr>
              <w:t>event  for  U.S.  federal  income  tax  purposes.  See</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rPr>
              <w:t>“Certain   United   States   Federal   Income   Tax</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5"/>
              </w:rPr>
              <w:t>Considerations.”  You  should  consult  your  own  tax</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2"/>
              </w:rPr>
              <w:t>advisor as to the tax consequences of exchanging your</w:t>
            </w:r>
          </w:p>
        </w:tc>
      </w:tr>
      <w:tr>
        <w:trPr>
          <w:trHeight w:val="230"/>
        </w:trPr>
        <w:tc>
          <w:tcPr>
            <w:tcW w:w="3760" w:type="dxa"/>
            <w:vAlign w:val="bottom"/>
          </w:tcPr>
          <w:p>
            <w:pPr>
              <w:spacing w:after="0"/>
              <w:rPr>
                <w:sz w:val="20"/>
                <w:szCs w:val="20"/>
                <w:color w:val="auto"/>
              </w:rPr>
            </w:pPr>
          </w:p>
        </w:tc>
        <w:tc>
          <w:tcPr>
            <w:tcW w:w="4100" w:type="dxa"/>
            <w:vAlign w:val="bottom"/>
            <w:gridSpan w:val="2"/>
          </w:tcPr>
          <w:p>
            <w:pPr>
              <w:ind w:left="560"/>
              <w:spacing w:after="0"/>
              <w:rPr>
                <w:sz w:val="20"/>
                <w:szCs w:val="20"/>
                <w:color w:val="auto"/>
              </w:rPr>
            </w:pPr>
            <w:r>
              <w:rPr>
                <w:rFonts w:ascii="Arial" w:cs="Arial" w:eastAsia="Arial" w:hAnsi="Arial"/>
                <w:sz w:val="18"/>
                <w:szCs w:val="18"/>
                <w:color w:val="auto"/>
              </w:rPr>
              <w:t>Old Notes for New Notes.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37"/>
        </w:trPr>
        <w:tc>
          <w:tcPr>
            <w:tcW w:w="3760" w:type="dxa"/>
            <w:vAlign w:val="bottom"/>
          </w:tcPr>
          <w:p>
            <w:pPr>
              <w:spacing w:after="0"/>
              <w:rPr>
                <w:sz w:val="20"/>
                <w:szCs w:val="20"/>
                <w:color w:val="auto"/>
              </w:rPr>
            </w:pPr>
            <w:r>
              <w:rPr>
                <w:rFonts w:ascii="Arial" w:cs="Arial" w:eastAsia="Arial" w:hAnsi="Arial"/>
                <w:sz w:val="18"/>
                <w:szCs w:val="18"/>
                <w:b w:val="1"/>
                <w:bCs w:val="1"/>
                <w:color w:val="auto"/>
              </w:rPr>
              <w:t>Registration Rights</w:t>
            </w:r>
          </w:p>
        </w:tc>
        <w:tc>
          <w:tcPr>
            <w:tcW w:w="1040" w:type="dxa"/>
            <w:vAlign w:val="bottom"/>
          </w:tcPr>
          <w:p>
            <w:pPr>
              <w:ind w:left="560"/>
              <w:spacing w:after="0"/>
              <w:rPr>
                <w:sz w:val="20"/>
                <w:szCs w:val="20"/>
                <w:color w:val="auto"/>
              </w:rPr>
            </w:pPr>
            <w:r>
              <w:rPr>
                <w:rFonts w:ascii="Arial" w:cs="Arial" w:eastAsia="Arial" w:hAnsi="Arial"/>
                <w:sz w:val="18"/>
                <w:szCs w:val="18"/>
                <w:color w:val="auto"/>
                <w:w w:val="93"/>
              </w:rPr>
              <w:t>Under</w:t>
            </w:r>
          </w:p>
        </w:tc>
        <w:tc>
          <w:tcPr>
            <w:tcW w:w="3620" w:type="dxa"/>
            <w:vAlign w:val="bottom"/>
            <w:gridSpan w:val="3"/>
          </w:tcPr>
          <w:p>
            <w:pPr>
              <w:jc w:val="right"/>
              <w:spacing w:after="0"/>
              <w:rPr>
                <w:sz w:val="20"/>
                <w:szCs w:val="20"/>
                <w:color w:val="auto"/>
              </w:rPr>
            </w:pPr>
            <w:r>
              <w:rPr>
                <w:rFonts w:ascii="Arial" w:cs="Arial" w:eastAsia="Arial" w:hAnsi="Arial"/>
                <w:sz w:val="18"/>
                <w:szCs w:val="18"/>
                <w:color w:val="auto"/>
                <w:w w:val="97"/>
              </w:rPr>
              <w:t>the terms of the registration rights agreements</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8"/>
              </w:rPr>
              <w:t>that we entered into with the initial purchasers of the</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rPr>
              <w:t>Old Notes at the time we issued the Old Notes, we</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7"/>
              </w:rPr>
              <w:t>agreed to register the New Notes and undertake this</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rPr>
              <w:t>exchange offer. This exchange offer is intended to</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8"/>
              </w:rPr>
              <w:t>satisfy the rights of holders of Old Notes under such</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2"/>
              </w:rPr>
              <w:t>registration rights agreements. After the exchange offer</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1"/>
              </w:rPr>
              <w:t>is completed, we will have no further obligations, except</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4"/>
              </w:rPr>
              <w:t>under certain limited circumstances, to provide for any</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rPr>
              <w:t>exchange or undertake any further registration with</w:t>
            </w:r>
          </w:p>
        </w:tc>
      </w:tr>
      <w:tr>
        <w:trPr>
          <w:trHeight w:val="230"/>
        </w:trPr>
        <w:tc>
          <w:tcPr>
            <w:tcW w:w="3760" w:type="dxa"/>
            <w:vAlign w:val="bottom"/>
          </w:tcPr>
          <w:p>
            <w:pPr>
              <w:spacing w:after="0"/>
              <w:rPr>
                <w:sz w:val="20"/>
                <w:szCs w:val="20"/>
                <w:color w:val="auto"/>
              </w:rPr>
            </w:pPr>
          </w:p>
        </w:tc>
        <w:tc>
          <w:tcPr>
            <w:tcW w:w="4100" w:type="dxa"/>
            <w:vAlign w:val="bottom"/>
            <w:gridSpan w:val="2"/>
          </w:tcPr>
          <w:p>
            <w:pPr>
              <w:ind w:left="560"/>
              <w:spacing w:after="0"/>
              <w:rPr>
                <w:sz w:val="20"/>
                <w:szCs w:val="20"/>
                <w:color w:val="auto"/>
              </w:rPr>
            </w:pPr>
            <w:r>
              <w:rPr>
                <w:rFonts w:ascii="Arial" w:cs="Arial" w:eastAsia="Arial" w:hAnsi="Arial"/>
                <w:sz w:val="18"/>
                <w:szCs w:val="18"/>
                <w:color w:val="auto"/>
              </w:rPr>
              <w:t>respect to the Old Notes.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50"/>
        </w:trPr>
        <w:tc>
          <w:tcPr>
            <w:tcW w:w="3760" w:type="dxa"/>
            <w:vAlign w:val="bottom"/>
          </w:tcPr>
          <w:p>
            <w:pPr>
              <w:spacing w:after="0"/>
              <w:rPr>
                <w:sz w:val="20"/>
                <w:szCs w:val="20"/>
                <w:color w:val="auto"/>
              </w:rPr>
            </w:pPr>
            <w:r>
              <w:rPr>
                <w:rFonts w:ascii="Arial" w:cs="Arial" w:eastAsia="Arial" w:hAnsi="Arial"/>
                <w:sz w:val="18"/>
                <w:szCs w:val="18"/>
                <w:b w:val="1"/>
                <w:bCs w:val="1"/>
                <w:color w:val="auto"/>
              </w:rPr>
              <w:t>Transferability</w:t>
            </w: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1"/>
              </w:rPr>
              <w:t>Based upon existing interpretations of the Securities Act</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6"/>
              </w:rPr>
              <w:t>by the staff of the SEC contained in several no-action</w:t>
            </w:r>
          </w:p>
        </w:tc>
      </w:tr>
      <w:tr>
        <w:trPr>
          <w:trHeight w:val="216"/>
        </w:trPr>
        <w:tc>
          <w:tcPr>
            <w:tcW w:w="3760" w:type="dxa"/>
            <w:vAlign w:val="bottom"/>
          </w:tcPr>
          <w:p>
            <w:pPr>
              <w:spacing w:after="0"/>
              <w:rPr>
                <w:sz w:val="18"/>
                <w:szCs w:val="18"/>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w w:val="93"/>
              </w:rPr>
              <w:t>letters</w:t>
            </w:r>
          </w:p>
        </w:tc>
        <w:tc>
          <w:tcPr>
            <w:tcW w:w="3340" w:type="dxa"/>
            <w:vAlign w:val="bottom"/>
            <w:gridSpan w:val="2"/>
          </w:tcPr>
          <w:p>
            <w:pPr>
              <w:ind w:left="80"/>
              <w:spacing w:after="0"/>
              <w:rPr>
                <w:sz w:val="20"/>
                <w:szCs w:val="20"/>
                <w:color w:val="auto"/>
              </w:rPr>
            </w:pPr>
            <w:r>
              <w:rPr>
                <w:rFonts w:ascii="Arial" w:cs="Arial" w:eastAsia="Arial" w:hAnsi="Arial"/>
                <w:sz w:val="18"/>
                <w:szCs w:val="18"/>
                <w:color w:val="auto"/>
                <w:w w:val="97"/>
              </w:rPr>
              <w:t>issued  to  third  parties,  we  believe  that</w:t>
            </w:r>
          </w:p>
        </w:tc>
        <w:tc>
          <w:tcPr>
            <w:tcW w:w="280" w:type="dxa"/>
            <w:vAlign w:val="bottom"/>
          </w:tcPr>
          <w:p>
            <w:pPr>
              <w:jc w:val="right"/>
              <w:spacing w:after="0"/>
              <w:rPr>
                <w:sz w:val="20"/>
                <w:szCs w:val="20"/>
                <w:color w:val="auto"/>
              </w:rPr>
            </w:pPr>
            <w:r>
              <w:rPr>
                <w:rFonts w:ascii="Arial" w:cs="Arial" w:eastAsia="Arial" w:hAnsi="Arial"/>
                <w:sz w:val="18"/>
                <w:szCs w:val="18"/>
                <w:color w:val="auto"/>
                <w:w w:val="95"/>
              </w:rPr>
              <w:t>the</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8"/>
              </w:rPr>
              <w:t>New  Notes  may  be  offered  for  resale,  resold  or</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6"/>
              </w:rPr>
              <w:t>otherwise transferred by you without compliance with</w:t>
            </w:r>
          </w:p>
        </w:tc>
      </w:tr>
      <w:tr>
        <w:trPr>
          <w:trHeight w:val="216"/>
        </w:trPr>
        <w:tc>
          <w:tcPr>
            <w:tcW w:w="3760" w:type="dxa"/>
            <w:vAlign w:val="bottom"/>
          </w:tcPr>
          <w:p>
            <w:pPr>
              <w:spacing w:after="0"/>
              <w:rPr>
                <w:sz w:val="18"/>
                <w:szCs w:val="18"/>
                <w:color w:val="auto"/>
              </w:rPr>
            </w:pPr>
          </w:p>
        </w:tc>
        <w:tc>
          <w:tcPr>
            <w:tcW w:w="4660" w:type="dxa"/>
            <w:vAlign w:val="bottom"/>
            <w:gridSpan w:val="4"/>
          </w:tcPr>
          <w:p>
            <w:pPr>
              <w:ind w:left="560"/>
              <w:spacing w:after="0"/>
              <w:rPr>
                <w:sz w:val="20"/>
                <w:szCs w:val="20"/>
                <w:color w:val="auto"/>
              </w:rPr>
            </w:pPr>
            <w:r>
              <w:rPr>
                <w:rFonts w:ascii="Arial" w:cs="Arial" w:eastAsia="Arial" w:hAnsi="Arial"/>
                <w:sz w:val="18"/>
                <w:szCs w:val="18"/>
                <w:color w:val="auto"/>
                <w:w w:val="91"/>
              </w:rPr>
              <w:t>the registration and prospectus delivery requirements of</w:t>
            </w:r>
          </w:p>
        </w:tc>
      </w:tr>
      <w:tr>
        <w:trPr>
          <w:trHeight w:val="230"/>
        </w:trPr>
        <w:tc>
          <w:tcPr>
            <w:tcW w:w="3760" w:type="dxa"/>
            <w:vAlign w:val="bottom"/>
          </w:tcPr>
          <w:p>
            <w:pPr>
              <w:spacing w:after="0"/>
              <w:rPr>
                <w:sz w:val="20"/>
                <w:szCs w:val="20"/>
                <w:color w:val="auto"/>
              </w:rPr>
            </w:pPr>
          </w:p>
        </w:tc>
        <w:tc>
          <w:tcPr>
            <w:tcW w:w="4100" w:type="dxa"/>
            <w:vAlign w:val="bottom"/>
            <w:gridSpan w:val="2"/>
          </w:tcPr>
          <w:p>
            <w:pPr>
              <w:ind w:left="560"/>
              <w:spacing w:after="0"/>
              <w:rPr>
                <w:sz w:val="20"/>
                <w:szCs w:val="20"/>
                <w:color w:val="auto"/>
              </w:rPr>
            </w:pPr>
            <w:r>
              <w:rPr>
                <w:rFonts w:ascii="Arial" w:cs="Arial" w:eastAsia="Arial" w:hAnsi="Arial"/>
                <w:sz w:val="18"/>
                <w:szCs w:val="18"/>
                <w:color w:val="auto"/>
              </w:rPr>
              <w:t>the Securities Act, provided that: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10"/>
        </w:trPr>
        <w:tc>
          <w:tcPr>
            <w:tcW w:w="3760" w:type="dxa"/>
            <w:vAlign w:val="bottom"/>
          </w:tcPr>
          <w:p>
            <w:pPr>
              <w:spacing w:after="0"/>
              <w:rPr>
                <w:sz w:val="24"/>
                <w:szCs w:val="24"/>
                <w:color w:val="auto"/>
              </w:rPr>
            </w:pPr>
          </w:p>
        </w:tc>
        <w:tc>
          <w:tcPr>
            <w:tcW w:w="1040" w:type="dxa"/>
            <w:vAlign w:val="bottom"/>
          </w:tcPr>
          <w:p>
            <w:pPr>
              <w:ind w:left="900"/>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w w:val="97"/>
              </w:rPr>
              <w:t>you  are  acquiring  the  New  Notes  in  the</w:t>
            </w:r>
          </w:p>
        </w:tc>
      </w:tr>
      <w:tr>
        <w:trPr>
          <w:trHeight w:val="230"/>
        </w:trPr>
        <w:tc>
          <w:tcPr>
            <w:tcW w:w="3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60" w:type="dxa"/>
            <w:vAlign w:val="bottom"/>
          </w:tcPr>
          <w:p>
            <w:pPr>
              <w:ind w:left="220"/>
              <w:spacing w:after="0"/>
              <w:rPr>
                <w:sz w:val="20"/>
                <w:szCs w:val="20"/>
                <w:color w:val="auto"/>
              </w:rPr>
            </w:pPr>
            <w:r>
              <w:rPr>
                <w:rFonts w:ascii="Arial" w:cs="Arial" w:eastAsia="Arial" w:hAnsi="Arial"/>
                <w:sz w:val="18"/>
                <w:szCs w:val="18"/>
                <w:color w:val="auto"/>
              </w:rPr>
              <w:t>ordinary course of your business;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10"/>
        </w:trPr>
        <w:tc>
          <w:tcPr>
            <w:tcW w:w="3760" w:type="dxa"/>
            <w:vAlign w:val="bottom"/>
          </w:tcPr>
          <w:p>
            <w:pPr>
              <w:spacing w:after="0"/>
              <w:rPr>
                <w:sz w:val="24"/>
                <w:szCs w:val="24"/>
                <w:color w:val="auto"/>
              </w:rPr>
            </w:pPr>
          </w:p>
        </w:tc>
        <w:tc>
          <w:tcPr>
            <w:tcW w:w="1040" w:type="dxa"/>
            <w:vAlign w:val="bottom"/>
          </w:tcPr>
          <w:p>
            <w:pPr>
              <w:ind w:left="900"/>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w w:val="92"/>
              </w:rPr>
              <w:t>you are not participating or engaged in, do not</w:t>
            </w:r>
          </w:p>
        </w:tc>
      </w:tr>
      <w:tr>
        <w:trPr>
          <w:trHeight w:val="216"/>
        </w:trPr>
        <w:tc>
          <w:tcPr>
            <w:tcW w:w="3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w w:val="91"/>
              </w:rPr>
              <w:t>intend to participate or engage in, and have no</w:t>
            </w:r>
          </w:p>
        </w:tc>
      </w:tr>
      <w:tr>
        <w:trPr>
          <w:trHeight w:val="216"/>
        </w:trPr>
        <w:tc>
          <w:tcPr>
            <w:tcW w:w="3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w w:val="90"/>
              </w:rPr>
              <w:t>arrangement or understanding with any person</w:t>
            </w:r>
          </w:p>
        </w:tc>
      </w:tr>
      <w:tr>
        <w:trPr>
          <w:trHeight w:val="216"/>
        </w:trPr>
        <w:tc>
          <w:tcPr>
            <w:tcW w:w="3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60" w:type="dxa"/>
            <w:vAlign w:val="bottom"/>
          </w:tcPr>
          <w:p>
            <w:pPr>
              <w:ind w:left="220"/>
              <w:spacing w:after="0"/>
              <w:rPr>
                <w:sz w:val="20"/>
                <w:szCs w:val="20"/>
                <w:color w:val="auto"/>
              </w:rPr>
            </w:pPr>
            <w:r>
              <w:rPr>
                <w:rFonts w:ascii="Arial" w:cs="Arial" w:eastAsia="Arial" w:hAnsi="Arial"/>
                <w:sz w:val="18"/>
                <w:szCs w:val="18"/>
                <w:color w:val="auto"/>
              </w:rPr>
              <w:t>to  participate  in,  the  distribution</w:t>
            </w:r>
          </w:p>
        </w:tc>
        <w:tc>
          <w:tcPr>
            <w:tcW w:w="280" w:type="dxa"/>
            <w:vAlign w:val="bottom"/>
          </w:tcPr>
          <w:p>
            <w:pPr>
              <w:ind w:left="20"/>
              <w:spacing w:after="0"/>
              <w:rPr>
                <w:sz w:val="20"/>
                <w:szCs w:val="20"/>
                <w:color w:val="auto"/>
              </w:rPr>
            </w:pPr>
            <w:r>
              <w:rPr>
                <w:rFonts w:ascii="Arial" w:cs="Arial" w:eastAsia="Arial" w:hAnsi="Arial"/>
                <w:sz w:val="18"/>
                <w:szCs w:val="18"/>
                <w:color w:val="auto"/>
              </w:rPr>
              <w:t>of</w:t>
            </w:r>
          </w:p>
        </w:tc>
        <w:tc>
          <w:tcPr>
            <w:tcW w:w="280" w:type="dxa"/>
            <w:vAlign w:val="bottom"/>
          </w:tcPr>
          <w:p>
            <w:pPr>
              <w:jc w:val="right"/>
              <w:spacing w:after="0"/>
              <w:rPr>
                <w:sz w:val="20"/>
                <w:szCs w:val="20"/>
                <w:color w:val="auto"/>
              </w:rPr>
            </w:pPr>
            <w:r>
              <w:rPr>
                <w:rFonts w:ascii="Arial" w:cs="Arial" w:eastAsia="Arial" w:hAnsi="Arial"/>
                <w:sz w:val="18"/>
                <w:szCs w:val="18"/>
                <w:color w:val="auto"/>
                <w:w w:val="95"/>
              </w:rPr>
              <w:t>the</w:t>
            </w:r>
          </w:p>
        </w:tc>
      </w:tr>
      <w:tr>
        <w:trPr>
          <w:trHeight w:val="230"/>
        </w:trPr>
        <w:tc>
          <w:tcPr>
            <w:tcW w:w="3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60" w:type="dxa"/>
            <w:vAlign w:val="bottom"/>
          </w:tcPr>
          <w:p>
            <w:pPr>
              <w:ind w:left="220"/>
              <w:spacing w:after="0"/>
              <w:rPr>
                <w:sz w:val="20"/>
                <w:szCs w:val="20"/>
                <w:color w:val="auto"/>
              </w:rPr>
            </w:pPr>
            <w:r>
              <w:rPr>
                <w:rFonts w:ascii="Arial" w:cs="Arial" w:eastAsia="Arial" w:hAnsi="Arial"/>
                <w:sz w:val="18"/>
                <w:szCs w:val="18"/>
                <w:color w:val="auto"/>
              </w:rPr>
              <w:t>New Notes issued to you;</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10"/>
        </w:trPr>
        <w:tc>
          <w:tcPr>
            <w:tcW w:w="3760" w:type="dxa"/>
            <w:vAlign w:val="bottom"/>
          </w:tcPr>
          <w:p>
            <w:pPr>
              <w:spacing w:after="0"/>
              <w:rPr>
                <w:sz w:val="24"/>
                <w:szCs w:val="24"/>
                <w:color w:val="auto"/>
              </w:rPr>
            </w:pPr>
          </w:p>
        </w:tc>
        <w:tc>
          <w:tcPr>
            <w:tcW w:w="1040" w:type="dxa"/>
            <w:vAlign w:val="bottom"/>
          </w:tcPr>
          <w:p>
            <w:pPr>
              <w:ind w:left="900"/>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rPr>
              <w:t>you are not an “affiliate” of ours within the</w:t>
            </w:r>
          </w:p>
        </w:tc>
      </w:tr>
      <w:tr>
        <w:trPr>
          <w:trHeight w:val="216"/>
        </w:trPr>
        <w:tc>
          <w:tcPr>
            <w:tcW w:w="3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w w:val="92"/>
              </w:rPr>
              <w:t>meaning of Rule 405 under the Securities Act;</w:t>
            </w:r>
          </w:p>
        </w:tc>
      </w:tr>
      <w:tr>
        <w:trPr>
          <w:trHeight w:val="230"/>
        </w:trPr>
        <w:tc>
          <w:tcPr>
            <w:tcW w:w="3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60" w:type="dxa"/>
            <w:vAlign w:val="bottom"/>
          </w:tcPr>
          <w:p>
            <w:pPr>
              <w:ind w:left="220"/>
              <w:spacing w:after="0"/>
              <w:rPr>
                <w:sz w:val="20"/>
                <w:szCs w:val="20"/>
                <w:color w:val="auto"/>
              </w:rPr>
            </w:pPr>
            <w:r>
              <w:rPr>
                <w:rFonts w:ascii="Arial" w:cs="Arial" w:eastAsia="Arial" w:hAnsi="Arial"/>
                <w:sz w:val="18"/>
                <w:szCs w:val="18"/>
                <w:color w:val="auto"/>
              </w:rPr>
              <w:t>and</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10"/>
        </w:trPr>
        <w:tc>
          <w:tcPr>
            <w:tcW w:w="3760" w:type="dxa"/>
            <w:vAlign w:val="bottom"/>
          </w:tcPr>
          <w:p>
            <w:pPr>
              <w:spacing w:after="0"/>
              <w:rPr>
                <w:sz w:val="24"/>
                <w:szCs w:val="24"/>
                <w:color w:val="auto"/>
              </w:rPr>
            </w:pPr>
          </w:p>
        </w:tc>
        <w:tc>
          <w:tcPr>
            <w:tcW w:w="1040" w:type="dxa"/>
            <w:vAlign w:val="bottom"/>
          </w:tcPr>
          <w:p>
            <w:pPr>
              <w:ind w:left="900"/>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rPr>
              <w:t>you are not acting on behalf of any person</w:t>
            </w:r>
          </w:p>
        </w:tc>
      </w:tr>
      <w:tr>
        <w:trPr>
          <w:trHeight w:val="216"/>
        </w:trPr>
        <w:tc>
          <w:tcPr>
            <w:tcW w:w="3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rPr>
              <w:t>who  could  not  truthfully  make  these</w:t>
            </w:r>
          </w:p>
        </w:tc>
      </w:tr>
      <w:tr>
        <w:trPr>
          <w:trHeight w:val="230"/>
        </w:trPr>
        <w:tc>
          <w:tcPr>
            <w:tcW w:w="3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60" w:type="dxa"/>
            <w:vAlign w:val="bottom"/>
          </w:tcPr>
          <w:p>
            <w:pPr>
              <w:ind w:left="220"/>
              <w:spacing w:after="0"/>
              <w:rPr>
                <w:sz w:val="20"/>
                <w:szCs w:val="20"/>
                <w:color w:val="auto"/>
              </w:rPr>
            </w:pPr>
            <w:r>
              <w:rPr>
                <w:rFonts w:ascii="Arial" w:cs="Arial" w:eastAsia="Arial" w:hAnsi="Arial"/>
                <w:sz w:val="18"/>
                <w:szCs w:val="18"/>
                <w:color w:val="auto"/>
              </w:rPr>
              <w:t>statements.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94"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Our  belief  that  transfers  of  New  Notes  would  be</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permitted without registration or prospectus delivery</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 w:name="page12"/>
    <w:bookmarkEnd w:id="11"/>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8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5653405" cy="808799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under  the  conditions  described  above  is  based  on</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interpretations by the staff of the SEC given to other,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unrelated issuers in similar exchange offers. The staff of</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the SEC has not considered this exchange offer in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context of a no-action letter, and we cannot assure you</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that  the  staff  of  the  SEC  would  make  a  similar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interpretation with respect to our exchange offer.</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If our belief is not accurate and you transfer a New Note</w:t>
      </w:r>
    </w:p>
    <w:p>
      <w:pPr>
        <w:spacing w:after="0" w:line="46" w:lineRule="exact"/>
        <w:rPr>
          <w:sz w:val="20"/>
          <w:szCs w:val="20"/>
          <w:color w:val="auto"/>
        </w:rPr>
      </w:pPr>
    </w:p>
    <w:p>
      <w:pPr>
        <w:ind w:left="4640"/>
        <w:spacing w:after="0"/>
        <w:tabs>
          <w:tab w:leader="none" w:pos="5400" w:val="left"/>
          <w:tab w:leader="none" w:pos="6360" w:val="left"/>
          <w:tab w:leader="none" w:pos="6680" w:val="left"/>
          <w:tab w:leader="none" w:pos="7680" w:val="left"/>
          <w:tab w:leader="none" w:pos="8480" w:val="left"/>
        </w:tabs>
        <w:rPr>
          <w:sz w:val="20"/>
          <w:szCs w:val="20"/>
          <w:color w:val="auto"/>
        </w:rPr>
      </w:pPr>
      <w:r>
        <w:rPr>
          <w:rFonts w:ascii="Arial" w:cs="Arial" w:eastAsia="Arial" w:hAnsi="Arial"/>
          <w:sz w:val="18"/>
          <w:szCs w:val="18"/>
          <w:color w:val="auto"/>
        </w:rPr>
        <w:t>without</w:t>
        <w:tab/>
        <w:t>delivering</w:t>
        <w:tab/>
        <w:t>a</w:t>
        <w:tab/>
        <w:t>prospectus</w:t>
        <w:tab/>
        <w:t>meeting</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requirements  of  the  Securities  Act  or  without  an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exemption  from  such  requirements,  you  may  incur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liability under the Securities Act. We do not assume, or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indemnify you against, such liability.</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Each broker-dealer that receives New Notes for its own</w:t>
      </w:r>
    </w:p>
    <w:p>
      <w:pPr>
        <w:spacing w:after="0" w:line="46"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account  under  the  exchange  offer  in  exchange  for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Old Notes that were acquired by the broker-dealer as a</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result of market-making or other trading activity must</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acknowledge that it will deliver a prospectus meeting</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the requirements of the Securities Act in connection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with any resale of the New Notes.</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See “The Exchange Offer-Eligibility; Transferability”</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and “Plan of Distribution.”</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Consequences of Failing to Exchange Old</w:t>
      </w:r>
    </w:p>
    <w:p>
      <w:pPr>
        <w:spacing w:after="0" w:line="27" w:lineRule="exact"/>
        <w:rPr>
          <w:sz w:val="20"/>
          <w:szCs w:val="20"/>
          <w:color w:val="auto"/>
        </w:rPr>
      </w:pPr>
    </w:p>
    <w:p>
      <w:pPr>
        <w:ind w:left="480"/>
        <w:spacing w:after="0"/>
        <w:tabs>
          <w:tab w:leader="none" w:pos="4620" w:val="left"/>
        </w:tabs>
        <w:rPr>
          <w:sz w:val="20"/>
          <w:szCs w:val="20"/>
          <w:color w:val="auto"/>
        </w:rPr>
      </w:pPr>
      <w:r>
        <w:rPr>
          <w:rFonts w:ascii="Arial" w:cs="Arial" w:eastAsia="Arial" w:hAnsi="Arial"/>
          <w:sz w:val="16"/>
          <w:szCs w:val="16"/>
          <w:b w:val="1"/>
          <w:bCs w:val="1"/>
          <w:color w:val="auto"/>
        </w:rPr>
        <w:t>Notes</w:t>
      </w:r>
      <w:r>
        <w:rPr>
          <w:sz w:val="20"/>
          <w:szCs w:val="20"/>
          <w:color w:val="auto"/>
        </w:rPr>
        <w:tab/>
      </w:r>
      <w:r>
        <w:rPr>
          <w:rFonts w:ascii="Arial" w:cs="Arial" w:eastAsia="Arial" w:hAnsi="Arial"/>
          <w:sz w:val="16"/>
          <w:szCs w:val="16"/>
          <w:color w:val="auto"/>
        </w:rPr>
        <w:t>Any Old Notes that are not exchanged in the exchange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offer will continue to be governed by the indenture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relating to the Old Notes and the terms of the Old Notes.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Old Notes that are not exchanged will remain subject to</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the restrictions on transfer described in the Old Notes,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and you will not be able to offer or sell the Old Notes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except under an exemption from the requirements of the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Securities Act or unless the Old Notes are registered</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under the Securities Act. Upon the completion of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exchange offer, we will have no further obligations,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except  under  limited  circumstances,  to  provide  for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registration of the Old Notes under the U.S. federal</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securities laws. If you do not participate in the exchange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offer, the liquidity of your Old Notes could be adversely</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affected. See “The Exchange Offer-Consequences of</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Failure to Exchange.”</w:t>
      </w:r>
    </w:p>
    <w:p>
      <w:pPr>
        <w:spacing w:after="0" w:line="139"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358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4840" w:type="dxa"/>
            <w:vAlign w:val="bottom"/>
            <w:gridSpan w:val="6"/>
          </w:tcPr>
          <w:p>
            <w:pPr>
              <w:ind w:left="740"/>
              <w:spacing w:after="0"/>
              <w:rPr>
                <w:sz w:val="20"/>
                <w:szCs w:val="20"/>
                <w:color w:val="auto"/>
              </w:rPr>
            </w:pPr>
            <w:r>
              <w:rPr>
                <w:rFonts w:ascii="Arial" w:cs="Arial" w:eastAsia="Arial" w:hAnsi="Arial"/>
                <w:sz w:val="18"/>
                <w:szCs w:val="18"/>
                <w:color w:val="auto"/>
                <w:w w:val="97"/>
              </w:rPr>
              <w:t>We  will  not  receive  any  cash  proceeds  from  the</w:t>
            </w:r>
          </w:p>
        </w:tc>
      </w:tr>
      <w:tr>
        <w:trPr>
          <w:trHeight w:val="216"/>
        </w:trPr>
        <w:tc>
          <w:tcPr>
            <w:tcW w:w="3580" w:type="dxa"/>
            <w:vAlign w:val="bottom"/>
          </w:tcPr>
          <w:p>
            <w:pPr>
              <w:spacing w:after="0"/>
              <w:rPr>
                <w:sz w:val="18"/>
                <w:szCs w:val="18"/>
                <w:color w:val="auto"/>
              </w:rPr>
            </w:pPr>
          </w:p>
        </w:tc>
        <w:tc>
          <w:tcPr>
            <w:tcW w:w="4840" w:type="dxa"/>
            <w:vAlign w:val="bottom"/>
            <w:gridSpan w:val="6"/>
          </w:tcPr>
          <w:p>
            <w:pPr>
              <w:ind w:left="740"/>
              <w:spacing w:after="0"/>
              <w:rPr>
                <w:sz w:val="20"/>
                <w:szCs w:val="20"/>
                <w:color w:val="auto"/>
              </w:rPr>
            </w:pPr>
            <w:r>
              <w:rPr>
                <w:rFonts w:ascii="Arial" w:cs="Arial" w:eastAsia="Arial" w:hAnsi="Arial"/>
                <w:sz w:val="18"/>
                <w:szCs w:val="18"/>
                <w:color w:val="auto"/>
                <w:w w:val="92"/>
              </w:rPr>
              <w:t>exchange of Old Notes for New Notes as a result of the</w:t>
            </w:r>
          </w:p>
        </w:tc>
      </w:tr>
      <w:tr>
        <w:trPr>
          <w:trHeight w:val="230"/>
        </w:trPr>
        <w:tc>
          <w:tcPr>
            <w:tcW w:w="3580" w:type="dxa"/>
            <w:vAlign w:val="bottom"/>
          </w:tcPr>
          <w:p>
            <w:pPr>
              <w:spacing w:after="0"/>
              <w:rPr>
                <w:sz w:val="20"/>
                <w:szCs w:val="20"/>
                <w:color w:val="auto"/>
              </w:rPr>
            </w:pPr>
          </w:p>
        </w:tc>
        <w:tc>
          <w:tcPr>
            <w:tcW w:w="2240" w:type="dxa"/>
            <w:vAlign w:val="bottom"/>
            <w:gridSpan w:val="2"/>
          </w:tcPr>
          <w:p>
            <w:pPr>
              <w:ind w:left="740"/>
              <w:spacing w:after="0"/>
              <w:rPr>
                <w:sz w:val="20"/>
                <w:szCs w:val="20"/>
                <w:color w:val="auto"/>
              </w:rPr>
            </w:pPr>
            <w:r>
              <w:rPr>
                <w:rFonts w:ascii="Arial" w:cs="Arial" w:eastAsia="Arial" w:hAnsi="Arial"/>
                <w:sz w:val="18"/>
                <w:szCs w:val="18"/>
                <w:color w:val="auto"/>
              </w:rPr>
              <w:t>exchange offer.</w:t>
            </w: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50"/>
        </w:trPr>
        <w:tc>
          <w:tcPr>
            <w:tcW w:w="3580" w:type="dxa"/>
            <w:vAlign w:val="bottom"/>
          </w:tcPr>
          <w:p>
            <w:pPr>
              <w:spacing w:after="0"/>
              <w:rPr>
                <w:sz w:val="20"/>
                <w:szCs w:val="20"/>
                <w:color w:val="auto"/>
              </w:rPr>
            </w:pPr>
            <w:r>
              <w:rPr>
                <w:rFonts w:ascii="Arial" w:cs="Arial" w:eastAsia="Arial" w:hAnsi="Arial"/>
                <w:sz w:val="18"/>
                <w:szCs w:val="18"/>
                <w:b w:val="1"/>
                <w:bCs w:val="1"/>
                <w:color w:val="auto"/>
              </w:rPr>
              <w:t>Cancellation of Exchanged Old Notes</w:t>
            </w:r>
          </w:p>
        </w:tc>
        <w:tc>
          <w:tcPr>
            <w:tcW w:w="3400" w:type="dxa"/>
            <w:vAlign w:val="bottom"/>
            <w:gridSpan w:val="4"/>
          </w:tcPr>
          <w:p>
            <w:pPr>
              <w:ind w:left="740"/>
              <w:spacing w:after="0"/>
              <w:rPr>
                <w:sz w:val="20"/>
                <w:szCs w:val="20"/>
                <w:color w:val="auto"/>
              </w:rPr>
            </w:pPr>
            <w:r>
              <w:rPr>
                <w:rFonts w:ascii="Arial" w:cs="Arial" w:eastAsia="Arial" w:hAnsi="Arial"/>
                <w:sz w:val="18"/>
                <w:szCs w:val="18"/>
                <w:color w:val="auto"/>
                <w:w w:val="98"/>
              </w:rPr>
              <w:t>Old  Notes  that  are  surrendered</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w w:val="99"/>
              </w:rPr>
              <w:t>in  exchange  for</w:t>
            </w:r>
          </w:p>
        </w:tc>
      </w:tr>
      <w:tr>
        <w:trPr>
          <w:trHeight w:val="216"/>
        </w:trPr>
        <w:tc>
          <w:tcPr>
            <w:tcW w:w="3580" w:type="dxa"/>
            <w:vAlign w:val="bottom"/>
          </w:tcPr>
          <w:p>
            <w:pPr>
              <w:spacing w:after="0"/>
              <w:rPr>
                <w:sz w:val="18"/>
                <w:szCs w:val="18"/>
                <w:color w:val="auto"/>
              </w:rPr>
            </w:pPr>
          </w:p>
        </w:tc>
        <w:tc>
          <w:tcPr>
            <w:tcW w:w="4840" w:type="dxa"/>
            <w:vAlign w:val="bottom"/>
            <w:gridSpan w:val="6"/>
          </w:tcPr>
          <w:p>
            <w:pPr>
              <w:ind w:left="740"/>
              <w:spacing w:after="0"/>
              <w:rPr>
                <w:sz w:val="20"/>
                <w:szCs w:val="20"/>
                <w:color w:val="auto"/>
              </w:rPr>
            </w:pPr>
            <w:r>
              <w:rPr>
                <w:rFonts w:ascii="Arial" w:cs="Arial" w:eastAsia="Arial" w:hAnsi="Arial"/>
                <w:sz w:val="18"/>
                <w:szCs w:val="18"/>
                <w:color w:val="auto"/>
                <w:w w:val="99"/>
              </w:rPr>
              <w:t>New Notes will be retired and cancelled by us upon</w:t>
            </w:r>
          </w:p>
        </w:tc>
      </w:tr>
      <w:tr>
        <w:trPr>
          <w:trHeight w:val="216"/>
        </w:trPr>
        <w:tc>
          <w:tcPr>
            <w:tcW w:w="3580" w:type="dxa"/>
            <w:vAlign w:val="bottom"/>
          </w:tcPr>
          <w:p>
            <w:pPr>
              <w:spacing w:after="0"/>
              <w:rPr>
                <w:sz w:val="18"/>
                <w:szCs w:val="18"/>
                <w:color w:val="auto"/>
              </w:rPr>
            </w:pPr>
          </w:p>
        </w:tc>
        <w:tc>
          <w:tcPr>
            <w:tcW w:w="4840" w:type="dxa"/>
            <w:vAlign w:val="bottom"/>
            <w:gridSpan w:val="6"/>
          </w:tcPr>
          <w:p>
            <w:pPr>
              <w:ind w:left="740"/>
              <w:spacing w:after="0"/>
              <w:rPr>
                <w:sz w:val="20"/>
                <w:szCs w:val="20"/>
                <w:color w:val="auto"/>
              </w:rPr>
            </w:pPr>
            <w:r>
              <w:rPr>
                <w:rFonts w:ascii="Arial" w:cs="Arial" w:eastAsia="Arial" w:hAnsi="Arial"/>
                <w:sz w:val="18"/>
                <w:szCs w:val="18"/>
                <w:color w:val="auto"/>
                <w:w w:val="97"/>
              </w:rPr>
              <w:t>receipt  and  will  not  be  reissued.  Accordingly,  the</w:t>
            </w:r>
          </w:p>
        </w:tc>
      </w:tr>
      <w:tr>
        <w:trPr>
          <w:trHeight w:val="216"/>
        </w:trPr>
        <w:tc>
          <w:tcPr>
            <w:tcW w:w="3580" w:type="dxa"/>
            <w:vAlign w:val="bottom"/>
          </w:tcPr>
          <w:p>
            <w:pPr>
              <w:spacing w:after="0"/>
              <w:rPr>
                <w:sz w:val="18"/>
                <w:szCs w:val="18"/>
                <w:color w:val="auto"/>
              </w:rPr>
            </w:pPr>
          </w:p>
        </w:tc>
        <w:tc>
          <w:tcPr>
            <w:tcW w:w="4840" w:type="dxa"/>
            <w:vAlign w:val="bottom"/>
            <w:gridSpan w:val="6"/>
          </w:tcPr>
          <w:p>
            <w:pPr>
              <w:ind w:left="740"/>
              <w:spacing w:after="0"/>
              <w:rPr>
                <w:sz w:val="20"/>
                <w:szCs w:val="20"/>
                <w:color w:val="auto"/>
              </w:rPr>
            </w:pPr>
            <w:r>
              <w:rPr>
                <w:rFonts w:ascii="Arial" w:cs="Arial" w:eastAsia="Arial" w:hAnsi="Arial"/>
                <w:sz w:val="18"/>
                <w:szCs w:val="18"/>
                <w:color w:val="auto"/>
                <w:w w:val="96"/>
              </w:rPr>
              <w:t>issuance of the New Notes under this exchange offer</w:t>
            </w:r>
          </w:p>
        </w:tc>
      </w:tr>
      <w:tr>
        <w:trPr>
          <w:trHeight w:val="216"/>
        </w:trPr>
        <w:tc>
          <w:tcPr>
            <w:tcW w:w="3580" w:type="dxa"/>
            <w:vAlign w:val="bottom"/>
          </w:tcPr>
          <w:p>
            <w:pPr>
              <w:spacing w:after="0"/>
              <w:rPr>
                <w:sz w:val="18"/>
                <w:szCs w:val="18"/>
                <w:color w:val="auto"/>
              </w:rPr>
            </w:pPr>
          </w:p>
        </w:tc>
        <w:tc>
          <w:tcPr>
            <w:tcW w:w="4840" w:type="dxa"/>
            <w:vAlign w:val="bottom"/>
            <w:gridSpan w:val="6"/>
          </w:tcPr>
          <w:p>
            <w:pPr>
              <w:ind w:left="740"/>
              <w:spacing w:after="0"/>
              <w:rPr>
                <w:sz w:val="20"/>
                <w:szCs w:val="20"/>
                <w:color w:val="auto"/>
              </w:rPr>
            </w:pPr>
            <w:r>
              <w:rPr>
                <w:rFonts w:ascii="Arial" w:cs="Arial" w:eastAsia="Arial" w:hAnsi="Arial"/>
                <w:sz w:val="18"/>
                <w:szCs w:val="18"/>
                <w:color w:val="auto"/>
                <w:w w:val="97"/>
              </w:rPr>
              <w:t>will  not  result  in  any  increase  in  our  outstanding</w:t>
            </w:r>
          </w:p>
        </w:tc>
      </w:tr>
      <w:tr>
        <w:trPr>
          <w:trHeight w:val="230"/>
        </w:trPr>
        <w:tc>
          <w:tcPr>
            <w:tcW w:w="3580" w:type="dxa"/>
            <w:vAlign w:val="bottom"/>
          </w:tcPr>
          <w:p>
            <w:pPr>
              <w:spacing w:after="0"/>
              <w:rPr>
                <w:sz w:val="20"/>
                <w:szCs w:val="20"/>
                <w:color w:val="auto"/>
              </w:rPr>
            </w:pPr>
          </w:p>
        </w:tc>
        <w:tc>
          <w:tcPr>
            <w:tcW w:w="1700" w:type="dxa"/>
            <w:vAlign w:val="bottom"/>
          </w:tcPr>
          <w:p>
            <w:pPr>
              <w:ind w:left="740"/>
              <w:spacing w:after="0"/>
              <w:rPr>
                <w:sz w:val="20"/>
                <w:szCs w:val="20"/>
                <w:color w:val="auto"/>
              </w:rPr>
            </w:pPr>
            <w:r>
              <w:rPr>
                <w:rFonts w:ascii="Arial" w:cs="Arial" w:eastAsia="Arial" w:hAnsi="Arial"/>
                <w:sz w:val="18"/>
                <w:szCs w:val="18"/>
                <w:color w:val="auto"/>
                <w:w w:val="83"/>
              </w:rPr>
              <w:t>indebtedness.</w:t>
            </w: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37"/>
        </w:trPr>
        <w:tc>
          <w:tcPr>
            <w:tcW w:w="3580" w:type="dxa"/>
            <w:vAlign w:val="bottom"/>
          </w:tcPr>
          <w:p>
            <w:pPr>
              <w:spacing w:after="0"/>
              <w:rPr>
                <w:sz w:val="20"/>
                <w:szCs w:val="20"/>
                <w:color w:val="auto"/>
              </w:rPr>
            </w:pPr>
            <w:r>
              <w:rPr>
                <w:rFonts w:ascii="Arial" w:cs="Arial" w:eastAsia="Arial" w:hAnsi="Arial"/>
                <w:sz w:val="18"/>
                <w:szCs w:val="18"/>
                <w:b w:val="1"/>
                <w:bCs w:val="1"/>
                <w:color w:val="auto"/>
              </w:rPr>
              <w:t>Exchange Agent</w:t>
            </w:r>
          </w:p>
        </w:tc>
        <w:tc>
          <w:tcPr>
            <w:tcW w:w="4840" w:type="dxa"/>
            <w:vAlign w:val="bottom"/>
            <w:gridSpan w:val="6"/>
          </w:tcPr>
          <w:p>
            <w:pPr>
              <w:ind w:left="740"/>
              <w:spacing w:after="0"/>
              <w:rPr>
                <w:sz w:val="20"/>
                <w:szCs w:val="20"/>
                <w:color w:val="auto"/>
              </w:rPr>
            </w:pPr>
            <w:r>
              <w:rPr>
                <w:rFonts w:ascii="Arial" w:cs="Arial" w:eastAsia="Arial" w:hAnsi="Arial"/>
                <w:sz w:val="18"/>
                <w:szCs w:val="18"/>
                <w:color w:val="auto"/>
              </w:rPr>
              <w:t>UMB Bank, National Association is serving as the</w:t>
            </w:r>
          </w:p>
        </w:tc>
      </w:tr>
      <w:tr>
        <w:trPr>
          <w:trHeight w:val="216"/>
        </w:trPr>
        <w:tc>
          <w:tcPr>
            <w:tcW w:w="3580" w:type="dxa"/>
            <w:vAlign w:val="bottom"/>
          </w:tcPr>
          <w:p>
            <w:pPr>
              <w:spacing w:after="0"/>
              <w:rPr>
                <w:sz w:val="18"/>
                <w:szCs w:val="18"/>
                <w:color w:val="auto"/>
              </w:rPr>
            </w:pPr>
          </w:p>
        </w:tc>
        <w:tc>
          <w:tcPr>
            <w:tcW w:w="1700" w:type="dxa"/>
            <w:vAlign w:val="bottom"/>
          </w:tcPr>
          <w:p>
            <w:pPr>
              <w:ind w:left="740"/>
              <w:spacing w:after="0"/>
              <w:rPr>
                <w:sz w:val="20"/>
                <w:szCs w:val="20"/>
                <w:color w:val="auto"/>
              </w:rPr>
            </w:pPr>
            <w:r>
              <w:rPr>
                <w:rFonts w:ascii="Arial" w:cs="Arial" w:eastAsia="Arial" w:hAnsi="Arial"/>
                <w:sz w:val="18"/>
                <w:szCs w:val="18"/>
                <w:color w:val="auto"/>
              </w:rPr>
              <w:t>exchange</w:t>
            </w:r>
          </w:p>
        </w:tc>
        <w:tc>
          <w:tcPr>
            <w:tcW w:w="540" w:type="dxa"/>
            <w:vAlign w:val="bottom"/>
          </w:tcPr>
          <w:p>
            <w:pPr>
              <w:spacing w:after="0"/>
              <w:rPr>
                <w:sz w:val="20"/>
                <w:szCs w:val="20"/>
                <w:color w:val="auto"/>
              </w:rPr>
            </w:pPr>
            <w:r>
              <w:rPr>
                <w:rFonts w:ascii="Arial" w:cs="Arial" w:eastAsia="Arial" w:hAnsi="Arial"/>
                <w:sz w:val="18"/>
                <w:szCs w:val="18"/>
                <w:color w:val="auto"/>
              </w:rPr>
              <w:t>agent</w:t>
            </w:r>
          </w:p>
        </w:tc>
        <w:tc>
          <w:tcPr>
            <w:tcW w:w="520" w:type="dxa"/>
            <w:vAlign w:val="bottom"/>
          </w:tcPr>
          <w:p>
            <w:pPr>
              <w:ind w:left="160"/>
              <w:spacing w:after="0"/>
              <w:rPr>
                <w:sz w:val="20"/>
                <w:szCs w:val="20"/>
                <w:color w:val="auto"/>
              </w:rPr>
            </w:pPr>
            <w:r>
              <w:rPr>
                <w:rFonts w:ascii="Arial" w:cs="Arial" w:eastAsia="Arial" w:hAnsi="Arial"/>
                <w:sz w:val="18"/>
                <w:szCs w:val="18"/>
                <w:color w:val="auto"/>
              </w:rPr>
              <w:t>for</w:t>
            </w:r>
          </w:p>
        </w:tc>
        <w:tc>
          <w:tcPr>
            <w:tcW w:w="640" w:type="dxa"/>
            <w:vAlign w:val="bottom"/>
          </w:tcPr>
          <w:p>
            <w:pPr>
              <w:ind w:left="140"/>
              <w:spacing w:after="0"/>
              <w:rPr>
                <w:sz w:val="20"/>
                <w:szCs w:val="20"/>
                <w:color w:val="auto"/>
              </w:rPr>
            </w:pPr>
            <w:r>
              <w:rPr>
                <w:rFonts w:ascii="Arial" w:cs="Arial" w:eastAsia="Arial" w:hAnsi="Arial"/>
                <w:sz w:val="18"/>
                <w:szCs w:val="18"/>
                <w:color w:val="auto"/>
              </w:rPr>
              <w:t>this</w:t>
            </w:r>
          </w:p>
        </w:tc>
        <w:tc>
          <w:tcPr>
            <w:tcW w:w="900" w:type="dxa"/>
            <w:vAlign w:val="bottom"/>
          </w:tcPr>
          <w:p>
            <w:pPr>
              <w:ind w:left="60"/>
              <w:spacing w:after="0"/>
              <w:rPr>
                <w:sz w:val="20"/>
                <w:szCs w:val="20"/>
                <w:color w:val="auto"/>
              </w:rPr>
            </w:pPr>
            <w:r>
              <w:rPr>
                <w:rFonts w:ascii="Arial" w:cs="Arial" w:eastAsia="Arial" w:hAnsi="Arial"/>
                <w:sz w:val="18"/>
                <w:szCs w:val="18"/>
                <w:color w:val="auto"/>
              </w:rPr>
              <w:t>exchange</w:t>
            </w:r>
          </w:p>
        </w:tc>
        <w:tc>
          <w:tcPr>
            <w:tcW w:w="540" w:type="dxa"/>
            <w:vAlign w:val="bottom"/>
          </w:tcPr>
          <w:p>
            <w:pPr>
              <w:ind w:left="140"/>
              <w:spacing w:after="0"/>
              <w:rPr>
                <w:sz w:val="20"/>
                <w:szCs w:val="20"/>
                <w:color w:val="auto"/>
              </w:rPr>
            </w:pPr>
            <w:r>
              <w:rPr>
                <w:rFonts w:ascii="Arial" w:cs="Arial" w:eastAsia="Arial" w:hAnsi="Arial"/>
                <w:sz w:val="18"/>
                <w:szCs w:val="18"/>
                <w:color w:val="auto"/>
                <w:w w:val="92"/>
              </w:rPr>
              <w:t>offer.</w:t>
            </w:r>
          </w:p>
        </w:tc>
      </w:tr>
      <w:tr>
        <w:trPr>
          <w:trHeight w:val="216"/>
        </w:trPr>
        <w:tc>
          <w:tcPr>
            <w:tcW w:w="3580" w:type="dxa"/>
            <w:vAlign w:val="bottom"/>
          </w:tcPr>
          <w:p>
            <w:pPr>
              <w:spacing w:after="0"/>
              <w:rPr>
                <w:sz w:val="18"/>
                <w:szCs w:val="18"/>
                <w:color w:val="auto"/>
              </w:rPr>
            </w:pPr>
          </w:p>
        </w:tc>
        <w:tc>
          <w:tcPr>
            <w:tcW w:w="4840" w:type="dxa"/>
            <w:vAlign w:val="bottom"/>
            <w:gridSpan w:val="6"/>
          </w:tcPr>
          <w:p>
            <w:pPr>
              <w:ind w:left="740"/>
              <w:spacing w:after="0"/>
              <w:rPr>
                <w:sz w:val="20"/>
                <w:szCs w:val="20"/>
                <w:color w:val="auto"/>
              </w:rPr>
            </w:pPr>
            <w:r>
              <w:rPr>
                <w:rFonts w:ascii="Arial" w:cs="Arial" w:eastAsia="Arial" w:hAnsi="Arial"/>
                <w:sz w:val="18"/>
                <w:szCs w:val="18"/>
                <w:color w:val="auto"/>
              </w:rPr>
              <w:t>See “The Exchange Offer-Exchange Agent” for the</w:t>
            </w:r>
          </w:p>
        </w:tc>
      </w:tr>
      <w:tr>
        <w:trPr>
          <w:trHeight w:val="230"/>
        </w:trPr>
        <w:tc>
          <w:tcPr>
            <w:tcW w:w="3580" w:type="dxa"/>
            <w:vAlign w:val="bottom"/>
          </w:tcPr>
          <w:p>
            <w:pPr>
              <w:spacing w:after="0"/>
              <w:rPr>
                <w:sz w:val="20"/>
                <w:szCs w:val="20"/>
                <w:color w:val="auto"/>
              </w:rPr>
            </w:pPr>
          </w:p>
        </w:tc>
        <w:tc>
          <w:tcPr>
            <w:tcW w:w="4840" w:type="dxa"/>
            <w:vAlign w:val="bottom"/>
            <w:gridSpan w:val="6"/>
          </w:tcPr>
          <w:p>
            <w:pPr>
              <w:ind w:left="740"/>
              <w:spacing w:after="0"/>
              <w:rPr>
                <w:sz w:val="20"/>
                <w:szCs w:val="20"/>
                <w:color w:val="auto"/>
              </w:rPr>
            </w:pPr>
            <w:r>
              <w:rPr>
                <w:rFonts w:ascii="Arial" w:cs="Arial" w:eastAsia="Arial" w:hAnsi="Arial"/>
                <w:sz w:val="18"/>
                <w:szCs w:val="18"/>
                <w:color w:val="auto"/>
                <w:w w:val="93"/>
              </w:rPr>
              <w:t>address and telephone number of the exchange agent.</w:t>
            </w: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 w:name="page13"/>
    <w:bookmarkEnd w:id="12"/>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67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5653405" cy="796798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of New Notes</w:t>
      </w:r>
    </w:p>
    <w:p>
      <w:pPr>
        <w:spacing w:after="0" w:line="121" w:lineRule="exact"/>
        <w:rPr>
          <w:sz w:val="20"/>
          <w:szCs w:val="20"/>
          <w:color w:val="auto"/>
        </w:rPr>
      </w:pPr>
    </w:p>
    <w:p>
      <w:pPr>
        <w:jc w:val="both"/>
        <w:ind w:left="320" w:right="279" w:firstLine="360"/>
        <w:spacing w:after="0" w:line="270" w:lineRule="auto"/>
        <w:rPr>
          <w:sz w:val="20"/>
          <w:szCs w:val="20"/>
          <w:color w:val="auto"/>
        </w:rPr>
      </w:pPr>
      <w:r>
        <w:rPr>
          <w:rFonts w:ascii="Arial" w:cs="Arial" w:eastAsia="Arial" w:hAnsi="Arial"/>
          <w:sz w:val="17"/>
          <w:szCs w:val="17"/>
          <w:color w:val="auto"/>
        </w:rPr>
        <w:t>The following provides a summary of certain terms of the New Notes. The New Notes have terms that are identical in all material respects to the terms of the Old Notes, except that the New Notes are registered under the Securities Act and are generally not subject to transfer restrictions, are not entitled to registration rights under the registration rights agreements and do not have the right to additional interest under the circumstances described in the registration rights agreements relating to our fulfillment of our registration obligations. The New Notes will evidence the same debt as the Old Notes and will be governed by the same indenture under which the Old Notes were issued. Please refer to the section “Description of the Notes” for a more complete description of the terms of the New Notes. References in this prospectus to the “notes” include both the Old Notes and the New Notes unless otherwise specified or the context otherwise requires.</w:t>
      </w:r>
    </w:p>
    <w:p>
      <w:pPr>
        <w:ind w:left="320"/>
        <w:spacing w:after="0" w:line="189" w:lineRule="auto"/>
        <w:tabs>
          <w:tab w:leader="none" w:pos="4620" w:val="left"/>
        </w:tabs>
        <w:rPr>
          <w:sz w:val="20"/>
          <w:szCs w:val="20"/>
          <w:color w:val="auto"/>
        </w:rPr>
      </w:pPr>
      <w:r>
        <w:rPr>
          <w:rFonts w:ascii="Arial" w:cs="Arial" w:eastAsia="Arial" w:hAnsi="Arial"/>
          <w:sz w:val="36"/>
          <w:szCs w:val="36"/>
          <w:b w:val="1"/>
          <w:bCs w:val="1"/>
          <w:color w:val="auto"/>
          <w:vertAlign w:val="superscript"/>
        </w:rPr>
        <w:t>Issuer</w:t>
      </w:r>
      <w:r>
        <w:rPr>
          <w:sz w:val="20"/>
          <w:szCs w:val="20"/>
          <w:color w:val="auto"/>
        </w:rPr>
        <w:tab/>
      </w:r>
      <w:r>
        <w:rPr>
          <w:rFonts w:ascii="Arial" w:cs="Arial" w:eastAsia="Arial" w:hAnsi="Arial"/>
          <w:sz w:val="18"/>
          <w:szCs w:val="18"/>
          <w:color w:val="auto"/>
        </w:rPr>
        <w:t>South Plains Financial, Inc.</w:t>
      </w:r>
    </w:p>
    <w:p>
      <w:pPr>
        <w:spacing w:after="0" w:line="195"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7"/>
          <w:szCs w:val="17"/>
          <w:color w:val="auto"/>
        </w:rPr>
        <w:t>4.50% Fixed-to-Floating Rate Subordinated Notes due</w:t>
      </w:r>
    </w:p>
    <w:p>
      <w:pPr>
        <w:spacing w:after="0" w:line="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2030.</w:t>
      </w:r>
    </w:p>
    <w:p>
      <w:pPr>
        <w:sectPr>
          <w:pgSz w:w="11900" w:h="16838" w:orient="portrait"/>
          <w:cols w:equalWidth="0" w:num="1">
            <w:col w:w="9019"/>
          </w:cols>
          <w:pgMar w:left="1440" w:top="265" w:right="1440" w:bottom="1440" w:gutter="0" w:footer="0" w:header="0"/>
          <w:type w:val="continuous"/>
        </w:sectPr>
      </w:pPr>
    </w:p>
    <w:p>
      <w:pPr>
        <w:spacing w:after="0" w:line="12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Aggregate Principal Amount</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Maturity Date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Form and Denomination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Up to $50,000,000.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2030, unless previously redeemed.</w:t>
      </w:r>
    </w:p>
    <w:p>
      <w:pPr>
        <w:spacing w:after="0" w:line="158" w:lineRule="exact"/>
        <w:rPr>
          <w:sz w:val="20"/>
          <w:szCs w:val="20"/>
          <w:color w:val="auto"/>
        </w:rPr>
      </w:pPr>
    </w:p>
    <w:p>
      <w:pPr>
        <w:jc w:val="both"/>
        <w:ind w:right="279"/>
        <w:spacing w:after="0" w:line="269" w:lineRule="auto"/>
        <w:rPr>
          <w:sz w:val="20"/>
          <w:szCs w:val="20"/>
          <w:color w:val="auto"/>
        </w:rPr>
      </w:pPr>
      <w:r>
        <w:rPr>
          <w:rFonts w:ascii="Arial" w:cs="Arial" w:eastAsia="Arial" w:hAnsi="Arial"/>
          <w:sz w:val="17"/>
          <w:szCs w:val="17"/>
          <w:color w:val="auto"/>
        </w:rPr>
        <w:t>The New Notes will be issued only in fully registered form without interest coupons, in minimum denominations of $100,000 and any integral multiple of $1,000 in excess thereof. Unless otherwise required for institutional accredited investors, the New Notes will be evidenced by a global note deposited with the trustee for the New Notes, as custodian for The Depository Trust Company, or DTC, and transfers of beneficial interests will be facilitated only through records maintained by DTC and its participants.</w:t>
      </w:r>
    </w:p>
    <w:p>
      <w:pPr>
        <w:spacing w:after="0" w:line="114"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Interest Rate</w:t>
      </w:r>
      <w:r>
        <w:rPr>
          <w:sz w:val="20"/>
          <w:szCs w:val="20"/>
          <w:color w:val="auto"/>
        </w:rPr>
        <w:tab/>
      </w:r>
      <w:r>
        <w:rPr>
          <w:rFonts w:ascii="Arial" w:cs="Arial" w:eastAsia="Arial" w:hAnsi="Arial"/>
          <w:sz w:val="17"/>
          <w:szCs w:val="17"/>
          <w:color w:val="auto"/>
        </w:rPr>
        <w:t>4.50% per annum, from and including the closing date</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to, but excluding, September 30, 2025 (the “fixed rate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period”), payable semi-annually in arrears. From and</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including September 30, 2025, to, but excluding,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maturity date or early redemption date (the “floating rate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period”), the interest rate shall reset quarterly to an</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interest rate per annum equal to a benchmark rate that is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expected to be the then current Three-Month Term</w:t>
      </w:r>
    </w:p>
    <w:p>
      <w:pPr>
        <w:spacing w:after="0" w:line="9" w:lineRule="exact"/>
        <w:rPr>
          <w:sz w:val="20"/>
          <w:szCs w:val="20"/>
          <w:color w:val="auto"/>
        </w:rPr>
      </w:pPr>
    </w:p>
    <w:p>
      <w:pPr>
        <w:ind w:left="4640"/>
        <w:spacing w:after="0"/>
        <w:tabs>
          <w:tab w:leader="none" w:pos="5360" w:val="left"/>
          <w:tab w:leader="none" w:pos="6240" w:val="left"/>
          <w:tab w:leader="none" w:pos="7140" w:val="left"/>
          <w:tab w:leader="none" w:pos="7620" w:val="left"/>
          <w:tab w:leader="none" w:pos="8560" w:val="left"/>
        </w:tabs>
        <w:rPr>
          <w:sz w:val="20"/>
          <w:szCs w:val="20"/>
          <w:color w:val="auto"/>
        </w:rPr>
      </w:pPr>
      <w:r>
        <w:rPr>
          <w:rFonts w:ascii="Arial" w:cs="Arial" w:eastAsia="Arial" w:hAnsi="Arial"/>
          <w:sz w:val="18"/>
          <w:szCs w:val="18"/>
          <w:color w:val="auto"/>
        </w:rPr>
        <w:t>Secured</w:t>
        <w:tab/>
        <w:t>Overnight</w:t>
        <w:tab/>
        <w:t>Financing</w:t>
        <w:tab/>
        <w:t>Rate</w:t>
        <w:tab/>
        <w:t>(“SOFR”),</w:t>
      </w:r>
      <w:r>
        <w:rPr>
          <w:sz w:val="20"/>
          <w:szCs w:val="20"/>
          <w:color w:val="auto"/>
        </w:rPr>
        <w:tab/>
      </w:r>
      <w:r>
        <w:rPr>
          <w:rFonts w:ascii="Arial" w:cs="Arial" w:eastAsia="Arial" w:hAnsi="Arial"/>
          <w:sz w:val="15"/>
          <w:szCs w:val="15"/>
          <w:color w:val="auto"/>
        </w:rPr>
        <w:t>as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published by the Federal Reserve Bank of New York</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(provided, however, that in the event Three-Month Term</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SOFR is less than zero, Three-Month Term SOFR shall</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be deemed to be zero), plus 438 basis points, payable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quarterly in arrears. If Three-Month Term SOFR cannot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be determined on a given date, a different index shall be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determined and used in accordance with the terms of the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New Notes.</w:t>
      </w:r>
    </w:p>
    <w:p>
      <w:pPr>
        <w:spacing w:after="0" w:line="126"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Day Count Convention</w:t>
      </w:r>
      <w:r>
        <w:rPr>
          <w:sz w:val="20"/>
          <w:szCs w:val="20"/>
          <w:color w:val="auto"/>
        </w:rPr>
        <w:tab/>
      </w:r>
      <w:r>
        <w:rPr>
          <w:rFonts w:ascii="Arial" w:cs="Arial" w:eastAsia="Arial" w:hAnsi="Arial"/>
          <w:sz w:val="17"/>
          <w:szCs w:val="17"/>
          <w:color w:val="auto"/>
        </w:rPr>
        <w:t>30/360 to, but excluding, September 30, 2025, and,</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thereafter, a 360-day year and the number of days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actually elapsed.</w:t>
      </w:r>
    </w:p>
    <w:p>
      <w:pPr>
        <w:spacing w:after="0" w:line="139"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Record Dates</w:t>
      </w:r>
      <w:r>
        <w:rPr>
          <w:sz w:val="20"/>
          <w:szCs w:val="20"/>
          <w:color w:val="auto"/>
        </w:rPr>
        <w:tab/>
      </w:r>
      <w:r>
        <w:rPr>
          <w:rFonts w:ascii="Arial" w:cs="Arial" w:eastAsia="Arial" w:hAnsi="Arial"/>
          <w:sz w:val="17"/>
          <w:szCs w:val="17"/>
          <w:color w:val="auto"/>
        </w:rPr>
        <w:t>Each interest payment will be made to the holders of</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record who held the New Notes at the close of business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on the fifteenth calendar day prior to the applicable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interest payment date.</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73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5653405" cy="81737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3160" w:type="dxa"/>
            <w:vAlign w:val="bottom"/>
          </w:tcPr>
          <w:p>
            <w:pPr>
              <w:spacing w:after="0"/>
              <w:rPr>
                <w:sz w:val="20"/>
                <w:szCs w:val="20"/>
                <w:color w:val="auto"/>
              </w:rPr>
            </w:pPr>
            <w:r>
              <w:rPr>
                <w:rFonts w:ascii="Arial" w:cs="Arial" w:eastAsia="Arial" w:hAnsi="Arial"/>
                <w:sz w:val="18"/>
                <w:szCs w:val="18"/>
                <w:b w:val="1"/>
                <w:bCs w:val="1"/>
                <w:color w:val="auto"/>
              </w:rPr>
              <w:t>Subordination; Ranking</w:t>
            </w:r>
          </w:p>
        </w:tc>
        <w:tc>
          <w:tcPr>
            <w:tcW w:w="1580" w:type="dxa"/>
            <w:vAlign w:val="bottom"/>
          </w:tcPr>
          <w:p>
            <w:pPr>
              <w:ind w:left="1160"/>
              <w:spacing w:after="0"/>
              <w:rPr>
                <w:sz w:val="20"/>
                <w:szCs w:val="20"/>
                <w:color w:val="auto"/>
              </w:rPr>
            </w:pPr>
            <w:r>
              <w:rPr>
                <w:rFonts w:ascii="Arial" w:cs="Arial" w:eastAsia="Arial" w:hAnsi="Arial"/>
                <w:sz w:val="18"/>
                <w:szCs w:val="18"/>
                <w:color w:val="auto"/>
              </w:rPr>
              <w:t>The</w:t>
            </w:r>
          </w:p>
        </w:tc>
        <w:tc>
          <w:tcPr>
            <w:tcW w:w="3680" w:type="dxa"/>
            <w:vAlign w:val="bottom"/>
            <w:gridSpan w:val="6"/>
          </w:tcPr>
          <w:p>
            <w:pPr>
              <w:spacing w:after="0"/>
              <w:rPr>
                <w:sz w:val="20"/>
                <w:szCs w:val="20"/>
                <w:color w:val="auto"/>
              </w:rPr>
            </w:pPr>
            <w:r>
              <w:rPr>
                <w:rFonts w:ascii="Arial" w:cs="Arial" w:eastAsia="Arial" w:hAnsi="Arial"/>
                <w:sz w:val="18"/>
                <w:szCs w:val="18"/>
                <w:color w:val="auto"/>
              </w:rPr>
              <w:t>New  Notes  will  be  our  general  unsecured,</w:t>
            </w:r>
          </w:p>
        </w:tc>
      </w:tr>
      <w:tr>
        <w:trPr>
          <w:trHeight w:val="230"/>
        </w:trPr>
        <w:tc>
          <w:tcPr>
            <w:tcW w:w="3160" w:type="dxa"/>
            <w:vAlign w:val="bottom"/>
          </w:tcPr>
          <w:p>
            <w:pPr>
              <w:spacing w:after="0"/>
              <w:rPr>
                <w:sz w:val="20"/>
                <w:szCs w:val="20"/>
                <w:color w:val="auto"/>
              </w:rPr>
            </w:pPr>
          </w:p>
        </w:tc>
        <w:tc>
          <w:tcPr>
            <w:tcW w:w="3280" w:type="dxa"/>
            <w:vAlign w:val="bottom"/>
            <w:gridSpan w:val="4"/>
          </w:tcPr>
          <w:p>
            <w:pPr>
              <w:ind w:left="1160"/>
              <w:spacing w:after="0"/>
              <w:rPr>
                <w:sz w:val="20"/>
                <w:szCs w:val="20"/>
                <w:color w:val="auto"/>
              </w:rPr>
            </w:pPr>
            <w:r>
              <w:rPr>
                <w:rFonts w:ascii="Arial" w:cs="Arial" w:eastAsia="Arial" w:hAnsi="Arial"/>
                <w:sz w:val="18"/>
                <w:szCs w:val="18"/>
                <w:color w:val="auto"/>
                <w:w w:val="89"/>
              </w:rPr>
              <w:t>subordinated obligations and: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0"/>
        </w:trPr>
        <w:tc>
          <w:tcPr>
            <w:tcW w:w="3160" w:type="dxa"/>
            <w:vAlign w:val="bottom"/>
          </w:tcPr>
          <w:p>
            <w:pPr>
              <w:spacing w:after="0"/>
              <w:rPr>
                <w:sz w:val="24"/>
                <w:szCs w:val="24"/>
                <w:color w:val="auto"/>
              </w:rPr>
            </w:pPr>
          </w:p>
        </w:tc>
        <w:tc>
          <w:tcPr>
            <w:tcW w:w="1580" w:type="dxa"/>
            <w:vAlign w:val="bottom"/>
          </w:tcPr>
          <w:p>
            <w:pPr>
              <w:ind w:left="1500"/>
              <w:spacing w:after="0"/>
              <w:rPr>
                <w:sz w:val="20"/>
                <w:szCs w:val="20"/>
                <w:color w:val="auto"/>
              </w:rPr>
            </w:pPr>
            <w:r>
              <w:rPr>
                <w:rFonts w:ascii="Arial" w:cs="Arial" w:eastAsia="Arial" w:hAnsi="Arial"/>
                <w:sz w:val="18"/>
                <w:szCs w:val="18"/>
                <w:color w:val="auto"/>
                <w:w w:val="94"/>
              </w:rPr>
              <w:t>•</w:t>
            </w: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rPr>
              <w:t>will rank junior in right of payment to all of</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8"/>
              </w:rPr>
              <w:t>our existing and future senior indebtedness</w:t>
            </w:r>
          </w:p>
        </w:tc>
      </w:tr>
      <w:tr>
        <w:trPr>
          <w:trHeight w:val="230"/>
        </w:trPr>
        <w:tc>
          <w:tcPr>
            <w:tcW w:w="3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00" w:type="dxa"/>
            <w:vAlign w:val="bottom"/>
            <w:gridSpan w:val="3"/>
          </w:tcPr>
          <w:p>
            <w:pPr>
              <w:ind w:left="280"/>
              <w:spacing w:after="0"/>
              <w:rPr>
                <w:sz w:val="20"/>
                <w:szCs w:val="20"/>
                <w:color w:val="auto"/>
              </w:rPr>
            </w:pPr>
            <w:r>
              <w:rPr>
                <w:rFonts w:ascii="Arial" w:cs="Arial" w:eastAsia="Arial" w:hAnsi="Arial"/>
                <w:sz w:val="18"/>
                <w:szCs w:val="18"/>
                <w:color w:val="auto"/>
                <w:w w:val="90"/>
              </w:rPr>
              <w:t>(as defined herein);</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0"/>
        </w:trPr>
        <w:tc>
          <w:tcPr>
            <w:tcW w:w="3160" w:type="dxa"/>
            <w:vAlign w:val="bottom"/>
          </w:tcPr>
          <w:p>
            <w:pPr>
              <w:spacing w:after="0"/>
              <w:rPr>
                <w:sz w:val="24"/>
                <w:szCs w:val="24"/>
                <w:color w:val="auto"/>
              </w:rPr>
            </w:pPr>
          </w:p>
        </w:tc>
        <w:tc>
          <w:tcPr>
            <w:tcW w:w="1580" w:type="dxa"/>
            <w:vAlign w:val="bottom"/>
          </w:tcPr>
          <w:p>
            <w:pPr>
              <w:ind w:left="1500"/>
              <w:spacing w:after="0"/>
              <w:rPr>
                <w:sz w:val="20"/>
                <w:szCs w:val="20"/>
                <w:color w:val="auto"/>
              </w:rPr>
            </w:pPr>
            <w:r>
              <w:rPr>
                <w:rFonts w:ascii="Arial" w:cs="Arial" w:eastAsia="Arial" w:hAnsi="Arial"/>
                <w:sz w:val="18"/>
                <w:szCs w:val="18"/>
                <w:color w:val="auto"/>
                <w:w w:val="94"/>
              </w:rPr>
              <w:t>•</w:t>
            </w: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9"/>
              </w:rPr>
              <w:t>will rank equally in right of payment with all</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rPr>
              <w:t>of  our  existing  and  future  unsecured</w:t>
            </w:r>
          </w:p>
        </w:tc>
      </w:tr>
      <w:tr>
        <w:trPr>
          <w:trHeight w:val="230"/>
        </w:trPr>
        <w:tc>
          <w:tcPr>
            <w:tcW w:w="3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rPr>
              <w:t>subordinated indebtedness;</w:t>
            </w:r>
          </w:p>
        </w:tc>
      </w:tr>
      <w:tr>
        <w:trPr>
          <w:trHeight w:val="310"/>
        </w:trPr>
        <w:tc>
          <w:tcPr>
            <w:tcW w:w="3160" w:type="dxa"/>
            <w:vAlign w:val="bottom"/>
          </w:tcPr>
          <w:p>
            <w:pPr>
              <w:spacing w:after="0"/>
              <w:rPr>
                <w:sz w:val="24"/>
                <w:szCs w:val="24"/>
                <w:color w:val="auto"/>
              </w:rPr>
            </w:pPr>
          </w:p>
        </w:tc>
        <w:tc>
          <w:tcPr>
            <w:tcW w:w="1580" w:type="dxa"/>
            <w:vAlign w:val="bottom"/>
          </w:tcPr>
          <w:p>
            <w:pPr>
              <w:ind w:left="1500"/>
              <w:spacing w:after="0"/>
              <w:rPr>
                <w:sz w:val="20"/>
                <w:szCs w:val="20"/>
                <w:color w:val="auto"/>
              </w:rPr>
            </w:pPr>
            <w:r>
              <w:rPr>
                <w:rFonts w:ascii="Arial" w:cs="Arial" w:eastAsia="Arial" w:hAnsi="Arial"/>
                <w:sz w:val="18"/>
                <w:szCs w:val="18"/>
                <w:color w:val="auto"/>
                <w:w w:val="94"/>
              </w:rPr>
              <w:t>•</w:t>
            </w: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5"/>
              </w:rPr>
              <w:t>will rank senior in right of payment and upon</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0"/>
              </w:rPr>
              <w:t>the Company’s liquidation to any indebtedness</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rPr>
              <w:t>the  terms  of  which  provide  that  such</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0"/>
              </w:rPr>
              <w:t>indebtedness ranks junior to promissory notes,</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3"/>
              </w:rPr>
              <w:t>bonds,  debentures  and  other  evidences  of</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rPr>
              <w:t>indebtedness  of  types  that  include  the</w:t>
            </w:r>
          </w:p>
        </w:tc>
      </w:tr>
      <w:tr>
        <w:trPr>
          <w:trHeight w:val="230"/>
        </w:trPr>
        <w:tc>
          <w:tcPr>
            <w:tcW w:w="3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20" w:type="dxa"/>
            <w:vAlign w:val="bottom"/>
            <w:gridSpan w:val="5"/>
          </w:tcPr>
          <w:p>
            <w:pPr>
              <w:ind w:left="280"/>
              <w:spacing w:after="0"/>
              <w:rPr>
                <w:sz w:val="20"/>
                <w:szCs w:val="20"/>
                <w:color w:val="auto"/>
              </w:rPr>
            </w:pPr>
            <w:r>
              <w:rPr>
                <w:rFonts w:ascii="Arial" w:cs="Arial" w:eastAsia="Arial" w:hAnsi="Arial"/>
                <w:sz w:val="18"/>
                <w:szCs w:val="18"/>
                <w:color w:val="auto"/>
                <w:w w:val="96"/>
              </w:rPr>
              <w:t>Subordinated Notes; and</w:t>
            </w:r>
          </w:p>
        </w:tc>
        <w:tc>
          <w:tcPr>
            <w:tcW w:w="1460" w:type="dxa"/>
            <w:vAlign w:val="bottom"/>
          </w:tcPr>
          <w:p>
            <w:pPr>
              <w:spacing w:after="0"/>
              <w:rPr>
                <w:sz w:val="20"/>
                <w:szCs w:val="20"/>
                <w:color w:val="auto"/>
              </w:rPr>
            </w:pPr>
          </w:p>
        </w:tc>
      </w:tr>
      <w:tr>
        <w:trPr>
          <w:trHeight w:val="310"/>
        </w:trPr>
        <w:tc>
          <w:tcPr>
            <w:tcW w:w="3160" w:type="dxa"/>
            <w:vAlign w:val="bottom"/>
          </w:tcPr>
          <w:p>
            <w:pPr>
              <w:spacing w:after="0"/>
              <w:rPr>
                <w:sz w:val="24"/>
                <w:szCs w:val="24"/>
                <w:color w:val="auto"/>
              </w:rPr>
            </w:pPr>
          </w:p>
        </w:tc>
        <w:tc>
          <w:tcPr>
            <w:tcW w:w="1580" w:type="dxa"/>
            <w:vAlign w:val="bottom"/>
          </w:tcPr>
          <w:p>
            <w:pPr>
              <w:ind w:left="1500"/>
              <w:spacing w:after="0"/>
              <w:rPr>
                <w:sz w:val="20"/>
                <w:szCs w:val="20"/>
                <w:color w:val="auto"/>
              </w:rPr>
            </w:pPr>
            <w:r>
              <w:rPr>
                <w:rFonts w:ascii="Arial" w:cs="Arial" w:eastAsia="Arial" w:hAnsi="Arial"/>
                <w:sz w:val="18"/>
                <w:szCs w:val="18"/>
                <w:color w:val="auto"/>
                <w:w w:val="94"/>
              </w:rPr>
              <w:t>•</w:t>
            </w: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rPr>
              <w:t>will be effectively subordinated to all of the</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0"/>
              </w:rPr>
              <w:t>existing and future indebtedness, liabilities and</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9"/>
              </w:rPr>
              <w:t>other obligations of the Bank and our other</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8"/>
              </w:rPr>
              <w:t>current  and  future  subsidiaries,  including</w:t>
            </w:r>
          </w:p>
        </w:tc>
      </w:tr>
      <w:tr>
        <w:trPr>
          <w:trHeight w:val="216"/>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w w:val="94"/>
              </w:rPr>
              <w:t>without limitation the Bank’s deposit liabilities</w:t>
            </w:r>
          </w:p>
        </w:tc>
      </w:tr>
      <w:tr>
        <w:trPr>
          <w:trHeight w:val="230"/>
        </w:trPr>
        <w:tc>
          <w:tcPr>
            <w:tcW w:w="3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80" w:type="dxa"/>
            <w:vAlign w:val="bottom"/>
            <w:gridSpan w:val="6"/>
          </w:tcPr>
          <w:p>
            <w:pPr>
              <w:ind w:left="280"/>
              <w:spacing w:after="0"/>
              <w:rPr>
                <w:sz w:val="20"/>
                <w:szCs w:val="20"/>
                <w:color w:val="auto"/>
              </w:rPr>
            </w:pPr>
            <w:r>
              <w:rPr>
                <w:rFonts w:ascii="Arial" w:cs="Arial" w:eastAsia="Arial" w:hAnsi="Arial"/>
                <w:sz w:val="18"/>
                <w:szCs w:val="18"/>
                <w:color w:val="auto"/>
              </w:rPr>
              <w:t>and claims of other creditors of the Bank.</w:t>
            </w:r>
          </w:p>
        </w:tc>
      </w:tr>
      <w:tr>
        <w:trPr>
          <w:trHeight w:val="310"/>
        </w:trPr>
        <w:tc>
          <w:tcPr>
            <w:tcW w:w="3160" w:type="dxa"/>
            <w:vAlign w:val="bottom"/>
          </w:tcPr>
          <w:p>
            <w:pPr>
              <w:spacing w:after="0"/>
              <w:rPr>
                <w:sz w:val="24"/>
                <w:szCs w:val="24"/>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2"/>
              </w:rPr>
              <w:t>As of September 30, 2020, the Company’s subsidiaries</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2"/>
              </w:rPr>
              <w:t>had, in the aggregate, outstanding debt and deposits of</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rPr>
              <w:t>$3.1  billion,  which  would  rank  senior  to  the</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6"/>
              </w:rPr>
              <w:t>Subordinated Notes. In addition, as of September 30,</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2"/>
              </w:rPr>
              <w:t>2020, South Plains Financial, Inc. had no indebtedness</w:t>
            </w:r>
          </w:p>
        </w:tc>
      </w:tr>
      <w:tr>
        <w:trPr>
          <w:trHeight w:val="216"/>
        </w:trPr>
        <w:tc>
          <w:tcPr>
            <w:tcW w:w="3160" w:type="dxa"/>
            <w:vAlign w:val="bottom"/>
          </w:tcPr>
          <w:p>
            <w:pPr>
              <w:spacing w:after="0"/>
              <w:rPr>
                <w:sz w:val="18"/>
                <w:szCs w:val="18"/>
                <w:color w:val="auto"/>
              </w:rPr>
            </w:pPr>
          </w:p>
        </w:tc>
        <w:tc>
          <w:tcPr>
            <w:tcW w:w="2000" w:type="dxa"/>
            <w:vAlign w:val="bottom"/>
            <w:gridSpan w:val="2"/>
          </w:tcPr>
          <w:p>
            <w:pPr>
              <w:ind w:left="1160"/>
              <w:spacing w:after="0"/>
              <w:rPr>
                <w:sz w:val="20"/>
                <w:szCs w:val="20"/>
                <w:color w:val="auto"/>
              </w:rPr>
            </w:pPr>
            <w:r>
              <w:rPr>
                <w:rFonts w:ascii="Arial" w:cs="Arial" w:eastAsia="Arial" w:hAnsi="Arial"/>
                <w:sz w:val="18"/>
                <w:szCs w:val="18"/>
                <w:color w:val="auto"/>
                <w:w w:val="94"/>
              </w:rPr>
              <w:t>that  would</w:t>
            </w:r>
          </w:p>
        </w:tc>
        <w:tc>
          <w:tcPr>
            <w:tcW w:w="500" w:type="dxa"/>
            <w:vAlign w:val="bottom"/>
          </w:tcPr>
          <w:p>
            <w:pPr>
              <w:jc w:val="right"/>
              <w:spacing w:after="0"/>
              <w:rPr>
                <w:sz w:val="20"/>
                <w:szCs w:val="20"/>
                <w:color w:val="auto"/>
              </w:rPr>
            </w:pPr>
            <w:r>
              <w:rPr>
                <w:rFonts w:ascii="Arial" w:cs="Arial" w:eastAsia="Arial" w:hAnsi="Arial"/>
                <w:sz w:val="18"/>
                <w:szCs w:val="18"/>
                <w:color w:val="auto"/>
              </w:rPr>
              <w:t>rank</w:t>
            </w:r>
          </w:p>
        </w:tc>
        <w:tc>
          <w:tcPr>
            <w:tcW w:w="780" w:type="dxa"/>
            <w:vAlign w:val="bottom"/>
          </w:tcPr>
          <w:p>
            <w:pPr>
              <w:ind w:left="40"/>
              <w:spacing w:after="0"/>
              <w:rPr>
                <w:sz w:val="20"/>
                <w:szCs w:val="20"/>
                <w:color w:val="auto"/>
              </w:rPr>
            </w:pPr>
            <w:r>
              <w:rPr>
                <w:rFonts w:ascii="Arial" w:cs="Arial" w:eastAsia="Arial" w:hAnsi="Arial"/>
                <w:sz w:val="18"/>
                <w:szCs w:val="18"/>
                <w:color w:val="auto"/>
                <w:w w:val="97"/>
              </w:rPr>
              <w:t>senior  to</w:t>
            </w:r>
          </w:p>
        </w:tc>
        <w:tc>
          <w:tcPr>
            <w:tcW w:w="300" w:type="dxa"/>
            <w:vAlign w:val="bottom"/>
          </w:tcPr>
          <w:p>
            <w:pPr>
              <w:ind w:left="80"/>
              <w:spacing w:after="0"/>
              <w:rPr>
                <w:sz w:val="20"/>
                <w:szCs w:val="20"/>
                <w:color w:val="auto"/>
              </w:rPr>
            </w:pPr>
            <w:r>
              <w:rPr>
                <w:rFonts w:ascii="Arial" w:cs="Arial" w:eastAsia="Arial" w:hAnsi="Arial"/>
                <w:sz w:val="18"/>
                <w:szCs w:val="18"/>
                <w:color w:val="auto"/>
                <w:w w:val="79"/>
              </w:rPr>
              <w:t>the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w w:val="96"/>
              </w:rPr>
              <w:t>Subordinated  Notes,</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rPr>
              <w:t xml:space="preserve">$76.5 million that would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4"/>
              </w:rPr>
              <w:t>Subordinated Notes, and $46.4 million that would rank</w:t>
            </w:r>
          </w:p>
        </w:tc>
      </w:tr>
      <w:tr>
        <w:trPr>
          <w:trHeight w:val="230"/>
        </w:trPr>
        <w:tc>
          <w:tcPr>
            <w:tcW w:w="3160" w:type="dxa"/>
            <w:vAlign w:val="bottom"/>
          </w:tcPr>
          <w:p>
            <w:pPr>
              <w:spacing w:after="0"/>
              <w:rPr>
                <w:sz w:val="20"/>
                <w:szCs w:val="20"/>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rPr>
              <w:t>subordinate to the Subordinated Notes.</w:t>
            </w:r>
          </w:p>
        </w:tc>
      </w:tr>
      <w:tr>
        <w:trPr>
          <w:trHeight w:val="337"/>
        </w:trPr>
        <w:tc>
          <w:tcPr>
            <w:tcW w:w="3160" w:type="dxa"/>
            <w:vAlign w:val="bottom"/>
          </w:tcPr>
          <w:p>
            <w:pPr>
              <w:spacing w:after="0"/>
              <w:rPr>
                <w:sz w:val="20"/>
                <w:szCs w:val="20"/>
                <w:color w:val="auto"/>
              </w:rPr>
            </w:pPr>
            <w:r>
              <w:rPr>
                <w:rFonts w:ascii="Arial" w:cs="Arial" w:eastAsia="Arial" w:hAnsi="Arial"/>
                <w:sz w:val="18"/>
                <w:szCs w:val="18"/>
                <w:b w:val="1"/>
                <w:bCs w:val="1"/>
                <w:color w:val="auto"/>
              </w:rPr>
              <w:t>Optional Redemption</w:t>
            </w:r>
          </w:p>
        </w:tc>
        <w:tc>
          <w:tcPr>
            <w:tcW w:w="3800" w:type="dxa"/>
            <w:vAlign w:val="bottom"/>
            <w:gridSpan w:val="6"/>
          </w:tcPr>
          <w:p>
            <w:pPr>
              <w:ind w:left="1160"/>
              <w:spacing w:after="0"/>
              <w:rPr>
                <w:sz w:val="20"/>
                <w:szCs w:val="20"/>
                <w:color w:val="auto"/>
              </w:rPr>
            </w:pPr>
            <w:r>
              <w:rPr>
                <w:rFonts w:ascii="Arial" w:cs="Arial" w:eastAsia="Arial" w:hAnsi="Arial"/>
                <w:sz w:val="18"/>
                <w:szCs w:val="18"/>
                <w:color w:val="auto"/>
              </w:rPr>
              <w:t>The Company may, at its option,</w:t>
            </w:r>
          </w:p>
        </w:tc>
        <w:tc>
          <w:tcPr>
            <w:tcW w:w="1460" w:type="dxa"/>
            <w:vAlign w:val="bottom"/>
          </w:tcPr>
          <w:p>
            <w:pPr>
              <w:jc w:val="right"/>
              <w:spacing w:after="0"/>
              <w:rPr>
                <w:sz w:val="20"/>
                <w:szCs w:val="20"/>
                <w:color w:val="auto"/>
              </w:rPr>
            </w:pPr>
            <w:r>
              <w:rPr>
                <w:rFonts w:ascii="Arial" w:cs="Arial" w:eastAsia="Arial" w:hAnsi="Arial"/>
                <w:sz w:val="18"/>
                <w:szCs w:val="18"/>
                <w:color w:val="auto"/>
                <w:w w:val="97"/>
              </w:rPr>
              <w:t>beginning with the</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6"/>
              </w:rPr>
              <w:t>interest payment date of September 30, 2025 but not</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9"/>
              </w:rPr>
              <w:t>prior thereto (except upon the occurrence of certain</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4"/>
              </w:rPr>
              <w:t>events specified below) and on any scheduled interest</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9"/>
              </w:rPr>
              <w:t>payment date thereafter, redeem the New Notes, in</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4"/>
              </w:rPr>
              <w:t>whole or in part, subject to obtaining the prior approval</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1"/>
              </w:rPr>
              <w:t>of the Federal Reserve to the extent such prior approval</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2"/>
              </w:rPr>
              <w:t>is then required under the capital adequacy rules of the</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0"/>
              </w:rPr>
              <w:t>Federal Reserve, at a redemption price equal to 100% of</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3"/>
              </w:rPr>
              <w:t>the principal amount of the New Notes to be redeemed</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3"/>
              </w:rPr>
              <w:t>plus any accrued and unpaid interest to, but excluding,</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5"/>
              </w:rPr>
              <w:t>the date of redemption. Any partial redemption will be</w:t>
            </w:r>
          </w:p>
        </w:tc>
      </w:tr>
      <w:tr>
        <w:trPr>
          <w:trHeight w:val="216"/>
        </w:trPr>
        <w:tc>
          <w:tcPr>
            <w:tcW w:w="3160" w:type="dxa"/>
            <w:vAlign w:val="bottom"/>
          </w:tcPr>
          <w:p>
            <w:pPr>
              <w:spacing w:after="0"/>
              <w:rPr>
                <w:sz w:val="18"/>
                <w:szCs w:val="18"/>
                <w:color w:val="auto"/>
              </w:rPr>
            </w:pPr>
          </w:p>
        </w:tc>
        <w:tc>
          <w:tcPr>
            <w:tcW w:w="1580" w:type="dxa"/>
            <w:vAlign w:val="bottom"/>
          </w:tcPr>
          <w:p>
            <w:pPr>
              <w:ind w:left="1160"/>
              <w:spacing w:after="0"/>
              <w:rPr>
                <w:sz w:val="20"/>
                <w:szCs w:val="20"/>
                <w:color w:val="auto"/>
              </w:rPr>
            </w:pPr>
            <w:r>
              <w:rPr>
                <w:rFonts w:ascii="Arial" w:cs="Arial" w:eastAsia="Arial" w:hAnsi="Arial"/>
                <w:sz w:val="18"/>
                <w:szCs w:val="18"/>
                <w:color w:val="auto"/>
                <w:w w:val="88"/>
              </w:rPr>
              <w:t>made</w:t>
            </w:r>
          </w:p>
        </w:tc>
        <w:tc>
          <w:tcPr>
            <w:tcW w:w="420" w:type="dxa"/>
            <w:vAlign w:val="bottom"/>
          </w:tcPr>
          <w:p>
            <w:pPr>
              <w:ind w:left="140"/>
              <w:spacing w:after="0"/>
              <w:rPr>
                <w:sz w:val="20"/>
                <w:szCs w:val="20"/>
                <w:color w:val="auto"/>
              </w:rPr>
            </w:pPr>
            <w:r>
              <w:rPr>
                <w:rFonts w:ascii="Arial" w:cs="Arial" w:eastAsia="Arial" w:hAnsi="Arial"/>
                <w:sz w:val="18"/>
                <w:szCs w:val="18"/>
                <w:color w:val="auto"/>
                <w:w w:val="99"/>
              </w:rPr>
              <w:t>pro</w:t>
            </w:r>
          </w:p>
        </w:tc>
        <w:tc>
          <w:tcPr>
            <w:tcW w:w="500" w:type="dxa"/>
            <w:vAlign w:val="bottom"/>
          </w:tcPr>
          <w:p>
            <w:pPr>
              <w:jc w:val="right"/>
              <w:spacing w:after="0"/>
              <w:rPr>
                <w:sz w:val="20"/>
                <w:szCs w:val="20"/>
                <w:color w:val="auto"/>
              </w:rPr>
            </w:pPr>
            <w:r>
              <w:rPr>
                <w:rFonts w:ascii="Arial" w:cs="Arial" w:eastAsia="Arial" w:hAnsi="Arial"/>
                <w:sz w:val="18"/>
                <w:szCs w:val="18"/>
                <w:color w:val="auto"/>
              </w:rPr>
              <w:t>rata</w:t>
            </w:r>
          </w:p>
        </w:tc>
        <w:tc>
          <w:tcPr>
            <w:tcW w:w="780" w:type="dxa"/>
            <w:vAlign w:val="bottom"/>
          </w:tcPr>
          <w:p>
            <w:pPr>
              <w:ind w:left="120"/>
              <w:spacing w:after="0"/>
              <w:rPr>
                <w:sz w:val="20"/>
                <w:szCs w:val="20"/>
                <w:color w:val="auto"/>
              </w:rPr>
            </w:pPr>
            <w:r>
              <w:rPr>
                <w:rFonts w:ascii="Arial" w:cs="Arial" w:eastAsia="Arial" w:hAnsi="Arial"/>
                <w:sz w:val="18"/>
                <w:szCs w:val="18"/>
                <w:color w:val="auto"/>
              </w:rPr>
              <w:t>among</w:t>
            </w:r>
          </w:p>
        </w:tc>
        <w:tc>
          <w:tcPr>
            <w:tcW w:w="300" w:type="dxa"/>
            <w:vAlign w:val="bottom"/>
          </w:tcPr>
          <w:p>
            <w:pPr>
              <w:spacing w:after="0"/>
              <w:rPr>
                <w:sz w:val="20"/>
                <w:szCs w:val="20"/>
                <w:color w:val="auto"/>
              </w:rPr>
            </w:pPr>
            <w:r>
              <w:rPr>
                <w:rFonts w:ascii="Arial" w:cs="Arial" w:eastAsia="Arial" w:hAnsi="Arial"/>
                <w:sz w:val="18"/>
                <w:szCs w:val="18"/>
                <w:color w:val="auto"/>
              </w:rPr>
              <w:t>all</w:t>
            </w:r>
          </w:p>
        </w:tc>
        <w:tc>
          <w:tcPr>
            <w:tcW w:w="220" w:type="dxa"/>
            <w:vAlign w:val="bottom"/>
          </w:tcPr>
          <w:p>
            <w:pPr>
              <w:ind w:left="80"/>
              <w:spacing w:after="0"/>
              <w:rPr>
                <w:sz w:val="20"/>
                <w:szCs w:val="20"/>
                <w:color w:val="auto"/>
              </w:rPr>
            </w:pPr>
            <w:r>
              <w:rPr>
                <w:rFonts w:ascii="Arial" w:cs="Arial" w:eastAsia="Arial" w:hAnsi="Arial"/>
                <w:sz w:val="18"/>
                <w:szCs w:val="18"/>
                <w:color w:val="auto"/>
                <w:w w:val="79"/>
              </w:rPr>
              <w:t>of</w:t>
            </w:r>
          </w:p>
        </w:tc>
        <w:tc>
          <w:tcPr>
            <w:tcW w:w="1460" w:type="dxa"/>
            <w:vAlign w:val="bottom"/>
          </w:tcPr>
          <w:p>
            <w:pPr>
              <w:jc w:val="right"/>
              <w:spacing w:after="0"/>
              <w:rPr>
                <w:sz w:val="20"/>
                <w:szCs w:val="20"/>
                <w:color w:val="auto"/>
              </w:rPr>
            </w:pPr>
            <w:r>
              <w:rPr>
                <w:rFonts w:ascii="Arial" w:cs="Arial" w:eastAsia="Arial" w:hAnsi="Arial"/>
                <w:sz w:val="18"/>
                <w:szCs w:val="18"/>
                <w:color w:val="auto"/>
              </w:rPr>
              <w:t>the  noteholders</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5"/>
              </w:rPr>
              <w:t>(such redemption to be considered a “Pro Rata Pass-</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rPr>
              <w:t>Through of Principal” for purpose of a redemption</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89"/>
              </w:rPr>
              <w:t>processed through DTC). The New Notes are not subject</w:t>
            </w:r>
          </w:p>
        </w:tc>
      </w:tr>
      <w:tr>
        <w:trPr>
          <w:trHeight w:val="230"/>
        </w:trPr>
        <w:tc>
          <w:tcPr>
            <w:tcW w:w="3160" w:type="dxa"/>
            <w:vAlign w:val="bottom"/>
          </w:tcPr>
          <w:p>
            <w:pPr>
              <w:spacing w:after="0"/>
              <w:rPr>
                <w:sz w:val="20"/>
                <w:szCs w:val="20"/>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5"/>
              </w:rPr>
              <w:t>to redemption at the option of the noteholders thereof.</w:t>
            </w:r>
          </w:p>
        </w:tc>
      </w:tr>
      <w:tr>
        <w:trPr>
          <w:trHeight w:val="350"/>
        </w:trPr>
        <w:tc>
          <w:tcPr>
            <w:tcW w:w="3160" w:type="dxa"/>
            <w:vAlign w:val="bottom"/>
          </w:tcPr>
          <w:p>
            <w:pPr>
              <w:spacing w:after="0"/>
              <w:rPr>
                <w:sz w:val="20"/>
                <w:szCs w:val="20"/>
                <w:color w:val="auto"/>
              </w:rPr>
            </w:pPr>
            <w:r>
              <w:rPr>
                <w:rFonts w:ascii="Arial" w:cs="Arial" w:eastAsia="Arial" w:hAnsi="Arial"/>
                <w:sz w:val="18"/>
                <w:szCs w:val="18"/>
                <w:b w:val="1"/>
                <w:bCs w:val="1"/>
                <w:color w:val="auto"/>
              </w:rPr>
              <w:t>Special Event Redemption</w:t>
            </w:r>
          </w:p>
        </w:tc>
        <w:tc>
          <w:tcPr>
            <w:tcW w:w="1580" w:type="dxa"/>
            <w:vAlign w:val="bottom"/>
          </w:tcPr>
          <w:p>
            <w:pPr>
              <w:ind w:left="1160"/>
              <w:spacing w:after="0"/>
              <w:rPr>
                <w:sz w:val="20"/>
                <w:szCs w:val="20"/>
                <w:color w:val="auto"/>
              </w:rPr>
            </w:pPr>
            <w:r>
              <w:rPr>
                <w:rFonts w:ascii="Arial" w:cs="Arial" w:eastAsia="Arial" w:hAnsi="Arial"/>
                <w:sz w:val="18"/>
                <w:szCs w:val="18"/>
                <w:color w:val="auto"/>
              </w:rPr>
              <w:t>The</w:t>
            </w:r>
          </w:p>
        </w:tc>
        <w:tc>
          <w:tcPr>
            <w:tcW w:w="3680" w:type="dxa"/>
            <w:vAlign w:val="bottom"/>
            <w:gridSpan w:val="6"/>
          </w:tcPr>
          <w:p>
            <w:pPr>
              <w:jc w:val="right"/>
              <w:spacing w:after="0"/>
              <w:rPr>
                <w:sz w:val="20"/>
                <w:szCs w:val="20"/>
                <w:color w:val="auto"/>
              </w:rPr>
            </w:pPr>
            <w:r>
              <w:rPr>
                <w:rFonts w:ascii="Arial" w:cs="Arial" w:eastAsia="Arial" w:hAnsi="Arial"/>
                <w:sz w:val="18"/>
                <w:szCs w:val="18"/>
                <w:color w:val="auto"/>
                <w:w w:val="99"/>
              </w:rPr>
              <w:t>New  Notes  may  not  be  redeemed  prior  to</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w w:val="98"/>
              </w:rPr>
              <w:t>September 30, 2025, except that the Company may</w:t>
            </w:r>
          </w:p>
        </w:tc>
      </w:tr>
      <w:tr>
        <w:trPr>
          <w:trHeight w:val="216"/>
        </w:trPr>
        <w:tc>
          <w:tcPr>
            <w:tcW w:w="3160" w:type="dxa"/>
            <w:vAlign w:val="bottom"/>
          </w:tcPr>
          <w:p>
            <w:pPr>
              <w:spacing w:after="0"/>
              <w:rPr>
                <w:sz w:val="18"/>
                <w:szCs w:val="18"/>
                <w:color w:val="auto"/>
              </w:rPr>
            </w:pPr>
          </w:p>
        </w:tc>
        <w:tc>
          <w:tcPr>
            <w:tcW w:w="5260" w:type="dxa"/>
            <w:vAlign w:val="bottom"/>
            <w:gridSpan w:val="7"/>
          </w:tcPr>
          <w:p>
            <w:pPr>
              <w:ind w:left="1160"/>
              <w:spacing w:after="0"/>
              <w:rPr>
                <w:sz w:val="20"/>
                <w:szCs w:val="20"/>
                <w:color w:val="auto"/>
              </w:rPr>
            </w:pPr>
            <w:r>
              <w:rPr>
                <w:rFonts w:ascii="Arial" w:cs="Arial" w:eastAsia="Arial" w:hAnsi="Arial"/>
                <w:sz w:val="18"/>
                <w:szCs w:val="18"/>
                <w:color w:val="auto"/>
              </w:rPr>
              <w:t>redeem the New Notes at any time, at its option, in</w:t>
            </w:r>
          </w:p>
        </w:tc>
      </w:tr>
      <w:tr>
        <w:trPr>
          <w:trHeight w:val="230"/>
        </w:trPr>
        <w:tc>
          <w:tcPr>
            <w:tcW w:w="3160" w:type="dxa"/>
            <w:vAlign w:val="bottom"/>
          </w:tcPr>
          <w:p>
            <w:pPr>
              <w:spacing w:after="0"/>
              <w:rPr>
                <w:sz w:val="20"/>
                <w:szCs w:val="20"/>
                <w:color w:val="auto"/>
              </w:rPr>
            </w:pPr>
          </w:p>
        </w:tc>
        <w:tc>
          <w:tcPr>
            <w:tcW w:w="2000" w:type="dxa"/>
            <w:vAlign w:val="bottom"/>
            <w:gridSpan w:val="2"/>
          </w:tcPr>
          <w:p>
            <w:pPr>
              <w:ind w:left="1160"/>
              <w:spacing w:after="0"/>
              <w:rPr>
                <w:sz w:val="20"/>
                <w:szCs w:val="20"/>
                <w:color w:val="auto"/>
              </w:rPr>
            </w:pPr>
            <w:r>
              <w:rPr>
                <w:rFonts w:ascii="Arial" w:cs="Arial" w:eastAsia="Arial" w:hAnsi="Arial"/>
                <w:sz w:val="18"/>
                <w:szCs w:val="18"/>
                <w:color w:val="auto"/>
              </w:rPr>
              <w:t>whole but</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not in</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part, subject</w:t>
            </w:r>
          </w:p>
        </w:tc>
        <w:tc>
          <w:tcPr>
            <w:tcW w:w="220" w:type="dxa"/>
            <w:vAlign w:val="bottom"/>
          </w:tcPr>
          <w:p>
            <w:pPr>
              <w:spacing w:after="0"/>
              <w:rPr>
                <w:sz w:val="20"/>
                <w:szCs w:val="20"/>
                <w:color w:val="auto"/>
              </w:rPr>
            </w:pPr>
            <w:r>
              <w:rPr>
                <w:rFonts w:ascii="Arial" w:cs="Arial" w:eastAsia="Arial" w:hAnsi="Arial"/>
                <w:sz w:val="18"/>
                <w:szCs w:val="18"/>
                <w:color w:val="auto"/>
              </w:rPr>
              <w:t>to</w:t>
            </w:r>
          </w:p>
        </w:tc>
        <w:tc>
          <w:tcPr>
            <w:tcW w:w="1460" w:type="dxa"/>
            <w:vAlign w:val="bottom"/>
          </w:tcPr>
          <w:p>
            <w:pPr>
              <w:jc w:val="right"/>
              <w:spacing w:after="0"/>
              <w:rPr>
                <w:sz w:val="20"/>
                <w:szCs w:val="20"/>
                <w:color w:val="auto"/>
              </w:rPr>
            </w:pPr>
            <w:r>
              <w:rPr>
                <w:rFonts w:ascii="Arial" w:cs="Arial" w:eastAsia="Arial" w:hAnsi="Arial"/>
                <w:sz w:val="18"/>
                <w:szCs w:val="18"/>
                <w:color w:val="auto"/>
                <w:w w:val="98"/>
              </w:rPr>
              <w:t>obtaining the prior</w:t>
            </w:r>
          </w:p>
        </w:tc>
      </w:tr>
    </w:tbl>
    <w:p>
      <w:pPr>
        <w:ind w:left="4640"/>
        <w:spacing w:after="0"/>
        <w:rPr>
          <w:sz w:val="20"/>
          <w:szCs w:val="20"/>
          <w:color w:val="auto"/>
        </w:rPr>
      </w:pPr>
      <w:r>
        <w:rPr>
          <w:rFonts w:ascii="Arial" w:cs="Arial" w:eastAsia="Arial" w:hAnsi="Arial"/>
          <w:sz w:val="16"/>
          <w:szCs w:val="16"/>
          <w:color w:val="auto"/>
        </w:rPr>
        <w:t>approval of the Federal Reserve to the extent such prior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approval is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67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5653405" cy="826770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then required under the capital adequacy rules of the</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Federal Reserve, if (i) a change or prospective change in</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law  occurs  that  could  prevent  the  Company  from</w:t>
      </w:r>
    </w:p>
    <w:p>
      <w:pPr>
        <w:spacing w:after="0" w:line="21"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deducting  interest  payable  on  the  New  Notes  for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U.S. federal income tax purposes, (ii) a subsequent event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occurs  that  precludes  the  New  Notes  from  being</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recognized  as  Tier  2  capital  for  regulatory  capital</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purposes, or (iii) the Company is required to register as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an investment company under the Investment Company</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Act of 1940, as amended, in each case, at a redemption</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price equal to 100% of the principal amount of the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New Notes plus any accrued and unpaid interest to, but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excluding, the redemption date.</w:t>
      </w:r>
    </w:p>
    <w:p>
      <w:pPr>
        <w:spacing w:after="0" w:line="126"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No Limitations on Indebtedness</w:t>
      </w:r>
      <w:r>
        <w:rPr>
          <w:sz w:val="20"/>
          <w:szCs w:val="20"/>
          <w:color w:val="auto"/>
        </w:rPr>
        <w:tab/>
      </w:r>
      <w:r>
        <w:rPr>
          <w:rFonts w:ascii="Arial" w:cs="Arial" w:eastAsia="Arial" w:hAnsi="Arial"/>
          <w:sz w:val="17"/>
          <w:szCs w:val="17"/>
          <w:color w:val="auto"/>
        </w:rPr>
        <w:t>The terms of the New Notes do not limit the amount of</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additional indebtedness the Company, the Bank or any</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of our respective subsidiaries may incur or the amount</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of other obligations ranking senior or equal to the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New Notes that we may incur.</w:t>
      </w:r>
    </w:p>
    <w:p>
      <w:pPr>
        <w:spacing w:after="0" w:line="139"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Limited Indenture Covenants</w:t>
      </w:r>
      <w:r>
        <w:rPr>
          <w:sz w:val="20"/>
          <w:szCs w:val="20"/>
          <w:color w:val="auto"/>
        </w:rPr>
        <w:tab/>
      </w:r>
      <w:r>
        <w:rPr>
          <w:rFonts w:ascii="Arial" w:cs="Arial" w:eastAsia="Arial" w:hAnsi="Arial"/>
          <w:sz w:val="17"/>
          <w:szCs w:val="17"/>
          <w:color w:val="auto"/>
        </w:rPr>
        <w:t>The indenture governing the New Notes contains no</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financial covenants requiring us to achieve or maintain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any minimum financial results relating to our financial</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position or results of operations or meet or exceed any</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financial ratios as a general matter or in order to incur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additional indebtedness or obligations or to maintain any</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reserves.</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Moreover, neither the indenture nor the New Notes</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contain any covenants prohibiting us from, or limiting</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our right to, grant liens on our assets to secure our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indebtedness or other obligations that are senior in right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of payment to the New Notes, to repurchase our stock or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other securities, including any of the New Notes, or to</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pay  dividends  or  make  other  distributions  to  our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shareholders (except, in the case of dividends or other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distributions on junior securities, upon our failure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timely pay the principal of or interest on the New Notes,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when the same becomes due and payable).</w:t>
      </w:r>
    </w:p>
    <w:p>
      <w:pPr>
        <w:spacing w:after="0" w:line="139"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Listing; No Public Market</w:t>
      </w:r>
      <w:r>
        <w:rPr>
          <w:sz w:val="20"/>
          <w:szCs w:val="20"/>
          <w:color w:val="auto"/>
        </w:rPr>
        <w:tab/>
      </w:r>
      <w:r>
        <w:rPr>
          <w:rFonts w:ascii="Arial" w:cs="Arial" w:eastAsia="Arial" w:hAnsi="Arial"/>
          <w:sz w:val="17"/>
          <w:szCs w:val="17"/>
          <w:color w:val="auto"/>
        </w:rPr>
        <w:t>The New Notes are a new issue of securities with no</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established trading market and we do not expect any</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public market to develop in the future for the New</w:t>
      </w:r>
    </w:p>
    <w:p>
      <w:pPr>
        <w:spacing w:after="0" w:line="9"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Notes. We do not intend to list the New Notes on any</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national securities exchange or quotation system.</w:t>
      </w:r>
    </w:p>
    <w:p>
      <w:pPr>
        <w:spacing w:after="0" w:line="126" w:lineRule="exact"/>
        <w:rPr>
          <w:sz w:val="20"/>
          <w:szCs w:val="20"/>
          <w:color w:val="auto"/>
        </w:rPr>
      </w:pPr>
    </w:p>
    <w:p>
      <w:pPr>
        <w:ind w:left="320"/>
        <w:spacing w:after="0"/>
        <w:tabs>
          <w:tab w:leader="none" w:pos="4620" w:val="left"/>
        </w:tabs>
        <w:rPr>
          <w:rFonts w:ascii="Arial" w:cs="Arial" w:eastAsia="Arial" w:hAnsi="Arial"/>
          <w:sz w:val="17"/>
          <w:szCs w:val="17"/>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7"/>
          <w:szCs w:val="17"/>
          <w:color w:val="auto"/>
        </w:rPr>
        <w:t xml:space="preserve">See  “Risk  Factors”  beginning  on  page  </w:t>
      </w:r>
      <w:hyperlink w:anchor="page16">
        <w:r>
          <w:rPr>
            <w:rFonts w:ascii="Arial" w:cs="Arial" w:eastAsia="Arial" w:hAnsi="Arial"/>
            <w:sz w:val="17"/>
            <w:szCs w:val="17"/>
            <w:u w:val="single" w:color="auto"/>
            <w:color w:val="0000EE"/>
          </w:rPr>
          <w:t>13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prospectus, as well as in our reports filed with the SEC,</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and  other  information  included  or  incorporated  by</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reference in this prospectus for a discussion of factors</w:t>
      </w:r>
    </w:p>
    <w:p>
      <w:pPr>
        <w:spacing w:after="0" w:line="21" w:lineRule="exact"/>
        <w:rPr>
          <w:sz w:val="20"/>
          <w:szCs w:val="20"/>
          <w:color w:val="auto"/>
        </w:rPr>
      </w:pPr>
    </w:p>
    <w:p>
      <w:pPr>
        <w:ind w:left="4640"/>
        <w:spacing w:after="0"/>
        <w:tabs>
          <w:tab w:leader="none" w:pos="5020" w:val="left"/>
          <w:tab w:leader="none" w:pos="5660" w:val="left"/>
          <w:tab w:leader="none" w:pos="6400" w:val="left"/>
          <w:tab w:leader="none" w:pos="7200" w:val="left"/>
          <w:tab w:leader="none" w:pos="7800" w:val="left"/>
          <w:tab w:leader="none" w:pos="8560" w:val="left"/>
        </w:tabs>
        <w:rPr>
          <w:sz w:val="20"/>
          <w:szCs w:val="20"/>
          <w:color w:val="auto"/>
        </w:rPr>
      </w:pPr>
      <w:r>
        <w:rPr>
          <w:rFonts w:ascii="Arial" w:cs="Arial" w:eastAsia="Arial" w:hAnsi="Arial"/>
          <w:sz w:val="18"/>
          <w:szCs w:val="18"/>
          <w:color w:val="auto"/>
        </w:rPr>
        <w:t>you</w:t>
        <w:tab/>
        <w:t>should</w:t>
        <w:tab/>
        <w:t>consider</w:t>
        <w:tab/>
        <w:t>carefully</w:t>
        <w:tab/>
        <w:t>before</w:t>
        <w:tab/>
        <w:t>deciding</w:t>
      </w:r>
      <w:r>
        <w:rPr>
          <w:sz w:val="20"/>
          <w:szCs w:val="20"/>
          <w:color w:val="auto"/>
        </w:rPr>
        <w:tab/>
      </w:r>
      <w:r>
        <w:rPr>
          <w:rFonts w:ascii="Arial" w:cs="Arial" w:eastAsia="Arial" w:hAnsi="Arial"/>
          <w:sz w:val="16"/>
          <w:szCs w:val="16"/>
          <w:color w:val="auto"/>
        </w:rPr>
        <w:t>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participate in the exchange offer.</w:t>
      </w:r>
    </w:p>
    <w:p>
      <w:pPr>
        <w:spacing w:after="0" w:line="139"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7"/>
          <w:szCs w:val="17"/>
          <w:b w:val="1"/>
          <w:bCs w:val="1"/>
          <w:color w:val="auto"/>
        </w:rPr>
        <w:t>Trustee</w:t>
      </w:r>
      <w:r>
        <w:rPr>
          <w:sz w:val="20"/>
          <w:szCs w:val="20"/>
          <w:color w:val="auto"/>
        </w:rPr>
        <w:tab/>
      </w:r>
      <w:r>
        <w:rPr>
          <w:rFonts w:ascii="Arial" w:cs="Arial" w:eastAsia="Arial" w:hAnsi="Arial"/>
          <w:sz w:val="17"/>
          <w:szCs w:val="17"/>
          <w:color w:val="auto"/>
        </w:rPr>
        <w:t>UMB  Bank,  National  Association,  or  successor  if</w:t>
      </w:r>
    </w:p>
    <w:p>
      <w:pPr>
        <w:spacing w:after="0" w:line="3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replaced in accordance with the applicable provisions of</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indenture.</w:t>
      </w:r>
    </w:p>
    <w:p>
      <w:pPr>
        <w:spacing w:after="0" w:line="139"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Governing Law</w:t>
      </w:r>
      <w:r>
        <w:rPr>
          <w:sz w:val="20"/>
          <w:szCs w:val="20"/>
          <w:color w:val="auto"/>
        </w:rPr>
        <w:tab/>
      </w:r>
      <w:r>
        <w:rPr>
          <w:rFonts w:ascii="Arial" w:cs="Arial" w:eastAsia="Arial" w:hAnsi="Arial"/>
          <w:sz w:val="17"/>
          <w:szCs w:val="17"/>
          <w:color w:val="auto"/>
        </w:rPr>
        <w:t>The indenture and the New Notes will be governed by</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and construed in accordance with the laws of the State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of New York.</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i w:val="1"/>
          <w:iCs w:val="1"/>
          <w:color w:val="auto"/>
        </w:rPr>
        <w:t>In consultation with your own advisors, you should carefully consider, among other matters, the factors set forth below as well as the other information included or incorporated by reference in this prospectus before deciding whether to participate in the exchange offer. In particular, you should carefully consider, among other things, the factors described under the caption “Risk Factors” in our Annual Report on Form 10-K for the fiscal year ended December 31, 2019, which is incorporated herein by reference, as updated by our subsequently filed Quarterly Reports on Form 10-Q and Current Reports on Form 8-K. If any of the risks contained in or incorporated by reference into this prospectus develop into actual events, our business, financial condition, liquidity, results of operations and prospects could be materially and adversely affected, the value of the New Notes could decline, our ability to repay the New Notes may be impaired, and you may lose all or part of your investment. Some statements in this prospectus, including statements in the following risk factors, constitute forward-looking statements. See the “Special Note Regarding Forward-Looking Statements” section in this prospectus.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For a discussion of certain risks applicable to our business and operations, please refer to the section entitled “Risk Factors” in Part I, Item 1A of our Annual Report on Form 10-K for the fiscal year ended December 31, 2019, and the section entitled “Risk Factors” in Part II, Item 1A of our Quarterly Report on Form 10-Q for the quarter ended September 30, 2020.</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the Exchange Offer</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If you do not properly tender your Old Notes, you will continue to hold unregistered Old Notes and your ability to transfer Old Notes will be adversely affected.</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will only issue New Notes in exchange for Old Notes that you timely and properly tender. Therefore, you should allow sufficient time to ensure timely delivery of the Old Notes and you should carefully follow the instructions on how to tender your Old Notes. Neither we nor the exchange agent are required to tell you of any defects or irregularities with respect to your tender of Old Notes. See “The Exchange Offer-Procedures for Tendering Old Notes.”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you do not exchange your Old Notes for New Notes in the exchange offer, you will continue to be subject to the restrictions on transfer of your Old Notes described in the legend on the certificates for your Old Notes. In general, you may only offer or sell the Old Notes if they are registered under the Securities Act and applicable state securities laws, or you offer and sell under an exemption from these requirements. We do not plan to register any sale of the Old Notes under the Securities Act.</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tender of Old Notes under the exchange offer will reduce the principal amount of the Old Notes outstanding, which may have an adverse effect upon, and increase the volatility of, the market price of the Old Notes due to reduction in liquidity.</w:t>
      </w:r>
    </w:p>
    <w:p>
      <w:pPr>
        <w:spacing w:after="0" w:line="23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You may not receive New Notes in the exchange offer if you do not properly follow the exchange offer procedures.</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will issue New Notes in exchange for your Old Notes only if you properly tender the Old Notes before expiration of the exchange offer. Neither we nor the exchange agent are required to tell you of any defects or irregularities with respect to your tender of Old Notes. If you are the beneficial holder of Old Notes that are held through your broker, dealer, commercial bank, trust company or other nominee, and you wish to tender such Old Notes in the exchange offer, you should promptly contact the person through whom your Old Notes are held and instruct that person to tender on your behalf in accordance with the procedures described in this prospectus and the accompanying transmittal letter.</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Based on interpretations of the Securities Act by the staff of the SEC contained in certain no-action letters issued to other parties, we believe that you, or any other person receiving New Notes, may offer for resale, resell or otherwise transfer the New Notes without complying with the registration and prospectus delivery requirements of the Securities Act. Our belief that transfers of New Notes would be permitted without registration or prospectus delivery under the conditions described above is based on interpretations by the staff of the SEC given to other, unrelated issuers in similar exchange offers. The staff of the SEC has not considered the exchange offer in the context</w:t>
      </w:r>
    </w:p>
    <w:p>
      <w:pPr>
        <w:sectPr>
          <w:pgSz w:w="11900" w:h="16838" w:orient="portrait"/>
          <w:cols w:equalWidth="0" w:num="1">
            <w:col w:w="9019"/>
          </w:cols>
          <w:pgMar w:left="1440" w:top="265"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of a no-action letter, and we cannot assure you that the staff of the SEC would make a similar interpretation with respect to the exchange offer. Additionally, in some instances described in this prospectus under “Plan of Distribution,” certain holders of New Notes will remain obligated to comply with the registration and prospectus delivery requirements of the Securities Act to transfer the New Notes. If any such holder transfers any New Notes without delivering a prospectus meeting the requirements of the Securities Act or without an applicable exemption from registration under the Securities Act, such holder may incur liability under the Securities Act. We do not and will not assume, or indemnify any such holder or other person against, such liability.</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the Notes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notes are unsecured and subordinated to our existing and future senior indebtedness.</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Although the New Notes will rank on par with the Old Notes, the notes will be unsecured, subordinated obligations of South Plains and, consequently, will rank junior in right of payment to all of our secured and unsecured “senior indebtedness” now existing or that we incur in the future, as described under “Description of the Notes–Subordination.” As a result, upon any payment or distribution of assets to creditors in the case of liquidation, dissolution, winding up, reorganization, assignment for the benefit of creditors or any bankruptcy, insolvency or similar proceeding, the holders of the senior indebtedness will be entitled to have the senior indebtedness paid in full prior to the holders of the notes receiving any payment of principal of, or interest on, the notes.</w:t>
      </w:r>
    </w:p>
    <w:p>
      <w:pPr>
        <w:spacing w:after="0" w:line="5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As of September 30, 2020, the Company’s subsidiaries had, in the aggregate, outstanding debt and deposits of $3.1 billion, which would rank senior to the notes. In addition, as of September 30, 2020, South Plains Financial, Inc. had no indebtedness that would rank senior to the notes, $76.5 million that would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and $46.4 million that would rank subordinate to the notes. The notes do not limit the amount of additional indebtedness or senior indebtedness that we or any of our subsidiaries, including the Bank, may incur. Accordingly, in the future, we and our subsidiaries may incur other indebtedness, which may be substantial in amount, including senior indebtedness, indebtedness ranking equally with the notes and indebtedness ranking effectively senior to the notes, as applicable. Any additional indebtedness and liabilities that we and our subsidiaries incur may adversely affect our ability to pay our obligations on the notes.</w:t>
      </w:r>
    </w:p>
    <w:p>
      <w:pPr>
        <w:spacing w:after="0" w:line="7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As a consequence of the subordination of the notes to our existing and future senior indebtedness, an investor in the notes may lose all or some of its investment upon our liquidation, dissolution, winding up, reorganization, assignment for the benefit of creditors or any bankruptcy, insolvency or similar proceeding. In such an event, our assets would be available to pay the principal of, and any accrued and unpaid interest on, the notes only after all of our senior indebtedness had been paid in full. In such an event, any of our other general, unsecured obligations that do not constitute senior indebtedness, depending upon their respective preferences, will share pro rata in our remaining assets after we have paid all of our senior indebtedness in full.</w:t>
      </w:r>
    </w:p>
    <w:p>
      <w:pPr>
        <w:spacing w:after="0" w:line="32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The notes are obligations only of South Plains and not obligations of the Bank or any of our other subsidiaries and will be effectively subordinated to the existing and future indebtedness, deposits of the Bank, and other liabilities of the Bank and our other subsidiaries.</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notes are obligations solely of South Plains Financial, Inc. and are not obligations of the Bank or any of our other subsidiaries, and are not insured by any government or private agency. The Bank and our other subsidiaries are separate and distinct legal entities from South Plains Financial, Inc. Because we are a holding company, the rights of South Plains Financial, Inc. and the rights of its creditors, including the holders of the notes, to participate in any distribution of the assets of the Bank or any other subsidiary (either as a shareholder or as a creditor) upon an insolvency, bankruptcy, liquidation, dissolution, winding up or similar proceeding of the Bank or such other subsidiary (and the consequent right of the holders of the notes to participate in those assets after repayment of our existing or future senior indebtedness), will be subject to the claims of the creditors of the Bank, including depositors of the Bank, or such other subsidiary. Accordingly, the notes are effectively subordinated to all of the existing and future indebtedness, deposits and other liabilities of the Bank and our other subsidiaries, to the extent that those liabilities, including deposit liabilities, equal or exceed their respective assets.</w:t>
      </w:r>
    </w:p>
    <w:p>
      <w:pPr>
        <w:spacing w:after="0" w:line="64"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notes do not limit the amount of indebtedness or other liabilities that the Bank or any of our other subsidiaries may incur, all of which would rank structurally senior to the notes. Any additional indebtedness and liabilities that our subsidiaries incur may adversely affect our ability to pay our obligations on the notes.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notes include limited covenants and do not restrict our ability to incur additional debt.</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notes do not contain any financial covenants that would require us to achieve or maintain any minimum financial results relating to our financial condition, liquidity or results of operations or meet or exceed certain financial ratios as a general matter or to incur additional indebtedness or obligations or to maintain any reserves. Moreover, the notes do not contain any covenants prohibiting us or our subsidiaries from, or limiting our or our subsidiaries’ right to, grant liens on assets to secure indebtedness or other obligations, to repurchase our stock or other securities, including any of the notes, or to pay dividends or make other distributions to our shareholders. The notes do not contain any provision that would provide protection to the holders of the notes against a material decline in our credit quality.</w:t>
      </w:r>
    </w:p>
    <w:p>
      <w:pPr>
        <w:spacing w:after="0" w:line="84"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In addition, the notes do not limit the amount of additional indebtedness the Company, the Bank or any of our other subsidiaries may incur or the amount of other obligations that the Company or the Bank may incur ranking senior or equal to the indebtedness evidenced by the notes. The issuance or guarantee of any such securities or the incurrence of any such other liabilities may reduce the amount, if any, recoverable by holders of the notes in the event of our insolvency, bankruptcy, liquidation, dissolution, winding up or similar proceeding, and may limit our ability to meet our obligations under the notes.</w:t>
      </w:r>
    </w:p>
    <w:p>
      <w:pPr>
        <w:spacing w:after="0" w:line="17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To service our debt, we will require a significant amount of cash. Our ability to generate cash depends on many factors.</w:t>
      </w:r>
    </w:p>
    <w:p>
      <w:pPr>
        <w:spacing w:after="0" w:line="62"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Our ability to make payments on or to refinance our indebtedness, including our ability to meet our obligations under the notes, and to fund our operations depends on our ability to generate cash and our access to the capital markets in the future. These will depend on our financial and operating performance, which, to a certain extent, are subject to general economic, financial, competitive, legislative, regulatory, capital market conditions and other factors that are beyond our control. If our cash flows and capital resources are insufficient to fund our debt service obligations, we may be unable to obtain new financing or to fund our obligations to our customers and business partners, implement our business plans, sell assets, seek additional capital or restructure or refinance our indebtedness, including the notes. As a result, we may be unable to meet our obligations under the notes. In the absence of sufficient capital resources, we could face substantial liquidity problems and might be required to dispose of material assets or operations to meet debt service and other obligations. We may not be able to consummate those dispositions of assets or to obtain the proceeds that they could realize from them and these proceeds may not be adequate to meet any debt service obligations then due, including obligations under the notes. Additionally, as a holding company, our ability to service our debt is dependent, in part, on the receipt of dividends, fees, and interest paid to us by the Bank. The Bank is a separate legal entity that is legally distinct from us and has no obligation to make funds available to us for payments of principal of or interest on the notes. While we expect these payments to continue in the future, there are regulatory limits under federal law on the amount of dividends and distributions that the Bank can pay to us without regulatory approval. Accordingly, we can provide no assurance that we will receive dividends or other distributions from the Bank in an amount sufficient to pay the principal of or interest on the notes. For additional information, see “Business–Supervision and Regulation” in Part I, Item 1 of our Annual Report on Form 10-K for the fiscal year ended December 31, 2019.</w:t>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notes are subject to limited rights of acceleration.</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Payment of principal of the notes may be accelerated only in the case of certain bankruptcy-related events with respect to us. As a result, you have no right to accelerate the payment of principal of the notes if we fail to pay principal of or interest on the notes or if we fail in the performance of any of our other obligations under the notes or in the indenture.</w:t>
      </w:r>
    </w:p>
    <w:p>
      <w:pPr>
        <w:spacing w:after="0" w:line="187"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The amount of interest payable on the notes will vary beginning September 30, 2025, and interest after that date may be less than the initial fixed annual rate of 4.50% in effect until September 30, 2025.</w:t>
      </w:r>
    </w:p>
    <w:p>
      <w:pPr>
        <w:spacing w:after="0" w:line="3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From and including September 30, 2025 to but excluding the maturity date or early redemption date, the interest rate on the notes shall reset quarterly to an interest rate per annum equal to a benchmark rate (which is expected to be Three-Month Term SOFR) plus 438 basis points, payable quarterly in arrears. Because the expected benchmark rate, Three-Month Term SOFR, is a floating rate, the interest rate on the notes will vary beginning September 30, 2025. The floating rate may be volatile over time and could be substantially less than the fixed rate. This could result in holders of the notes experiencing a decline in their receipt of interest. We have no control over a number of factors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that may affect market interest rates, including geopolitical conditions and economic, financial, political, regulatory, judicial or other events that affect the markets generally and that are important in determining the existence, magnitude and longevity of market rate risk.</w:t>
      </w:r>
    </w:p>
    <w:p>
      <w:pPr>
        <w:spacing w:after="0" w:line="18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Investors should not rely on indicative or historical data concerning the Secured Overnight Financing Rate, otherwise referred to as SOFR.</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SOFR is intended to be a broad measure of the cost of borrowing cash overnight collateralized by U.S. Treasury securities. The Federal Reserve Bank of New York (“FRBNY”) reports that SOFR includes all trades in the Broad General Collateral Rate, plus bilateral U.S. Treasury repurchase agreement (“repo”) transactions cleared through the delivery-versus-payment service offered by the Fixed Income Clearing Corporation (the “FICC”), a subsidiary of The Depository Trust &amp; Clearing Corporation (“DTCC”). SOFR is filtered by FRBNY to remove a portion of the foregoing transactions considered to be “specials”. According to FRBNY, “specials” are repos for specific-issue collateral which take place at cash-lending rates below those for general collateral repos because cash providers are willing to accept a lesser return on their cash in order to obtain a particular security.</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FRBNY reports that SOFR is calculated as a volume-weighted median of transaction-level tri-party repo data collected from The Bank of New York Mellon, which currently acts as the clearing bank for the tri-party repo market, as well as General Collateral Finance Repo transaction data and data on bilateral U.S. Treasury repo transactions cleared through the FICC’s delivery-versus-payment service. FRBNY states that it obtains information from DTCC Solutions LLC, an affiliate of DTCC.</w:t>
      </w:r>
    </w:p>
    <w:p>
      <w:pPr>
        <w:spacing w:after="0" w:line="80"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FRBNY currently publishes SOFR daily on its website at https://apps.newyorkfed.org/markets/autorates/sofr. FRBNY states on its publication page for SOFR that use of SOFR is subject to important disclaimers, limitations and indemnification obligations, including that FRBNY may alter the methods of calculation, publication schedule, rate revision practices or availability of SOFR at any time without notice.</w:t>
      </w:r>
    </w:p>
    <w:p>
      <w:pPr>
        <w:spacing w:after="0" w:line="49"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FRBNY started publishing SOFR in April 2018. FRBNY has also started publishing historical indicative SOFR dating back to 2014, although such historical indicative data inherently involves assumptions, estimates and approximations. Investors should not rely on such historical indicative data or on any historical changes or trends in SOFR as an indicator of the future performance of SOFR. Since the initial publication of SOFR, daily changes in the rate have, on occasion, been more volatile than daily changes in comparable benchmark or market rates, and SOFR over time may bear little or no relation to the historical actual or historical indicative data. In addition, the return on and value of the notes may fluctuate more than floating rate securities that are linked to less volatile rates.</w:t>
      </w:r>
    </w:p>
    <w:p>
      <w:pPr>
        <w:spacing w:after="0" w:line="16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Changes in the calculation of SOFR could adversely affect the amount of interest that accrues on the notes and the trading prices for the notes.</w:t>
      </w:r>
    </w:p>
    <w:p>
      <w:pPr>
        <w:spacing w:after="0" w:line="62"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Because SOFR is published by FRBNY based on data received from other sources, we have no control over its determination, calculation or publication. There can be no assurance that SOFR will not be discontinued or fundamentally altered in a manner that is materially adverse to the interests of investors in the notes. If the manner in which SOFR is calculated is changed, it could adversely affect the return on, value of and market for the notes. In addition, the interest rate on the notes for any day will not be adjusted for any modification or amendment to SOFR for that day that FRBNY may publish if the interest rate for that day has already been determined prior to such publication. Further, if the Benchmark rate on the notes for any interest period declines to zero or becomes negative, then the Benchmark rate for such interest period will be deemed to be zero. There is no assurance that changes in SOFR could not have a material adverse effect on the yield on, value of, and market for the notes.</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SOFR differs fundamentally from, and may not be a comparable substitute for, U.S. dollar LIBOR.</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In June 2017, the Alternative Reference Rates Committee (the “ARRC”) convened by the Federal Reserve and FRBNY announced SOFR as its recommended alternative to the London interbank offered rate for U.S. dollar obligations (“U.S. dollar LIBOR”). However, because SOFR is a broad U.S. Treasury repo financing rate that represents overnight secured funding transactions, it differs fundamentally from U.S. dollar LIBOR. For example, SOFR is a secured overnight rate, while U.S. dollar LIBOR is an unsecured rate that represents interbank funding over different maturities. In addition, because SOFR is a transaction-based rate, it is backward-looking, whereas U.S. dollar LIBOR is forward-looking. Because of these and other differences, there can be no assurance that SOFR will perform in the same way as U.S. dollar LIBOR would have done at any time, and there is no guarantee that it is a comparable substitute for U.S. dollar LIBOR.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SOFR may be modified or discontinued.</w:t>
      </w:r>
    </w:p>
    <w:p>
      <w:pPr>
        <w:spacing w:after="0" w:line="11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SOFR is a relatively new rate, and the FRBNY or any successor, as administrator of SOFR, may make methodological or other changes that could change the value of SOFR, including changes related to the methodology by which SOFR is calculated, eligibility criteria applicable to the transactions used to calculate SOFR or timing related to the publication of SOFR. If the manner in which SOFR is calculated is changed, that change may result in a reduction of the amount of interest payable on the notes, which may adversely affect the market price of the notes. The administrator of SOFR may withdraw, modify, amend, suspend or discontinue the calculation or dissemination of SOFR in its sole discretion and without notice and has no obligation to consider the interests of holders of the notes in calculating, withdrawing, modifying, amending, suspending or discontinuing SOFR.</w:t>
      </w:r>
    </w:p>
    <w:p>
      <w:pPr>
        <w:spacing w:after="0" w:line="2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Any failure of SOFR to gain market acceptance could adversely affect holders of the notes.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SOFR may fail to gain market acceptance. SOFR was developed for use in certain U.S. dollar derivatives and other financial contracts as an alternative to U.S. dollar LIBOR in part because it is considered to be a good representation of general funding conditions in the overnight U.S. Treasury repo market. However, as a rate based on transactions secured by U.S. Treasury securities, it does not measure bank-specific credit risk and, as a result, is less likely to correlate with the unsecured short-term funding costs of banks. This may mean that market participants would not consider SOFR to be a suitable substitute or successor for all of the purposes for which U.S. dollar LIBOR historically has been used (including, without limitation, as a representation of the unsecured short-term funding costs of banks), which may, in turn, lessen its market acceptance. Any failure of SOFR to gain market acceptance could adversely affect the return on, value of and market for the notes.</w:t>
      </w:r>
    </w:p>
    <w:p>
      <w:pPr>
        <w:spacing w:after="0" w:line="18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 interest on the notes during the floating-rate interest period may be determined based on a rate other than Three-Month Term SOFR.</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Under the terms of the notes, the interest on the notes during the floating-rate interest period is expected to be Three-Month Term SOFR, a forward-looking term rate for a tenor of three months that will be based on SOFR. Three-Month Term SOFR does not currently exist and is currently being developed under the sponsorship of the ARRC. There is no assurance that the development of Three-Month Term SOFR, or any other forward-looking term rate based on SOFR, will be completed. Uncertainty surrounding the development of forward-looking term rates based on SOFR could have a material adverse effect on the return on, value of and market for the notes. If, at the commencement of the floating rate period for the notes, we determine that the use of a forward-looking rate for a tenor of three months based on SOFR is not administratively feasible, then the next-available Benchmark Replacement under the benchmark transition provisions will be used to determine the interest on the notes during the floating-rate interest period (unless a Benchmark Transition Event and its related Benchmark Replacement Date occur with respect to that next-available Benchmark Replacement).</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Under the terms of the notes, we are expressly authorized to make determinations, decisions or elections with respect to technical, administrative or operational matters that we decide are appropriate to reflect the use of Three-Month Term SOFR as the interest on notes during the floating-rate interest period, which are defined in the terms of the notes as “Three-Month Term SOFR Conventions.” Our determination and implementation of any Three-Month Term SOFR Conventions could result in adverse consequences to the interest on notes during the floating-rate interest period.</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Any Benchmark Replacement may not be the economic equivalent of Three-Month Term SOFR.</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Under the benchmark transition provisions of the notes, if the calculation agent determines that a Benchmark Transition Event and its related Benchmark Replacement Date have occurred with respect to Three-Month Term SOFR, then the interest on notes during the floating-rate interest period will be determined using the next-available Benchmark Replacement (which may include a related Benchmark Replacement Adjustment). However, the Benchmark Replacement may not be the economic equivalent of Three-Month Term SOFR. For example, Compounded SOFR, the first-available Benchmark Replacement, is the compounded average of the daily Secured Overnight Financing Rates calculated in arrears, while Three-Month Term SOFR is intended to be a forward-looking rate with a tenor of three months. In addition, very limited market precedent exists for securities that use Compounded SOFR as the rate basis, and the method for calculating Compounded SOFR in those precedents varies. Further, the ISDA Fallback Rate, which is another Benchmark Replacement, has not yet been established and may change over time.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A modification of the notes could occur for tax purposes in the event that a Benchmark Replacement is not a “qualified rate” under applicable Treasury Regulations.</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Recent proposed Treasury Regulations provide guidance on the tax consequences on the use of a reference rate other than SOFR (or another interbank offered rate) in debt instruments. The proposed Treasury Regulations explain a significant modification of a debt instrument would not result in the event that a “qualified rate” is used (rather than Three-Month Term SOFR). A “qualified rate” is a rate that includes, among other things, a rate selected, endorsed or recommended by a central bank (or similar authority) as a replacement for SOFR (or another interbank offered rate) in that jurisdiction. If the proposed Treasury Regulations are finalized in their current form, we expect that the notes would include a “qualified rate” in lieu of Three-Month Term SOFR such that a significant modification of the notes would not result from the new rate, but cannot guarantee that a “qualified rate” could be used for the notes or that a significant modification would not occur.</w:t>
      </w:r>
    </w:p>
    <w:p>
      <w:pPr>
        <w:spacing w:after="0" w:line="2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 implementation of Benchmark Replacement Conforming Changes could adversely affect holders of the notes.</w:t>
      </w:r>
    </w:p>
    <w:p>
      <w:pPr>
        <w:spacing w:after="0" w:line="62"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Under the benchmark transition provisions of the notes, if a particular Benchmark Replacement or Benchmark Replacement Adjustment cannot be determined, then the next-available Benchmark Replacement or Benchmark Replacement Adjustment will apply. These replacement rates and adjustments may be selected or formulated by</w:t>
      </w:r>
    </w:p>
    <w:p>
      <w:pPr>
        <w:spacing w:after="0" w:line="2" w:lineRule="exact"/>
        <w:rPr>
          <w:sz w:val="20"/>
          <w:szCs w:val="20"/>
          <w:color w:val="auto"/>
        </w:rPr>
      </w:pPr>
    </w:p>
    <w:p>
      <w:pPr>
        <w:jc w:val="both"/>
        <w:ind w:left="300" w:right="299" w:hanging="8"/>
        <w:spacing w:after="0" w:line="251" w:lineRule="auto"/>
        <w:tabs>
          <w:tab w:leader="none" w:pos="52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Relevant Governmental Body (such as the ARRC), (ii) the International Swaps and Derivatives Association, Inc., otherwise referred to herein as ISDA, or (iii) in certain circumstances, us. In addition, the benchmark transition provisions expressly authorize us to make certain changes, which are defined in the terms of the notes as “Benchmark Replacement Conforming Changes,” with respect to the determination of interest on notes during the floating-rate interest period. The application of a Benchmark Replacement and Benchmark Replacement Adjustment, and any implementation of Benchmark Replacement Conforming Changes, could result in adverse consequences to interest on notes during the floating-rate interest period. Further, there is no assurance that the characteristics of any Benchmark Replacement will be similar to the then-current Benchmark that it is replacing, or that any Benchmark Replacement will produce the economic equivalent of the then-current Benchmark that it is replacing.</w:t>
      </w:r>
    </w:p>
    <w:p>
      <w:pPr>
        <w:spacing w:after="0" w:line="19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notes may be redeemed at our option under certain circumstances, which limits the ability of holders of the notes to accrue interest over the full stated term of the notes.</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may, at our option, redeem the notes (i) in whole or in part, on any interest payment date on or after September 30, 2025 and (ii) in whole but not in part, at any time upon the occurrence of a Tier 2 Capital Event, a Tax Event or an Investment Company Event (each of such terms as defined below in “Description of the Note— Redemption”), in each case, at a redemption price equal to 100% of the principal amount of the notes to be redeemed, plus accrued and unpaid interest to, but excluding, the date of redemption. Any redemption of the notes will be subject to any required regulatory approvals, including from the Federal Reserve, to the extent such approval is then required. There can be no assurance that the Federal Reserve, or any other regulatory agency, if applicable, will approve any redemption of the notes that we may propose. Furthermore, we are under no obligation to redeem any notes when they first become redeemable or on any date thereafter. If we redeem the notes for any reason, you will not have the opportunity to continue to accrue and be paid interest to the stated maturity date, and you may not be able to reinvest the redemption proceeds you receive in a similar security or in securities bearing similar interest rates or yields.</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There may be no active trading market for the notes.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notes are a new issue of securities with no established trading market. We are not obligated to and do not intend to apply for listing of the notes on any national securities exchange or quotation system. A liquid or active trading market for the notes may not develop. If an active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performance and other factors. Accordingly, we cannot assure you that you will be able to sell any notes or the prices, if any, at which holders may be able to sell their notes.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Any market for the notes may be illiquid or unpredictable.</w:t>
      </w:r>
    </w:p>
    <w:p>
      <w:pPr>
        <w:spacing w:after="0" w:line="117"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Since SOFR is a relatively new market index, SOFR-linked debt securities likely will have no established trading market when issued, and an established trading market for the notes may never develop or may not be very liquid. Market terms for securities that are linked to SOFR, such as the spread over the base rate reflected in the</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interest rate provisions, may evolve over time, and as a result, trading prices of the notes may be lower than those of later-issued securities that are linked to SOFR. Similarly, if SOFR does not prove to be widely used in securities that are similar or comparable to the notes, the trading price of the notes may be lower than those of securities that are linked to rates that are more widely used. You may not be able to sell the notes at all or may not be able to sell the notes at prices that will provide you with a yield comparable to similar investments that have a developed secondary market, and may consequently suffer from increased pricing volatility and market risk. The manner of adoption or application of reference rates based on SOFR in the bond and equity markets may differ materially compared with the application and adoption of SOFR in other markets, such as the derivatives and loan markets. You should carefully consider how any potential inconsistencies between the adoption of reference rates based on SOFR across these markets may impact any hedging or other financial arrangements which you may put in place in connection with any acquisition, holding or disposal of the notes.</w:t>
      </w:r>
    </w:p>
    <w:p>
      <w:pPr>
        <w:spacing w:after="0" w:line="31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calculation agent (which may be us or another entity we appoint) will make determinations with respect to the notes.</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calculation agent will make certain determinations with respect to the notes during the Floating Interest Period, including with respect to the determination of the interest rate during this period. Any of these determinations may adversely affect the payout to investors. Moreover, certain determinations may require the exercise of discretion and the making of subjective judgments. These potentially subjective determinations may adversely affect the payout to you on the notes. We have determined that we will be the initial calculation agent for the notes.</w:t>
      </w:r>
    </w:p>
    <w:p>
      <w:pPr>
        <w:spacing w:after="0" w:line="32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indebtedness could adversely affect our financial results and prevent us from fulfilling our obligations under the notes.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addition to our currently outstanding indebtedness, we may be able to borrow substantial additional indebtedness in the future. If new indebtedness is incurred in addition to our current debt levels, the related risks that we now face could increase. Our indebtedness, including the indebtedness we may incur in the future, could have important consequences for the holders of the notes, including:</w:t>
      </w:r>
    </w:p>
    <w:p>
      <w:pPr>
        <w:spacing w:after="0" w:line="79" w:lineRule="exact"/>
        <w:rPr>
          <w:sz w:val="20"/>
          <w:szCs w:val="20"/>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satisfy our obligations with respect to the notes;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industry conditions;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and other general corporate requirements;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a substantial portion of our cash flow from operations for the payment of principal of and interest on our indebtedness and thereby reducing our ability to use our cash flow to fund working capital, capital expenditures and general corporate requirements;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putting us at a disadvantage compared to competitors with less indebtedness.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Changes in our credit ratings may adversely affect your investment in the notes.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credit ratings on the notes are an assessment by rating agencies of our ability to pay our debts when due. These ratings are not recommendations to purchase, hold or sell the notes, inasmuch as the ratings do not comment as to market price or suitability for a particular investor, are limited in scope, and do not address all material risks relating to an investment in the notes, but rather reflect only the view of each rating agency at the time the rating is issued. The ratings are based on current information furnished to the ratings agencies by us and information obtained by the ratings agencies from other sources. An explanation of the significance of such rating may be obtained from such rating agency. There can be no assurance that such credit ratings will remain in effect for any given period of time or that such ratings will not be lowered, suspended or withdrawn entirely by the rating agencies, if, in each rating agency’s judgment, circumstances so warrant.</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Any ratings of our long-term debt are based on a number of factors, including our financial strength as well as factors not entirely within our control, including conditions affecting the financial services industry generally. There can be no assurance that we will not receive adverse changes in our ratings in the future, which could adversely affect the cost and other terms upon which we are able to obtain funding and the way in which we are perceived in the</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capital markets. Actual or anticipated changes or downgrades in our credit ratings, including any announcement that our ratings are under review for a downgrade, could affect the market value and liquidity of the notes and increase our borrowing costs.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 a holder of the notes, you are not be entitled to any rights with respect to our capital stock.</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 hold a note, you are not be entitled to any rights with respect to our capital stock (including, without limitation, voting rights and rights to receive any dividends or other distributions on our capital stock) by virtue of holding a note.</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Holders of the notes have no say over our management and affairs.</w:t>
      </w:r>
    </w:p>
    <w:p>
      <w:pPr>
        <w:spacing w:after="0" w:line="117"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Our officers and directors will make all decisions with respect to our management. Holders of the notes have no right or power to take part in our management. Holders of the notes are entirely reliant on our officers and directors to effectively manage our business so that we may meet our debt obligations when they fall due.</w:t>
      </w:r>
    </w:p>
    <w:p>
      <w:pPr>
        <w:spacing w:after="0" w:line="165"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Your right to receive payments on the notes is effectively subordinated to those lenders who have a security interest in our assets.</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obligations under the notes are unsecured and we may be able to obtain indebtedness from time to time that is secured by all or substantially all of our assets. If we are declared bankrupt or insolvent, or if we default under such secured indebtedness, the lenders could declare all of the funds borrowed thereunder, together with accrued interest, immediately due and payable. If we were unable to repay such indebtedness, the lenders could foreclose on the pledged assets to the exclusion of holders of the notes, even if an event of default exists under the notes. In any such event, because the notes are not secured by any of our assets, it is possible that there would be no assets remaining from which your claims could be satisfied or, if any assets remained, they might be insufficient to satisfy your claims fully.</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have increased debt service obligations as a result of the issuance of the notes.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Upon issuance of the notes, we have incurred additional debt service in addition to normal operating expenses and planned capital expenditures. Our increased level of indebtedness may have several important effects on our future operations including, without limitation, a portion of our cash flow must be dedicated to the payment of interest and principal on the notes, reducing funds available for distribution to shareholders and our ability to obtain additional financing for working capital, capital expenditures, acquisitions and general corporate and other purposes may be limited. Our ability to meet our debt service obligations and to reduce our total indebtedness will be dependent upon the future performance of the Bank and its ability to pay dividends to us, which will be subject to regulatory restrictions, general economic, industry and competitive conditions and to financial, business and other factors affecting us and the Bank, many of which are beyond our control. We cannot assure you that the Bank will be able to continue to generate cash flow at or above its current level and that we will be able to pay principal and interest on the notes as it becomes due.</w:t>
      </w:r>
    </w:p>
    <w:p>
      <w:pPr>
        <w:spacing w:after="0" w:line="18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Regulatory guidelines may restrict our ability to pay the principal of, and accrued and unpaid interest on, the notes.</w:t>
      </w:r>
    </w:p>
    <w:p>
      <w:pPr>
        <w:spacing w:after="0" w:line="62" w:lineRule="exact"/>
        <w:rPr>
          <w:sz w:val="20"/>
          <w:szCs w:val="20"/>
          <w:color w:val="auto"/>
        </w:rPr>
      </w:pPr>
    </w:p>
    <w:p>
      <w:pPr>
        <w:jc w:val="both"/>
        <w:ind w:left="300" w:right="319" w:firstLine="360"/>
        <w:spacing w:after="0" w:line="273" w:lineRule="auto"/>
        <w:rPr>
          <w:sz w:val="20"/>
          <w:szCs w:val="20"/>
          <w:color w:val="auto"/>
        </w:rPr>
      </w:pPr>
      <w:r>
        <w:rPr>
          <w:rFonts w:ascii="Arial" w:cs="Arial" w:eastAsia="Arial" w:hAnsi="Arial"/>
          <w:sz w:val="17"/>
          <w:szCs w:val="17"/>
          <w:color w:val="auto"/>
        </w:rPr>
        <w:t>The Company is a bank holding company with no material activities other than the provision of funds to our subsidiaries, including the Bank, in the ordinary course of business. Our principal source of funds to pay dividends on our capital stock and to service any of our debt obligations, including the notes, other than further issuances of securities, would be dividends received from the Bank. The Bank is not obligated to make payments to us, and any payments to us would depend on the earnings or financial condition of the Bank and various business considerations, and may also require prior regulatory approval.</w:t>
      </w:r>
    </w:p>
    <w:p>
      <w:pPr>
        <w:spacing w:after="0" w:line="7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Moreover, pursuant to federal law and regulations promulgated by the Federal Reserve, a bank holding company is required to act as a source of financial and managerial strength to each of its banking subsidiaries and commit resources to their support, including the guarantee of capital plans of an undercapitalized bank subsidiary. Such support may be required at times when a holding company may not otherwise be inclined to provide it. As a result of the foregoing, we may be unable to pay the principal of, and accrued but unpaid interest on, the notes at the maturity of the notes.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Government regulation may affect the priority of the notes in the case of a bankruptcy or liquidation.</w:t>
      </w:r>
    </w:p>
    <w:p>
      <w:pPr>
        <w:spacing w:after="0" w:line="129"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Dodd-Frank Wall Street Reform Act (the “Dodd-Frank Act”) created a new resolution regime known as the “orderly liquidation authority,” which may apply to us as a bank holding company. Under the orderly liquidation authority, the Federal Deposit Insurance Corporation (the “FDIC”) may be appointed as receiver for an entity for purposes of liquidating the entity if the Secretary of the Treasury determines that the entity is in severe financial distress and that the entity’s failure would have serious adverse effects on the U.S. financial system.</w:t>
      </w:r>
    </w:p>
    <w:p>
      <w:pPr>
        <w:spacing w:after="0" w:line="53"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If the FDIC is appointed as receiver under the orderly liquidation authority, then the Dodd-Frank Act, rather than applicable insolvency laws, would determine the powers of the receiver, and the rights and obligations of creditors and other parties who have dealt with the institution. There are substantial differences in the rights of creditors under the orderly liquidation authority compared to those under the U.S. Bankruptcy Code, including the right of the FDIC to disregard the strict priority of creditor claims in some circumstances, the use of an administrative claims procedure to determine creditors’ claims (as opposed to the judicial procedure utilized in bankruptcy proceedings) and the right of the FDIC to transfer claims to a “bridge” entity. As a consequence of the rights of the FDIC under the orderly liquidation authority, the holders of the notes may be fully subordinated to interests held by the U.S. government in the event that we enter into a receivership, insolvency, liquidation or similar proceeding. While the FDIC has issued regulations to implement the orderly liquidation authority, not all aspects of how the FDIC might exercise this authority are known and additional rulemakings are likely. Further, it is uncertain how the FDIC might exercise its discretion under the orderly liquidation authority in a particular case.</w:t>
      </w:r>
    </w:p>
    <w:p>
      <w:pPr>
        <w:spacing w:after="0" w:line="33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Holders of the notes are not protected in the event of a material adverse change in our financial condition or results of operations and there is limited covenant protection in the notes.</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covenants in the notes are limited and do not protect holders of the notes in the event of a material adverse change in our financial condition or results of operations. Additionally, payments of principal of the notes can be accelerated only upon bankruptcy of the Company. There is no right of acceleration of payment of the notes in the case of default in the performance of any covenant by the Company, including payment of principal or interest. The notes do not contain any provisions which restrict us from incurring, assuming or becoming liable with respect to any indebtedness or other obligations, whether secured or unsecured, including indebtedness which will rank senior to the notes.</w:t>
      </w:r>
    </w:p>
    <w:p>
      <w:pPr>
        <w:spacing w:after="0" w:line="8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notes do not contain any financial ratios or specified levels of liquidity to which we must adhere. In addition, the notes do not contain any provisions which require us to repurchase, redeem, or modify the terms of the notes upon any events involving the Company which may adversely affect our creditworthiness. Therefore, neither the covenants nor the other provisions of the notes should be a significant factor in evaluating whether we will be able to comply or will comply with our obligations under the notes.</w:t>
      </w:r>
    </w:p>
    <w:p>
      <w:pPr>
        <w:spacing w:after="0" w:line="325"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will be able to incur additional debt, which could result in a further increase of our leverage and thereby have an adverse effect on our ability to pay our obligations under the notes.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terms of the notes do not and will not prohibit us from incurring additional debt. We may seek to raise additional capital in the form of senior debt in the future. If we do incur more debt, the related risks that we would face with an increase in leverage could result in an adverse effect on our ability to pay our obligations under the notes.</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 investment in the notes is not an FDIC insured deposit.</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notes are not savings accounts, deposits or other obligations of any of our bank or non-bank subsidiaries and are not insured or guaranteed by the FDIC or any other governmental agency or instrumentality. Your investment will be subject to investment risk and you may experience loss with respect to your investment.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There can be no assurance that the notes will qualify for the tax treatment for which the Company intends the notes to qualify.</w:t>
      </w:r>
    </w:p>
    <w:p>
      <w:pPr>
        <w:spacing w:after="0" w:line="62"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Although the Company intends for the notes to qualify for tax treatment that is favorable to the Company, the Company has not sought advice from its accountants, nor has it sought a ruling from the U.S. Internal Revenue Service (“IRS”), as to the federal income tax consequences of issuing the notes. There can be no assurance that upon future review, the Company’s accounts will determine that the notes do not qualify for the intended tax treatment. Similarly, there can be no assurance that the IRS will not successfully challenge the intended tax treatment of the notes. If at any time within the first five years after the issue date, the interest payable by the Company on the notes is not, or will not be, deductible by the Company, in whole or in part, for federal income tax purposes, we may redeem the notes in whole, but not in part, and without premium or penalty.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will not receive any cash proceeds from the exchange offer. In consideration for issuing the New Notes as contemplated by this prospectus, we will receive in exchange Old Notes in like principal amount. We intend to cancel all Old Notes received in exchange for New Notes in the exchange offer.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In connection with the issuance of the Old Notes on September 29, 2020, we entered into certain registration rights agreements with the initial purchasers of the Old Notes, which provide for the exchange offer we are making pursuant to this prospectus. The exchange offer will permit eligible holders of Old Notes to exchange their Old Notes for New Notes that are identical in all material respects with the Old Notes, except that:</w:t>
      </w:r>
    </w:p>
    <w:p>
      <w:pPr>
        <w:spacing w:after="0" w:line="49" w:lineRule="exact"/>
        <w:rPr>
          <w:sz w:val="20"/>
          <w:szCs w:val="20"/>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New Notes have been registered with the SEC under the Securities Act and, as a result, will not bear any legend restricting their transfer;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New Notes bear different CUSIP numbers from the Old Notes;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New Notes are generally not subject to transfer restrictions;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New Notes will not be entitled to registration rights under the registration rights agreements or otherwise; and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because the New Notes will not be entitled to registration rights, holders of the New Notes will not have the right to additional interest under the circumstances described in the registration rights agreements relating to our fulfillment of our registration obligations.</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New Notes will evidence the same debt as the Old Notes. Holders of the New Notes will be entitled to the benefits of the indenture. Accordingly, the New Notes and the Old Notes will be treated as a single series of subordinated debt securities under the indenture. Old Notes that are not tendered for exchange in the exchange offer will remain outstanding and interest on those Old Notes will continue to accrue at the applicable interest rate and be subject to the terms of the indenture.</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exchange offer does not depend on any minimum aggregate principal amount of Old Notes being tendered for exchange.</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intend to conduct the exchange offer in accordance with the provisions of the registration rights agreements and the applicable requirements of the Exchange Act, and the related rules and regulations of the SEC applicable to transactions of this type.</w:t>
      </w:r>
    </w:p>
    <w:p>
      <w:pPr>
        <w:spacing w:after="0" w:line="76"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We will be deemed to have accepted validly tendered Old Notes when and if we have given oral or written notice to the exchange agent of our acceptance of such Old Notes. Subject to the terms and conditions of this exchange offer, delivery of New Notes will be made by the exchange agent promptly after receipt of our notice of acceptance. The exchange agent will act as agent for the holders of Old Notes tendering their Old Notes for the purpose of receiving New Notes from us in exchange for such tendered and accepted Old Notes. If any tendered Old Notes are not accepted for exchange because of an invalid tender, the occurrence of other events described in this prospectus or otherwise, we will return or cause to be returned the certificates for any unaccepted Old Notes, at our expense, to the tendering holder promptly after the expiration of the exchange offer.</w:t>
      </w:r>
    </w:p>
    <w:p>
      <w:pPr>
        <w:spacing w:after="0" w:line="5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If a holder of Old Notes validly tenders Old Notes in the exchange offer, the tendering holder will not be required to pay us brokerage commissions or fees. In addition, subject to the instructions in the letter of transmittal and certain limited exceptions described in this prospectus, the tendering holder will not have to pay transfer taxes for the exchange of Old Notes. Subject to certain exceptions described in this prospectus, we will pay all of the expenses in connection with the exchange offer, other than certain applicable taxes. See “-Fees and Expenses.”</w:t>
      </w:r>
    </w:p>
    <w:p>
      <w:pPr>
        <w:spacing w:after="0" w:line="5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Holders of outstanding Old Notes do not have any appraisal, dissenters’ or similar rights in connection with the exchange offer. Outstanding Old Notes which are not tendered, or are tendered but not accepted, in connection with the exchange offer will remain outstanding. See “Risk Factors-Risks Related to the Exchange Offer-If you do not properly tender your Old Notes, you will continue to hold unregistered Old Notes and your ability to transfer Old Notes will be adversely affected.”</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b w:val="1"/>
          <w:bCs w:val="1"/>
          <w:color w:val="auto"/>
        </w:rPr>
        <w:t>NEITHER WE NOR THE EXCHANGE AGENT ARE MAKING ANY RECOMMENDATION TO THE HOLDERS OF THE OUTSTANDING OLD NOTES AS TO WHETHER TO TENDER OR REFRAIN FROM TENDERING ALL OR ANY PORTION OF THEIR OUTSTANDING OLD NOTES IN THE EXCHANGE OFFER. IN ADDITION, NEITHER WE NOR THE EXCHANGE AGENT HAVE AUTHORIZED ANYONE TO MAKE ANY SUCH RECOMMENDATION. HOLDERS OF THE OUTSTANDING OLD NOTES MUST MAKE THEIR OWN DECISION WHETHER TO TENDER PURSUANT TO THE EXCHANGE OFFER,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spacing w:after="0" w:line="261" w:lineRule="auto"/>
        <w:rPr>
          <w:sz w:val="20"/>
          <w:szCs w:val="20"/>
          <w:color w:val="auto"/>
        </w:rPr>
      </w:pPr>
      <w:r>
        <w:rPr>
          <w:rFonts w:ascii="Arial" w:cs="Arial" w:eastAsia="Arial" w:hAnsi="Arial"/>
          <w:sz w:val="18"/>
          <w:szCs w:val="18"/>
          <w:b w:val="1"/>
          <w:bCs w:val="1"/>
          <w:color w:val="auto"/>
        </w:rPr>
        <w:t>AND, IF SO, THE AGGREGATE PRINCIPAL AMOUNT OF OUTSTANDING OLD NOTES TO TENDER AFTER READING THIS PROSPECTUS AND THE LETTER OF TRANSMITTAL AND CONSULTING WITH THEIR ADVISERS, IF ANY, BASED ON THEIR FINANCIAL POSITION AND INDIVIDUAL REQUIREMENTS.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Rights Agreements</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The following provides a summary of certain terms of the registration rights agreements. This summary is qualified in its entirety by reference to the complete version of the form of registration rights agreement, which is incorporated by reference as an exhibit to the registration statement of which this prospectus is a part.</w:t>
      </w:r>
    </w:p>
    <w:p>
      <w:pPr>
        <w:spacing w:after="0" w:line="5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Under the terms of the registration rights agreements that we entered into with the purchasers of the Old Notes at the time we issued the Old Notes, we agreed to register the New Notes and undertake this exchange offer. This exchange offer is intended to satisfy the rights of holders of Old Notes under such registration rights agreements. After the exchange offer is completed, we will have no further obligations, except under the limited circumstances described below, to provide for any exchange or undertake any further registration with respect to the Old Notes.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terms of the registration rights agreements, we agreed, among other things, to:</w:t>
      </w:r>
    </w:p>
    <w:p>
      <w:pPr>
        <w:spacing w:after="0" w:line="63" w:lineRule="exact"/>
        <w:rPr>
          <w:sz w:val="20"/>
          <w:szCs w:val="20"/>
          <w:color w:val="auto"/>
        </w:rPr>
      </w:pPr>
    </w:p>
    <w:p>
      <w:pPr>
        <w:jc w:val="both"/>
        <w:ind w:left="1000" w:right="299" w:hanging="348"/>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 a registration statement with the SEC under the Securities Act with respect to a registered offer to exchange the Old Notes for substantially identical notes that do not contain transfer restrictions and will be registered under the Securities Act; and</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our commercially reasonable efforts to cause that registration statement to become effective no later than January 27, 2021, which is the date that is 120 days after September 28, 2020.</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registration rights agreements also require us to commence the exchange offer promptly after the effectiveness of the registration statement and to keep the exchange offer open for not less than 20 business days, or longer if required by applicable law, after the date on which notice of the exchange offer is mailed to the holders of the Old Notes.</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also agreed to issue and exchange New Notes for all Old Notes validly tendered and not validly withdrawn before the expiration of the exchange offer. We are sending this prospectus, together with a letter of transmittal, to all the holders of the Old Notes known to us. For each Old Note validly tendered to us in the exchange offer and not validly withdrawn, the holder will receive a New Note having a principal amount equal to the principal amount of the tendered Old Note. Old Notes may be exchanged, and New Notes will be issued, only in minimum denominations of $100,000 and integral multiples of $1,000 in excess thereof.</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further agreed that under certain circumstances we would either file a shelf registration statement with the SEC or designate an existing effective shelf registration statement of ours that would allow resales by certain holders of the Old Notes in lieu of such holders participating in the exchange offer.</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Eligibility; Transferability</w:t>
      </w:r>
    </w:p>
    <w:p>
      <w:pPr>
        <w:spacing w:after="0" w:line="121" w:lineRule="exact"/>
        <w:rPr>
          <w:sz w:val="20"/>
          <w:szCs w:val="20"/>
          <w:color w:val="auto"/>
        </w:rPr>
      </w:pPr>
    </w:p>
    <w:p>
      <w:pPr>
        <w:jc w:val="both"/>
        <w:ind w:left="300" w:right="319" w:firstLine="360"/>
        <w:spacing w:after="0" w:line="295" w:lineRule="auto"/>
        <w:rPr>
          <w:sz w:val="20"/>
          <w:szCs w:val="20"/>
          <w:color w:val="auto"/>
        </w:rPr>
      </w:pPr>
      <w:r>
        <w:rPr>
          <w:rFonts w:ascii="Arial" w:cs="Arial" w:eastAsia="Arial" w:hAnsi="Arial"/>
          <w:sz w:val="16"/>
          <w:szCs w:val="16"/>
          <w:color w:val="auto"/>
        </w:rPr>
        <w:t>We are making this exchange offer in reliance on interpretations of the staff of the SEC set forth in several no-action letters provided to other parties. We have not sought our own no-action letter from the staff of the SEC with respect to this particular exchange offer. However, based on these existing SEC staff interpretations, we believe that you, or any other person receiving New Notes, may offer for resale, resell or otherwise transfer the New Notes without complying with the registration and prospectus delivery requirements of the U.S. federal securities laws, if:</w:t>
      </w:r>
    </w:p>
    <w:p>
      <w:pPr>
        <w:spacing w:after="0" w:line="3" w:lineRule="exact"/>
        <w:rPr>
          <w:sz w:val="20"/>
          <w:szCs w:val="20"/>
          <w:color w:val="auto"/>
        </w:rPr>
      </w:pPr>
    </w:p>
    <w:p>
      <w:pPr>
        <w:ind w:left="1000" w:right="3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are, or the person receiving the New Notes is, acquiring the New Notes in the ordinary course of business;</w:t>
      </w:r>
    </w:p>
    <w:p>
      <w:pPr>
        <w:spacing w:after="0" w:line="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do not, nor does any such person, have an arrangement or understanding with any person to participate in any distribution (within the meaning of the Securities Act) of the New Notes;</w:t>
      </w:r>
    </w:p>
    <w:p>
      <w:pPr>
        <w:spacing w:after="0" w:line="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are not, nor is any such person, our affiliate as such term is defined under Rule 405 under the Securities Act;</w:t>
      </w:r>
    </w:p>
    <w:p>
      <w:pPr>
        <w:spacing w:after="0" w:line="8"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are not, or any such person is not, a broker-dealer registered under the Exchange Act, and you are not engaged in or such person is not engaged in, and do not intend to engage in, any distribution (within the meaning of the Securities Act) of the New Notes; and</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are not acting on behalf of any person who could not truthfully make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To participate in the exchange offer, you must represent as a holder of Old Notes that each of these statements is true.</w:t>
      </w:r>
    </w:p>
    <w:p>
      <w:pPr>
        <w:spacing w:after="0" w:line="62"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addition, in order for broker-dealers registered under the Exchange Act to participate in the exchange offer, each such broker-dealer must also (i) represent that it is participating in the exchange offer for its own account and is exchanging Old Notes acquired as a result of market-making activities or other trading activities; (ii) confirm that it has not entered into any arrangement or understanding with us or any of our affiliates to distribute the New Notes; and (iii) acknowledge that it will deliver a prospectus meeting the requirements of the Securities Act in connection with any resale of the New Notes. The letter of transmittal to be delivered in connection with a tender of the Old Notes states that by acknowledging that it will deliver, and by delivering, a prospectus, a broker-dealer will not be deemed to admit that it is an underwriter within the meaning of the Securities Act. This prospectus, as it may be amended or supplemented from time to time, may be used by a broker-dealer in connection with resale of the New Notes received in exchange for the Old Notes where such Old Notes were acquired by such broker-dealer as a result of market-making activities or other trading activities. We have agreed that, for a period of 180 days following the expiration date, we will amend or supplement this prospectus to expedite or facilitate the disposition of any New Notes by such broker-dealers.</w:t>
      </w:r>
    </w:p>
    <w:p>
      <w:pPr>
        <w:spacing w:after="0" w:line="78"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Any holder of Old Notes (i) who is our affiliate, (ii) who does not acquire the New Notes in the ordinary course of business, (iii) who intends to participate in the exchange offer for the purpose of distributing the New Notes, or</w:t>
      </w:r>
    </w:p>
    <w:p>
      <w:pPr>
        <w:ind w:left="600" w:hanging="308"/>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who is a broker-dealer who purchased the Old Notes directly from us:</w:t>
      </w:r>
    </w:p>
    <w:p>
      <w:pPr>
        <w:spacing w:after="0" w:line="10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staff of the SEC set forth in the no-action letters described above;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will not be able to tender Old Notes in the exchange offer; and</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New Notes, unless the sale or transfer is made pursuant to an exemption from those requirements.</w:t>
      </w:r>
    </w:p>
    <w:p>
      <w:pPr>
        <w:spacing w:after="0" w:line="7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exchange offer is not being made to, nor will we accept tenders for exchange from, holders of Old Notes in any jurisdiction in which the exchange offer or the acceptance of the exchange offer would not be in compliance with the securities or blue sky laws of such jurisdiction.</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Expiration of the Exchange Offer; Extensions; Amendments</w:t>
      </w:r>
    </w:p>
    <w:p>
      <w:pPr>
        <w:spacing w:after="0" w:line="121" w:lineRule="exact"/>
        <w:rPr>
          <w:sz w:val="20"/>
          <w:szCs w:val="20"/>
          <w:color w:val="auto"/>
        </w:rPr>
      </w:pPr>
    </w:p>
    <w:p>
      <w:pPr>
        <w:ind w:left="660"/>
        <w:spacing w:after="0"/>
        <w:tabs>
          <w:tab w:leader="none" w:pos="6320" w:val="left"/>
        </w:tabs>
        <w:rPr>
          <w:sz w:val="20"/>
          <w:szCs w:val="20"/>
          <w:color w:val="auto"/>
        </w:rPr>
      </w:pPr>
      <w:r>
        <w:rPr>
          <w:rFonts w:ascii="Arial" w:cs="Arial" w:eastAsia="Arial" w:hAnsi="Arial"/>
          <w:sz w:val="18"/>
          <w:szCs w:val="18"/>
          <w:color w:val="auto"/>
        </w:rPr>
        <w:t>The exchange offer will expire at 5:00 p.m., Eastern Standard Time, on</w:t>
      </w:r>
      <w:r>
        <w:rPr>
          <w:sz w:val="20"/>
          <w:szCs w:val="20"/>
          <w:color w:val="auto"/>
        </w:rPr>
        <w:tab/>
      </w:r>
      <w:r>
        <w:rPr>
          <w:rFonts w:ascii="Arial" w:cs="Arial" w:eastAsia="Arial" w:hAnsi="Arial"/>
          <w:sz w:val="17"/>
          <w:szCs w:val="17"/>
          <w:color w:val="auto"/>
        </w:rPr>
        <w:t>, 2020, which we refer to as the</w:t>
      </w:r>
    </w:p>
    <w:p>
      <w:pPr>
        <w:spacing w:after="0" w:line="23" w:lineRule="exact"/>
        <w:rPr>
          <w:sz w:val="20"/>
          <w:szCs w:val="20"/>
          <w:color w:val="auto"/>
        </w:rPr>
      </w:pPr>
    </w:p>
    <w:p>
      <w:pPr>
        <w:jc w:val="both"/>
        <w:ind w:left="300" w:right="299"/>
        <w:spacing w:after="0" w:line="292" w:lineRule="auto"/>
        <w:rPr>
          <w:sz w:val="20"/>
          <w:szCs w:val="20"/>
          <w:color w:val="auto"/>
        </w:rPr>
      </w:pPr>
      <w:r>
        <w:rPr>
          <w:rFonts w:ascii="Arial" w:cs="Arial" w:eastAsia="Arial" w:hAnsi="Arial"/>
          <w:sz w:val="16"/>
          <w:szCs w:val="16"/>
          <w:color w:val="auto"/>
        </w:rPr>
        <w:t>expiration date, unless we extend the exchange offer. If we extend the exchange offer, the expiration date will be the latest date and time to which the exchange offer is extended. To extend the exchange offer, we will notify the exchange agent and each registered holder of the Old Notes of any extension before 9:00 a.m., Eastern Standard Time on the next business day after the previously scheduled expiration date. During any such extension, all Old Notes previously tendered will remain subject to the exchange offer and may be accepted for exchange by us.</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reserve the right to extend the exchange offer, delay accepting any tendered Old Notes or, if any of the conditions described below under the heading “-Conditions” have not been satisfied, to terminate the exchange offer. We also reserve the right to amend the terms of the exchange offer in any manner. We will give oral or written notice of any delay, extension, termination or amendment to the exchange agent. We will keep the exchange offer open for not less than 20 business days, or longer if required by applicable law, after the date on which notice of the exchange offer is mailed to holders of the Old Notes.</w:t>
      </w:r>
    </w:p>
    <w:p>
      <w:pPr>
        <w:spacing w:after="0" w:line="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we amend the exchange offer in a manner that we consider material, we will disclose that amendment by means of a prospectus supplement, and we will extend the exchange offer so that at least five business days remain in the exchange offer following notice of the material change.</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If we determine to make a public announcement of any delay, extension, amendment or termination of the exchange offer, we will do so by making a timely release through an appropriate news agency.</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we terminate or withdraw the exchange offer, we will promptly return any Old Notes deposited, under the exchange offer as required by Rule 14e-1(c) under the Exchange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Conditions</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exchange offer is not conditioned on any minimum aggregate principal amount of Old Notes being tendered or accepted for exchange. Notwithstanding any other term of the exchange offer, we will not be required to accept for exchange, or issue any New Notes for, any Old Notes, and may terminate or amend the exchange offer before the acceptance of the Old Notes, if:</w:t>
      </w:r>
    </w:p>
    <w:p>
      <w:pPr>
        <w:spacing w:after="0" w:line="79" w:lineRule="exact"/>
        <w:rPr>
          <w:sz w:val="20"/>
          <w:szCs w:val="20"/>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Old Notes are tendered to us other than in accordance with the terms and conditions of the exchange offer;</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determine that the exchange offer violates any law, statute, rule, regulation or interpretation by the staff of the SEC; or</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action or proceeding is instituted or threatened in any court or by or before any governmental agency relating to the exchange offer which, in our judgment, could reasonably be expected to impair our ability to proceed with the exchange offer.</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conditions listed above are for our sole benefit and may be asserted by us regardless of the circumstances giving rise to any of these conditions. We may waive these conditions in our absolute discretion in whole or in part at any time and from time to time prior to the expiration date. Our failure at any time to exercise any of the above rights will not be considered a waiver of that right, and that right will be considered an ongoing right which we may assert at any time and from time to time.</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will not accept for exchange any Old Notes tendered, and no New Notes will be issued in exchange for those Old Notes, if at any time any stop order is threatened or issued by the SEC with respect to the registration statement for the exchange offer and the New Notes or the qualification of the indenture under the Trust Indenture Act of 1939. In any such event, we must use our commercially reasonable efforts to obtain the withdrawal of any stop order as soon as practicable.</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Further, we will not be obligated to accept for exchange the Old Notes of any holder that has not made to us the representations described under “-Eligibility; Transferability” and “Plan of Distribution.”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Procedures for Tendering Old Notes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order to participate in the exchange offer, you must validly tender your Old Notes to the exchange agent, as described below, by the expiration date. It is your responsibility to validly tender your Old Notes. We have the right to waive any defects. However, we are not required to waive defects and are not required to notify you of defects in your tender.</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If you have any questions or need help in exchanging your Old Notes, please call the exchange agent, whose address and phone number are set forth in “-Exchange Agent.”</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Old Notes Issued in Book-Entry Form</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All of the Old Notes were issued in book-entry form and are currently represented by global certificates held for the account of DTC. Accordingly, DTC, as depositary, or its nominee is treated as the registered holder of the Old Notes and will be the only entity that can tender your Old Notes for New Notes. Therefore, to validly tender Old Notes and to obtain New Notes, you must comply with the procedures described below to initiate the exchange agent’s book-entry transfer of the Old Notes into the exchange agent’s account at DTC using DTC’s ATOP procedures. To comply with those procedures, you must cause:</w:t>
      </w:r>
    </w:p>
    <w:p>
      <w:pPr>
        <w:spacing w:after="0" w:line="70" w:lineRule="exact"/>
        <w:rPr>
          <w:sz w:val="20"/>
          <w:szCs w:val="20"/>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properly transmitted “agent’s message” (as defined below) to be received by the exchange agent through ATOP prior to 5:00 p.m., Eastern Standard Time, on the expiration date; and</w:t>
      </w:r>
    </w:p>
    <w:p>
      <w:pPr>
        <w:spacing w:after="0" w:line="62"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timely confirmation of a book-entry tender of the Old Notes into the exchange agent’s account at DTC through ATOP pursuant to the procedure for book-entry transfer described below to be received by the exchange agent prior to 5:00 p.m., Eastern Standard Time on the expiration date.</w:t>
      </w:r>
    </w:p>
    <w:p>
      <w:pPr>
        <w:spacing w:after="0" w:line="5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Following receipt of a properly transmitted “agent’s message,” the exchange agent will establish an ATOP account with DTC for purposes of the exchange offer promptly after the commencement of the exchange offer. Any financial institution that is a DTC participant, including your broker or bank, may make a book-entry tender of outstanding Old Notes by causing the book-entry transfer of such Old Notes into the exchange agent’s ATOP account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in accordance with DTC’s procedures for such transfers. In connection with the transfer, the exchange agent must receive a properly transmitted “agent’s message,” as well as a timely confirmation of a book-entry tender of the Old Notes into its account at DTC through ATOP, prior to 5:00 p.m., Eastern Standard Time, on the expiration date. Subject to the terms of the exchange offer, following the expiration or termination of the exchange offer, the exchange agent will exchange Old Notes validly tendered and not validly withdrawn prior to such expiration or termination for an equal principal amount of New Notes by credit to the holder’s account at DTC. If the entire principal amount of all Old Notes held by a holder is not tendered, then Old Notes for the principal amount of the Old Notes not tendered and accepted will be returned by credit to the holder’s account at DTC following the expiration date.</w:t>
      </w:r>
    </w:p>
    <w:p>
      <w:pPr>
        <w:spacing w:after="0" w:line="8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term “agent’s message” means a message transmitted by a DTC participant to DTC, and thereafter transmitted by DTC to the exchange agent, which states that DTC has received an express acknowledgement from the participant stating that such participant and beneficial holder agree to be bound by the terms of the exchange offer, including the letter of transmittal, and that such agreement may be enforced against such participant.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agent’s message must include the following information:</w:t>
      </w:r>
    </w:p>
    <w:p>
      <w:pPr>
        <w:spacing w:after="0" w:line="117" w:lineRule="exact"/>
        <w:rPr>
          <w:sz w:val="20"/>
          <w:szCs w:val="20"/>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the beneficial owner tendering such Old Notes ;</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account number of the beneficial owner tendering such Old Notes ;</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principal amount of Old Notes tendered by such beneficial owner;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confirmation that the beneficial owner of the Old Notes has agreed to be bound by the terms of the accompanying letter of transmittal.</w:t>
      </w:r>
    </w:p>
    <w:p>
      <w:pPr>
        <w:spacing w:after="0" w:line="62"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The delivery of the Old Notes through DTC, and any transmission of an agent’s message through ATOP, is at the election and risk of the person tendering Old Notes. If we do not accept any tendered Old Notes for exchange or if Old Notes are submitted for a greater principal amount than the holder desires to exchange, the unaccepted or non-exchanged Old Notes will be returned, without expense, to their tendering holder by crediting the holder’s account at DTC, following the expiration or termination of the exchange offer.</w:t>
      </w:r>
    </w:p>
    <w:p>
      <w:pPr>
        <w:spacing w:after="0" w:line="68"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tender by a holder of Old Notes that is not validly withdrawn prior to the expiration date of the exchange offer and that is accepted by us will constitute a binding agreement between us and the holder in accordance with the terms and subject to the conditions set forth in this prospectus and in the accompanying letter of transmittal. By using the ATOP procedures to exchange Old Notes, you will not be required to deliver a letter of transmittal to the exchange agent. However, by using the ATOP procedures to tender and exchange Old Notes, you will be bound by the terms of the letter of transmittal, and you will be deemed to have made the acknowledgements and the representations and warranties it contains, just as if you had signed it. Each tendering holder, by delivery of an agent’s message, waives any right to receive any notice of the acceptance of such tender.</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is no procedure for guaranteed late delivery of the Old Notes in connection with the exchange offer.</w:t>
      </w:r>
    </w:p>
    <w:p>
      <w:pPr>
        <w:spacing w:after="0" w:line="129"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We will determine all questions as to the validity, form, eligibility (including time of receipt), acceptance and withdrawal of tendered Old Notes in our sole discretion, and our determination will be final and binding on all parties. We reserve the absolute right, in our sole and absolute discretion, to reject any and all Old Notes not validly tendered or any Old Notes whose acceptance by us would, in the opinion of our counsel, be unlawful. We also reserve the absolute right, in our sole discretion subject to applicable law, to waive or amend any of the conditions of the exchange offer or to waive any defects, irregularities or conditions of tender as to any particular Old Notes, either before or after the expiration date. Our interpretation of the terms and conditions of the exchange offer (including the instructions in the accompanying letter of transmittal) will be final and binding on all parties. No alternative, conditional or contingent tenders will be accepted. Unless waived, any defects or irregularities in connection with tenders of Old Notes must be cured within a time period we will reasonably determine. We are not required to waive defects and are not required to notify you of defects in your tender. Although we intend to request the exchange agent to notify holders of defects or irregularities relating to tenders and withdrawals of Old Notes, neither we, the exchange agent nor any other person will have any duty or incur any liability for failure to give such notification. Tenders of Old Notes will not be considered to have been made until such defects or irregularities have been cured or waived. If we waive any terms or conditions with respect to a noteholder, we will extend the same waiver to all noteholders with respect to that term or condition. Any Old Notes received by the exchange agent that are not validly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00" w:right="1300"/>
        <w:spacing w:after="0" w:line="311" w:lineRule="auto"/>
        <w:rPr>
          <w:sz w:val="20"/>
          <w:szCs w:val="20"/>
          <w:color w:val="auto"/>
        </w:rPr>
      </w:pPr>
      <w:r>
        <w:rPr>
          <w:rFonts w:ascii="Arial" w:cs="Arial" w:eastAsia="Arial" w:hAnsi="Arial"/>
          <w:sz w:val="16"/>
          <w:szCs w:val="16"/>
          <w:color w:val="auto"/>
        </w:rPr>
        <w:t>tendered and as to which the defects or irregularities have not been cured or waived will be returned by the exchange agent, without expense, to the tendering holders following the expiration date of the exchange offer. Each tendering holder, by delivery of an agent’s message, waives any right to receive any notice of the acceptance of such tender.</w:t>
      </w:r>
    </w:p>
    <w:p>
      <w:pPr>
        <w:spacing w:after="0" w:line="25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Representations</w:t>
      </w:r>
    </w:p>
    <w:p>
      <w:pPr>
        <w:spacing w:after="0" w:line="14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By tendering Old Notes, each holder is deemed to have represented to us that:</w:t>
      </w:r>
    </w:p>
    <w:p>
      <w:pPr>
        <w:spacing w:after="0" w:line="117" w:lineRule="exact"/>
        <w:rPr>
          <w:sz w:val="20"/>
          <w:szCs w:val="20"/>
          <w:color w:val="auto"/>
        </w:rPr>
      </w:pPr>
    </w:p>
    <w:p>
      <w:pPr>
        <w:ind w:left="2000" w:hanging="348"/>
        <w:spacing w:after="0"/>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New Notes that you receive will be acquired in the ordinary course of business;</w:t>
      </w:r>
    </w:p>
    <w:p>
      <w:pPr>
        <w:spacing w:after="0" w:line="117" w:lineRule="exact"/>
        <w:rPr>
          <w:rFonts w:ascii="Arial" w:cs="Arial" w:eastAsia="Arial" w:hAnsi="Arial"/>
          <w:sz w:val="18"/>
          <w:szCs w:val="18"/>
          <w:color w:val="auto"/>
        </w:rPr>
      </w:pPr>
    </w:p>
    <w:p>
      <w:pPr>
        <w:ind w:left="2000" w:right="1320" w:hanging="348"/>
        <w:spacing w:after="0" w:line="308" w:lineRule="auto"/>
        <w:tabs>
          <w:tab w:leader="none" w:pos="2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you have no arrangement or understanding with any person to participate in the distribution (within the meaning of the Securities Act) of the New Notes in violation of the provisions of the Securities Act;</w:t>
      </w:r>
    </w:p>
    <w:p>
      <w:pPr>
        <w:spacing w:after="0" w:line="38" w:lineRule="exact"/>
        <w:rPr>
          <w:rFonts w:ascii="Arial" w:cs="Arial" w:eastAsia="Arial" w:hAnsi="Arial"/>
          <w:sz w:val="17"/>
          <w:szCs w:val="17"/>
          <w:color w:val="auto"/>
        </w:rPr>
      </w:pPr>
    </w:p>
    <w:p>
      <w:pPr>
        <w:ind w:left="2000" w:hanging="348"/>
        <w:spacing w:after="0"/>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are not an “affiliate” (within the meaning of Rule 405 under the Securities Act); and</w:t>
      </w:r>
    </w:p>
    <w:p>
      <w:pPr>
        <w:spacing w:after="0" w:line="117" w:lineRule="exact"/>
        <w:rPr>
          <w:rFonts w:ascii="Arial" w:cs="Arial" w:eastAsia="Arial" w:hAnsi="Arial"/>
          <w:sz w:val="18"/>
          <w:szCs w:val="18"/>
          <w:color w:val="auto"/>
        </w:rPr>
      </w:pPr>
    </w:p>
    <w:p>
      <w:pPr>
        <w:jc w:val="both"/>
        <w:ind w:left="2000" w:right="1320" w:hanging="348"/>
        <w:spacing w:after="0" w:line="259" w:lineRule="auto"/>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you are a broker-dealer that will receive New Notes for your own account in exchange for Old Notes, you acquired those New Notes as a result of market-making or other trading activities and you will deliver a prospectus (or to the extent permitted by law, make available a prospectus to purchasers) in connection with any resale of such New Notes.</w:t>
      </w: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Withdrawal of Tenders</w:t>
      </w:r>
    </w:p>
    <w:p>
      <w:pPr>
        <w:spacing w:after="0" w:line="121" w:lineRule="exact"/>
        <w:rPr>
          <w:sz w:val="20"/>
          <w:szCs w:val="20"/>
          <w:color w:val="auto"/>
        </w:rPr>
      </w:pPr>
    </w:p>
    <w:p>
      <w:pPr>
        <w:jc w:val="both"/>
        <w:ind w:left="1300" w:right="1300" w:firstLine="360"/>
        <w:spacing w:after="0" w:line="273" w:lineRule="auto"/>
        <w:rPr>
          <w:sz w:val="20"/>
          <w:szCs w:val="20"/>
          <w:color w:val="auto"/>
        </w:rPr>
      </w:pPr>
      <w:r>
        <w:rPr>
          <w:rFonts w:ascii="Arial" w:cs="Arial" w:eastAsia="Arial" w:hAnsi="Arial"/>
          <w:sz w:val="17"/>
          <w:szCs w:val="17"/>
          <w:color w:val="auto"/>
        </w:rPr>
        <w:t>Except as otherwise provided in this prospectus, you may validly withdraw your book-entry tender of Old Notes at any time prior to 5:00 p.m., Eastern Standard Time, on the expiration date of the exchange offer. For a withdrawal of book-entry tendered Old Notes to be effective, the exchange agent must receive, prior to 5:00 p.m., Eastern Standard Time on the expiration date, a computer-generated notice of withdrawal, transmitted by DTC on your behalf in accordance with the appropriate procedures of DTC’s ATOP system prior to 5:00 p.m., Eastern Standard Time, on the expiration date. Any such notice of withdrawal must:</w:t>
      </w:r>
    </w:p>
    <w:p>
      <w:pPr>
        <w:spacing w:after="0" w:line="70" w:lineRule="exact"/>
        <w:rPr>
          <w:sz w:val="20"/>
          <w:szCs w:val="20"/>
          <w:color w:val="auto"/>
        </w:rPr>
      </w:pPr>
    </w:p>
    <w:p>
      <w:pPr>
        <w:ind w:left="2000" w:hanging="348"/>
        <w:spacing w:after="0"/>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the name of the tendering holder of Old Notes;</w:t>
      </w:r>
    </w:p>
    <w:p>
      <w:pPr>
        <w:spacing w:after="0" w:line="117" w:lineRule="exact"/>
        <w:rPr>
          <w:rFonts w:ascii="Arial" w:cs="Arial" w:eastAsia="Arial" w:hAnsi="Arial"/>
          <w:sz w:val="18"/>
          <w:szCs w:val="18"/>
          <w:color w:val="auto"/>
        </w:rPr>
      </w:pPr>
    </w:p>
    <w:p>
      <w:pPr>
        <w:ind w:left="2000" w:hanging="348"/>
        <w:spacing w:after="0"/>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the principal amount of the Old Notes delivered for exchange;</w:t>
      </w:r>
    </w:p>
    <w:p>
      <w:pPr>
        <w:spacing w:after="0" w:line="117" w:lineRule="exact"/>
        <w:rPr>
          <w:rFonts w:ascii="Arial" w:cs="Arial" w:eastAsia="Arial" w:hAnsi="Arial"/>
          <w:sz w:val="18"/>
          <w:szCs w:val="18"/>
          <w:color w:val="auto"/>
        </w:rPr>
      </w:pPr>
    </w:p>
    <w:p>
      <w:pPr>
        <w:ind w:left="2000" w:hanging="348"/>
        <w:spacing w:after="0"/>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the name and number of the account at DTC to be credited with the withdrawn Old Notes;</w:t>
      </w:r>
    </w:p>
    <w:p>
      <w:pPr>
        <w:spacing w:after="0" w:line="117" w:lineRule="exact"/>
        <w:rPr>
          <w:rFonts w:ascii="Arial" w:cs="Arial" w:eastAsia="Arial" w:hAnsi="Arial"/>
          <w:sz w:val="18"/>
          <w:szCs w:val="18"/>
          <w:color w:val="auto"/>
        </w:rPr>
      </w:pPr>
    </w:p>
    <w:p>
      <w:pPr>
        <w:ind w:left="2000" w:hanging="348"/>
        <w:spacing w:after="0"/>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 a statement that such holder is withdrawing its election to have such Old Notes exchanged; and</w:t>
      </w:r>
    </w:p>
    <w:p>
      <w:pPr>
        <w:spacing w:after="0" w:line="117" w:lineRule="exact"/>
        <w:rPr>
          <w:rFonts w:ascii="Arial" w:cs="Arial" w:eastAsia="Arial" w:hAnsi="Arial"/>
          <w:sz w:val="18"/>
          <w:szCs w:val="18"/>
          <w:color w:val="auto"/>
        </w:rPr>
      </w:pPr>
    </w:p>
    <w:p>
      <w:pPr>
        <w:ind w:left="2000" w:hanging="348"/>
        <w:spacing w:after="0"/>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otherwise comply with the procedures of DTC.</w:t>
      </w:r>
    </w:p>
    <w:p>
      <w:pPr>
        <w:spacing w:after="0" w:line="117" w:lineRule="exact"/>
        <w:rPr>
          <w:sz w:val="20"/>
          <w:szCs w:val="20"/>
          <w:color w:val="auto"/>
        </w:rPr>
      </w:pPr>
    </w:p>
    <w:p>
      <w:pPr>
        <w:jc w:val="both"/>
        <w:ind w:left="1300" w:right="1300" w:firstLine="360"/>
        <w:spacing w:after="0" w:line="271" w:lineRule="auto"/>
        <w:rPr>
          <w:sz w:val="20"/>
          <w:szCs w:val="20"/>
          <w:color w:val="auto"/>
        </w:rPr>
      </w:pPr>
      <w:r>
        <w:rPr>
          <w:rFonts w:ascii="Arial" w:cs="Arial" w:eastAsia="Arial" w:hAnsi="Arial"/>
          <w:sz w:val="17"/>
          <w:szCs w:val="17"/>
          <w:color w:val="auto"/>
        </w:rPr>
        <w:t>We will determine all questions as to the validity, form and eligibility (including time of receipt) of such withdrawal notices. Any Old Notes so withdrawn will be considered not to have been validly tendered for purposes of the applicable exchange offer, and no New Notes will be issued in exchange for such Old Notes unless the Old Notes withdrawn are validly re-tendered. Any Old Notes which have been tendered but which are not accepted for exchange or which are withdrawn will be returned to the holder, without expense to such holder, promptly after withdrawal, rejection of tender or termination of the applicable exchange offer. Validly withdrawn Old Notes may be re-tendered by following one of the procedures described above under “-Procedures for Tendering” at any time prior to the expiration date of the exchange offer.</w:t>
      </w:r>
    </w:p>
    <w:p>
      <w:pPr>
        <w:spacing w:after="0" w:line="28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jc w:val="both"/>
        <w:ind w:left="1300" w:right="1320" w:firstLine="360"/>
        <w:spacing w:after="0" w:line="259" w:lineRule="auto"/>
        <w:rPr>
          <w:sz w:val="20"/>
          <w:szCs w:val="20"/>
          <w:color w:val="auto"/>
        </w:rPr>
      </w:pPr>
      <w:r>
        <w:rPr>
          <w:rFonts w:ascii="Arial" w:cs="Arial" w:eastAsia="Arial" w:hAnsi="Arial"/>
          <w:sz w:val="18"/>
          <w:szCs w:val="18"/>
          <w:color w:val="auto"/>
        </w:rPr>
        <w:t>UMB Bank, National Association, the trustee under the indenture, has been appointed the exchange agent for this exchange offer. The letters of transmittal and all correspondence in connection with this exchange offer should be sent or delivered by each holder of Old Notes, or a beneficial owner’s commercial bank, broker, dealer, trust company or other nominee, to the exchange agent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ind w:left="2120"/>
              <w:spacing w:after="0"/>
              <w:rPr>
                <w:sz w:val="20"/>
                <w:szCs w:val="20"/>
                <w:color w:val="auto"/>
              </w:rPr>
            </w:pPr>
            <w:r>
              <w:rPr>
                <w:rFonts w:ascii="Arial" w:cs="Arial" w:eastAsia="Arial" w:hAnsi="Arial"/>
                <w:sz w:val="18"/>
                <w:szCs w:val="18"/>
                <w:color w:val="auto"/>
              </w:rPr>
              <w:t>By Mail or Hand Delivery:</w:t>
            </w:r>
          </w:p>
        </w:tc>
        <w:tc>
          <w:tcPr>
            <w:tcW w:w="6760" w:type="dxa"/>
            <w:vAlign w:val="bottom"/>
          </w:tcPr>
          <w:p>
            <w:pPr>
              <w:ind w:left="200"/>
              <w:spacing w:after="0"/>
              <w:rPr>
                <w:sz w:val="20"/>
                <w:szCs w:val="20"/>
                <w:color w:val="auto"/>
              </w:rPr>
            </w:pPr>
            <w:r>
              <w:rPr>
                <w:rFonts w:ascii="Arial" w:cs="Arial" w:eastAsia="Arial" w:hAnsi="Arial"/>
                <w:sz w:val="18"/>
                <w:szCs w:val="18"/>
                <w:color w:val="auto"/>
              </w:rPr>
              <w:t>UMB Bank, National Association</w:t>
            </w:r>
          </w:p>
        </w:tc>
      </w:tr>
      <w:tr>
        <w:trPr>
          <w:trHeight w:val="216"/>
        </w:trPr>
        <w:tc>
          <w:tcPr>
            <w:tcW w:w="426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5555 San Felipe St., Suite 870</w:t>
            </w:r>
          </w:p>
        </w:tc>
      </w:tr>
      <w:tr>
        <w:trPr>
          <w:trHeight w:val="216"/>
        </w:trPr>
        <w:tc>
          <w:tcPr>
            <w:tcW w:w="426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Houston, Texas 77056</w:t>
            </w:r>
          </w:p>
        </w:tc>
      </w:tr>
      <w:tr>
        <w:trPr>
          <w:trHeight w:val="230"/>
        </w:trPr>
        <w:tc>
          <w:tcPr>
            <w:tcW w:w="4260" w:type="dxa"/>
            <w:vAlign w:val="bottom"/>
          </w:tcPr>
          <w:p>
            <w:pPr>
              <w:spacing w:after="0"/>
              <w:rPr>
                <w:sz w:val="20"/>
                <w:szCs w:val="20"/>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Attention: Mauri J. Cowen / Corporate Trust</w:t>
            </w:r>
          </w:p>
        </w:tc>
      </w:tr>
      <w:tr>
        <w:trPr>
          <w:trHeight w:val="324"/>
        </w:trPr>
        <w:tc>
          <w:tcPr>
            <w:tcW w:w="4260" w:type="dxa"/>
            <w:vAlign w:val="bottom"/>
          </w:tcPr>
          <w:p>
            <w:pPr>
              <w:ind w:left="2120"/>
              <w:spacing w:after="0"/>
              <w:rPr>
                <w:sz w:val="20"/>
                <w:szCs w:val="20"/>
                <w:color w:val="auto"/>
              </w:rPr>
            </w:pPr>
            <w:r>
              <w:rPr>
                <w:rFonts w:ascii="Arial" w:cs="Arial" w:eastAsia="Arial" w:hAnsi="Arial"/>
                <w:sz w:val="18"/>
                <w:szCs w:val="18"/>
                <w:color w:val="auto"/>
              </w:rPr>
              <w:t>Telephone:</w:t>
            </w:r>
          </w:p>
        </w:tc>
        <w:tc>
          <w:tcPr>
            <w:tcW w:w="6760" w:type="dxa"/>
            <w:vAlign w:val="bottom"/>
          </w:tcPr>
          <w:p>
            <w:pPr>
              <w:jc w:val="right"/>
              <w:ind w:right="5350"/>
              <w:spacing w:after="0"/>
              <w:rPr>
                <w:sz w:val="20"/>
                <w:szCs w:val="20"/>
                <w:color w:val="auto"/>
              </w:rPr>
            </w:pPr>
            <w:r>
              <w:rPr>
                <w:rFonts w:ascii="Arial" w:cs="Arial" w:eastAsia="Arial" w:hAnsi="Arial"/>
                <w:sz w:val="18"/>
                <w:szCs w:val="18"/>
                <w:color w:val="auto"/>
              </w:rPr>
              <w:t>(713) 300-0587</w:t>
            </w:r>
          </w:p>
        </w:tc>
      </w:tr>
      <w:tr>
        <w:trPr>
          <w:trHeight w:val="324"/>
        </w:trPr>
        <w:tc>
          <w:tcPr>
            <w:tcW w:w="4260" w:type="dxa"/>
            <w:vAlign w:val="bottom"/>
          </w:tcPr>
          <w:p>
            <w:pPr>
              <w:ind w:left="2120"/>
              <w:spacing w:after="0"/>
              <w:rPr>
                <w:sz w:val="20"/>
                <w:szCs w:val="20"/>
                <w:color w:val="auto"/>
              </w:rPr>
            </w:pPr>
            <w:r>
              <w:rPr>
                <w:rFonts w:ascii="Arial" w:cs="Arial" w:eastAsia="Arial" w:hAnsi="Arial"/>
                <w:sz w:val="18"/>
                <w:szCs w:val="18"/>
                <w:color w:val="auto"/>
              </w:rPr>
              <w:t>Email:</w:t>
            </w:r>
          </w:p>
        </w:tc>
        <w:tc>
          <w:tcPr>
            <w:tcW w:w="6760" w:type="dxa"/>
            <w:vAlign w:val="bottom"/>
          </w:tcPr>
          <w:p>
            <w:pPr>
              <w:ind w:left="200"/>
              <w:spacing w:after="0"/>
              <w:rPr>
                <w:sz w:val="20"/>
                <w:szCs w:val="20"/>
                <w:color w:val="auto"/>
              </w:rPr>
            </w:pPr>
            <w:r>
              <w:rPr>
                <w:rFonts w:ascii="Arial" w:cs="Arial" w:eastAsia="Arial" w:hAnsi="Arial"/>
                <w:sz w:val="18"/>
                <w:szCs w:val="18"/>
                <w:color w:val="auto"/>
              </w:rPr>
              <w:t>mauri.cowen@umb.com</w:t>
            </w:r>
          </w:p>
        </w:tc>
      </w:tr>
      <w:tr>
        <w:trPr>
          <w:trHeight w:val="432"/>
        </w:trPr>
        <w:tc>
          <w:tcPr>
            <w:tcW w:w="4260" w:type="dxa"/>
            <w:vAlign w:val="bottom"/>
          </w:tcPr>
          <w:p>
            <w:pPr>
              <w:spacing w:after="0"/>
              <w:rPr>
                <w:sz w:val="24"/>
                <w:szCs w:val="24"/>
                <w:color w:val="auto"/>
              </w:rPr>
            </w:pPr>
          </w:p>
        </w:tc>
        <w:tc>
          <w:tcPr>
            <w:tcW w:w="6760" w:type="dxa"/>
            <w:vAlign w:val="bottom"/>
          </w:tcPr>
          <w:p>
            <w:pPr>
              <w:jc w:val="right"/>
              <w:ind w:right="5330"/>
              <w:spacing w:after="0"/>
              <w:rPr>
                <w:sz w:val="20"/>
                <w:szCs w:val="20"/>
                <w:color w:val="auto"/>
              </w:rPr>
            </w:pPr>
            <w:r>
              <w:rPr>
                <w:rFonts w:ascii="Arial" w:cs="Arial" w:eastAsia="Arial" w:hAnsi="Arial"/>
                <w:sz w:val="18"/>
                <w:szCs w:val="18"/>
                <w:color w:val="auto"/>
              </w:rPr>
              <w:t>29</w:t>
            </w:r>
          </w:p>
        </w:tc>
      </w:tr>
      <w:tr>
        <w:trPr>
          <w:trHeight w:val="196"/>
        </w:trPr>
        <w:tc>
          <w:tcPr>
            <w:tcW w:w="4260" w:type="dxa"/>
            <w:vAlign w:val="bottom"/>
            <w:tcBorders>
              <w:bottom w:val="single" w:sz="8" w:color="auto"/>
            </w:tcBorders>
          </w:tcPr>
          <w:p>
            <w:pPr>
              <w:spacing w:after="0"/>
              <w:rPr>
                <w:sz w:val="17"/>
                <w:szCs w:val="17"/>
                <w:color w:val="auto"/>
              </w:rPr>
            </w:pPr>
          </w:p>
        </w:tc>
        <w:tc>
          <w:tcPr>
            <w:tcW w:w="676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We will pay the exchange agent reasonable and customary fees for its services (including attorney’s fees) and will reimburse it for its reasonable, out-of-pocket expenses in connection with this exchange offer.</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will bear the expenses of soliciting tenders of the Old Notes and issuance of the New Notes. The principal solicitation is being made through ATOP. However, we may make additional solicitations by mail, email, telephone or in person by our officers and employees and those of our affiliates.</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have not retained any dealer-manager in connection with the exchange offer and will not make any payments to broker-dealers or others soliciting acceptances of the exchange offer. As indicated above, we will, however, pay the exchange agent reasonable and customary fees for its services and reimburse it for its related reasonable out-of-pocket expenses. We will also pay any other cash expenses that we incur in connection with the exchange offer.</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Except as described below, we will pay all transfer taxes, if any, applicable to the exchange of Old Notes under the exchange offer. The tendering holder will be required to pay any transfer taxes, whether imposed on the registered holder or any other person, if:</w:t>
      </w:r>
    </w:p>
    <w:p>
      <w:pPr>
        <w:spacing w:after="0" w:line="76" w:lineRule="exact"/>
        <w:rPr>
          <w:sz w:val="20"/>
          <w:szCs w:val="20"/>
          <w:color w:val="auto"/>
        </w:rPr>
      </w:pPr>
    </w:p>
    <w:p>
      <w:pPr>
        <w:ind w:left="1000" w:right="319" w:hanging="348"/>
        <w:spacing w:after="0" w:line="308"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New Notes and/or substitute Old Notes not exchanged are to be delivered to, or registered or issued in the name of, any person other than the registered holder of the Old Notes so exchanged;</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tendered Old Notes are registered in the name of any person other than the person signing the letter of transmittal;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transfer tax is imposed for any reason other than the exchange of Old Notes under the exchange offer.</w:t>
      </w:r>
    </w:p>
    <w:p>
      <w:pPr>
        <w:spacing w:after="0" w:line="14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satisfactory evidence of payment of transfer taxes is not submitted with the letter of transmittal, the amount of any transfer taxes will be billed to the tendering holder.</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will record the New Notes at the same carrying value as the Old Notes reflected in our accounting records on the date of the exchange. Accordingly, we will not recognize any gain or loss for accounting purposes upon completion of the exchange offer.</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Consequences of Failure to Exchange</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Old Notes that are not exchanged will remain “restricted securities” within the meaning of Rule 144(a)(3) under the Securities Act.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they may not be offered, sold, pledged or otherwise transferred except:</w:t>
      </w:r>
    </w:p>
    <w:p>
      <w:pPr>
        <w:spacing w:after="0" w:line="117" w:lineRule="exact"/>
        <w:rPr>
          <w:sz w:val="20"/>
          <w:szCs w:val="20"/>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us or to any of our subsidiaries;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a registration statement which has been declared effective under the Securities Act;</w:t>
      </w:r>
    </w:p>
    <w:p>
      <w:pPr>
        <w:spacing w:after="0" w:line="117"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so long as the Old Notes are eligible for resale pursuant to Rule 144A under the Securities Act, to a person the holder of the Old Notes and any person acting on its behalf reasonably believes is a “qualified institutional buyer” as defined in Rule 144A, that purchases for its own account or for the account of another qualified institutional buyer, in each case to whom notice is given that the transfer is being made in reliance on Rule 144A; or</w:t>
      </w:r>
    </w:p>
    <w:p>
      <w:pPr>
        <w:spacing w:after="0" w:line="79"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under any other available exemption from the registration requirements of the Securities Act (in which case we and the trustee shall have the right to require the delivery of an opinion of counsel (at the holder’s sole cost), certifications and/or other information satisfactory to us and the trustee);</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each case subject to compliance with any applicable foreign, state or other securities laws.</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Upon completion of the exchange offer, due to the restrictions on transfer of the Old Notes and the absence of such restrictions applicable to the New Notes, it is likely that the market, if any, for Old Notes will be relatively less liquid than the market for New Notes. Consequently, holders of Old Notes who do not participate in the exchange offer could experience significant diminution in the value of their Old Notes, compared to the value of the New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Notes. The holders of Old Notes not tendered will have no further registration rights, except that, under limited circumstances specified in the registration rights agreements, we may be required to file a shelf registration statement for a continuous offer of Old Notes.</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Information Regarding the Registration Rights Agreements</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As noted above, we are effecting the exchange offer to comply with the registration rights agreements. The registration rights agreements require us to cause an exchange offer registration statement to be filed with the SEC under the Securities Act, use our commercially reasonable efforts to cause the registration statement to become effective, and satisfy certain other obligations, within certain time periods.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that:</w:t>
      </w:r>
    </w:p>
    <w:p>
      <w:pPr>
        <w:spacing w:after="0" w:line="117" w:lineRule="exact"/>
        <w:rPr>
          <w:sz w:val="20"/>
          <w:szCs w:val="20"/>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registration statement is not filed with the SEC on or prior to November 28, 2020, which is the date that is 60 days after September 29, 2020;</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registration statement has not been declared effective by the SEC on or prior to January 27, 2021, which is the date that is 120 days after September 29, 2020; or</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exchange offer is not completed on or prior to the 45th day following the effective date of the registration statement;</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interest rate on the Old Notes will be increased by a rate of 0.25% per annum immediately following such registration default and will increase by 0.25% per annum immediately following each 90-day period, 120-day period or 45-day period, as applicable, during which additional interest accrues, but in no event will such increase exceed 0.50% per annum. Following the cure of all such registration defaults, the accrual of additional interest will cease and the interest rate will be immediately reduced to the original interest rate borne by the Old Notes.</w:t>
      </w:r>
    </w:p>
    <w:p>
      <w:pPr>
        <w:spacing w:after="0" w:line="5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Our obligation to register the New Notes will terminate upon completion of the exchange offer. However, under certain limited circumstances specified in the registration rights agreements, we may be required to file a shelf registration statement for a continuous offer in connection with the Old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On September 29, 2020, we issued $50,000,000 in aggregate principal amount of our 4.50% Fixed-to-Floating Rate Subordinated Notes due 2030, which we have referred to in this prospectus as the Old Notes. The Old Notes were issued in a private placement transaction to certain qualified institutional buyers and institutional accredited investors, and as such, were not registered under the Securities Act. The Old Notes were issued under an indenture dated September 29, 2020, between South Plains Financial, Inc., as issuer, and UMB Bank, National Association, as trustee, which we have referred to in this prospectus as the “indenture.” The term “notes” refers collectively to the Old Notes and the New Notes.</w:t>
      </w:r>
    </w:p>
    <w:p>
      <w:pPr>
        <w:spacing w:after="0" w:line="6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New Notes will be issued under the indenture and will evidence the same debt as the Old Notes. The terms of the New Notes are identical in all material respects to those of the Old Notes, except that:</w:t>
      </w:r>
    </w:p>
    <w:p>
      <w:pPr>
        <w:spacing w:after="0" w:line="62" w:lineRule="exact"/>
        <w:rPr>
          <w:sz w:val="20"/>
          <w:szCs w:val="20"/>
          <w:color w:val="auto"/>
        </w:rPr>
      </w:pPr>
    </w:p>
    <w:p>
      <w:pPr>
        <w:ind w:left="1000" w:right="31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New Notes have been registered with the SEC under the Securities Act and, as a result, will not bear any legend restricting their transfer;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New Notes bear different CUSIP numbers from the Old Notes;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New Notes generally will not be subject to transfer restrictions;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New Notes will not be entitled to registration rights under the registration rights agreements or otherwise; and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because the New Notes will not be entitled to registration rights, holders of the New Notes will not have the right to additional interest under the circumstances described in the registration rights agreements relating to our fulfillment of our registration obligations.</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New Notes will be issued only in fully registered form without interest coupons, in minimum denominations of $100,000 and any integral multiple of $1,000 in excess thereof. Unless otherwise required for institutional accredited investors, the New Notes will be evidenced by a global note deposited with the trustee for the New Notes, as custodian for The Depository Trust Company, or DTC, and transfers of beneficial interests will be facilitated only through records maintained by DTC and its participants.</w:t>
      </w:r>
    </w:p>
    <w:p>
      <w:pPr>
        <w:spacing w:after="0" w:line="6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terms of the New Notes include those stated in the indenture and those made part of the indenture by reference to the Trust Indenture Act of 1939, as amended (the “Trust Indenture Act”).</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following provides a summary of certain terms of the indenture and the New Notes. This summary is qualified in its entirety by reference to the complete version of the indenture, which is incorporated by reference as an exhibit to the registration statement of which this prospectus is a part and to the form of New Notes, which is included as an exhibit to the registration statement of which this prospectus is a part. We urge you to read the indenture and the form of New Notes because those documents, not this summary description, define your rights as holders of the New Notes. Whenever we refer to the defined terms of the indenture in this prospectus without defining them, the terms have the meanings given to them in the indenture. You must look to the indenture for the most complete description of the information summarized in this prospectus.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exchange offer for the New Notes will be for up to $50,000,000 in aggregate principal amount of the Old Notes. The New Notes, together with any Old Notes that remain outstanding after the exchange offer, will be treated as a single class for all purposes of the indenture, including, without limitation, waivers, consents, amendments, redemptions and offers to purchase.</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New Notes have materially identical interest terms as the Old Notes except with respect to additional interest that may be earned on the Old Notes under circumstances relating to our registration obligations under the registration rights agreements. Interest on the notes will accrue from and including September 29, 2020. The notes will mature and become payable, unless earlier redeemed, on September 30, 2030.</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From and including September 29, 2020 to but excluding September 30, 2025 or any earlier redemption date, the New Notes will bear interest at a fixed rate equal to 4.50% per year, payable semi-annually in arrears on March 30 and September 30 of each year, beginning on March 30, 2021. During this period, interest will be computed on the basis of a 360-day year consisting of twelve 30-day months.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From and including September 30, 2025 to but excluding the maturity date or earlier redemption date, the New Notes will bear interest at an annual floating rate, reset quarterly, equal to a benchmark rate (which is expected to be Three-Month Term SOFR) plus 438 basis points, payable quarterly in arrears on March 30, June 30, September 30 and December 30 of each year commencing on December 30, 2025.</w:t>
      </w:r>
    </w:p>
    <w:p>
      <w:pPr>
        <w:spacing w:after="0" w:line="6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During this period, interest will be computed on the basis of a 360-day year and the actual number of days elapsed. With regard to Three-Month Term SOFR:</w:t>
      </w:r>
    </w:p>
    <w:p>
      <w:pPr>
        <w:spacing w:after="0" w:line="62" w:lineRule="exact"/>
        <w:rPr>
          <w:sz w:val="20"/>
          <w:szCs w:val="20"/>
          <w:color w:val="auto"/>
        </w:rPr>
      </w:pPr>
    </w:p>
    <w:p>
      <w:pPr>
        <w:ind w:left="1000" w:right="29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“SOFR” means the daily Secured Overnight Financing Rate provided by the FRBNY, as the administrator of the benchmark (or a successor administrator), on the FRBNY’s Website.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 SOFR” means the forward-looking term rate based on SOFR that has been selected or recommended by the Relevant Governmental Body.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 SOFR Administrator” means any entity designated by the Relevant Governmental Body as the administrator of Term SOFR (or a successor administrator).</w:t>
      </w:r>
    </w:p>
    <w:p>
      <w:pPr>
        <w:spacing w:after="0" w:line="62"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“Three-Month Term SOFR” means the rate for Term SOFR for a tenor of three months that is published by the Term SOFR Administrator at the Reference Time for any Floating Interest Period, as determined by the Calculation Agent after giving effect to the Three-Month Term SOFR Conventions.</w:t>
      </w:r>
    </w:p>
    <w:p>
      <w:pPr>
        <w:spacing w:after="0" w:line="57" w:lineRule="exact"/>
        <w:rPr>
          <w:rFonts w:ascii="Arial" w:cs="Arial" w:eastAsia="Arial" w:hAnsi="Arial"/>
          <w:sz w:val="17"/>
          <w:szCs w:val="17"/>
          <w:color w:val="auto"/>
        </w:rPr>
      </w:pPr>
    </w:p>
    <w:p>
      <w:pPr>
        <w:jc w:val="both"/>
        <w:ind w:left="1000" w:right="299" w:hanging="348"/>
        <w:spacing w:after="0" w:line="269"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“Three-Month Term SOFR Conventions” means any determination, decision or election with respect to any technical, administrative or operational matter (including with respect to the manner and timing of the publication of Three-Month Term SOFR, or changes to the definition of “Floating Interest Period”, timing and frequency of determining Three-Month Term SOFR with respect to each Floating Interest Period and making payments of interest, rounding of amounts or tenors, and other administrative matters) that the Company decides may be appropriate to reflect the use of Three-Month Term SOFR as the Benchmark in a manner substantially consistent with market practice (or, if the Company decides that adoption of any portion of such market practice is not administratively feasible or if the Company determines that no market practice for the use of Three-Month Term SOFR exists, in such other manner as the Company determines is reasonably necessary).</w:t>
      </w:r>
    </w:p>
    <w:p>
      <w:pPr>
        <w:spacing w:after="0" w:line="7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If, at the commencement of the floating rate period for the notes, the Relevant Governmental Body (as defined below) has not selected or recommended a forward-looking term rate for a tenor of three months based on SOFR, the development of a forward-looking term rate for a tenor of three months based on SOFR that has been recommended or selected by the Relevant Governmental Body is not complete or we determine that the use of a forward-looking rate for a tenor of three months based on SOFR is not administratively feasible, then the next-available Benchmark Replacement under the benchmark transition provisions will be used to determine the interest on the notes during the floating-rate interest period (unless a Benchmark Transition Event and its related Benchmark Replacement Date occur with respect to that next-available Benchmark Replacement).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determining a Benchmark Replacement, if necessary, under the terms of the notes:</w:t>
      </w:r>
    </w:p>
    <w:p>
      <w:pPr>
        <w:spacing w:after="0" w:line="117" w:lineRule="exact"/>
        <w:rPr>
          <w:sz w:val="20"/>
          <w:szCs w:val="20"/>
          <w:color w:val="auto"/>
        </w:rPr>
      </w:pPr>
    </w:p>
    <w:p>
      <w:pPr>
        <w:jc w:val="both"/>
        <w:ind w:left="1000" w:right="299" w:hanging="348"/>
        <w:spacing w:after="0" w:line="286"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“Benchmark” means, initially, Three-Month Term SOFR; provided that if a Benchmark Transition Event and its related Benchmark Replacement Date have occurred with respect to Three-Month Term SOFR or the then-current Benchmark, then “Benchmark” means the applicable Benchmark Replacement.</w:t>
      </w:r>
    </w:p>
    <w:p>
      <w:pPr>
        <w:spacing w:after="0" w:line="57" w:lineRule="exact"/>
        <w:rPr>
          <w:rFonts w:ascii="Arial" w:cs="Arial" w:eastAsia="Arial" w:hAnsi="Arial"/>
          <w:sz w:val="17"/>
          <w:szCs w:val="17"/>
          <w:color w:val="auto"/>
        </w:rPr>
      </w:pPr>
    </w:p>
    <w:p>
      <w:pPr>
        <w:jc w:val="both"/>
        <w:ind w:left="1000" w:right="299" w:hanging="348"/>
        <w:spacing w:after="0" w:line="271"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“Benchmark Replacement” means the Interpolated Benchmark with respect to the then-current Benchmark, plus the Benchmark Replacement Adjustment for such Benchmark; provided that if (a) the Calculation Agent cannot determine the Interpolated Benchmark as of the Benchmark Replacement Date or (b) the then-current Benchmark is Three-Month Term SOFR and a Benchmark Transition Event and its related Benchmark Replacement Date have occurred with respect to Three-Month Term SOFR (in which event no Interpolated Benchmark with respect to Three-Month Term SOFR shall be determined), then “Benchmark Replacement” means the first alternative set forth in the order below that can be determined by the Calculation Agent, as of the Benchmark Replacement Date:</w:t>
      </w:r>
    </w:p>
    <w:p>
      <w:pPr>
        <w:spacing w:after="0" w:line="70" w:lineRule="exact"/>
        <w:rPr>
          <w:rFonts w:ascii="Arial" w:cs="Arial" w:eastAsia="Arial" w:hAnsi="Arial"/>
          <w:sz w:val="17"/>
          <w:szCs w:val="17"/>
          <w:color w:val="auto"/>
        </w:rPr>
      </w:pPr>
    </w:p>
    <w:p>
      <w:pPr>
        <w:ind w:left="1360" w:hanging="348"/>
        <w:spacing w:after="0"/>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sum of (i) Compounded SOFR and (ii) the Benchmark Replacement Adjustment;</w:t>
      </w:r>
    </w:p>
    <w:p>
      <w:pPr>
        <w:spacing w:after="0" w:line="117"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sum of: (i) the alternate rate of interest that has been selected or recommended by the Relevant Governmental Body as the replacement for the then-current Benchmark for the applicable Corresponding Tenor and (ii) the Benchmark Replacement Adjustment;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60" w:hanging="348"/>
        <w:spacing w:after="0"/>
        <w:tabs>
          <w:tab w:leader="none" w:pos="13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sum of: (i) the ISDA Fallback Rate and (ii) the Benchmark Replacement Adjustment;</w:t>
      </w:r>
    </w:p>
    <w:p>
      <w:pPr>
        <w:spacing w:after="0" w:line="117" w:lineRule="exact"/>
        <w:rPr>
          <w:rFonts w:ascii="Arial" w:cs="Arial" w:eastAsia="Arial" w:hAnsi="Arial"/>
          <w:sz w:val="18"/>
          <w:szCs w:val="18"/>
          <w:color w:val="auto"/>
        </w:rPr>
      </w:pPr>
    </w:p>
    <w:p>
      <w:pPr>
        <w:jc w:val="both"/>
        <w:ind w:left="1360" w:right="319" w:hanging="348"/>
        <w:spacing w:after="0" w:line="301" w:lineRule="auto"/>
        <w:tabs>
          <w:tab w:leader="none" w:pos="1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sum of: (i) the alternate rate of interest that has been selected by the Company as the replacement for the then-current Benchmark for the applicable Corresponding Tenor giving due consideration to any industry-accepted rate of interest as a replacement for the then-current Benchmark for U.S. dollar denominated floating rate notes at such time and (ii) the Benchmark Replacement Adjustment.</w:t>
      </w:r>
    </w:p>
    <w:p>
      <w:pPr>
        <w:spacing w:after="0" w:line="49"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“Benchmark Replacement Adjustment” means the first alternative set forth in the order below that can be determined by the Calculation Agent, as of the Benchmark Replacement Date:</w:t>
      </w:r>
    </w:p>
    <w:p>
      <w:pPr>
        <w:spacing w:after="0" w:line="62" w:lineRule="exact"/>
        <w:rPr>
          <w:rFonts w:ascii="Arial" w:cs="Arial" w:eastAsia="Arial" w:hAnsi="Arial"/>
          <w:sz w:val="18"/>
          <w:szCs w:val="18"/>
          <w:color w:val="auto"/>
        </w:rPr>
      </w:pPr>
    </w:p>
    <w:p>
      <w:pPr>
        <w:jc w:val="both"/>
        <w:ind w:left="1360" w:right="319" w:hanging="348"/>
        <w:spacing w:after="0" w:line="286" w:lineRule="auto"/>
        <w:tabs>
          <w:tab w:leader="none" w:pos="13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spread adjustment, or method for calculating or determining such spread adjustment, (which may be a positive or negative value or zero) that has been selected or recommended by the Relevant Governmental Body for the applicable Unadjusted Benchmark Replacement;</w:t>
      </w:r>
    </w:p>
    <w:p>
      <w:pPr>
        <w:spacing w:after="0" w:line="57" w:lineRule="exact"/>
        <w:rPr>
          <w:rFonts w:ascii="Arial" w:cs="Arial" w:eastAsia="Arial" w:hAnsi="Arial"/>
          <w:sz w:val="17"/>
          <w:szCs w:val="17"/>
          <w:color w:val="auto"/>
        </w:rPr>
      </w:pPr>
    </w:p>
    <w:p>
      <w:pPr>
        <w:ind w:left="1360" w:right="319" w:hanging="348"/>
        <w:spacing w:after="0" w:line="277" w:lineRule="auto"/>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the applicable Unadjusted Benchmark Replacement is equivalent to the ISDA Fallback Rate, then the ISDA Fallback Adjustment;</w:t>
      </w:r>
    </w:p>
    <w:p>
      <w:pPr>
        <w:spacing w:after="0" w:line="62" w:lineRule="exact"/>
        <w:rPr>
          <w:rFonts w:ascii="Arial" w:cs="Arial" w:eastAsia="Arial" w:hAnsi="Arial"/>
          <w:sz w:val="18"/>
          <w:szCs w:val="18"/>
          <w:color w:val="auto"/>
        </w:rPr>
      </w:pPr>
    </w:p>
    <w:p>
      <w:pPr>
        <w:jc w:val="both"/>
        <w:ind w:left="1360" w:right="319" w:hanging="348"/>
        <w:spacing w:after="0" w:line="257" w:lineRule="auto"/>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spread adjustment (which may be a positive or negative value or zero) that has been selected by the Company giving due consideration to any industry-accepted spread adjustment, or method for calculating or determining such spread adjustment, for the replacement of the then-current Benchmark with the applicable Unadjusted Benchmark Replacement for U.S. dollar denominated floating rate notes at such time.</w:t>
      </w:r>
    </w:p>
    <w:p>
      <w:pPr>
        <w:spacing w:after="0" w:line="79" w:lineRule="exact"/>
        <w:rPr>
          <w:rFonts w:ascii="Arial" w:cs="Arial" w:eastAsia="Arial" w:hAnsi="Arial"/>
          <w:sz w:val="18"/>
          <w:szCs w:val="18"/>
          <w:color w:val="auto"/>
        </w:rPr>
      </w:pPr>
    </w:p>
    <w:p>
      <w:pPr>
        <w:jc w:val="both"/>
        <w:ind w:left="1000" w:right="299" w:hanging="348"/>
        <w:spacing w:after="0" w:line="270"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“Benchmark Replacement Conforming Changes” means, with respect to any Benchmark Replacement, any technical, administrative or operational changes (including changes to the definition of “Floating Interest Period,” timing and frequency of determining rates with respect to each Floating Interest Period and making payments of interest, rounding of amounts or tenors and other administrative matters) that the Company decides may be appropriate to reflect the adoption of such Benchmark Replacement in a manner substantially consistent with market practice (or, if the Company decides that adoption of any portion of such market practice is not administratively feasible or if the Company determines that no market practice for use of the Benchmark Replacement exists, in such other manner as the Company determines is reasonably necessary).</w:t>
      </w:r>
    </w:p>
    <w:p>
      <w:pPr>
        <w:spacing w:after="0" w:line="72"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“Benchmark Replacement Date” means the earliest to occur of the following events with respect to the then-current Benchmark:</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the case of clause (a) of the definition of “Benchmark Transition Event,” the relevant Reference Time in respect of any determination;</w:t>
      </w:r>
    </w:p>
    <w:p>
      <w:pPr>
        <w:spacing w:after="0" w:line="62" w:lineRule="exact"/>
        <w:rPr>
          <w:rFonts w:ascii="Arial" w:cs="Arial" w:eastAsia="Arial" w:hAnsi="Arial"/>
          <w:sz w:val="18"/>
          <w:szCs w:val="18"/>
          <w:color w:val="auto"/>
        </w:rPr>
      </w:pPr>
    </w:p>
    <w:p>
      <w:pPr>
        <w:jc w:val="both"/>
        <w:ind w:left="1360" w:right="319" w:hanging="348"/>
        <w:spacing w:after="0" w:line="259" w:lineRule="auto"/>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the case of clause (b) or (c) of the definition of “Benchmark Transition Event,” the later of (i) the date of the public statement or publication of information referenced therein and (ii) the date on which the administrator of the Benchmark permanently or indefinitely ceases to provide the Benchmark; or</w:t>
      </w:r>
    </w:p>
    <w:p>
      <w:pPr>
        <w:spacing w:after="0" w:line="78"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the case of clause (d) of the definition of “Benchmark Transition Event,” the date of such public statement or publication of information referenced therein.</w:t>
      </w:r>
    </w:p>
    <w:p>
      <w:pPr>
        <w:spacing w:after="0" w:line="62"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purposes of such determination.</w:t>
      </w:r>
    </w:p>
    <w:p>
      <w:pPr>
        <w:spacing w:after="0" w:line="41" w:lineRule="exact"/>
        <w:rPr>
          <w:sz w:val="20"/>
          <w:szCs w:val="20"/>
          <w:color w:val="auto"/>
        </w:rPr>
      </w:pPr>
    </w:p>
    <w:p>
      <w:pPr>
        <w:ind w:left="1000" w:right="29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“Benchmark Transition Event” means the occurrence of one or more of the following events with respect to the then-current Benchmark:</w:t>
      </w:r>
    </w:p>
    <w:p>
      <w:pPr>
        <w:spacing w:after="0" w:line="62" w:lineRule="exact"/>
        <w:rPr>
          <w:rFonts w:ascii="Arial" w:cs="Arial" w:eastAsia="Arial" w:hAnsi="Arial"/>
          <w:sz w:val="18"/>
          <w:szCs w:val="18"/>
          <w:color w:val="auto"/>
        </w:rPr>
      </w:pPr>
    </w:p>
    <w:p>
      <w:pPr>
        <w:jc w:val="both"/>
        <w:ind w:left="1360" w:right="319" w:hanging="348"/>
        <w:spacing w:after="0" w:line="255" w:lineRule="auto"/>
        <w:tabs>
          <w:tab w:leader="none" w:pos="13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the Benchmark is Three-Month Term SOFR, (i) the Relevant Governmental Body has not selected or recommended a forward-looking term rate for a tenor of three months based on SOFR, (ii) the development of a forward-looking term rate for a tenor of three months based on SOFR that has been recommended or selected by the Relevant Governmental Body is not complete or (iii) the Company determines that the use of a forward-looking rate for a tenor of three months based on SOFR is not administratively feasible;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60" w:right="319" w:hanging="348"/>
        <w:spacing w:after="0" w:line="259" w:lineRule="auto"/>
        <w:tabs>
          <w:tab w:leader="none" w:pos="13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w:t>
      </w:r>
    </w:p>
    <w:p>
      <w:pPr>
        <w:spacing w:after="0" w:line="78" w:lineRule="exact"/>
        <w:rPr>
          <w:rFonts w:ascii="Arial" w:cs="Arial" w:eastAsia="Arial" w:hAnsi="Arial"/>
          <w:sz w:val="18"/>
          <w:szCs w:val="18"/>
          <w:color w:val="auto"/>
        </w:rPr>
      </w:pPr>
    </w:p>
    <w:p>
      <w:pPr>
        <w:jc w:val="both"/>
        <w:ind w:left="1360" w:right="319" w:hanging="348"/>
        <w:spacing w:after="0" w:line="271" w:lineRule="auto"/>
        <w:tabs>
          <w:tab w:leader="none" w:pos="13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w:t>
      </w:r>
    </w:p>
    <w:p>
      <w:pPr>
        <w:spacing w:after="0" w:line="70" w:lineRule="exact"/>
        <w:rPr>
          <w:rFonts w:ascii="Arial" w:cs="Arial" w:eastAsia="Arial" w:hAnsi="Arial"/>
          <w:sz w:val="17"/>
          <w:szCs w:val="17"/>
          <w:color w:val="auto"/>
        </w:rPr>
      </w:pPr>
    </w:p>
    <w:p>
      <w:pPr>
        <w:ind w:left="1360" w:right="319" w:hanging="348"/>
        <w:spacing w:after="0" w:line="277" w:lineRule="auto"/>
        <w:tabs>
          <w:tab w:leader="none" w:pos="13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the Benchmark announcing that the Benchmark is no longer representative.</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“Calculation Agent” means such bank or other entity (which may be the Company or an affiliate of the Company) as may be appointed by the Company to act as Calculation Agent for the Subordinated Notes during the Floating Interest Period.</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“Compounded SOFR” means the compounded average of SOFRs for the applicable Corresponding Tenor, with the rate, or methodology for this rate, and conventions for this rate being established by the Company or its designee in accordance with:</w:t>
      </w:r>
    </w:p>
    <w:p>
      <w:pPr>
        <w:spacing w:after="0" w:line="75" w:lineRule="exact"/>
        <w:rPr>
          <w:rFonts w:ascii="Arial" w:cs="Arial" w:eastAsia="Arial" w:hAnsi="Arial"/>
          <w:sz w:val="18"/>
          <w:szCs w:val="18"/>
          <w:color w:val="auto"/>
        </w:rPr>
      </w:pPr>
    </w:p>
    <w:p>
      <w:pPr>
        <w:ind w:left="1360" w:right="319" w:hanging="348"/>
        <w:spacing w:after="0" w:line="308" w:lineRule="auto"/>
        <w:tabs>
          <w:tab w:leader="none" w:pos="13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the rate, or methodology for this rate, and conventions for this rate selected or recommended by the Relevant Governmental Body for determining Compounded SOFR; provided that:</w:t>
      </w:r>
    </w:p>
    <w:p>
      <w:pPr>
        <w:spacing w:after="0" w:line="38" w:lineRule="exact"/>
        <w:rPr>
          <w:rFonts w:ascii="Arial" w:cs="Arial" w:eastAsia="Arial" w:hAnsi="Arial"/>
          <w:sz w:val="17"/>
          <w:szCs w:val="17"/>
          <w:color w:val="auto"/>
        </w:rPr>
      </w:pPr>
    </w:p>
    <w:p>
      <w:pPr>
        <w:jc w:val="both"/>
        <w:ind w:left="1360" w:right="319" w:hanging="348"/>
        <w:spacing w:after="0" w:line="257" w:lineRule="auto"/>
        <w:tabs>
          <w:tab w:leader="none" w:pos="13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and to the extent that, the Company or its designee determines that Compounded SOFR cannot be determined in accordance with clause (a) above, then the rate, or methodology for this rate, and conventions for this rate that have been selected by the Company or its designee giving due consideration to any industry-accepted market practice for U.S. dollar denominated floating rate notes at such time.</w:t>
      </w:r>
    </w:p>
    <w:p>
      <w:pPr>
        <w:spacing w:after="0" w:line="80"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For the avoidance of doubt, the calculation of Compounded SOFR will exclude the Benchmark Replacement Adjustment and the spread specified in the first paragraph of Section 2 of the notes.</w:t>
      </w:r>
    </w:p>
    <w:p>
      <w:pPr>
        <w:spacing w:after="0" w:line="62" w:lineRule="exact"/>
        <w:rPr>
          <w:sz w:val="20"/>
          <w:szCs w:val="20"/>
          <w:color w:val="auto"/>
        </w:rPr>
      </w:pPr>
    </w:p>
    <w:p>
      <w:pPr>
        <w:jc w:val="both"/>
        <w:ind w:left="1000" w:right="31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“Corresponding Tenor” with respect to a Benchmark Replacement means a tenor (including overnight) having approximately the same length (disregarding business day adjustment) as the applicable tenor for the then-current Benchmark.</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“FRBNY” means the Federal Reserve Bank of New York.</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“FRBNY’s Website” means the website of the FRBNY at http://www.newyorkfed.org, or any successor source.</w:t>
      </w:r>
    </w:p>
    <w:p>
      <w:pPr>
        <w:spacing w:after="0" w:line="62" w:lineRule="exact"/>
        <w:rPr>
          <w:rFonts w:ascii="Arial" w:cs="Arial" w:eastAsia="Arial" w:hAnsi="Arial"/>
          <w:sz w:val="18"/>
          <w:szCs w:val="18"/>
          <w:color w:val="auto"/>
        </w:rPr>
      </w:pPr>
    </w:p>
    <w:p>
      <w:pPr>
        <w:jc w:val="both"/>
        <w:ind w:left="1000" w:right="299" w:hanging="348"/>
        <w:spacing w:after="0" w:line="254"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“Interpolated Benchmark” with respect to the Benchmark means the rate determined for the Corresponding Tenor by interpolating on a linear basis between: (1) the Benchmark for the longest period (for which the Benchmark is available) that is shorter than the Corresponding Tenor and (2) the Benchmark for the shortest period (for which the Benchmark is available) that is longer than the Corresponding Tenor. For the avoidance of doubt, the calculation of Interpolated Benchmark will exclude the Benchmark Replacement Adjustment and the spread specified in the first paragraph of Section 2 of the notes.</w:t>
      </w:r>
    </w:p>
    <w:p>
      <w:pPr>
        <w:spacing w:after="0" w:line="86"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“ISDA” means the International Swaps and Derivatives Association, Inc. or any successor thereto.</w:t>
      </w:r>
    </w:p>
    <w:p>
      <w:pPr>
        <w:spacing w:after="0" w:line="12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“ISDA Definitions” means the 2006 ISDA Definitions published by the ISDA or any successor thereto, as amended or supplemented from time to time, or any successor definitional booklet for interest rate derivatives published from time to time.</w:t>
      </w:r>
    </w:p>
    <w:p>
      <w:pPr>
        <w:spacing w:after="0" w:line="75"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75" w:lineRule="exact"/>
        <w:rPr>
          <w:rFonts w:ascii="Arial" w:cs="Arial" w:eastAsia="Arial" w:hAnsi="Arial"/>
          <w:sz w:val="18"/>
          <w:szCs w:val="18"/>
          <w:color w:val="auto"/>
        </w:rPr>
      </w:pPr>
    </w:p>
    <w:p>
      <w:pPr>
        <w:jc w:val="both"/>
        <w:ind w:left="1000" w:right="299" w:hanging="348"/>
        <w:spacing w:after="0" w:line="301"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“Reference Time” with respect to any determination of a Benchmark means (1) if the Benchmark is Three-Month Term SOFR, the time determined by the Calculation Agent after giving effect to the Three-Month Term SOFR Conventions, and (2) if the Benchmark is not Three-Month Term SOFR, the time determined by the Calculation Agent after giving effect to the Benchmark Replacement Conforming Changes.</w:t>
      </w:r>
    </w:p>
    <w:p>
      <w:pPr>
        <w:spacing w:after="0" w:line="49" w:lineRule="exact"/>
        <w:rPr>
          <w:rFonts w:ascii="Arial" w:cs="Arial" w:eastAsia="Arial" w:hAnsi="Arial"/>
          <w:sz w:val="16"/>
          <w:szCs w:val="16"/>
          <w:color w:val="auto"/>
        </w:rPr>
      </w:pPr>
    </w:p>
    <w:p>
      <w:pPr>
        <w:ind w:left="1000" w:right="319" w:hanging="348"/>
        <w:spacing w:after="0" w:line="308"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“Relevant Governmental Body” means the Federal Reserve and/or the FRBNY, or a committee officially endorsed or convened by the Federal Reserve and/or the FRBNY or any successor thereto.</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“Unadjusted Benchmark Replacement” means the Benchmark Replacement excluding the Benchmark Replacement Adjustment.</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will make each interest payment to the holders of record of the notes at the close of business on the fifteenth calendar day prior to the applicable interest payment date. Principal of and interest on the notes will be payable, and the notes will be exchangeable and transferable, at the office or agency that we have designated and maintain for such purposes, which, initially, will be the corporate trust office of the trustee located at UMB Bank, National Association, 5555 San Felipe St., Suite 870, Houston, Texas 77056, Attention: Corporate Trust Officer; except that payment of interest may be made at our option by check mailed or to the person entitled thereto as shown on the security register or by wire transfer to an account appropriately designated by the person entitled thereto.</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Our obligation to make any payment on account of the principal of, or interest on, the notes will be subordinate and junior in right of payment to the prior payment in full of all of our senior indebtedness. As of September 30, 2020, the Company’s subsidiaries had, in the aggregate, outstanding debt and deposits of $3.1 billion, which would rank senior to the notes. In addition, as of September 30, 2020, South Plains Financial, Inc. had no indebtedness that would rank senior to the notes, $76.5 million that would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and $46.4 million that would rank subordinate to the notes. The notes and the indenture do not contain any limitation on the amount of senior indebtedness that we may incur in the future.</w:t>
      </w:r>
    </w:p>
    <w:p>
      <w:pPr>
        <w:spacing w:after="0" w:line="6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term “senior indebtedness” means the principal of, and premium, if any, and interest, including interest accruing after the commencement of any bankruptcy proceeding relating to us, on, or substantially similar payments we will make in respect of the following categories of debt, whether that debt was outstanding on the date of execution of the indenture or thereafter incurred, created or assumed:</w:t>
      </w:r>
    </w:p>
    <w:p>
      <w:pPr>
        <w:spacing w:after="0" w:line="63" w:lineRule="exact"/>
        <w:rPr>
          <w:sz w:val="20"/>
          <w:szCs w:val="20"/>
          <w:color w:val="auto"/>
        </w:rPr>
      </w:pPr>
    </w:p>
    <w:p>
      <w:pPr>
        <w:jc w:val="both"/>
        <w:ind w:left="1000" w:right="319" w:hanging="348"/>
        <w:spacing w:after="0" w:line="311"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indebtedness for borrowed money, whether or not evidenced by notes, debentures, bonds, securities or other similar instruments issued under the provisions of any indenture, fiscal agency agreement, debenture or note purchase agreement or other agreement, including any senior debt securities that we may offer;</w:t>
      </w:r>
    </w:p>
    <w:p>
      <w:pPr>
        <w:spacing w:after="0" w:line="40" w:lineRule="exact"/>
        <w:rPr>
          <w:rFonts w:ascii="Arial" w:cs="Arial" w:eastAsia="Arial" w:hAnsi="Arial"/>
          <w:sz w:val="16"/>
          <w:szCs w:val="16"/>
          <w:color w:val="auto"/>
        </w:rPr>
      </w:pPr>
    </w:p>
    <w:p>
      <w:pPr>
        <w:ind w:left="1000" w:hanging="348"/>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indebtedness for money borrowed or represented by purchase money obligations, as defined below;</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 sale and leaseback transaction to which we are a party or otherwise;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reimbursement and other obligations relating to letters of credit, bankers’ acceptances and similar obligations;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obligations in respect of interest rate swap, cap or other agreements, interest rate future or option contracts, currency swap agreements, currency future or option contracts, commodity contracts and other similar arrangements;</w:t>
      </w:r>
    </w:p>
    <w:p>
      <w:pPr>
        <w:spacing w:after="0" w:line="75"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of our obligations issued or assumed as the deferred purchase price of property or services, but excluding trade accounts payable and accrued liabilities arising in the ordinary course of business;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obligation of ours to our general creditors;</w:t>
      </w:r>
    </w:p>
    <w:p>
      <w:pPr>
        <w:spacing w:after="0" w:line="117"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obligations of the types referred to in the bullets above of other persons for the payment as to which we are liable contingently or otherwise to pay or advance money as obligor, guarantor, endorser or otherwise;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obligations of the types referred to in the bullets above of other persons secured by a lien on any property or asset of ours;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deferrals, renewals or extensions of any of the indebtedness or obligations described in the bullets above.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However, “senior indebtedness” excludes:</w:t>
      </w:r>
    </w:p>
    <w:p>
      <w:pPr>
        <w:spacing w:after="0" w:line="117" w:lineRule="exact"/>
        <w:rPr>
          <w:sz w:val="20"/>
          <w:szCs w:val="20"/>
          <w:color w:val="auto"/>
        </w:rPr>
      </w:pPr>
    </w:p>
    <w:p>
      <w:pPr>
        <w:jc w:val="both"/>
        <w:ind w:left="1000" w:right="319" w:hanging="348"/>
        <w:spacing w:after="0" w:line="311"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subordinated debentures or junior subordinated debentures of the Company underlying trust preferred securities issued by subsidiary trusts of the Company that were outstanding as of the date of the issuance of the Old Notes or that are issued after the date of such issuance by a subsidiary trust of the Company;</w:t>
      </w:r>
    </w:p>
    <w:p>
      <w:pPr>
        <w:spacing w:after="0" w:line="40" w:lineRule="exact"/>
        <w:rPr>
          <w:rFonts w:ascii="Arial" w:cs="Arial" w:eastAsia="Arial" w:hAnsi="Arial"/>
          <w:sz w:val="16"/>
          <w:szCs w:val="16"/>
          <w:color w:val="auto"/>
        </w:rPr>
      </w:pPr>
    </w:p>
    <w:p>
      <w:pPr>
        <w:jc w:val="both"/>
        <w:ind w:left="1000" w:right="319" w:hanging="348"/>
        <w:spacing w:after="0" w:line="259"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subordinated notes of the Company issued in December 2018, and in each case any subordinated notes issued in exchange therefor or upon transfer thereof, in each case that were outstanding as of the date of the issuance of the Old Notes or that are issued in exchange for or upon transfer of such subordinated notes after the date of such issuance;</w:t>
      </w:r>
    </w:p>
    <w:p>
      <w:pPr>
        <w:spacing w:after="0" w:line="78"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indebtedness, obligation or liability referred to in the bullets above that is subordinated to indebtedness, obligations or liabilities of ours to substantially the same extent as or to a greater extent than the notes are subordinated; and</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notes and, unless expressly provided in the terms thereof, any of our indebtedness to our subsidiaries.</w:t>
      </w:r>
    </w:p>
    <w:p>
      <w:pPr>
        <w:spacing w:after="0" w:line="140"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As used above, the term “purchase money obligations” means indebtedness, obligations evidenced by a note, debenture, bond or other instrument, whether or not secured by a lien or other security interest, issued to evidence the obligation to pay or a guarantee of the payment of, and any deferred obligation for the payment of, the purchase price of property but excluding indebtedness or obligations for which recourse is limited to the property purchased, issued or assumed as all or a part of the consideration for the acquisition of property or services, whether by purchase, merger, consolidation or otherwise, but does not include any trade accounts payable.</w:t>
      </w:r>
    </w:p>
    <w:p>
      <w:pPr>
        <w:spacing w:after="0" w:line="5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accordance with the subordination provisions of the indenture and the notes, we are permitted to make payments of accrued and unpaid interest on the notes on the interest payment dates and at maturity and to pay the principal of the notes at maturity unless:</w:t>
      </w:r>
    </w:p>
    <w:p>
      <w:pPr>
        <w:spacing w:after="0" w:line="76" w:lineRule="exact"/>
        <w:rPr>
          <w:sz w:val="20"/>
          <w:szCs w:val="20"/>
          <w:color w:val="auto"/>
        </w:rPr>
      </w:pPr>
    </w:p>
    <w:p>
      <w:pPr>
        <w:jc w:val="both"/>
        <w:ind w:left="1000" w:right="319" w:hanging="348"/>
        <w:spacing w:after="0" w:line="26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are subject to any termination, winding up, liquidation or reorganization, whether in bankruptcy, insolvency, reorganization or receivership proceedings or upon an assignment for the benefit of our creditors or any other marshalling of our assets and liabilities; or</w:t>
      </w:r>
    </w:p>
    <w:p>
      <w:pPr>
        <w:spacing w:after="0" w:line="75" w:lineRule="exact"/>
        <w:rPr>
          <w:rFonts w:ascii="Arial" w:cs="Arial" w:eastAsia="Arial" w:hAnsi="Arial"/>
          <w:sz w:val="18"/>
          <w:szCs w:val="18"/>
          <w:color w:val="auto"/>
        </w:rPr>
      </w:pPr>
    </w:p>
    <w:p>
      <w:pPr>
        <w:jc w:val="both"/>
        <w:ind w:left="1000" w:right="319" w:hanging="348"/>
        <w:spacing w:after="0" w:line="273"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default in the payment of principal of, or premium, if any, or interest on, any senior indebtedness, has occurred and is continuing beyond any applicable grace period or an event of default has occurred and is continuing with respect to any senior indebtedness, or would occur as a result of a payment of principal of, or interest on, the notes being made and that event of default would permit the holders of any senior indebtedness to accelerate the maturity of that senior indebtedness and such default or event of default has not been cured, waived or otherwise have ceased to exist.</w:t>
      </w:r>
    </w:p>
    <w:p>
      <w:pPr>
        <w:spacing w:after="0" w:line="7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Upon our termination, winding up, liquidation or reorganization, whether in bankruptcy, insolvency, reorganization or receivership proceedings or upon an assignment for the benefit of our creditors or any other marshalling of our assets and liabilities or otherwise, we must pay to the holders of all of our senior indebtedness the full amounts of principal of, and premium, if any, and interest on, that senior indebtedness before any payment is made on the notes. If, after we have paid the senior indebtedness in full, there are any amounts available for payment of the notes and any of our other indebtedness and obligations ranking equally in right of payment with the notes, then we will use such remaining assets to pay the amounts of principal of, premium, if any, and accrued and unpaid interest on, the notes and such other of our indebtedness and obligations that rank equally in right of payment with the notes. If those assets are insufficient to pay in full the principal of, premium, if any, and interest on the notes and such other indebtedness and obligations, those assets will be applicable ratably to the payment of such amounts owing with respect to the notes and such other indebtedness and obligations.</w:t>
      </w:r>
    </w:p>
    <w:p>
      <w:pPr>
        <w:spacing w:after="0" w:line="64"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the event that we are subject to any termination, winding up, liquidation or reorganization, whether in bankruptcy, insolvency, reorganization or receivership proceedings or upon an assignment for the benefit of our creditors or any other marshalling of our assets and liabilities or otherwise, if the holders of the notes receive for any reason any payment on the notes or other distributions of our assets with respect to the notes before all of our senior indebtedness is paid in full, the holders of the notes will be required to return that payment or distribution to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bankruptcy trustee, receiver, liquidating trustee, custodian, assignee, agent or other person making payment of our assets for all our senior indebtedness remaining unpaid until all that senior indebtedness has been paid in full, after giving effect to any other concurrent payment or distribution to the holders of such senior indebtedness.</w:t>
      </w:r>
    </w:p>
    <w:p>
      <w:pPr>
        <w:spacing w:after="0" w:line="4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As a result of the subordination of the notes in favor of the holders of our senior indebtedness, in the event of our bankruptcy or insolvency, holders of our senior indebtedness may receive more, ratably, and holders of the notes may receive less, ratably, than our other creditors.</w:t>
      </w:r>
    </w:p>
    <w:p>
      <w:pPr>
        <w:spacing w:after="0" w:line="7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All liabilities of the Bank, including deposits and liabilities to general creditors arising during its ordinary course of business or otherwise, will be effectively senior in right of payment to the notes to the extent of the assets of the subsidiary because, as a shareholder of the subsidiary, we do not have any rights to the assets of the subsidiary except if the subsidiary declares a dividend payable to us or if there are assets of the subsidiary remaining after it has discharged its liabilities to its creditors in connection with its liquidation. As of September 30, 2020, the Company’s subsidiaries had, in the aggregate, outstanding debt and deposits of $3.1 billion, which would rank senior to the notes. Over the term of the notes, we will need to rely primarily on dividends paid to us by the Bank, which is a regulated and supervised depository institution, for the funds necessary to pay the interest on our outstanding debt obligations and to make dividends and other payments on our other securities outstanding now or in the future. With respect to the payment of the principal of the notes at their maturity, we may rely on the funds we receive from dividends paid to us by the Bank but may have to rely on the proceeds of borrowings and/or the sale of other securities to pay the principal amount of the notes. Regulatory rules may restrict the Bank’s ability to pay dividends or make other distributions to us or provide funds to us by other means. As a result, with respect to the assets of the Bank, our creditors (including the holders of the notes) are structurally subordinated to the prior claims of creditors of the Bank, including its depositors, except to the extent that we may be a creditor with recognized claims against the Bank.</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may, at our option, redeem the notes, in whole or in part, beginning with the interest payment date of September 30, 2025 and on any interest payment date thereafter. In addition, at our option, we may redeem the notes in whole but not in part, at any time upon the occurrence of:</w:t>
      </w:r>
    </w:p>
    <w:p>
      <w:pPr>
        <w:spacing w:after="0" w:line="76" w:lineRule="exact"/>
        <w:rPr>
          <w:sz w:val="20"/>
          <w:szCs w:val="20"/>
          <w:color w:val="auto"/>
        </w:rPr>
      </w:pPr>
    </w:p>
    <w:p>
      <w:pPr>
        <w:jc w:val="both"/>
        <w:ind w:left="1000" w:right="299" w:hanging="348"/>
        <w:spacing w:after="0" w:line="296"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“Tier 2 Capital Event,” which is defined in the indenture to mean receipt by us of a written legal opinion from counsel experienced in such matters to the effect that, as a result of any change, event, occurrence, circumstance or effect occurring on or after the date hereof, there is more than an insubstantial risk that the notes do not constitute, or within 90 days of the date of such legal opinion will not constitute, Tier 2 Capital (or its then equivalent if the Company were subject to such capital requirement);</w:t>
      </w:r>
    </w:p>
    <w:p>
      <w:pPr>
        <w:spacing w:after="0" w:line="53" w:lineRule="exact"/>
        <w:rPr>
          <w:rFonts w:ascii="Arial" w:cs="Arial" w:eastAsia="Arial" w:hAnsi="Arial"/>
          <w:sz w:val="16"/>
          <w:szCs w:val="16"/>
          <w:color w:val="auto"/>
        </w:rPr>
      </w:pPr>
    </w:p>
    <w:p>
      <w:pPr>
        <w:jc w:val="both"/>
        <w:ind w:left="1000" w:right="319" w:hanging="348"/>
        <w:spacing w:after="0" w:line="275"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“Tax Event,” which is defined in the indenture to mean the receipt by us of a legal opinion from counsel experienced in such matters to the effect that, as a result of a change or a prospective change in law on or after the date hereof, there is more than an insubstantial risk that interest paid by the Company on the notes is not, or, within 90 days of the date of such legal opinion, will not be, deductible by the Company, in whole or in part, for United States federal income tax purposes; or</w:t>
      </w:r>
    </w:p>
    <w:p>
      <w:pPr>
        <w:spacing w:after="0" w:line="68" w:lineRule="exact"/>
        <w:rPr>
          <w:rFonts w:ascii="Arial" w:cs="Arial" w:eastAsia="Arial" w:hAnsi="Arial"/>
          <w:sz w:val="17"/>
          <w:szCs w:val="17"/>
          <w:color w:val="auto"/>
        </w:rPr>
      </w:pPr>
    </w:p>
    <w:p>
      <w:pPr>
        <w:jc w:val="both"/>
        <w:ind w:left="1000" w:right="299" w:hanging="348"/>
        <w:spacing w:after="0" w:line="301"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“Investment Company Event,” which is defined in the indenture to mean receipt by us of a legal opinion from counsel experienced in such matters to the effect that there is more than an insubstantial risk that the Company is or, within 90 days of the date of such legal opinion will be, considered an “investment company” that is required to be registered under the Investment Company Act of 1940, as amended.</w:t>
      </w:r>
    </w:p>
    <w:p>
      <w:pPr>
        <w:spacing w:after="0" w:line="4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Any redemption of the New Notes will be subject to prior approval of the Federal Reserve, to the extent such approval is then required. Any redemption of the notes will be at a redemption price equal to the principal amount of the notes, or portion thereof, to be redeemed plus accrued and unpaid interest to, but excluding, the date of redemption. Any redemption of the notes will be subject to any required regulatory approvals.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less than all of the notes are to be redeemed, the notes will be redeemed on a pro rata basis.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Notices of redemption will be mailed by first class mail at least 30 but no more than 60 days before the redemption date to each holder of notes to be redeemed at its registered address. If any note is to be redeemed in part only, the notice of redemption that relates to that note will state the portion of the principal amount thereof to be redeemed. A new note in principal amount equal to the unredeemed portion of the original note, if any, will be issued in the name of the holder thereof upon cancellation of the original note. Notes called for redemption become due on the date fixed for redemption. On and after the redemption date, interest ceases to accrue on notes or portions of them called for redemption.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Repurchases</w:t>
      </w:r>
    </w:p>
    <w:p>
      <w:pPr>
        <w:spacing w:after="0" w:line="121"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We may purchase notes at any time on the open market or otherwise. If we purchase notes in this manner, we have the discretion to hold, resell or surrender the notes to the trustee under the indenture for cancellation.</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Sinking Fund; Non-Convertible</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notes will not be entitled to the benefit of any sinking fund. This means that we will not deposit money on a regular basis into any separate custodial account to repay the notes. The notes are not convertible into, or exchangeable for, any of our equity securities.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Form, Denomination, Transfer, Exchange and Book-Entry Procedures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notes will be issued only in fully registered form, without interest coupons, and in denominations of $100,000 and integral multiples of $1,000.</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Unless otherwise required for institutional accredited investors, the notes will be evidenced by a global note which will be deposited with, or on behalf of, DTC, or any successor thereto, and registered in the name of Cede &amp; Co., or Cede, as nominee of DTC. Except as set forth below, record ownership of the global note may be transferred, in whole or in part, only to another nominee of DTC or to a successor of DTC or its nominee. If New Notes are issued to institutional accredited investors in certificated form, the New Notes will be transferable only on the records of the trustee and may not be exchanged for a beneficial interest in the global note unless the exchange occurs in connection with a transfer where the transferor and transferee provide evidence satisfactory to the trustee and DTC that the transferee is eligible to hold a beneficial interest in the global note.</w:t>
      </w:r>
    </w:p>
    <w:p>
      <w:pPr>
        <w:spacing w:after="0" w:line="7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global note will not be registered in the name of any person, or exchanged for notes that are registered in the name of any person, other than DTC or its nominee, unless one of the following occurs:</w:t>
      </w:r>
    </w:p>
    <w:p>
      <w:pPr>
        <w:spacing w:after="0" w:line="62" w:lineRule="exact"/>
        <w:rPr>
          <w:sz w:val="20"/>
          <w:szCs w:val="20"/>
          <w:color w:val="auto"/>
        </w:rPr>
      </w:pPr>
    </w:p>
    <w:p>
      <w:pPr>
        <w:jc w:val="both"/>
        <w:ind w:left="1000" w:right="319" w:hanging="348"/>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acting as the depositary for the global note, or DTC has ceased to be a clearing agency registered under the Exchange Act, and in either case we fail to appoint a successor depositary; or</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event of default with respect to the notes represented by the global note has occurred and is continuing.</w:t>
      </w:r>
    </w:p>
    <w:p>
      <w:pPr>
        <w:spacing w:after="0" w:line="14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those circumstances, DTC will determine in whose names any securities issued in exchange for the global note will be registered. Any such notes in certificated form will be issued in minimum denominations of $100,000 and multiples of $1,000 in excess thereof and may be transferred or exchanged only in such minimum denominations.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DTC or its nominee will be considered the sole owner and holder of the global note for all purposes, and as a result:</w:t>
      </w:r>
    </w:p>
    <w:p>
      <w:pPr>
        <w:spacing w:after="0" w:line="62" w:lineRule="exact"/>
        <w:rPr>
          <w:sz w:val="20"/>
          <w:szCs w:val="20"/>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you cannot get notes registered in your name if they are represented by the global note;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you cannot receive certificated (physical) notes in exchange for your beneficial interest in the global note;</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you will not be considered to be the owner or holder of the global note or any note it represents for any purpose;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payments on the global note will be made to DTC or its nominee.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laws of some jurisdictions require that certain kinds of purchasers (for example, certain insurance companies) can only own securities in definitive (certificated) form. These laws may limit your ability to transfer your beneficial interests in the global note to these types of purchasers.</w:t>
      </w:r>
    </w:p>
    <w:p>
      <w:pPr>
        <w:spacing w:after="0" w:line="7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Only institutions (such as a securities broker or dealer) that have accounts with the DTC or its nominee (called “participants”) and persons that may hold beneficial interests through participants (including through Euroclear Bank SA/NV or Clearstream Banking, société anonyme, as DTC participants) can own a beneficial interest in the global note. The only place where the ownership of beneficial interests in the global note will appear and the only way the transfer of those interests can be made will be on the records kept by DTC (for their participants’ interests) and the records kept by those participants (for interests of persons held by participants on their behalf).</w:t>
      </w:r>
    </w:p>
    <w:p>
      <w:pPr>
        <w:spacing w:after="0" w:line="5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Secondary trading in bonds and notes of corporate issuers is generally settled in clearing-house (that is, next-day) funds. In contrast, beneficial interests in a global note usually trade in DTC’s same-day funds settlement system, and settle in immediately available funds. We make no representations as to the effect that settlement in immediately available funds will have on trading activity in those beneficial interests.</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Cash payments of interest on and principal of the global note will be made to Cede, the nominee for DTC, as the registered owner of the global note. These payments will be made by wire transfer of immediately available funds on each payment date.</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You may exchange or transfer the notes at the corporate trust office of the trustee for the notes or at any other office or agency maintained by us for those purposes. We will not require payment of a service charge for any transfer or exchange of the notes, but we may require payment of a sum sufficient to cover any applicable tax or other governmental charge.</w:t>
      </w:r>
    </w:p>
    <w:p>
      <w:pPr>
        <w:spacing w:after="0" w:line="79"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have been informed that, with respect to any cash payment of interest on or principal of the global note,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 as is now the case with securities held for the accounts of customers registered in “street name.”</w:t>
      </w:r>
    </w:p>
    <w:p>
      <w:pPr>
        <w:spacing w:after="0" w:line="5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also understand that neither DTC nor Cede will consent or vote with respect to the notes. We have been advised that under its usual procedures, DTC will mail an “omnibus proxy” to us as soon as possible after the record date. The omnibus proxy assigns Cede’s consenting or voting rights to those participants to whose accounts the notes are credited on the record date identified in a listing attached to the omnibus proxy.</w:t>
      </w:r>
    </w:p>
    <w:p>
      <w:pPr>
        <w:spacing w:after="0" w:line="63"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Because DTC can only act on behalf of participants, who in turn act on behalf of indirect participants, the ability of a person having a beneficial interest in the principal amount represented by the global note to pledge the interest to persons or entities that do not participate in the DTC book-entry system, or otherwise take actions in respect of that interest, may be affected by the lack of a physical certificate evidencing its interest.</w:t>
      </w:r>
    </w:p>
    <w:p>
      <w:pPr>
        <w:spacing w:after="0" w:line="63"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DTC has advised that it will take any action permitted to be taken by a holder of notes (including the presentation of notes for exchange) only at the direction of one or more participants to whose account with DTC interests in the global note are credited and only in respect of such portion of the principal amount of the notes represented by the global note as to which such participant has, or participants have, given such direction.</w:t>
      </w:r>
    </w:p>
    <w:p>
      <w:pPr>
        <w:spacing w:after="0" w:line="63"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DTC has also advised as follows: DTC is a limited purpose trust company organized under the laws of the State of New York, a “banking organization” within the meaning of the New York Banking Law, a member of the Federal Reserve, a “clearing corporation” within the meaning of the Uniform Commercial Code, as amended,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Participants include securities brokers and dealers, banks, trust companies and clearing corporations and may include certain other organizations. Certain of such participants (or their representatives), together with other entities, own DTC. Indirect access to the DTC system is available to other entities such as banks, brokers, dealers and trust companies that clear through or maintain a custodial relationship with a participant, either directly or indirectly. The rules applicable to DTC and its direct and indirect participants are on file with the SEC.</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policies and procedures of DTC, which may change periodically, will apply to payments, transfers, exchanges and other matters relating to beneficial interests in the global note. We and the trustee have no responsibility or liability for any aspect of DTC’s or any participants’ records relating to beneficial interests in the global note, including for payments made on the global note, and we and the trustee are not responsible for maintaining, supervising or reviewing any of those records.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Indenture Covenants</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indenture contains no covenants or restrictions restricting the incurrence of indebtedness or other obligations by us or by a subsidiary of ours, including the Bank. The indenture contains no financial covenants requiring us to achieve or maintain any minimum financial results relating to our financial position or results of operations or meet or exceed any financial ratios as a general matter or in order to incur additional indebtedness or obligations or to maintain any reserves. Moreover, neither the indenture nor the notes contain any covenants limiting our right to incur additional indebtedness or obligations, grant liens on our assets to secure our indebtedness or other obligations that are senior in right of payment to the notes, repurchase our stock or other securities, including any of the notes, or pay dividends or make other distributions to our shareholders (except, subject to certain limited exceptions, in the case of dividends or other distributions; redemptions, purchases, acquisitions or liquidation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payments with respect to our capital stock; and repayments, repurchases or redemptions of any debt securities that rank equal with or junior to the notes, in each case, upon our failure to timely pay the principal of or interest on the notes, when the same becomes due and payable). In addition, neither the indenture nor the notes contain any provision that would provide protection to the holders of the notes against a sudden and dramatic decline in our credit quality resulting from a merger, takeover, recapitalization or similar restructuring or any other event involving us or our subsidiaries that may adversely affect our credit quality.</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Events of Default; Right of Acceleration; Failure to Pay Principal or Interest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events of default under the indenture:</w:t>
      </w:r>
    </w:p>
    <w:p>
      <w:pPr>
        <w:spacing w:after="0" w:line="117" w:lineRule="exact"/>
        <w:rPr>
          <w:sz w:val="20"/>
          <w:szCs w:val="20"/>
          <w:color w:val="auto"/>
        </w:rPr>
      </w:pPr>
    </w:p>
    <w:p>
      <w:pPr>
        <w:jc w:val="both"/>
        <w:ind w:left="1000" w:right="319" w:hanging="348"/>
        <w:spacing w:after="0" w:line="286"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entry of a court decree or order for relief in respect of us in an involuntary case or proceeding under any applicable bankruptcy, insolvency, or reorganization law, now or hereafter in effect, and such decree or order will have continued unstayed and in effect for a period of 60 consecutive days;</w:t>
      </w:r>
    </w:p>
    <w:p>
      <w:pPr>
        <w:spacing w:after="0" w:line="57"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commencement by us of a voluntary case under any applicable bankruptcy, insolvency or reorganization law, now or hereafter in effect, or the consent by us to the entry of a decree or order for relief in an involuntary case or proceeding under any such law;</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failure to make payment of any interest on the notes when due, which continues for 30 days;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failure to make payment of any principal of the notes when due;</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failure to perform any other covenant or agreement of ours under the notes or the indenture, which continues for 60 days after written notice as provided for in the indenture; and</w:t>
      </w:r>
    </w:p>
    <w:p>
      <w:pPr>
        <w:spacing w:after="0" w:line="62" w:lineRule="exact"/>
        <w:rPr>
          <w:rFonts w:ascii="Arial" w:cs="Arial" w:eastAsia="Arial" w:hAnsi="Arial"/>
          <w:sz w:val="18"/>
          <w:szCs w:val="18"/>
          <w:color w:val="auto"/>
        </w:rPr>
      </w:pPr>
    </w:p>
    <w:p>
      <w:pPr>
        <w:jc w:val="both"/>
        <w:ind w:left="1000" w:right="319" w:hanging="348"/>
        <w:spacing w:after="0" w:line="291"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default under any of our other indebtedness having an aggregate principal amount of at least $25,000,000, whether such indebtedness now exists or is created or incurred in the future, which default</w:t>
      </w:r>
    </w:p>
    <w:p>
      <w:pPr>
        <w:jc w:val="both"/>
        <w:ind w:left="1000" w:right="299" w:firstLine="3"/>
        <w:spacing w:after="0" w:line="253" w:lineRule="auto"/>
        <w:tabs>
          <w:tab w:leader="none" w:pos="1233"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constitutes failure in payment of principal of such indebtedness when due after the expiration of any applicable grace period without such indebtedness having been discharged or (ii) results in such indebtedness becoming due or being declared due and payable prior to the date on which it otherwise would have become due or payable without such indebtedness having been discharged or such acceleration having been rescinded or annulled.</w:t>
      </w:r>
    </w:p>
    <w:p>
      <w:pPr>
        <w:spacing w:after="0" w:line="83"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If an event of default with respect to the notes occurs due to a bankruptcy event, the principal of the notes and all accrued and unpaid interest thereon, if any, will be immediately due and payable without any declaration or other act on the part of the trustee or any holder of the notes. If an event of default with respect to the notes occurs due to any reason other than a bankruptcy event, neither the trustee nor any holder may accelerate the maturity of the notes.</w:t>
      </w:r>
    </w:p>
    <w:p>
      <w:pPr>
        <w:spacing w:after="0" w:line="4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indenture provides for the acceleration of the unpaid principal and interest on the notes only in limited circumstances related to our involuntary or voluntary bankruptcy under bankruptcy, insolvency or reorganization laws of the U.S. or any political subdivision thereof. Accordingly, if an event of default occurs and is continuing related to our bankruptcy, the principal amount of all notes, and accrued and unpaid interest, if any, will be due and payable immediately.</w:t>
      </w:r>
    </w:p>
    <w:p>
      <w:pPr>
        <w:spacing w:after="0" w:line="8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Under the indenture, if we fail to make any payment of interest on any note when such interest becomes due and payable and such default continues for a period of 30 days, or if we fail to make any payment of the principal of any note when such principal becomes due and payable, the trustee may, subject to certain limitations and conditions, seek to enforce its rights and the rights of the holders of notes to regularly scheduled payments of interest and of principal at the scheduled maturity of the notes. Any such rights to receive payment of such amounts under the notes remain subject to the subordination provisions of the notes as discussed above under “¬Subordination.” Neither the trustee nor the holders of the notes will have the right to accelerate the maturity of the notes in the case of our failure to pay the principal of, or interest on, the notes or our non-performance of any other covenant or warranty under the notes or the indenture.</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Without the consent of any holder of notes, we and the trustee, at any time and from time to time, may enter into one or more indentures supplemental to the indenture for any of the following purposes:</w:t>
      </w:r>
    </w:p>
    <w:p>
      <w:pPr>
        <w:spacing w:after="0" w:line="62" w:lineRule="exact"/>
        <w:rPr>
          <w:sz w:val="20"/>
          <w:szCs w:val="20"/>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evidence a successor to our organization, and the assumption by any such successor of our covenants contained in the indenture and the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or to surrender any right or power conferred upon us with respect to the notes;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permit or facilitate the issuance of notes in uncertificated or global form, as long as any such action will not adversely affect the interests of the holders;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 and to add to or change any provisions of the indenture to provide for or facilitate the administration of the trusts hereunder by more than one trustee;</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cure any ambiguity or to correct or supplement any provision in the indenture that may be defective or that may be inconsistent with any other provision in the indenture;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make any other provisions with respect to matters or questions arising under the indenture that will not adversely affect the interests of the holders of the notes;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include additional events of default;</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supplement any of the provisions of the indenture as necessary to permit or facilitate legal or covenant defeasance, or satisfaction and discharge of the notes, as long as any such action will not adversely affect the interests of any holder;</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provide for the issuance of the New Notes in connection with this exchange offer;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conform any provision of the indenture to the requirements of the Trust Indenture Act;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make any change that does not adversely affect the legal rights under the indenture of any holder.</w:t>
      </w:r>
    </w:p>
    <w:p>
      <w:pPr>
        <w:spacing w:after="0" w:line="12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With the consent of the holders of not less than a majority in principal amount of the outstanding notes, we and the trustee may enter into an indenture or indentures supplemental to the indenture for the purpose of adding any provisions to or changing in any manner or eliminating any of the provisions of the indenture or the notes or of modifying in any manner the rights of the holders of the notes under the indenture, except that no such supplemental indenture will, without the consent of the holder of each outstanding note affected thereby:</w:t>
      </w:r>
    </w:p>
    <w:p>
      <w:pPr>
        <w:spacing w:after="0" w:line="68" w:lineRule="exact"/>
        <w:rPr>
          <w:sz w:val="20"/>
          <w:szCs w:val="20"/>
          <w:color w:val="auto"/>
        </w:rPr>
      </w:pPr>
    </w:p>
    <w:p>
      <w:pPr>
        <w:ind w:left="1000"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117"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reduce the principal of or change the stated maturity of any note, change the date on which any note may be subject to redemption, or reduce the price at which any note subject to redemption may be redeemed;</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note payable in money other than dollars;</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modify any provision of the indenture protecting the right of a holder to receive payment of principal of and interest on such note on or after the due date thereof or to bring suit to enforce payment;</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threshold of holders the consent of whom is required for any such supplemental indenture or required to waive certain defaults and covenants under the indenture; or</w:t>
      </w:r>
    </w:p>
    <w:p>
      <w:pPr>
        <w:spacing w:after="0" w:line="62"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modify any of the provisions of the section of the indenture governing supplemental indentures with the consent of holders, or those provisions relating to waiver of defaults or certain covenants, except to increase any such percentage required for such actions or to provide that certain other provisions of the indenture cannot be modified or waived without the consent of the holder of each outstanding note affected thereby.</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holders of not less than a majority in aggregate principal amount of the outstanding notes may on behalf of the holders of all notes waive any past default under the indenture and its consequences, except a default in any payment in respect of the principal of or interest on any note, or in respect of a covenant or provision of the indenture under which the indenture cannot be modified or amended without the consent of the holder of each outstanding note.</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Satisfaction and Discharge of the Indenture; Defeasance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terminate our obligations under the indenture when:</w:t>
      </w:r>
    </w:p>
    <w:p>
      <w:pPr>
        <w:spacing w:after="0" w:line="117" w:lineRule="exact"/>
        <w:rPr>
          <w:sz w:val="20"/>
          <w:szCs w:val="20"/>
          <w:color w:val="auto"/>
        </w:rPr>
      </w:pPr>
    </w:p>
    <w:p>
      <w:pPr>
        <w:jc w:val="both"/>
        <w:ind w:left="1000" w:right="299" w:hanging="348"/>
        <w:spacing w:after="0" w:line="259"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either: (1) all notes that have been authenticated and delivered have been delivered to the trustee for cancellation, or (2) all notes that have not been delivered to the trustee for cancellation (i) have become due and payable or (ii) will become due and payable at their stated maturity within one year or are to be called</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for redemption within one year under arrangements satisfactory to the trustee for the giving of notice of redemption by the trustee, and in the case of the foregoing clause 2(i) or 2(ii), we have deposited or caused to be deposited with the trustee immediately available funds in an amount sufficient to pay and discharge the entire indebtedness on the outstanding notes;</w:t>
      </w:r>
    </w:p>
    <w:p>
      <w:pPr>
        <w:spacing w:after="0" w:line="79" w:lineRule="exact"/>
        <w:rPr>
          <w:sz w:val="20"/>
          <w:szCs w:val="20"/>
          <w:color w:val="auto"/>
        </w:rPr>
      </w:pPr>
    </w:p>
    <w:p>
      <w:pPr>
        <w:ind w:left="1000" w:right="31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by us under the indenture with respect to the notes; and</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all conditions precedent under the indenture relating to the satisfaction and discharge of the indenture have been satisfied.</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We may elect, at our option and at any time, to have our obligations discharged with respect to the outstanding notes, which we refer to as legal defeasance. Legal defeasance means that we will be deemed to have paid and discharged the entire indebtedness represented by the outstanding notes, except for:</w:t>
      </w:r>
    </w:p>
    <w:p>
      <w:pPr>
        <w:spacing w:after="0" w:line="57" w:lineRule="exact"/>
        <w:rPr>
          <w:sz w:val="20"/>
          <w:szCs w:val="20"/>
          <w:color w:val="auto"/>
        </w:rPr>
      </w:pPr>
    </w:p>
    <w:p>
      <w:pPr>
        <w:ind w:left="1000" w:right="299" w:hanging="348"/>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of the holders of such notes to receive payments in respect of the principal of and interest on such notes when payments are due;</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obligations with respect to such notes concerning registration of notes, mutilated, destroyed, lost or stolen notes and the maintenance of an office or agency for payment and money for payments on the notes to be held in trust;</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under the indenture;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addition, we may elect, at our option, to have our obligations released with respect to certain covenants contained in the indenture, which is also called covenant defeasance. In the event covenant defeasance occurs, certain events (not including non-payment, bankruptcy and insolvency events) will no longer constitute an event of default with respect to the notes.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order to exercise either legal defeasance or covenant defeasance with respect to outstanding notes:</w:t>
      </w:r>
    </w:p>
    <w:p>
      <w:pPr>
        <w:spacing w:after="0" w:line="129" w:lineRule="exact"/>
        <w:rPr>
          <w:sz w:val="20"/>
          <w:szCs w:val="20"/>
          <w:color w:val="auto"/>
        </w:rPr>
      </w:pPr>
    </w:p>
    <w:p>
      <w:pPr>
        <w:jc w:val="both"/>
        <w:ind w:left="1000" w:right="299" w:hanging="348"/>
        <w:spacing w:after="0" w:line="25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must irrevocably have deposited or caused to be deposited with the trustee as trust funds in trust for the purpose of making the following payments, specifically pledged as security for, and dedicated solely to the benefits of the holders of such notes, (1) an amount in dollars, (2) U.S. government obligations that through the scheduled payment of principal and interest in respect thereof in accordance with their terms will provide, not later than one day before the due date of any payment on the notes, money in an amount, or (3) a combination thereof, in each case sufficient to pay and discharge, and which will be applied by the trustee to pay and discharge, the entire indebtedness in respect of the principal of and interest on the notes on the stated maturity thereof or, with respect to notes called for redemption, on the redemption date thereof;</w:t>
      </w:r>
    </w:p>
    <w:p>
      <w:pPr>
        <w:spacing w:after="0" w:line="88" w:lineRule="exact"/>
        <w:rPr>
          <w:rFonts w:ascii="Arial" w:cs="Arial" w:eastAsia="Arial" w:hAnsi="Arial"/>
          <w:sz w:val="18"/>
          <w:szCs w:val="18"/>
          <w:color w:val="auto"/>
        </w:rPr>
      </w:pPr>
    </w:p>
    <w:p>
      <w:pPr>
        <w:jc w:val="both"/>
        <w:ind w:left="1000" w:right="299" w:hanging="348"/>
        <w:spacing w:after="0" w:line="291"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the case of legal defeasance, we will have delivered to the trustee an opinion of counsel stating that we have received from, or there has been published by, the IRS a ruling or since the date of the indenture there has been a change in the applicable U.S. federal income tax law, in either case to the effect that, and based thereon such opinion will confirm that, the holders of the notes will not recognize income, gain or loss for U.S. federal income tax purposes as a result of such legal defeasance to be effected with respect to such notes and will be subject to U.S. federal income tax on the same amount, in the same manner and at the same times as would be the case if such legal defeasance had not occurred;</w:t>
      </w:r>
    </w:p>
    <w:p>
      <w:pPr>
        <w:spacing w:after="0" w:line="58" w:lineRule="exact"/>
        <w:rPr>
          <w:rFonts w:ascii="Arial" w:cs="Arial" w:eastAsia="Arial" w:hAnsi="Arial"/>
          <w:sz w:val="16"/>
          <w:szCs w:val="16"/>
          <w:color w:val="auto"/>
        </w:rPr>
      </w:pPr>
    </w:p>
    <w:p>
      <w:pPr>
        <w:jc w:val="both"/>
        <w:ind w:left="1000" w:right="299" w:hanging="348"/>
        <w:spacing w:after="0" w:line="275"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the case of covenant defeasance, we will have delivered to the trustee an opinion of counsel to the effect that the holders of the outstanding notes will not recognize income, gain or loss for U.S. federal income tax purposes as a result of such covenant defeasance to be effected with respect to the notes and will be subject to U.S. federal income tax on the same amount, in the same manner and at the same times as would be the case if such covenant defeasance had not occurred;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5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event of default, or event which with notice or lapse of time or both would become an event of default with respect to the outstanding notes will have occurred and be continuing at the time of such deposit referred to in the first bullet point above (and in the case of legal defeasance will have occurred and be continuing at any time during the period ending on and including the 91st day after the date of such deposit);</w:t>
      </w:r>
    </w:p>
    <w:p>
      <w:pPr>
        <w:spacing w:after="0" w:line="79"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the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indenture or any other material agreement or material instrument to which we or our subsidiaries are a party or by which we or our subsidiaries are bound; and</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will have delivered to the trustee an officer’s certificate and an opinion of counsel, each stating that all conditions precedent with respect to such legal defeasance or covenant defeasance have been satisfied.</w:t>
      </w:r>
    </w:p>
    <w:p>
      <w:pPr>
        <w:spacing w:after="0" w:line="16"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In connection with a discharge or defeasance, in the event the trustee is unable to apply the moneys deposited as contemplated under the satisfaction and discharge provisions of the indenture for any reason, our obligations under the indenture and the notes will be revived as if the deposit had never occurred.</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Regarding the Trustee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UMB Bank, National Association is acting as the trustee under the indenture and the initial paying agent and registrar for the notes. From time to time, we and some of our subsidiaries may maintain deposit accounts and conduct other banking transactions, including lending transactions, with the trustee in the ordinary course of business.</w:t>
      </w:r>
    </w:p>
    <w:p>
      <w:pPr>
        <w:spacing w:after="0" w:line="79"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Except during the continuance of an event of default under the indenture, the trustee will perform only such duties as are specifically set forth in the indenture. During the continuance of an event of default that has not been cured or waived, the trustee will exercise such of the rights and powers vested in it by the indenture, and use the same degree of care and skill in their exercise, as a prudent person would exercise or use under the circumstances.</w:t>
      </w:r>
    </w:p>
    <w:p>
      <w:pPr>
        <w:spacing w:after="0" w:line="4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indenture and the Trust Indenture Act contain certain limitations on the rights of the trustee, should it become a creditor of our organization, to obtain payment of claims in certain cases or to realize on certain property received in respect of any such claim as security or otherwise. The trustee will be permitted to engage in other transactions; however, if it acquires any “conflicting interest” (as defined in the Trust Indenture Act) it must eliminate such conflict within 90 days, apply to the SEC for permission to continue or resign.</w:t>
      </w:r>
    </w:p>
    <w:p>
      <w:pPr>
        <w:spacing w:after="0" w:line="68"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holders of a majority in principal amount of the outstanding notes will have the right to direct the time, method and place of conducting any proceeding for any remedy available to the trustee or exercising any trust or power conferred on the trustee, subject to certain exceptions. The indenture provides that in case an event of default has occurred and is continuing, the trustee will exercise such of the rights and powers vested in it by the indenture, and use the same degree of care and skill in their exercise, as a prudent person would exercise or use under the circumstances. Subject to such provisions, the trustee will be under no obligation to exercise any of the rights or powers vested in it by the indenture at the request or direction of any of the holders under the indenture, unless such holders will have provided to the trustee security or indemnity satisfactory to the trustee against the losses, liabilities and expenses which might be incurred by it in compliance with such request or direction.</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Personal Liability of Shareholders, Employees, Officers or Directors, or Exchange Agent</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No past, present or future director, officer, employee or shareholder of our company or any of our predecessors or successors, as such or in such capacity, nor the Exchange Agent will have any personal liability for any of our obligations under the notes or the indenture by reason of his, her or its status as such director, officer, employee or shareholder. Each holder of notes by accepting a note waives and releases all such liability. The waiver and release are part of the consideration for the issuance of the notes. Such waiver may not be effective to waive liabilities under the federal securities laws, and it is the view of the SEC that such a waiver is against public policy.</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48"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color w:val="auto"/>
        </w:rPr>
        <w:t>The notes and the indenture will be governed by and construed in accordance with the laws of the State of New York.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UNITED STATES FEDERAL INCOME TAX CONSIDERATIONS</w:t>
      </w:r>
    </w:p>
    <w:p>
      <w:pPr>
        <w:spacing w:after="0" w:line="121" w:lineRule="exact"/>
        <w:rPr>
          <w:sz w:val="20"/>
          <w:szCs w:val="20"/>
          <w:color w:val="auto"/>
        </w:rPr>
      </w:pPr>
    </w:p>
    <w:p>
      <w:pPr>
        <w:jc w:val="both"/>
        <w:ind w:left="300" w:right="319" w:firstLine="360"/>
        <w:spacing w:after="0" w:line="253" w:lineRule="auto"/>
        <w:rPr>
          <w:sz w:val="20"/>
          <w:szCs w:val="20"/>
          <w:color w:val="auto"/>
        </w:rPr>
      </w:pPr>
      <w:r>
        <w:rPr>
          <w:rFonts w:ascii="Arial" w:cs="Arial" w:eastAsia="Arial" w:hAnsi="Arial"/>
          <w:sz w:val="18"/>
          <w:szCs w:val="18"/>
          <w:color w:val="auto"/>
        </w:rPr>
        <w:t>The following is a general summary of the material U.S. federal income tax considerations of the exchange of outstanding Old Notes for New Notes in the exchange offer. It is not a complete analysis of all the potential tax considerations relating to the exchange of outstanding Old Notes for New Notes. This discussion is based upon the provisions of the Internal Revenue Code of 1986, as amended (the “Code”), its legislative history, existing and proposed regulations under the Code, and administrative and judicial interpretations, all as currently in effect. These authorities are subject to change, possibly on a retroactive basis. We cannot assure you that the IRS will not challenge one or more of the tax consequences described in this discussion, and we have not obtained, nor do we intend to obtain, a ruling from the IRS or an opinion of counsel with respect to the U.S. federal income tax consequences described herein.</w:t>
      </w:r>
    </w:p>
    <w:p>
      <w:pPr>
        <w:spacing w:after="0" w:line="88"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The tax treatment of a holder of notes may vary depending on the holder’s particular situation. This discussion is limited to the U.S. federal income tax consequences applicable to holders that purchased their Old Notes from us in the initial offering and at the initial offering price for cash and who held the Old Notes, and will hold the New Notes, as capital assets within the meaning of Section 1221 of the Code for U.S. federal income tax purposes. This discussion does not address all U.S. federal income tax considerations that may be applicable to holders’ particular circumstances or to holders that may be subject to special tax rules under U.S. federal income tax laws including, but not limited to, banks, insurance companies, or other financial institutions, regulated investment companies, real estate investment trusts, tax-exempt organizations, dealers or traders in securities, commodities or currencies, U.S. expatriates, controlled foreign corporations, passive foreign investment companies, holders subject to the alternative minimum tax, traders in securities that elect to use a mark-to-market method of accounting for their securities holdings, United States holders whose functional currency is not the United States dollar, persons that will hold the New Notes as a position in a hedging transaction, straddle, conversion transaction or other integrated transactions or risk reduction transaction, persons deemed to sell the New Notes under the constructive sale provisions of the Code, persons that will hold the New Notes in an individual retirement account, 401(k) plan or similar tax-favored account, or entities or arrangements classified as partnerships for U.S. federal income tax purposes or other pass-through entities, or investors in such entities. If a partnership or other pass-through entity holds Old Notes or New Notes, the U.S. federal income tax treatment of a partner in the partnership or owner of an equity interest in the pass-through entity will generally depend on the status of the partner or owner and the activities of the partnership or other pass-through entity. This discussion does not address the tax considerations arising under the laws of any foreign, state or local jurisdiction, or any non-income tax consequences of the exchange of Old Notes for New Notes.</w:t>
      </w:r>
    </w:p>
    <w:p>
      <w:pPr>
        <w:spacing w:after="0" w:line="29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exchange of Old Notes for New Notes in the exchange offer should not constitute a taxable exchange for U.S. federal income tax purposes. Consequently, (1) holders of Old Notes should not recognize gain or loss upon the receipt of New Notes in the exchange offer, (2) a holder’s basis in the New Notes received in the exchange offer should be the same as such holder’s basis in the Old Notes surrendered in exchange therefor immediately before the exchange, and (3) a holder’s holding period in the New Notes should include such holder’s holding period in the Old Notes surrendered in exchange therefor.</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This discussion of certain United States Federal Income Tax Considerations is for general information only and may not be applicable depending upon a holder’s particular situation. Holders of Old Notes considering the exchange offer are urged to consult their own tax advisors with respect to the tax consequences to them of exchanging Old Notes for New Notes, including the tax consequences under state, local, estate, foreign and other tax laws and the possible effects of changes in United States or other tax laws.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Each broker-dealer that receives New Notes for its own account pursuant to the exchange offer must acknowledge that it may be a statutory underwriter and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provided that such broker-dealer notifies the Company to that effect by so indicating on the letter of transmittal. To the extent that any notifying broker-dealer participates in the exchange offer, we will use our commercially reasonable efforts to maintain the effectiveness of this prospectus.</w:t>
      </w:r>
    </w:p>
    <w:p>
      <w:pPr>
        <w:spacing w:after="0" w:line="84"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will not receive any proceeds from any sale of New Notes by broker-dealers or any other persons.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any New Notes. Any broker-dealer that receives New Notes in exchange for Old Notes acquired for its own account as a result of market-making activities or other trading activities, and resells such New Notes, and any broker-dealer that participates in a distribution of such New Notes may be deemed to be an “underwriter” within the meaning of the Securities Act and any profit on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will promptly send additional copies of this prospectus and any amendment or supplement to this prospectus to any broker-dealer that reasonably requests such documents. We have agreed to pay certain expenses in connection with the exchange offer and will indemnify the holders of the Old Notes (including any broker-dealers) against certain liabilities, including certain liabilities under the Securities Act.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Certain legal matters in connection with the offering of the New Notes made by this prospectus will be passed upon for us by Hunton Andrews Kurth LLP, Dallas, Texas.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consolidated financial statements of South Plains Financial, Inc. as of December 31, 2019 and 2018, and for each of the years in the two-year period ended December 31, 2019, incorporated in this Prospectus by reference from the South Plains Financial, Inc. Annual Report on Form 10-K for the fiscal year ended December 31, 2019, have been audited by Weaver and Tidwell, L.L.P., an independent registered public accounting firm, as stated in their report thereon incorporated herein by reference, and have been incorporated in this Prospectus and Registration Statement in reliance upon such reports and given on the authority of that firm as experts in accounting and auditing.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03504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603504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169545</wp:posOffset>
            </wp:positionV>
            <wp:extent cx="60350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3058160</wp:posOffset>
            </wp:positionV>
            <wp:extent cx="10972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1489710</wp:posOffset>
            </wp:positionV>
            <wp:extent cx="3437255" cy="5054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3437255" cy="505460"/>
                    </a:xfrm>
                    <a:prstGeom prst="rect">
                      <a:avLst/>
                    </a:prstGeom>
                    <a:noFill/>
                  </pic:spPr>
                </pic:pic>
              </a:graphicData>
            </a:graphic>
          </wp:anchor>
        </w:drawing>
      </w:r>
    </w:p>
    <w:p>
      <w:pPr>
        <w:sectPr>
          <w:pgSz w:w="11900" w:h="16838" w:orient="portrait"/>
          <w:cols w:equalWidth="0" w:num="1">
            <w:col w:w="9259"/>
          </w:cols>
          <w:pgMar w:left="120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40"/>
        <w:spacing w:after="0"/>
        <w:rPr>
          <w:sz w:val="20"/>
          <w:szCs w:val="20"/>
          <w:color w:val="auto"/>
        </w:rPr>
      </w:pPr>
      <w:r>
        <w:rPr>
          <w:rFonts w:ascii="Arial" w:cs="Arial" w:eastAsia="Arial" w:hAnsi="Arial"/>
          <w:sz w:val="25"/>
          <w:szCs w:val="25"/>
          <w:b w:val="1"/>
          <w:bCs w:val="1"/>
          <w:color w:val="auto"/>
        </w:rPr>
        <w:t>OFFER TO EXCHANGE</w:t>
      </w:r>
    </w:p>
    <w:p>
      <w:pPr>
        <w:spacing w:after="0" w:line="307"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$50,000,000 aggregate principal amount of</w:t>
      </w:r>
    </w:p>
    <w:p>
      <w:pPr>
        <w:spacing w:after="0" w:line="38" w:lineRule="exact"/>
        <w:rPr>
          <w:sz w:val="20"/>
          <w:szCs w:val="20"/>
          <w:color w:val="auto"/>
        </w:rPr>
      </w:pPr>
    </w:p>
    <w:p>
      <w:pPr>
        <w:jc w:val="center"/>
        <w:ind w:left="1500" w:right="1339"/>
        <w:spacing w:after="0" w:line="247" w:lineRule="auto"/>
        <w:rPr>
          <w:sz w:val="20"/>
          <w:szCs w:val="20"/>
          <w:color w:val="auto"/>
        </w:rPr>
      </w:pPr>
      <w:r>
        <w:rPr>
          <w:rFonts w:ascii="Arial" w:cs="Arial" w:eastAsia="Arial" w:hAnsi="Arial"/>
          <w:sz w:val="25"/>
          <w:szCs w:val="25"/>
          <w:b w:val="1"/>
          <w:bCs w:val="1"/>
          <w:color w:val="auto"/>
        </w:rPr>
        <w:t>4.50% Fixed-to-Floating Rate Subordinated Notes due 2030 that have been registered under the Securities Act of 1933 for any and all outstanding unregistered</w:t>
      </w:r>
    </w:p>
    <w:p>
      <w:pPr>
        <w:spacing w:after="0" w:line="3" w:lineRule="exact"/>
        <w:rPr>
          <w:sz w:val="20"/>
          <w:szCs w:val="20"/>
          <w:color w:val="auto"/>
        </w:rPr>
      </w:pPr>
    </w:p>
    <w:p>
      <w:pPr>
        <w:ind w:left="1540"/>
        <w:spacing w:after="0"/>
        <w:rPr>
          <w:sz w:val="20"/>
          <w:szCs w:val="20"/>
          <w:color w:val="auto"/>
        </w:rPr>
      </w:pPr>
      <w:r>
        <w:rPr>
          <w:rFonts w:ascii="Arial" w:cs="Arial" w:eastAsia="Arial" w:hAnsi="Arial"/>
          <w:sz w:val="22"/>
          <w:szCs w:val="22"/>
          <w:b w:val="1"/>
          <w:bCs w:val="1"/>
          <w:color w:val="auto"/>
        </w:rPr>
        <w:t>4.50% Fixed-to-Floating Rate Subordinated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513080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179070</wp:posOffset>
            </wp:positionV>
            <wp:extent cx="10972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324485</wp:posOffset>
            </wp:positionV>
            <wp:extent cx="60350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375920</wp:posOffset>
            </wp:positionV>
            <wp:extent cx="603504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259"/>
          </w:cols>
          <w:pgMar w:left="1200" w:top="265" w:right="1440" w:bottom="1440" w:gutter="0" w:footer="0" w:header="0"/>
          <w:type w:val="continuous"/>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Texas business Organizations Code (the “TBOC”) permits a Texas corporation to limit in its charter the liability of the corporation’s directors to the corporation or its shareholders for conduct in the performance of such director’s duties. However, Texas law does not permit any limitation of liability of a director who is found liable to the corporation or is found liable because the director improperly received a personal benefit for: (1) breaching a duty of loyalty owed to the corporation; (2) failing to act in good faith that constitutes a breach of a duty owed by the person to the corporation; or (3) engaging in willful or intentional misconduct in the performance of a director’s duty to the corporation. The Company’s Amended and Restated Certificate of Formation provides that a director of the Company will not be liable to the Company or its shareholders to the fullest extent permitted by Texas law.</w:t>
      </w:r>
    </w:p>
    <w:p>
      <w:pPr>
        <w:spacing w:after="0" w:line="5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Sections 8.101 and 8.103 of the TBOC provide that a Texas corporation may indemnify a person who was, is, or is threatened to be a named defendant or respondent in a proceeding because the person is or was a director only if a determination is made that such indemnification is permissible under the TBOC: (1) by a majority vote of the directors who at the time of the vote are disinterested and independent, regardless of whether such directors constitute a quorum; (2) by a majority vote of a board committee designated by a majority of disinterested and independent directors and consisting solely of disinterested and independent directors; (3) by special legal counsel selected by the board of directors or a committee of the board of directors as set forth in (1) or (2); (4) by the shareholders in a vote that excludes the shares held by directors who are not disinterested and independent; or, (5) by unanimous vote of the shareholders. The power to indemnify applies only if such person acted in good faith and, in the case of conduct in the person’s official capacity as a director, in a manner he reasonably believed to be in the best interest of the corporation, and, in all other cases, that the person’s conduct was not opposed to the best interest of the corporation, and with respect to any criminal action or proceeding, that such person had no reasonable cause to believe his conduct was unlawful.</w:t>
      </w:r>
    </w:p>
    <w:p>
      <w:pPr>
        <w:spacing w:after="0" w:line="7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Section 8.104 of the TBOC provides that a Texas corporation may pay or reimburse, in advance of the final disposition of the proceeding, reasonable expenses incurred by a present director who was, is, or is threatened to be made a named defendant or respondent in a proceeding after the corporation receives a written affirmation by the director of his good faith belief that he has met the standard of conduct necessary for indemnification under Section 8.101 of the TBOC and a written undertaking by or on behalf of the director to repay the amount paid or reimbursed if it is ultimately determined that he has not met that standard or if it is ultimately determined that indemnification of the director is not otherwise permitted under the TBOC. Section 8.105 of the TBOC also provides that reasonable expenses incurred by a former director or officer, or a present or former employee or agent of the corporation, who was, is, or is threatened to be made a named defendant or respondent in a proceeding may be paid or reimbursed by the corporation, in advance of the final disposition of the action, as the corporation considers appropriate.</w:t>
      </w:r>
    </w:p>
    <w:p>
      <w:pPr>
        <w:spacing w:after="0" w:line="6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Section 8.105 of the TBOC provides that a Texas corporation may indemnify and advance expenses to a person who is not a director, including an officer, employee, or agent of the corporation as provided by: (1) the corporation’s governing documents; (2) an action by the corporation’s governing authority; (3) resolution by the shareholders; (4) contract; or (5) common law. As consistent with Section 8.105 of the TBOC, a corporation may indemnify and advance expenses to persons who are not directors to the same extent that a corporation may indemnify and advance expenses to directors.</w:t>
      </w:r>
    </w:p>
    <w:p>
      <w:pPr>
        <w:spacing w:after="0" w:line="8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Company’s Amended and Restated Certificate of Formation provides that, to the fullest extent and under the circumstances permitted by Chapter 8 of the TBOC, (1) the Company must indemnify and advance expenses to directors and officers, and (2) the Company may purchase and maintain insurance on behalf of our directors and officers.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also maintains directors’ and officers’ liability insurance.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  Exhibits</w:t>
      </w:r>
    </w:p>
    <w:p>
      <w:pPr>
        <w:spacing w:after="0" w:line="310" w:lineRule="exact"/>
        <w:rPr>
          <w:sz w:val="20"/>
          <w:szCs w:val="20"/>
          <w:color w:val="auto"/>
        </w:rPr>
      </w:pPr>
    </w:p>
    <w:p>
      <w:pPr>
        <w:jc w:val="both"/>
        <w:ind w:left="920" w:right="459" w:hanging="1025"/>
        <w:spacing w:after="0" w:line="263" w:lineRule="auto"/>
        <w:tabs>
          <w:tab w:leader="none" w:pos="900" w:val="left"/>
        </w:tabs>
        <w:rPr>
          <w:rFonts w:ascii="Arial" w:cs="Arial" w:eastAsia="Arial" w:hAnsi="Arial"/>
          <w:sz w:val="18"/>
          <w:szCs w:val="18"/>
          <w:color w:val="0000EE"/>
        </w:rPr>
      </w:pPr>
      <w:hyperlink r:id="rId105">
        <w:r>
          <w:rPr>
            <w:rFonts w:ascii="Arial" w:cs="Arial" w:eastAsia="Arial" w:hAnsi="Arial"/>
            <w:sz w:val="18"/>
            <w:szCs w:val="18"/>
            <w:u w:val="single" w:color="auto"/>
            <w:color w:val="0000EE"/>
          </w:rPr>
          <w:t>3.1</w:t>
        </w:r>
      </w:hyperlink>
      <w:r>
        <w:rPr>
          <w:rFonts w:ascii="Arial" w:cs="Arial" w:eastAsia="Arial" w:hAnsi="Arial"/>
          <w:sz w:val="18"/>
          <w:szCs w:val="18"/>
          <w:color w:val="0000EE"/>
        </w:rPr>
        <w:tab/>
        <w:t>— Amended and Restated Certificate of Formation of South Plains Financial, Inc., incorporated herein by reference to Exhibit 3.1 to the Registration Statement on Form S-1 of South Plains Financial, Inc. filed on April 29, 2019 (Registration No. 333-230851).</w:t>
      </w:r>
    </w:p>
    <w:p>
      <w:pPr>
        <w:spacing w:after="0" w:line="400" w:lineRule="exact"/>
        <w:rPr>
          <w:sz w:val="20"/>
          <w:szCs w:val="20"/>
          <w:color w:val="auto"/>
        </w:rPr>
      </w:pPr>
    </w:p>
    <w:p>
      <w:pPr>
        <w:ind w:left="920" w:right="599" w:hanging="1025"/>
        <w:spacing w:after="0" w:line="263" w:lineRule="auto"/>
        <w:tabs>
          <w:tab w:leader="none" w:pos="900" w:val="left"/>
        </w:tabs>
        <w:rPr>
          <w:rFonts w:ascii="Arial" w:cs="Arial" w:eastAsia="Arial" w:hAnsi="Arial"/>
          <w:sz w:val="18"/>
          <w:szCs w:val="18"/>
          <w:color w:val="0000EE"/>
        </w:rPr>
      </w:pPr>
      <w:hyperlink r:id="rId106">
        <w:r>
          <w:rPr>
            <w:rFonts w:ascii="Arial" w:cs="Arial" w:eastAsia="Arial" w:hAnsi="Arial"/>
            <w:sz w:val="18"/>
            <w:szCs w:val="18"/>
            <w:u w:val="single" w:color="auto"/>
            <w:color w:val="0000EE"/>
          </w:rPr>
          <w:t>3.2</w:t>
        </w:r>
      </w:hyperlink>
      <w:r>
        <w:rPr>
          <w:rFonts w:ascii="Arial" w:cs="Arial" w:eastAsia="Arial" w:hAnsi="Arial"/>
          <w:sz w:val="18"/>
          <w:szCs w:val="18"/>
          <w:color w:val="0000EE"/>
        </w:rPr>
        <w:tab/>
        <w:t>— Amended and Restated Bylaws of South Plains Financial, Inc., incorporated herein by reference to Exhibit 3.2 of the Registration Statement on Form S-1 of South Plains Financial, Inc. filed on April 29, 2019 (Registration No. 333-230851).</w:t>
      </w:r>
    </w:p>
    <w:p>
      <w:pPr>
        <w:spacing w:after="0" w:line="400" w:lineRule="exact"/>
        <w:rPr>
          <w:sz w:val="20"/>
          <w:szCs w:val="20"/>
          <w:color w:val="auto"/>
        </w:rPr>
      </w:pPr>
    </w:p>
    <w:p>
      <w:pPr>
        <w:ind w:left="300"/>
        <w:spacing w:after="0"/>
        <w:tabs>
          <w:tab w:leader="none" w:pos="900" w:val="left"/>
          <w:tab w:leader="none" w:pos="1300" w:val="left"/>
        </w:tabs>
        <w:rPr>
          <w:rFonts w:ascii="Arial" w:cs="Arial" w:eastAsia="Arial" w:hAnsi="Arial"/>
          <w:sz w:val="18"/>
          <w:szCs w:val="18"/>
          <w:color w:val="0000EE"/>
        </w:rPr>
      </w:pPr>
      <w:hyperlink r:id="rId107">
        <w:r>
          <w:rPr>
            <w:rFonts w:ascii="Arial" w:cs="Arial" w:eastAsia="Arial" w:hAnsi="Arial"/>
            <w:sz w:val="18"/>
            <w:szCs w:val="18"/>
            <w:u w:val="single" w:color="auto"/>
            <w:color w:val="0000EE"/>
          </w:rPr>
          <w:t>4.1</w:t>
        </w:r>
      </w:hyperlink>
      <w:r>
        <w:rPr>
          <w:rFonts w:ascii="Arial" w:cs="Arial" w:eastAsia="Arial" w:hAnsi="Arial"/>
          <w:sz w:val="18"/>
          <w:szCs w:val="18"/>
          <w:color w:val="0000EE"/>
        </w:rPr>
        <w:tab/>
        <w:t>—</w:t>
        <w:tab/>
      </w:r>
      <w:r>
        <w:rPr>
          <w:rFonts w:ascii="Arial" w:cs="Arial" w:eastAsia="Arial" w:hAnsi="Arial"/>
          <w:sz w:val="16"/>
          <w:szCs w:val="16"/>
          <w:color w:val="0000EE"/>
        </w:rPr>
        <w:t>Indenture, dated as of September 29, 2020 by and between South Plains Financial, Inc. and</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UMB Bank, National Association, as trustee, and incorporated herein by reference to Exhibit 4.1 to</w:t>
      </w:r>
    </w:p>
    <w:p>
      <w:pPr>
        <w:spacing w:after="0" w:line="21"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Company’s Current Report on Form 8-K filed on September 30, 2020 (File No. 001-38895).</w:t>
      </w:r>
    </w:p>
    <w:p>
      <w:pPr>
        <w:spacing w:after="0" w:line="200" w:lineRule="exact"/>
        <w:rPr>
          <w:sz w:val="20"/>
          <w:szCs w:val="20"/>
          <w:color w:val="auto"/>
        </w:rPr>
      </w:pPr>
    </w:p>
    <w:p>
      <w:pPr>
        <w:spacing w:after="0" w:line="238" w:lineRule="exact"/>
        <w:rPr>
          <w:sz w:val="20"/>
          <w:szCs w:val="20"/>
          <w:color w:val="auto"/>
        </w:rPr>
      </w:pPr>
    </w:p>
    <w:p>
      <w:pPr>
        <w:ind w:left="920" w:right="539" w:hanging="1025"/>
        <w:spacing w:after="0" w:line="286" w:lineRule="auto"/>
        <w:tabs>
          <w:tab w:leader="none" w:pos="900" w:val="left"/>
        </w:tabs>
        <w:rPr>
          <w:rFonts w:ascii="Arial" w:cs="Arial" w:eastAsia="Arial" w:hAnsi="Arial"/>
          <w:sz w:val="18"/>
          <w:szCs w:val="18"/>
          <w:color w:val="0000EE"/>
        </w:rPr>
      </w:pPr>
      <w:hyperlink r:id="rId108">
        <w:r>
          <w:rPr>
            <w:rFonts w:ascii="Arial" w:cs="Arial" w:eastAsia="Arial" w:hAnsi="Arial"/>
            <w:sz w:val="18"/>
            <w:szCs w:val="18"/>
            <w:u w:val="single" w:color="auto"/>
            <w:color w:val="0000EE"/>
          </w:rPr>
          <w:t>4.2</w:t>
        </w:r>
      </w:hyperlink>
      <w:r>
        <w:rPr>
          <w:rFonts w:ascii="Arial" w:cs="Arial" w:eastAsia="Arial" w:hAnsi="Arial"/>
          <w:sz w:val="18"/>
          <w:szCs w:val="18"/>
          <w:color w:val="0000EE"/>
        </w:rPr>
        <w:tab/>
      </w:r>
      <w:r>
        <w:rPr>
          <w:rFonts w:ascii="Arial" w:cs="Arial" w:eastAsia="Arial" w:hAnsi="Arial"/>
          <w:sz w:val="17"/>
          <w:szCs w:val="17"/>
          <w:color w:val="0000EE"/>
        </w:rPr>
        <w:t>— Form of 4.50% Fixed-to-Floating Rate Subordinated Note due 2030 (included as Exhibit A-2 to the Indenture filed as Exhibit 4.6 hereto), and incorporated herein by reference to Exhibit 4.2 to the Company’s Current Report on Form 8-K filed on September 30, 2020 (File No. 001-38895).</w:t>
      </w:r>
    </w:p>
    <w:p>
      <w:pPr>
        <w:spacing w:after="0" w:line="381" w:lineRule="exact"/>
        <w:rPr>
          <w:sz w:val="20"/>
          <w:szCs w:val="20"/>
          <w:color w:val="auto"/>
        </w:rPr>
      </w:pPr>
    </w:p>
    <w:p>
      <w:pPr>
        <w:ind w:left="300"/>
        <w:spacing w:after="0"/>
        <w:tabs>
          <w:tab w:leader="none" w:pos="900" w:val="left"/>
          <w:tab w:leader="none" w:pos="1300" w:val="left"/>
        </w:tabs>
        <w:rPr>
          <w:rFonts w:ascii="Arial" w:cs="Arial" w:eastAsia="Arial" w:hAnsi="Arial"/>
          <w:sz w:val="18"/>
          <w:szCs w:val="18"/>
          <w:color w:val="0000EE"/>
        </w:rPr>
      </w:pPr>
      <w:hyperlink r:id="rId109">
        <w:r>
          <w:rPr>
            <w:rFonts w:ascii="Arial" w:cs="Arial" w:eastAsia="Arial" w:hAnsi="Arial"/>
            <w:sz w:val="18"/>
            <w:szCs w:val="18"/>
            <w:u w:val="single" w:color="auto"/>
            <w:color w:val="0000EE"/>
          </w:rPr>
          <w:t>4.3</w:t>
        </w:r>
      </w:hyperlink>
      <w:r>
        <w:rPr>
          <w:rFonts w:ascii="Arial" w:cs="Arial" w:eastAsia="Arial" w:hAnsi="Arial"/>
          <w:sz w:val="18"/>
          <w:szCs w:val="18"/>
          <w:color w:val="0000EE"/>
        </w:rPr>
        <w:tab/>
        <w:t>—</w:t>
        <w:tab/>
      </w:r>
      <w:r>
        <w:rPr>
          <w:rFonts w:ascii="Arial" w:cs="Arial" w:eastAsia="Arial" w:hAnsi="Arial"/>
          <w:sz w:val="16"/>
          <w:szCs w:val="16"/>
          <w:color w:val="0000EE"/>
        </w:rPr>
        <w:t>Form of Subordinated Note Purchase Agreement, dated September 28, 2020, by and among</w:t>
      </w:r>
    </w:p>
    <w:p>
      <w:pPr>
        <w:spacing w:after="0" w:line="23" w:lineRule="exact"/>
        <w:rPr>
          <w:sz w:val="20"/>
          <w:szCs w:val="20"/>
          <w:color w:val="auto"/>
        </w:rPr>
      </w:pPr>
    </w:p>
    <w:p>
      <w:pPr>
        <w:ind w:left="1320" w:right="459"/>
        <w:spacing w:after="0" w:line="255" w:lineRule="auto"/>
        <w:rPr>
          <w:sz w:val="20"/>
          <w:szCs w:val="20"/>
          <w:color w:val="auto"/>
        </w:rPr>
      </w:pPr>
      <w:r>
        <w:rPr>
          <w:rFonts w:ascii="Arial" w:cs="Arial" w:eastAsia="Arial" w:hAnsi="Arial"/>
          <w:sz w:val="18"/>
          <w:szCs w:val="18"/>
          <w:color w:val="auto"/>
        </w:rPr>
        <w:t>South Plains Financial, Inc. and the purchasers party thereto, and incorporated herein by reference to Exhibit 10.1 to the Company’s Current Report on Form 8-K filed on September 30, 2020 (File No. 001-38895).</w:t>
      </w:r>
    </w:p>
    <w:p>
      <w:pPr>
        <w:spacing w:after="0" w:line="200" w:lineRule="exact"/>
        <w:rPr>
          <w:sz w:val="20"/>
          <w:szCs w:val="20"/>
          <w:color w:val="auto"/>
        </w:rPr>
      </w:pPr>
    </w:p>
    <w:p>
      <w:pPr>
        <w:spacing w:after="0" w:line="206" w:lineRule="exact"/>
        <w:rPr>
          <w:sz w:val="20"/>
          <w:szCs w:val="20"/>
          <w:color w:val="auto"/>
        </w:rPr>
      </w:pPr>
    </w:p>
    <w:p>
      <w:pPr>
        <w:jc w:val="both"/>
        <w:ind w:left="920" w:right="419" w:hanging="1025"/>
        <w:spacing w:after="0" w:line="311" w:lineRule="auto"/>
        <w:tabs>
          <w:tab w:leader="none" w:pos="900" w:val="left"/>
        </w:tabs>
        <w:rPr>
          <w:rFonts w:ascii="Arial" w:cs="Arial" w:eastAsia="Arial" w:hAnsi="Arial"/>
          <w:sz w:val="18"/>
          <w:szCs w:val="18"/>
          <w:color w:val="0000EE"/>
        </w:rPr>
      </w:pPr>
      <w:hyperlink r:id="rId110">
        <w:r>
          <w:rPr>
            <w:rFonts w:ascii="Arial" w:cs="Arial" w:eastAsia="Arial" w:hAnsi="Arial"/>
            <w:sz w:val="18"/>
            <w:szCs w:val="18"/>
            <w:u w:val="single" w:color="auto"/>
            <w:color w:val="0000EE"/>
          </w:rPr>
          <w:t>4.4</w:t>
        </w:r>
      </w:hyperlink>
      <w:r>
        <w:rPr>
          <w:rFonts w:ascii="Arial" w:cs="Arial" w:eastAsia="Arial" w:hAnsi="Arial"/>
          <w:sz w:val="18"/>
          <w:szCs w:val="18"/>
          <w:color w:val="0000EE"/>
        </w:rPr>
        <w:tab/>
      </w:r>
      <w:r>
        <w:rPr>
          <w:rFonts w:ascii="Arial" w:cs="Arial" w:eastAsia="Arial" w:hAnsi="Arial"/>
          <w:sz w:val="16"/>
          <w:szCs w:val="16"/>
          <w:color w:val="0000EE"/>
        </w:rPr>
        <w:t>— Form of Registration Rights Agreement, dated as of September 29, 2020, by and among South Plains Financial, Inc. and the purchasers party thereto, and incorporated herein by reference to Exhibit 10.2 to the Company’s Current Report on Form 8-K filed on September 30, 2020 (File No. 001-38895).</w:t>
      </w:r>
    </w:p>
    <w:p>
      <w:pPr>
        <w:spacing w:after="0" w:line="365" w:lineRule="exact"/>
        <w:rPr>
          <w:sz w:val="20"/>
          <w:szCs w:val="20"/>
          <w:color w:val="auto"/>
        </w:rPr>
      </w:pPr>
    </w:p>
    <w:p>
      <w:pPr>
        <w:ind w:left="300"/>
        <w:spacing w:after="0"/>
        <w:tabs>
          <w:tab w:leader="none" w:pos="900" w:val="left"/>
          <w:tab w:leader="none" w:pos="1300" w:val="left"/>
        </w:tabs>
        <w:rPr>
          <w:rFonts w:ascii="Arial" w:cs="Arial" w:eastAsia="Arial" w:hAnsi="Arial"/>
          <w:sz w:val="18"/>
          <w:szCs w:val="18"/>
          <w:color w:val="0000EE"/>
        </w:rPr>
      </w:pPr>
      <w:hyperlink w:anchor="page58">
        <w:r>
          <w:rPr>
            <w:rFonts w:ascii="Arial" w:cs="Arial" w:eastAsia="Arial" w:hAnsi="Arial"/>
            <w:sz w:val="18"/>
            <w:szCs w:val="18"/>
            <w:u w:val="single" w:color="auto"/>
            <w:color w:val="0000EE"/>
          </w:rPr>
          <w:t>5.1*</w:t>
        </w:r>
      </w:hyperlink>
      <w:r>
        <w:rPr>
          <w:rFonts w:ascii="Arial" w:cs="Arial" w:eastAsia="Arial" w:hAnsi="Arial"/>
          <w:sz w:val="18"/>
          <w:szCs w:val="18"/>
          <w:color w:val="0000EE"/>
        </w:rPr>
        <w:tab/>
        <w:t>—</w:t>
        <w:tab/>
      </w:r>
      <w:r>
        <w:rPr>
          <w:rFonts w:ascii="Arial" w:cs="Arial" w:eastAsia="Arial" w:hAnsi="Arial"/>
          <w:sz w:val="16"/>
          <w:szCs w:val="16"/>
          <w:color w:val="0000EE"/>
        </w:rPr>
        <w:t>Opinion of Hunton Andrews Kurth LLP.</w:t>
      </w:r>
    </w:p>
    <w:p>
      <w:pPr>
        <w:spacing w:after="0" w:line="200" w:lineRule="exact"/>
        <w:rPr>
          <w:sz w:val="20"/>
          <w:szCs w:val="20"/>
          <w:color w:val="auto"/>
        </w:rPr>
      </w:pPr>
    </w:p>
    <w:p>
      <w:pPr>
        <w:spacing w:after="0" w:line="241" w:lineRule="exact"/>
        <w:rPr>
          <w:sz w:val="20"/>
          <w:szCs w:val="20"/>
          <w:color w:val="auto"/>
        </w:rPr>
      </w:pPr>
    </w:p>
    <w:p>
      <w:pPr>
        <w:ind w:left="300"/>
        <w:spacing w:after="0"/>
        <w:tabs>
          <w:tab w:leader="none" w:pos="900" w:val="left"/>
          <w:tab w:leader="none" w:pos="1300" w:val="left"/>
        </w:tabs>
        <w:rPr>
          <w:rFonts w:ascii="Arial" w:cs="Arial" w:eastAsia="Arial" w:hAnsi="Arial"/>
          <w:sz w:val="18"/>
          <w:szCs w:val="18"/>
          <w:color w:val="0000EE"/>
        </w:rPr>
      </w:pPr>
      <w:hyperlink w:anchor="page61">
        <w:r>
          <w:rPr>
            <w:rFonts w:ascii="Arial" w:cs="Arial" w:eastAsia="Arial" w:hAnsi="Arial"/>
            <w:sz w:val="18"/>
            <w:szCs w:val="18"/>
            <w:u w:val="single" w:color="auto"/>
            <w:color w:val="0000EE"/>
          </w:rPr>
          <w:t>23.1*</w:t>
        </w:r>
      </w:hyperlink>
      <w:r>
        <w:rPr>
          <w:rFonts w:ascii="Arial" w:cs="Arial" w:eastAsia="Arial" w:hAnsi="Arial"/>
          <w:sz w:val="18"/>
          <w:szCs w:val="18"/>
          <w:color w:val="0000EE"/>
        </w:rPr>
        <w:tab/>
        <w:t>—</w:t>
        <w:tab/>
      </w:r>
      <w:r>
        <w:rPr>
          <w:rFonts w:ascii="Arial" w:cs="Arial" w:eastAsia="Arial" w:hAnsi="Arial"/>
          <w:sz w:val="16"/>
          <w:szCs w:val="16"/>
          <w:color w:val="0000EE"/>
        </w:rPr>
        <w:t>Consent of Weaver and Tidwell, L.L.P.</w:t>
      </w:r>
    </w:p>
    <w:p>
      <w:pPr>
        <w:spacing w:after="0" w:line="200" w:lineRule="exact"/>
        <w:rPr>
          <w:sz w:val="20"/>
          <w:szCs w:val="20"/>
          <w:color w:val="auto"/>
        </w:rPr>
      </w:pPr>
    </w:p>
    <w:p>
      <w:pPr>
        <w:spacing w:after="0" w:line="241" w:lineRule="exact"/>
        <w:rPr>
          <w:sz w:val="20"/>
          <w:szCs w:val="20"/>
          <w:color w:val="auto"/>
        </w:rPr>
      </w:pPr>
    </w:p>
    <w:p>
      <w:pPr>
        <w:ind w:left="300"/>
        <w:spacing w:after="0"/>
        <w:tabs>
          <w:tab w:leader="none" w:pos="900" w:val="left"/>
          <w:tab w:leader="none" w:pos="1300" w:val="left"/>
        </w:tabs>
        <w:rPr>
          <w:rFonts w:ascii="Arial" w:cs="Arial" w:eastAsia="Arial" w:hAnsi="Arial"/>
          <w:sz w:val="18"/>
          <w:szCs w:val="18"/>
          <w:color w:val="0000EE"/>
        </w:rPr>
      </w:pPr>
      <w:hyperlink w:anchor="page58">
        <w:r>
          <w:rPr>
            <w:rFonts w:ascii="Arial" w:cs="Arial" w:eastAsia="Arial" w:hAnsi="Arial"/>
            <w:sz w:val="18"/>
            <w:szCs w:val="18"/>
            <w:u w:val="single" w:color="auto"/>
            <w:color w:val="0000EE"/>
          </w:rPr>
          <w:t>23.2*</w:t>
        </w:r>
      </w:hyperlink>
      <w:r>
        <w:rPr>
          <w:rFonts w:ascii="Arial" w:cs="Arial" w:eastAsia="Arial" w:hAnsi="Arial"/>
          <w:sz w:val="18"/>
          <w:szCs w:val="18"/>
          <w:color w:val="0000EE"/>
        </w:rPr>
        <w:tab/>
        <w:t>—</w:t>
        <w:tab/>
      </w:r>
      <w:r>
        <w:rPr>
          <w:rFonts w:ascii="Arial" w:cs="Arial" w:eastAsia="Arial" w:hAnsi="Arial"/>
          <w:sz w:val="16"/>
          <w:szCs w:val="16"/>
          <w:color w:val="0000EE"/>
        </w:rPr>
        <w:t>Consent of Hunton Andrews Kurth LLP (included in Exhibit 5.1).</w:t>
      </w:r>
    </w:p>
    <w:p>
      <w:pPr>
        <w:spacing w:after="0" w:line="200" w:lineRule="exact"/>
        <w:rPr>
          <w:sz w:val="20"/>
          <w:szCs w:val="20"/>
          <w:color w:val="auto"/>
        </w:rPr>
      </w:pPr>
    </w:p>
    <w:p>
      <w:pPr>
        <w:spacing w:after="0" w:line="241" w:lineRule="exact"/>
        <w:rPr>
          <w:sz w:val="20"/>
          <w:szCs w:val="20"/>
          <w:color w:val="auto"/>
        </w:rPr>
      </w:pPr>
    </w:p>
    <w:p>
      <w:pPr>
        <w:ind w:left="300"/>
        <w:spacing w:after="0"/>
        <w:tabs>
          <w:tab w:leader="none" w:pos="900" w:val="left"/>
          <w:tab w:leader="none" w:pos="1300" w:val="left"/>
        </w:tabs>
        <w:rPr>
          <w:rFonts w:ascii="Arial" w:cs="Arial" w:eastAsia="Arial" w:hAnsi="Arial"/>
          <w:sz w:val="18"/>
          <w:szCs w:val="18"/>
          <w:color w:val="0000EE"/>
        </w:rPr>
      </w:pPr>
      <w:hyperlink w:anchor="page57">
        <w:r>
          <w:rPr>
            <w:rFonts w:ascii="Arial" w:cs="Arial" w:eastAsia="Arial" w:hAnsi="Arial"/>
            <w:sz w:val="18"/>
            <w:szCs w:val="18"/>
            <w:u w:val="single" w:color="auto"/>
            <w:color w:val="0000EE"/>
          </w:rPr>
          <w:t>24.1*</w:t>
        </w:r>
      </w:hyperlink>
      <w:r>
        <w:rPr>
          <w:rFonts w:ascii="Arial" w:cs="Arial" w:eastAsia="Arial" w:hAnsi="Arial"/>
          <w:sz w:val="18"/>
          <w:szCs w:val="18"/>
          <w:color w:val="0000EE"/>
        </w:rPr>
        <w:tab/>
        <w:t>—</w:t>
        <w:tab/>
      </w:r>
      <w:r>
        <w:rPr>
          <w:rFonts w:ascii="Arial" w:cs="Arial" w:eastAsia="Arial" w:hAnsi="Arial"/>
          <w:sz w:val="16"/>
          <w:szCs w:val="16"/>
          <w:color w:val="0000EE"/>
        </w:rPr>
        <w:t>Power of Attorney (included on original signature page to this registration statement).</w:t>
      </w:r>
    </w:p>
    <w:p>
      <w:pPr>
        <w:spacing w:after="0" w:line="200" w:lineRule="exact"/>
        <w:rPr>
          <w:sz w:val="20"/>
          <w:szCs w:val="20"/>
          <w:color w:val="auto"/>
        </w:rPr>
      </w:pPr>
    </w:p>
    <w:p>
      <w:pPr>
        <w:spacing w:after="0" w:line="241" w:lineRule="exact"/>
        <w:rPr>
          <w:sz w:val="20"/>
          <w:szCs w:val="20"/>
          <w:color w:val="auto"/>
        </w:rPr>
      </w:pPr>
    </w:p>
    <w:p>
      <w:pPr>
        <w:ind w:left="920" w:right="419" w:hanging="1025"/>
        <w:spacing w:after="0" w:line="259" w:lineRule="auto"/>
        <w:tabs>
          <w:tab w:leader="none" w:pos="900" w:val="left"/>
        </w:tabs>
        <w:rPr>
          <w:rFonts w:ascii="Arial" w:cs="Arial" w:eastAsia="Arial" w:hAnsi="Arial"/>
          <w:sz w:val="18"/>
          <w:szCs w:val="18"/>
          <w:color w:val="0000EE"/>
        </w:rPr>
      </w:pPr>
      <w:hyperlink w:anchor="page62">
        <w:r>
          <w:rPr>
            <w:rFonts w:ascii="Arial" w:cs="Arial" w:eastAsia="Arial" w:hAnsi="Arial"/>
            <w:sz w:val="18"/>
            <w:szCs w:val="18"/>
            <w:u w:val="single" w:color="auto"/>
            <w:color w:val="0000EE"/>
          </w:rPr>
          <w:t>25.1*</w:t>
        </w:r>
      </w:hyperlink>
      <w:r>
        <w:rPr>
          <w:rFonts w:ascii="Arial" w:cs="Arial" w:eastAsia="Arial" w:hAnsi="Arial"/>
          <w:sz w:val="18"/>
          <w:szCs w:val="18"/>
          <w:color w:val="0000EE"/>
        </w:rPr>
        <w:tab/>
        <w:t>— Form T-1 Statement of Eligibility under the Trust Indenture Act of 1939, as amended, of UMB Bank, N.A., with respect to the Indenture, dated as of September 29, 2020, between South Plains Financial, Inc. and UMB Bank, N.A., as trustee, regarding 4.50% Fixed-to-Floating Rate Subordinated Notes due 2030</w:t>
      </w:r>
    </w:p>
    <w:p>
      <w:pPr>
        <w:spacing w:after="0" w:line="200" w:lineRule="exact"/>
        <w:rPr>
          <w:sz w:val="20"/>
          <w:szCs w:val="20"/>
          <w:color w:val="auto"/>
        </w:rPr>
      </w:pPr>
    </w:p>
    <w:p>
      <w:pPr>
        <w:spacing w:after="0" w:line="203" w:lineRule="exact"/>
        <w:rPr>
          <w:sz w:val="20"/>
          <w:szCs w:val="20"/>
          <w:color w:val="auto"/>
        </w:rPr>
      </w:pPr>
    </w:p>
    <w:p>
      <w:pPr>
        <w:ind w:left="920" w:right="399" w:hanging="1025"/>
        <w:spacing w:after="0" w:line="277" w:lineRule="auto"/>
        <w:tabs>
          <w:tab w:leader="none" w:pos="900" w:val="left"/>
        </w:tabs>
        <w:rPr>
          <w:rFonts w:ascii="Arial" w:cs="Arial" w:eastAsia="Arial" w:hAnsi="Arial"/>
          <w:sz w:val="18"/>
          <w:szCs w:val="18"/>
          <w:color w:val="0000EE"/>
        </w:rPr>
      </w:pPr>
      <w:hyperlink w:anchor="page69">
        <w:r>
          <w:rPr>
            <w:rFonts w:ascii="Arial" w:cs="Arial" w:eastAsia="Arial" w:hAnsi="Arial"/>
            <w:sz w:val="18"/>
            <w:szCs w:val="18"/>
            <w:u w:val="single" w:color="auto"/>
            <w:color w:val="0000EE"/>
          </w:rPr>
          <w:t>99.1*</w:t>
        </w:r>
      </w:hyperlink>
      <w:r>
        <w:rPr>
          <w:rFonts w:ascii="Arial" w:cs="Arial" w:eastAsia="Arial" w:hAnsi="Arial"/>
          <w:sz w:val="18"/>
          <w:szCs w:val="18"/>
          <w:color w:val="0000EE"/>
        </w:rPr>
        <w:tab/>
        <w:t>— Form of Global Note Letter of Transmittal relating to the 4.50% Fixed-to-Floating Rate Subordinated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134620</wp:posOffset>
            </wp:positionV>
            <wp:extent cx="8229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40" w:lineRule="exact"/>
        <w:rPr>
          <w:sz w:val="20"/>
          <w:szCs w:val="20"/>
          <w:color w:val="auto"/>
        </w:rPr>
      </w:pPr>
    </w:p>
    <w:p>
      <w:pPr>
        <w:ind w:left="640" w:hanging="348"/>
        <w:spacing w:after="0"/>
        <w:tabs>
          <w:tab w:leader="none" w:pos="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  Financial Statement Schedules:</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All schedules for which provision is made in the applicable accounting regulations of the Securities and Exchange Commission have been omitted because they are not required, amounts which would otherwise be required to be shown with respect to any item are not material, are inapplicable or the required information has already been provided elsewhere or incorporated by reference in the registration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6"/>
          <w:szCs w:val="16"/>
          <w:b w:val="1"/>
          <w:bCs w:val="1"/>
          <w:color w:val="auto"/>
        </w:rPr>
        <w:t>Undertakings.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1000" w:right="319" w:hanging="348"/>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jc w:val="both"/>
        <w:ind w:left="1360" w:right="319" w:hanging="348"/>
        <w:spacing w:after="0" w:line="269" w:lineRule="auto"/>
        <w:tabs>
          <w:tab w:leader="none" w:pos="13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77" w:lineRule="exact"/>
        <w:rPr>
          <w:rFonts w:ascii="Arial" w:cs="Arial" w:eastAsia="Arial" w:hAnsi="Arial"/>
          <w:sz w:val="17"/>
          <w:szCs w:val="17"/>
          <w:color w:val="auto"/>
        </w:rPr>
      </w:pPr>
    </w:p>
    <w:p>
      <w:pPr>
        <w:ind w:left="1360" w:right="319" w:hanging="348"/>
        <w:spacing w:after="0" w:line="342" w:lineRule="auto"/>
        <w:tabs>
          <w:tab w:leader="none" w:pos="13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5" w:lineRule="exact"/>
        <w:rPr>
          <w:rFonts w:ascii="Arial" w:cs="Arial" w:eastAsia="Arial" w:hAnsi="Arial"/>
          <w:sz w:val="16"/>
          <w:szCs w:val="16"/>
          <w:color w:val="auto"/>
        </w:rPr>
      </w:pPr>
    </w:p>
    <w:p>
      <w:pPr>
        <w:jc w:val="both"/>
        <w:ind w:left="1000" w:right="319" w:hanging="348"/>
        <w:spacing w:after="0" w:line="259"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jc w:val="both"/>
        <w:ind w:left="1000" w:right="319" w:hanging="348"/>
        <w:spacing w:after="0" w:line="269"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7" w:lineRule="exact"/>
        <w:rPr>
          <w:rFonts w:ascii="Arial" w:cs="Arial" w:eastAsia="Arial" w:hAnsi="Arial"/>
          <w:sz w:val="17"/>
          <w:szCs w:val="17"/>
          <w:color w:val="auto"/>
        </w:rPr>
      </w:pPr>
    </w:p>
    <w:p>
      <w:pPr>
        <w:jc w:val="both"/>
        <w:ind w:left="1000" w:right="299" w:hanging="348"/>
        <w:spacing w:after="0" w:line="293"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6" w:lineRule="exact"/>
        <w:rPr>
          <w:rFonts w:ascii="Arial" w:cs="Arial" w:eastAsia="Arial" w:hAnsi="Arial"/>
          <w:sz w:val="16"/>
          <w:szCs w:val="16"/>
          <w:color w:val="auto"/>
        </w:rPr>
      </w:pPr>
    </w:p>
    <w:p>
      <w:pPr>
        <w:ind w:left="1360" w:right="319" w:hanging="348"/>
        <w:spacing w:after="0" w:line="277" w:lineRule="auto"/>
        <w:tabs>
          <w:tab w:leader="none" w:pos="13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63"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6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undersigned registrant hereby undertakes to supply by means of a post-effective amendment all information concerning a transaction, and the company being acquired involved therein, that was not the subject of and included in this registration statement when it became effective.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Lubbock, State of Texas, on November 12, 2020.</w:t>
      </w:r>
    </w:p>
    <w:p>
      <w:pPr>
        <w:spacing w:after="0" w:line="27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SOUTH PLAINS FINANCIAL, INC.</w:t>
      </w:r>
    </w:p>
    <w:p>
      <w:pPr>
        <w:spacing w:after="0" w:line="200" w:lineRule="exact"/>
        <w:rPr>
          <w:sz w:val="20"/>
          <w:szCs w:val="20"/>
          <w:color w:val="auto"/>
        </w:rPr>
      </w:pPr>
    </w:p>
    <w:p>
      <w:pPr>
        <w:spacing w:after="0" w:line="245" w:lineRule="exact"/>
        <w:rPr>
          <w:sz w:val="20"/>
          <w:szCs w:val="20"/>
          <w:color w:val="auto"/>
        </w:rPr>
      </w:pPr>
    </w:p>
    <w:p>
      <w:pPr>
        <w:ind w:left="4360"/>
        <w:spacing w:after="0"/>
        <w:tabs>
          <w:tab w:leader="none" w:pos="4800" w:val="left"/>
        </w:tabs>
        <w:rPr>
          <w:sz w:val="20"/>
          <w:szCs w:val="20"/>
          <w:color w:val="auto"/>
        </w:rPr>
      </w:pPr>
      <w:r>
        <w:rPr>
          <w:rFonts w:ascii="Arial" w:cs="Arial" w:eastAsia="Arial" w:hAnsi="Arial"/>
          <w:sz w:val="18"/>
          <w:szCs w:val="18"/>
          <w:color w:val="auto"/>
        </w:rPr>
        <w:t>By:</w:t>
        <w:tab/>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57785</wp:posOffset>
            </wp:positionV>
            <wp:extent cx="24771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Curtis C. Griffith</w:t>
      </w:r>
    </w:p>
    <w:p>
      <w:pPr>
        <w:spacing w:after="0" w:line="11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Chairman and Chief Executive Officer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Curtis C. Griffith and Steven B. Crockett as his or her true and lawful attorneys-in-fact and agents, with full power of substitution and resubstitution, for him or her and in his or her name, place and stead, in any and all capacities, to sign any and all amendments (including post-effective amendments and registration statements filed pursuant to Rule 462(b) under the Securities Act) to this registration statement and to file the same, with all relevant exhibits and other documents in connection therewith, with the SEC,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6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25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220" w:type="dxa"/>
            <w:vAlign w:val="bottom"/>
          </w:tcPr>
          <w:p>
            <w:pPr>
              <w:spacing w:after="0"/>
              <w:rPr>
                <w:sz w:val="16"/>
                <w:szCs w:val="16"/>
                <w:color w:val="auto"/>
              </w:rPr>
            </w:pPr>
          </w:p>
        </w:tc>
        <w:tc>
          <w:tcPr>
            <w:tcW w:w="4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Title</w:t>
            </w:r>
          </w:p>
        </w:tc>
        <w:tc>
          <w:tcPr>
            <w:tcW w:w="1600" w:type="dxa"/>
            <w:vAlign w:val="bottom"/>
          </w:tcPr>
          <w:p>
            <w:pPr>
              <w:ind w:left="6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3"/>
        </w:trPr>
        <w:tc>
          <w:tcPr>
            <w:tcW w:w="2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80" w:type="dxa"/>
            <w:vAlign w:val="bottom"/>
          </w:tcPr>
          <w:p>
            <w:pPr>
              <w:jc w:val="center"/>
              <w:spacing w:after="0"/>
              <w:rPr>
                <w:sz w:val="20"/>
                <w:szCs w:val="20"/>
                <w:color w:val="auto"/>
              </w:rPr>
            </w:pPr>
            <w:r>
              <w:rPr>
                <w:rFonts w:ascii="Arial" w:cs="Arial" w:eastAsia="Arial" w:hAnsi="Arial"/>
                <w:sz w:val="18"/>
                <w:szCs w:val="18"/>
                <w:color w:val="auto"/>
                <w:w w:val="96"/>
              </w:rPr>
              <w:t>/s/ Curtis C. Griffith</w:t>
            </w:r>
          </w:p>
        </w:tc>
        <w:tc>
          <w:tcPr>
            <w:tcW w:w="220" w:type="dxa"/>
            <w:vAlign w:val="bottom"/>
          </w:tcPr>
          <w:p>
            <w:pPr>
              <w:spacing w:after="0"/>
              <w:rPr>
                <w:sz w:val="22"/>
                <w:szCs w:val="22"/>
                <w:color w:val="auto"/>
              </w:rPr>
            </w:pPr>
          </w:p>
        </w:tc>
        <w:tc>
          <w:tcPr>
            <w:tcW w:w="45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Director (Chairman); Chief Executive</w:t>
            </w:r>
          </w:p>
        </w:tc>
        <w:tc>
          <w:tcPr>
            <w:tcW w:w="1600" w:type="dxa"/>
            <w:vAlign w:val="bottom"/>
          </w:tcPr>
          <w:p>
            <w:pPr>
              <w:spacing w:after="0"/>
              <w:rPr>
                <w:sz w:val="20"/>
                <w:szCs w:val="20"/>
                <w:color w:val="auto"/>
              </w:rPr>
            </w:pPr>
            <w:r>
              <w:rPr>
                <w:rFonts w:ascii="Arial" w:cs="Arial" w:eastAsia="Arial" w:hAnsi="Arial"/>
                <w:sz w:val="18"/>
                <w:szCs w:val="18"/>
                <w:color w:val="auto"/>
                <w:w w:val="99"/>
              </w:rPr>
              <w:t>November 12, 2020</w:t>
            </w:r>
          </w:p>
        </w:tc>
        <w:tc>
          <w:tcPr>
            <w:tcW w:w="0" w:type="dxa"/>
            <w:vAlign w:val="bottom"/>
          </w:tcPr>
          <w:p>
            <w:pPr>
              <w:spacing w:after="0"/>
              <w:rPr>
                <w:sz w:val="1"/>
                <w:szCs w:val="1"/>
                <w:color w:val="auto"/>
              </w:rPr>
            </w:pPr>
          </w:p>
        </w:tc>
      </w:tr>
      <w:tr>
        <w:trPr>
          <w:trHeight w:val="82"/>
        </w:trPr>
        <w:tc>
          <w:tcPr>
            <w:tcW w:w="2180" w:type="dxa"/>
            <w:vAlign w:val="bottom"/>
            <w:tcBorders>
              <w:bottom w:val="single" w:sz="8" w:color="auto"/>
            </w:tcBorders>
          </w:tcPr>
          <w:p>
            <w:pPr>
              <w:spacing w:after="0"/>
              <w:rPr>
                <w:sz w:val="7"/>
                <w:szCs w:val="7"/>
                <w:color w:val="auto"/>
              </w:rPr>
            </w:pPr>
          </w:p>
        </w:tc>
        <w:tc>
          <w:tcPr>
            <w:tcW w:w="220" w:type="dxa"/>
            <w:vAlign w:val="bottom"/>
            <w:vMerge w:val="restart"/>
          </w:tcPr>
          <w:p>
            <w:pPr>
              <w:spacing w:after="0"/>
              <w:rPr>
                <w:sz w:val="7"/>
                <w:szCs w:val="7"/>
                <w:color w:val="auto"/>
              </w:rPr>
            </w:pPr>
          </w:p>
        </w:tc>
        <w:tc>
          <w:tcPr>
            <w:tcW w:w="45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4"/>
              </w:rPr>
              <w:t>Officer (principal executive officer)</w:t>
            </w: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Curtis C. Griffith</w:t>
            </w:r>
          </w:p>
        </w:tc>
        <w:tc>
          <w:tcPr>
            <w:tcW w:w="220" w:type="dxa"/>
            <w:vAlign w:val="bottom"/>
            <w:vMerge w:val="continue"/>
          </w:tcPr>
          <w:p>
            <w:pPr>
              <w:spacing w:after="0"/>
              <w:rPr>
                <w:sz w:val="11"/>
                <w:szCs w:val="11"/>
                <w:color w:val="auto"/>
              </w:rPr>
            </w:pPr>
          </w:p>
        </w:tc>
        <w:tc>
          <w:tcPr>
            <w:tcW w:w="4580" w:type="dxa"/>
            <w:vAlign w:val="bottom"/>
            <w:gridSpan w:val="2"/>
            <w:vMerge w:val="continue"/>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4"/>
        </w:trPr>
        <w:tc>
          <w:tcPr>
            <w:tcW w:w="2180" w:type="dxa"/>
            <w:vAlign w:val="bottom"/>
          </w:tcPr>
          <w:p>
            <w:pPr>
              <w:jc w:val="center"/>
              <w:spacing w:after="0"/>
              <w:rPr>
                <w:sz w:val="20"/>
                <w:szCs w:val="20"/>
                <w:color w:val="auto"/>
              </w:rPr>
            </w:pPr>
            <w:r>
              <w:rPr>
                <w:rFonts w:ascii="Arial" w:cs="Arial" w:eastAsia="Arial" w:hAnsi="Arial"/>
                <w:sz w:val="18"/>
                <w:szCs w:val="18"/>
                <w:color w:val="auto"/>
                <w:w w:val="91"/>
              </w:rPr>
              <w:t>/s/ Cory T. Newsom</w:t>
            </w:r>
          </w:p>
        </w:tc>
        <w:tc>
          <w:tcPr>
            <w:tcW w:w="220" w:type="dxa"/>
            <w:vAlign w:val="bottom"/>
          </w:tcPr>
          <w:p>
            <w:pPr>
              <w:spacing w:after="0"/>
              <w:rPr>
                <w:sz w:val="24"/>
                <w:szCs w:val="24"/>
                <w:color w:val="auto"/>
              </w:rPr>
            </w:pPr>
          </w:p>
        </w:tc>
        <w:tc>
          <w:tcPr>
            <w:tcW w:w="45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Director and President</w:t>
            </w:r>
          </w:p>
        </w:tc>
        <w:tc>
          <w:tcPr>
            <w:tcW w:w="1600" w:type="dxa"/>
            <w:vAlign w:val="bottom"/>
          </w:tcPr>
          <w:p>
            <w:pPr>
              <w:spacing w:after="0"/>
              <w:rPr>
                <w:sz w:val="20"/>
                <w:szCs w:val="20"/>
                <w:color w:val="auto"/>
              </w:rPr>
            </w:pPr>
            <w:r>
              <w:rPr>
                <w:rFonts w:ascii="Arial" w:cs="Arial" w:eastAsia="Arial" w:hAnsi="Arial"/>
                <w:sz w:val="18"/>
                <w:szCs w:val="18"/>
                <w:color w:val="auto"/>
                <w:w w:val="99"/>
              </w:rPr>
              <w:t>November 12, 2020</w:t>
            </w:r>
          </w:p>
        </w:tc>
        <w:tc>
          <w:tcPr>
            <w:tcW w:w="0" w:type="dxa"/>
            <w:vAlign w:val="bottom"/>
          </w:tcPr>
          <w:p>
            <w:pPr>
              <w:spacing w:after="0"/>
              <w:rPr>
                <w:sz w:val="1"/>
                <w:szCs w:val="1"/>
                <w:color w:val="auto"/>
              </w:rPr>
            </w:pPr>
          </w:p>
        </w:tc>
      </w:tr>
      <w:tr>
        <w:trPr>
          <w:trHeight w:val="68"/>
        </w:trPr>
        <w:tc>
          <w:tcPr>
            <w:tcW w:w="21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0"/>
              </w:rPr>
              <w:t>Cory T. Newsom</w:t>
            </w:r>
          </w:p>
        </w:tc>
        <w:tc>
          <w:tcPr>
            <w:tcW w:w="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180" w:type="dxa"/>
            <w:vAlign w:val="bottom"/>
          </w:tcPr>
          <w:p>
            <w:pPr>
              <w:jc w:val="center"/>
              <w:spacing w:after="0"/>
              <w:rPr>
                <w:sz w:val="20"/>
                <w:szCs w:val="20"/>
                <w:color w:val="auto"/>
              </w:rPr>
            </w:pPr>
            <w:r>
              <w:rPr>
                <w:rFonts w:ascii="Arial" w:cs="Arial" w:eastAsia="Arial" w:hAnsi="Arial"/>
                <w:sz w:val="18"/>
                <w:szCs w:val="18"/>
                <w:color w:val="auto"/>
                <w:w w:val="90"/>
              </w:rPr>
              <w:t>/s/ Steven B. Crockett</w:t>
            </w:r>
          </w:p>
        </w:tc>
        <w:tc>
          <w:tcPr>
            <w:tcW w:w="220" w:type="dxa"/>
            <w:vAlign w:val="bottom"/>
          </w:tcPr>
          <w:p>
            <w:pPr>
              <w:spacing w:after="0"/>
              <w:rPr>
                <w:sz w:val="24"/>
                <w:szCs w:val="24"/>
                <w:color w:val="auto"/>
              </w:rPr>
            </w:pPr>
          </w:p>
        </w:tc>
        <w:tc>
          <w:tcPr>
            <w:tcW w:w="45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Chief Financial Officer and Treasurer</w:t>
            </w:r>
          </w:p>
        </w:tc>
        <w:tc>
          <w:tcPr>
            <w:tcW w:w="1600" w:type="dxa"/>
            <w:vAlign w:val="bottom"/>
          </w:tcPr>
          <w:p>
            <w:pPr>
              <w:spacing w:after="0"/>
              <w:rPr>
                <w:sz w:val="20"/>
                <w:szCs w:val="20"/>
                <w:color w:val="auto"/>
              </w:rPr>
            </w:pPr>
            <w:r>
              <w:rPr>
                <w:rFonts w:ascii="Arial" w:cs="Arial" w:eastAsia="Arial" w:hAnsi="Arial"/>
                <w:sz w:val="18"/>
                <w:szCs w:val="18"/>
                <w:color w:val="auto"/>
                <w:w w:val="99"/>
              </w:rPr>
              <w:t>November 12, 2020</w:t>
            </w:r>
          </w:p>
        </w:tc>
        <w:tc>
          <w:tcPr>
            <w:tcW w:w="0" w:type="dxa"/>
            <w:vAlign w:val="bottom"/>
          </w:tcPr>
          <w:p>
            <w:pPr>
              <w:spacing w:after="0"/>
              <w:rPr>
                <w:sz w:val="1"/>
                <w:szCs w:val="1"/>
                <w:color w:val="auto"/>
              </w:rPr>
            </w:pPr>
          </w:p>
        </w:tc>
      </w:tr>
      <w:tr>
        <w:trPr>
          <w:trHeight w:val="82"/>
        </w:trPr>
        <w:tc>
          <w:tcPr>
            <w:tcW w:w="2180" w:type="dxa"/>
            <w:vAlign w:val="bottom"/>
            <w:tcBorders>
              <w:bottom w:val="single" w:sz="8" w:color="auto"/>
            </w:tcBorders>
          </w:tcPr>
          <w:p>
            <w:pPr>
              <w:spacing w:after="0"/>
              <w:rPr>
                <w:sz w:val="7"/>
                <w:szCs w:val="7"/>
                <w:color w:val="auto"/>
              </w:rPr>
            </w:pPr>
          </w:p>
        </w:tc>
        <w:tc>
          <w:tcPr>
            <w:tcW w:w="220" w:type="dxa"/>
            <w:vAlign w:val="bottom"/>
            <w:vMerge w:val="restart"/>
          </w:tcPr>
          <w:p>
            <w:pPr>
              <w:spacing w:after="0"/>
              <w:rPr>
                <w:sz w:val="7"/>
                <w:szCs w:val="7"/>
                <w:color w:val="auto"/>
              </w:rPr>
            </w:pPr>
          </w:p>
        </w:tc>
        <w:tc>
          <w:tcPr>
            <w:tcW w:w="458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3"/>
              </w:rPr>
              <w:t>(principal financial and accounting officer)</w:t>
            </w: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Steven B. Crockett</w:t>
            </w:r>
          </w:p>
        </w:tc>
        <w:tc>
          <w:tcPr>
            <w:tcW w:w="220" w:type="dxa"/>
            <w:vAlign w:val="bottom"/>
            <w:vMerge w:val="continue"/>
          </w:tcPr>
          <w:p>
            <w:pPr>
              <w:spacing w:after="0"/>
              <w:rPr>
                <w:sz w:val="11"/>
                <w:szCs w:val="11"/>
                <w:color w:val="auto"/>
              </w:rPr>
            </w:pPr>
          </w:p>
        </w:tc>
        <w:tc>
          <w:tcPr>
            <w:tcW w:w="4580" w:type="dxa"/>
            <w:vAlign w:val="bottom"/>
            <w:gridSpan w:val="2"/>
            <w:vMerge w:val="continue"/>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4"/>
        </w:trPr>
        <w:tc>
          <w:tcPr>
            <w:tcW w:w="2180" w:type="dxa"/>
            <w:vAlign w:val="bottom"/>
          </w:tcPr>
          <w:p>
            <w:pPr>
              <w:jc w:val="center"/>
              <w:spacing w:after="0"/>
              <w:rPr>
                <w:sz w:val="20"/>
                <w:szCs w:val="20"/>
                <w:color w:val="auto"/>
              </w:rPr>
            </w:pPr>
            <w:r>
              <w:rPr>
                <w:rFonts w:ascii="Arial" w:cs="Arial" w:eastAsia="Arial" w:hAnsi="Arial"/>
                <w:sz w:val="18"/>
                <w:szCs w:val="18"/>
                <w:color w:val="auto"/>
                <w:w w:val="91"/>
              </w:rPr>
              <w:t>/s/ Richard D. Campbell</w:t>
            </w:r>
          </w:p>
        </w:tc>
        <w:tc>
          <w:tcPr>
            <w:tcW w:w="220" w:type="dxa"/>
            <w:vAlign w:val="bottom"/>
          </w:tcPr>
          <w:p>
            <w:pPr>
              <w:spacing w:after="0"/>
              <w:rPr>
                <w:sz w:val="24"/>
                <w:szCs w:val="24"/>
                <w:color w:val="auto"/>
              </w:rPr>
            </w:pPr>
          </w:p>
        </w:tc>
        <w:tc>
          <w:tcPr>
            <w:tcW w:w="45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spacing w:after="0"/>
              <w:rPr>
                <w:sz w:val="20"/>
                <w:szCs w:val="20"/>
                <w:color w:val="auto"/>
              </w:rPr>
            </w:pPr>
            <w:r>
              <w:rPr>
                <w:rFonts w:ascii="Arial" w:cs="Arial" w:eastAsia="Arial" w:hAnsi="Arial"/>
                <w:sz w:val="18"/>
                <w:szCs w:val="18"/>
                <w:color w:val="auto"/>
                <w:w w:val="99"/>
              </w:rPr>
              <w:t>November 12, 2020</w:t>
            </w:r>
          </w:p>
        </w:tc>
        <w:tc>
          <w:tcPr>
            <w:tcW w:w="0" w:type="dxa"/>
            <w:vAlign w:val="bottom"/>
          </w:tcPr>
          <w:p>
            <w:pPr>
              <w:spacing w:after="0"/>
              <w:rPr>
                <w:sz w:val="1"/>
                <w:szCs w:val="1"/>
                <w:color w:val="auto"/>
              </w:rPr>
            </w:pPr>
          </w:p>
        </w:tc>
      </w:tr>
      <w:tr>
        <w:trPr>
          <w:trHeight w:val="68"/>
        </w:trPr>
        <w:tc>
          <w:tcPr>
            <w:tcW w:w="21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3"/>
              </w:rPr>
              <w:t>Richard D. Campbell</w:t>
            </w:r>
          </w:p>
        </w:tc>
        <w:tc>
          <w:tcPr>
            <w:tcW w:w="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180" w:type="dxa"/>
            <w:vAlign w:val="bottom"/>
          </w:tcPr>
          <w:p>
            <w:pPr>
              <w:jc w:val="center"/>
              <w:spacing w:after="0"/>
              <w:rPr>
                <w:sz w:val="20"/>
                <w:szCs w:val="20"/>
                <w:color w:val="auto"/>
              </w:rPr>
            </w:pPr>
            <w:r>
              <w:rPr>
                <w:rFonts w:ascii="Arial" w:cs="Arial" w:eastAsia="Arial" w:hAnsi="Arial"/>
                <w:sz w:val="18"/>
                <w:szCs w:val="18"/>
                <w:color w:val="auto"/>
                <w:w w:val="94"/>
              </w:rPr>
              <w:t>/s/ Cynthia B. Keith</w:t>
            </w:r>
          </w:p>
        </w:tc>
        <w:tc>
          <w:tcPr>
            <w:tcW w:w="220" w:type="dxa"/>
            <w:vAlign w:val="bottom"/>
          </w:tcPr>
          <w:p>
            <w:pPr>
              <w:spacing w:after="0"/>
              <w:rPr>
                <w:sz w:val="24"/>
                <w:szCs w:val="24"/>
                <w:color w:val="auto"/>
              </w:rPr>
            </w:pPr>
          </w:p>
        </w:tc>
        <w:tc>
          <w:tcPr>
            <w:tcW w:w="45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spacing w:after="0"/>
              <w:rPr>
                <w:sz w:val="20"/>
                <w:szCs w:val="20"/>
                <w:color w:val="auto"/>
              </w:rPr>
            </w:pPr>
            <w:r>
              <w:rPr>
                <w:rFonts w:ascii="Arial" w:cs="Arial" w:eastAsia="Arial" w:hAnsi="Arial"/>
                <w:sz w:val="18"/>
                <w:szCs w:val="18"/>
                <w:color w:val="auto"/>
                <w:w w:val="99"/>
              </w:rPr>
              <w:t>November 12, 2020</w:t>
            </w:r>
          </w:p>
        </w:tc>
        <w:tc>
          <w:tcPr>
            <w:tcW w:w="0" w:type="dxa"/>
            <w:vAlign w:val="bottom"/>
          </w:tcPr>
          <w:p>
            <w:pPr>
              <w:spacing w:after="0"/>
              <w:rPr>
                <w:sz w:val="1"/>
                <w:szCs w:val="1"/>
                <w:color w:val="auto"/>
              </w:rPr>
            </w:pPr>
          </w:p>
        </w:tc>
      </w:tr>
      <w:tr>
        <w:trPr>
          <w:trHeight w:val="68"/>
        </w:trPr>
        <w:tc>
          <w:tcPr>
            <w:tcW w:w="21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3"/>
              </w:rPr>
              <w:t>Cynthia B. Keith</w:t>
            </w:r>
          </w:p>
        </w:tc>
        <w:tc>
          <w:tcPr>
            <w:tcW w:w="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180" w:type="dxa"/>
            <w:vAlign w:val="bottom"/>
          </w:tcPr>
          <w:p>
            <w:pPr>
              <w:jc w:val="center"/>
              <w:spacing w:after="0"/>
              <w:rPr>
                <w:sz w:val="20"/>
                <w:szCs w:val="20"/>
                <w:color w:val="auto"/>
              </w:rPr>
            </w:pPr>
            <w:r>
              <w:rPr>
                <w:rFonts w:ascii="Arial" w:cs="Arial" w:eastAsia="Arial" w:hAnsi="Arial"/>
                <w:sz w:val="18"/>
                <w:szCs w:val="18"/>
                <w:color w:val="auto"/>
                <w:w w:val="93"/>
              </w:rPr>
              <w:t>/s/ Allison S. Navitskas</w:t>
            </w:r>
          </w:p>
        </w:tc>
        <w:tc>
          <w:tcPr>
            <w:tcW w:w="220" w:type="dxa"/>
            <w:vAlign w:val="bottom"/>
          </w:tcPr>
          <w:p>
            <w:pPr>
              <w:spacing w:after="0"/>
              <w:rPr>
                <w:sz w:val="24"/>
                <w:szCs w:val="24"/>
                <w:color w:val="auto"/>
              </w:rPr>
            </w:pPr>
          </w:p>
        </w:tc>
        <w:tc>
          <w:tcPr>
            <w:tcW w:w="45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spacing w:after="0"/>
              <w:rPr>
                <w:sz w:val="20"/>
                <w:szCs w:val="20"/>
                <w:color w:val="auto"/>
              </w:rPr>
            </w:pPr>
            <w:r>
              <w:rPr>
                <w:rFonts w:ascii="Arial" w:cs="Arial" w:eastAsia="Arial" w:hAnsi="Arial"/>
                <w:sz w:val="18"/>
                <w:szCs w:val="18"/>
                <w:color w:val="auto"/>
                <w:w w:val="99"/>
              </w:rPr>
              <w:t>November 12, 2020</w:t>
            </w:r>
          </w:p>
        </w:tc>
        <w:tc>
          <w:tcPr>
            <w:tcW w:w="0" w:type="dxa"/>
            <w:vAlign w:val="bottom"/>
          </w:tcPr>
          <w:p>
            <w:pPr>
              <w:spacing w:after="0"/>
              <w:rPr>
                <w:sz w:val="1"/>
                <w:szCs w:val="1"/>
                <w:color w:val="auto"/>
              </w:rPr>
            </w:pPr>
          </w:p>
        </w:tc>
      </w:tr>
      <w:tr>
        <w:trPr>
          <w:trHeight w:val="68"/>
        </w:trPr>
        <w:tc>
          <w:tcPr>
            <w:tcW w:w="21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8"/>
              </w:rPr>
              <w:t>Allison S. Navitskas</w:t>
            </w:r>
          </w:p>
        </w:tc>
        <w:tc>
          <w:tcPr>
            <w:tcW w:w="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180" w:type="dxa"/>
            <w:vAlign w:val="bottom"/>
          </w:tcPr>
          <w:p>
            <w:pPr>
              <w:jc w:val="center"/>
              <w:spacing w:after="0"/>
              <w:rPr>
                <w:sz w:val="20"/>
                <w:szCs w:val="20"/>
                <w:color w:val="auto"/>
              </w:rPr>
            </w:pPr>
            <w:r>
              <w:rPr>
                <w:rFonts w:ascii="Arial" w:cs="Arial" w:eastAsia="Arial" w:hAnsi="Arial"/>
                <w:sz w:val="18"/>
                <w:szCs w:val="18"/>
                <w:color w:val="auto"/>
                <w:w w:val="90"/>
              </w:rPr>
              <w:t>/s/ Noe G. Valles</w:t>
            </w:r>
          </w:p>
        </w:tc>
        <w:tc>
          <w:tcPr>
            <w:tcW w:w="220" w:type="dxa"/>
            <w:vAlign w:val="bottom"/>
          </w:tcPr>
          <w:p>
            <w:pPr>
              <w:spacing w:after="0"/>
              <w:rPr>
                <w:sz w:val="24"/>
                <w:szCs w:val="24"/>
                <w:color w:val="auto"/>
              </w:rPr>
            </w:pPr>
          </w:p>
        </w:tc>
        <w:tc>
          <w:tcPr>
            <w:tcW w:w="45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spacing w:after="0"/>
              <w:rPr>
                <w:sz w:val="20"/>
                <w:szCs w:val="20"/>
                <w:color w:val="auto"/>
              </w:rPr>
            </w:pPr>
            <w:r>
              <w:rPr>
                <w:rFonts w:ascii="Arial" w:cs="Arial" w:eastAsia="Arial" w:hAnsi="Arial"/>
                <w:sz w:val="18"/>
                <w:szCs w:val="18"/>
                <w:color w:val="auto"/>
                <w:w w:val="99"/>
              </w:rPr>
              <w:t>November 12, 2020</w:t>
            </w:r>
          </w:p>
        </w:tc>
        <w:tc>
          <w:tcPr>
            <w:tcW w:w="0" w:type="dxa"/>
            <w:vAlign w:val="bottom"/>
          </w:tcPr>
          <w:p>
            <w:pPr>
              <w:spacing w:after="0"/>
              <w:rPr>
                <w:sz w:val="1"/>
                <w:szCs w:val="1"/>
                <w:color w:val="auto"/>
              </w:rPr>
            </w:pPr>
          </w:p>
        </w:tc>
      </w:tr>
      <w:tr>
        <w:trPr>
          <w:trHeight w:val="68"/>
        </w:trPr>
        <w:tc>
          <w:tcPr>
            <w:tcW w:w="21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8"/>
              </w:rPr>
              <w:t>Noe G. Valles</w:t>
            </w:r>
          </w:p>
        </w:tc>
        <w:tc>
          <w:tcPr>
            <w:tcW w:w="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180" w:type="dxa"/>
            <w:vAlign w:val="bottom"/>
          </w:tcPr>
          <w:p>
            <w:pPr>
              <w:jc w:val="center"/>
              <w:spacing w:after="0"/>
              <w:rPr>
                <w:sz w:val="20"/>
                <w:szCs w:val="20"/>
                <w:color w:val="auto"/>
              </w:rPr>
            </w:pPr>
            <w:r>
              <w:rPr>
                <w:rFonts w:ascii="Arial" w:cs="Arial" w:eastAsia="Arial" w:hAnsi="Arial"/>
                <w:sz w:val="18"/>
                <w:szCs w:val="18"/>
                <w:color w:val="auto"/>
                <w:w w:val="92"/>
              </w:rPr>
              <w:t>/s/ Kyle R. Wargo</w:t>
            </w:r>
          </w:p>
        </w:tc>
        <w:tc>
          <w:tcPr>
            <w:tcW w:w="220" w:type="dxa"/>
            <w:vAlign w:val="bottom"/>
          </w:tcPr>
          <w:p>
            <w:pPr>
              <w:spacing w:after="0"/>
              <w:rPr>
                <w:sz w:val="24"/>
                <w:szCs w:val="24"/>
                <w:color w:val="auto"/>
              </w:rPr>
            </w:pPr>
          </w:p>
        </w:tc>
        <w:tc>
          <w:tcPr>
            <w:tcW w:w="45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spacing w:after="0"/>
              <w:rPr>
                <w:sz w:val="20"/>
                <w:szCs w:val="20"/>
                <w:color w:val="auto"/>
              </w:rPr>
            </w:pPr>
            <w:r>
              <w:rPr>
                <w:rFonts w:ascii="Arial" w:cs="Arial" w:eastAsia="Arial" w:hAnsi="Arial"/>
                <w:sz w:val="18"/>
                <w:szCs w:val="18"/>
                <w:color w:val="auto"/>
                <w:w w:val="99"/>
              </w:rPr>
              <w:t>November 12, 2020</w:t>
            </w:r>
          </w:p>
        </w:tc>
        <w:tc>
          <w:tcPr>
            <w:tcW w:w="0" w:type="dxa"/>
            <w:vAlign w:val="bottom"/>
          </w:tcPr>
          <w:p>
            <w:pPr>
              <w:spacing w:after="0"/>
              <w:rPr>
                <w:sz w:val="1"/>
                <w:szCs w:val="1"/>
                <w:color w:val="auto"/>
              </w:rPr>
            </w:pPr>
          </w:p>
        </w:tc>
      </w:tr>
      <w:tr>
        <w:trPr>
          <w:trHeight w:val="68"/>
        </w:trPr>
        <w:tc>
          <w:tcPr>
            <w:tcW w:w="21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3"/>
              </w:rPr>
              <w:t>Kyle R. Wargo</w:t>
            </w:r>
          </w:p>
        </w:tc>
        <w:tc>
          <w:tcPr>
            <w:tcW w:w="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2"/>
          </w:tcPr>
          <w:p>
            <w:pPr>
              <w:ind w:left="1660"/>
              <w:spacing w:after="0"/>
              <w:rPr>
                <w:sz w:val="20"/>
                <w:szCs w:val="20"/>
                <w:color w:val="auto"/>
              </w:rPr>
            </w:pPr>
            <w:r>
              <w:rPr>
                <w:rFonts w:ascii="Arial" w:cs="Arial" w:eastAsia="Arial" w:hAnsi="Arial"/>
                <w:sz w:val="18"/>
                <w:szCs w:val="18"/>
                <w:color w:val="auto"/>
              </w:rPr>
              <w:t>II-5</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-4954270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0" w:lineRule="exact"/>
        <w:rPr>
          <w:sz w:val="20"/>
          <w:szCs w:val="20"/>
          <w:color w:val="auto"/>
        </w:rPr>
      </w:pPr>
    </w:p>
    <w:p>
      <w:pPr>
        <w:spacing w:after="0" w:line="308" w:lineRule="exact"/>
        <w:rPr>
          <w:sz w:val="20"/>
          <w:szCs w:val="20"/>
          <w:color w:val="auto"/>
        </w:rPr>
      </w:pPr>
    </w:p>
    <w:p>
      <w:pPr>
        <w:ind w:left="9000"/>
        <w:spacing w:after="0"/>
        <w:rPr>
          <w:sz w:val="20"/>
          <w:szCs w:val="20"/>
          <w:color w:val="auto"/>
        </w:rPr>
      </w:pPr>
      <w:r>
        <w:rPr>
          <w:rFonts w:ascii="Arial" w:cs="Arial" w:eastAsia="Arial" w:hAnsi="Arial"/>
          <w:sz w:val="14"/>
          <w:szCs w:val="14"/>
          <w:color w:val="auto"/>
        </w:rPr>
        <w:t>HUNTON ANDREWS KURTH LLP</w:t>
      </w:r>
    </w:p>
    <w:p>
      <w:pPr>
        <w:spacing w:after="0" w:line="1" w:lineRule="exact"/>
        <w:rPr>
          <w:sz w:val="20"/>
          <w:szCs w:val="20"/>
          <w:color w:val="auto"/>
        </w:rPr>
      </w:pPr>
    </w:p>
    <w:p>
      <w:pPr>
        <w:ind w:left="9000"/>
        <w:spacing w:after="0"/>
        <w:rPr>
          <w:sz w:val="20"/>
          <w:szCs w:val="20"/>
          <w:color w:val="auto"/>
        </w:rPr>
      </w:pPr>
      <w:r>
        <w:rPr>
          <w:rFonts w:ascii="Arial" w:cs="Arial" w:eastAsia="Arial" w:hAnsi="Arial"/>
          <w:sz w:val="14"/>
          <w:szCs w:val="14"/>
          <w:color w:val="auto"/>
        </w:rPr>
        <w:t>FOUNTAIN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1379855" cy="411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1379855" cy="411480"/>
                    </a:xfrm>
                    <a:prstGeom prst="rect">
                      <a:avLst/>
                    </a:prstGeom>
                    <a:noFill/>
                  </pic:spPr>
                </pic:pic>
              </a:graphicData>
            </a:graphic>
          </wp:anchor>
        </w:drawing>
      </w:r>
    </w:p>
    <w:p>
      <w:pPr>
        <w:ind w:left="9000"/>
        <w:spacing w:after="0"/>
        <w:rPr>
          <w:sz w:val="20"/>
          <w:szCs w:val="20"/>
          <w:color w:val="auto"/>
        </w:rPr>
      </w:pPr>
      <w:r>
        <w:rPr>
          <w:rFonts w:ascii="Arial" w:cs="Arial" w:eastAsia="Arial" w:hAnsi="Arial"/>
          <w:sz w:val="14"/>
          <w:szCs w:val="14"/>
          <w:color w:val="auto"/>
        </w:rPr>
        <w:t>1445 ROSS AVENUE</w:t>
      </w:r>
    </w:p>
    <w:p>
      <w:pPr>
        <w:spacing w:after="0" w:line="1" w:lineRule="exact"/>
        <w:rPr>
          <w:sz w:val="20"/>
          <w:szCs w:val="20"/>
          <w:color w:val="auto"/>
        </w:rPr>
      </w:pPr>
    </w:p>
    <w:p>
      <w:pPr>
        <w:ind w:left="9000"/>
        <w:spacing w:after="0"/>
        <w:rPr>
          <w:sz w:val="20"/>
          <w:szCs w:val="20"/>
          <w:color w:val="auto"/>
        </w:rPr>
      </w:pPr>
      <w:r>
        <w:rPr>
          <w:rFonts w:ascii="Arial" w:cs="Arial" w:eastAsia="Arial" w:hAnsi="Arial"/>
          <w:sz w:val="14"/>
          <w:szCs w:val="14"/>
          <w:color w:val="auto"/>
        </w:rPr>
        <w:t>SUITE 3700</w:t>
      </w:r>
    </w:p>
    <w:p>
      <w:pPr>
        <w:spacing w:after="0" w:line="1" w:lineRule="exact"/>
        <w:rPr>
          <w:sz w:val="20"/>
          <w:szCs w:val="20"/>
          <w:color w:val="auto"/>
        </w:rPr>
      </w:pPr>
    </w:p>
    <w:p>
      <w:pPr>
        <w:ind w:left="9000"/>
        <w:spacing w:after="0"/>
        <w:rPr>
          <w:sz w:val="20"/>
          <w:szCs w:val="20"/>
          <w:color w:val="auto"/>
        </w:rPr>
      </w:pPr>
      <w:r>
        <w:rPr>
          <w:rFonts w:ascii="Arial" w:cs="Arial" w:eastAsia="Arial" w:hAnsi="Arial"/>
          <w:sz w:val="14"/>
          <w:szCs w:val="14"/>
          <w:color w:val="auto"/>
        </w:rPr>
        <w:t>DALLAS, TEXAS 75202-2799</w:t>
      </w:r>
    </w:p>
    <w:p>
      <w:pPr>
        <w:spacing w:after="0" w:line="163" w:lineRule="exact"/>
        <w:rPr>
          <w:sz w:val="20"/>
          <w:szCs w:val="20"/>
          <w:color w:val="auto"/>
        </w:rPr>
      </w:pPr>
    </w:p>
    <w:p>
      <w:pPr>
        <w:ind w:left="9000"/>
        <w:spacing w:after="0"/>
        <w:rPr>
          <w:sz w:val="20"/>
          <w:szCs w:val="20"/>
          <w:color w:val="auto"/>
        </w:rPr>
      </w:pPr>
      <w:r>
        <w:rPr>
          <w:rFonts w:ascii="Arial" w:cs="Arial" w:eastAsia="Arial" w:hAnsi="Arial"/>
          <w:sz w:val="14"/>
          <w:szCs w:val="14"/>
          <w:color w:val="auto"/>
        </w:rPr>
        <w:t>TEL 214 • 979 • 3000</w:t>
      </w:r>
    </w:p>
    <w:p>
      <w:pPr>
        <w:spacing w:after="0" w:line="1" w:lineRule="exact"/>
        <w:rPr>
          <w:sz w:val="20"/>
          <w:szCs w:val="20"/>
          <w:color w:val="auto"/>
        </w:rPr>
      </w:pPr>
    </w:p>
    <w:p>
      <w:pPr>
        <w:ind w:left="9000"/>
        <w:spacing w:after="0"/>
        <w:rPr>
          <w:sz w:val="20"/>
          <w:szCs w:val="20"/>
          <w:color w:val="auto"/>
        </w:rPr>
      </w:pPr>
      <w:r>
        <w:rPr>
          <w:rFonts w:ascii="Arial" w:cs="Arial" w:eastAsia="Arial" w:hAnsi="Arial"/>
          <w:sz w:val="14"/>
          <w:szCs w:val="14"/>
          <w:color w:val="auto"/>
        </w:rPr>
        <w:t>FAX 214 • 880 • 0011</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November 12,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South Plains Financial, Inc.</w:t>
      </w:r>
    </w:p>
    <w:p>
      <w:pPr>
        <w:spacing w:after="0" w:line="238" w:lineRule="auto"/>
        <w:rPr>
          <w:sz w:val="20"/>
          <w:szCs w:val="20"/>
          <w:color w:val="auto"/>
        </w:rPr>
      </w:pPr>
      <w:r>
        <w:rPr>
          <w:rFonts w:ascii="Arial" w:cs="Arial" w:eastAsia="Arial" w:hAnsi="Arial"/>
          <w:sz w:val="22"/>
          <w:szCs w:val="22"/>
          <w:color w:val="auto"/>
        </w:rPr>
        <w:t>5219 City Bank Parkway</w:t>
      </w:r>
    </w:p>
    <w:p>
      <w:pPr>
        <w:spacing w:after="0"/>
        <w:rPr>
          <w:sz w:val="20"/>
          <w:szCs w:val="20"/>
          <w:color w:val="auto"/>
        </w:rPr>
      </w:pPr>
      <w:r>
        <w:rPr>
          <w:rFonts w:ascii="Arial" w:cs="Arial" w:eastAsia="Arial" w:hAnsi="Arial"/>
          <w:sz w:val="22"/>
          <w:szCs w:val="22"/>
          <w:color w:val="auto"/>
        </w:rPr>
        <w:t>Lubbock, Texas 79407</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Re:</w:t>
            </w:r>
          </w:p>
        </w:tc>
        <w:tc>
          <w:tcPr>
            <w:tcW w:w="3120" w:type="dxa"/>
            <w:vAlign w:val="bottom"/>
          </w:tcPr>
          <w:p>
            <w:pPr>
              <w:ind w:left="80"/>
              <w:spacing w:after="0"/>
              <w:rPr>
                <w:sz w:val="20"/>
                <w:szCs w:val="20"/>
                <w:color w:val="auto"/>
              </w:rPr>
            </w:pPr>
            <w:r>
              <w:rPr>
                <w:rFonts w:ascii="Arial" w:cs="Arial" w:eastAsia="Arial" w:hAnsi="Arial"/>
                <w:sz w:val="22"/>
                <w:szCs w:val="22"/>
                <w:color w:val="auto"/>
              </w:rPr>
              <w:t>South Plains Financial, Inc.</w:t>
            </w:r>
          </w:p>
        </w:tc>
      </w:tr>
      <w:tr>
        <w:trPr>
          <w:trHeight w:val="224"/>
        </w:trPr>
        <w:tc>
          <w:tcPr>
            <w:tcW w:w="640" w:type="dxa"/>
            <w:vAlign w:val="bottom"/>
          </w:tcPr>
          <w:p>
            <w:pPr>
              <w:spacing w:after="0"/>
              <w:rPr>
                <w:sz w:val="19"/>
                <w:szCs w:val="19"/>
                <w:color w:val="auto"/>
              </w:rPr>
            </w:pPr>
          </w:p>
        </w:tc>
        <w:tc>
          <w:tcPr>
            <w:tcW w:w="31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8"/>
              </w:rPr>
              <w:t>Registration Statement on Form S-4</w:t>
            </w:r>
          </w:p>
        </w:tc>
      </w:tr>
    </w:tbl>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We have acted as special counsel to South Plains Financial, Inc., a Texas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in connection with the preparation and filing by the Company on the date hereof of its Registration Statement on Form S-4 (as it may be amended from time to time, the “</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with the Securities and Exchange Commission (the “</w:t>
      </w:r>
      <w:r>
        <w:rPr>
          <w:rFonts w:ascii="Arial" w:cs="Arial" w:eastAsia="Arial" w:hAnsi="Arial"/>
          <w:sz w:val="22"/>
          <w:szCs w:val="22"/>
          <w:u w:val="single" w:color="auto"/>
          <w:color w:val="auto"/>
        </w:rPr>
        <w:t>Commission</w:t>
      </w:r>
      <w:r>
        <w:rPr>
          <w:rFonts w:ascii="Arial" w:cs="Arial" w:eastAsia="Arial" w:hAnsi="Arial"/>
          <w:sz w:val="22"/>
          <w:szCs w:val="22"/>
          <w:color w:val="auto"/>
        </w:rPr>
        <w:t>”) pursuant to the Securities Act of 1933, as amended (the “</w:t>
      </w:r>
      <w:r>
        <w:rPr>
          <w:rFonts w:ascii="Arial" w:cs="Arial" w:eastAsia="Arial" w:hAnsi="Arial"/>
          <w:sz w:val="22"/>
          <w:szCs w:val="22"/>
          <w:u w:val="single" w:color="auto"/>
          <w:color w:val="auto"/>
        </w:rPr>
        <w:t>Securities Act</w:t>
      </w:r>
      <w:r>
        <w:rPr>
          <w:rFonts w:ascii="Arial" w:cs="Arial" w:eastAsia="Arial" w:hAnsi="Arial"/>
          <w:sz w:val="22"/>
          <w:szCs w:val="22"/>
          <w:color w:val="auto"/>
        </w:rPr>
        <w:t>”), relating to the registration under the Securities Act of up to $50,000,000 aggregate principal amount of the Company’s 4.50% Fixed-to-Floating Rate Subordinated Notes due 2030 (the “</w:t>
      </w:r>
      <w:r>
        <w:rPr>
          <w:rFonts w:ascii="Arial" w:cs="Arial" w:eastAsia="Arial" w:hAnsi="Arial"/>
          <w:sz w:val="22"/>
          <w:szCs w:val="22"/>
          <w:u w:val="single" w:color="auto"/>
          <w:color w:val="auto"/>
        </w:rPr>
        <w:t>Exchange Notes</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Exchange Notes are to be issued under the Indenture (as defined below) pursuant to an exchange offer (the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Offer</w:t>
      </w:r>
      <w:r>
        <w:rPr>
          <w:rFonts w:ascii="Arial" w:cs="Arial" w:eastAsia="Arial" w:hAnsi="Arial"/>
          <w:sz w:val="19"/>
          <w:szCs w:val="19"/>
          <w:color w:val="auto"/>
        </w:rPr>
        <w:t>”) by the Company in exchange for a like principal amount of the Company’s issued and outstanding 4.50%</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Fixed-to-Floating Rate Subordinated Notes due 2030 (the “</w:t>
      </w:r>
      <w:r>
        <w:rPr>
          <w:rFonts w:ascii="Arial" w:cs="Arial" w:eastAsia="Arial" w:hAnsi="Arial"/>
          <w:sz w:val="21"/>
          <w:szCs w:val="21"/>
          <w:u w:val="single" w:color="auto"/>
          <w:color w:val="auto"/>
        </w:rPr>
        <w:t>Original Notes</w:t>
      </w:r>
      <w:r>
        <w:rPr>
          <w:rFonts w:ascii="Arial" w:cs="Arial" w:eastAsia="Arial" w:hAnsi="Arial"/>
          <w:sz w:val="21"/>
          <w:szCs w:val="21"/>
          <w:color w:val="auto"/>
        </w:rPr>
        <w:t>”), as contemplated by the Registration Rights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Agreement (as defined below).</w:t>
      </w:r>
    </w:p>
    <w:p>
      <w:pPr>
        <w:spacing w:after="0" w:line="21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This opinion letter is being furnished in accordance with the requirements of Item 21 of Form S-4 and Item 601(b)(5)(i) of Regulation S-K promulgated under the Securities Act.</w:t>
      </w:r>
    </w:p>
    <w:p>
      <w:pPr>
        <w:spacing w:after="0" w:line="202"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In connection with this opinion, we have examined originals or copies, certified or otherwise identified to our satisfaction, of the following:</w:t>
      </w:r>
    </w:p>
    <w:p>
      <w:pPr>
        <w:spacing w:after="0" w:line="202" w:lineRule="exact"/>
        <w:rPr>
          <w:sz w:val="20"/>
          <w:szCs w:val="20"/>
          <w:color w:val="auto"/>
        </w:rPr>
      </w:pPr>
    </w:p>
    <w:p>
      <w:pPr>
        <w:ind w:left="1260" w:hanging="604"/>
        <w:spacing w:after="0"/>
        <w:tabs>
          <w:tab w:leader="none" w:pos="12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Registration Statement;</w:t>
      </w:r>
    </w:p>
    <w:p>
      <w:pPr>
        <w:spacing w:after="0" w:line="233" w:lineRule="exact"/>
        <w:rPr>
          <w:rFonts w:ascii="Arial" w:cs="Arial" w:eastAsia="Arial" w:hAnsi="Arial"/>
          <w:sz w:val="22"/>
          <w:szCs w:val="22"/>
          <w:color w:val="auto"/>
        </w:rPr>
      </w:pPr>
    </w:p>
    <w:p>
      <w:pPr>
        <w:ind w:left="1260" w:right="420" w:hanging="604"/>
        <w:spacing w:after="0" w:line="250" w:lineRule="auto"/>
        <w:tabs>
          <w:tab w:leader="none" w:pos="12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Indenture dated as of September 29, 2020 (the “</w:t>
      </w:r>
      <w:r>
        <w:rPr>
          <w:rFonts w:ascii="Arial" w:cs="Arial" w:eastAsia="Arial" w:hAnsi="Arial"/>
          <w:sz w:val="22"/>
          <w:szCs w:val="22"/>
          <w:u w:val="single" w:color="auto"/>
          <w:color w:val="auto"/>
        </w:rPr>
        <w:t>Indenture</w:t>
      </w:r>
      <w:r>
        <w:rPr>
          <w:rFonts w:ascii="Arial" w:cs="Arial" w:eastAsia="Arial" w:hAnsi="Arial"/>
          <w:sz w:val="22"/>
          <w:szCs w:val="22"/>
          <w:color w:val="auto"/>
        </w:rPr>
        <w:t>”) by and between the Company and UMB Bank, National Association, as trustee (the “</w:t>
      </w:r>
      <w:r>
        <w:rPr>
          <w:rFonts w:ascii="Arial" w:cs="Arial" w:eastAsia="Arial" w:hAnsi="Arial"/>
          <w:sz w:val="22"/>
          <w:szCs w:val="22"/>
          <w:u w:val="single" w:color="auto"/>
          <w:color w:val="auto"/>
        </w:rPr>
        <w:t>Trustee</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ind w:left="1260" w:hanging="604"/>
        <w:spacing w:after="0"/>
        <w:tabs>
          <w:tab w:leader="none" w:pos="12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form of the Exchange Notes attached as an exhibit to the Indenture; and</w:t>
      </w: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ATLANTA AUSTIN BANGKOK BEIJING BOSTON BRUSSELS CHARLOTTE DALLAS DUBAI HOUSTON LONDON</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LOS ANGELES MIAMI NEW YORK NORFOLK RICHMOND SAN FRANCISCO THE WOODLANDS TYSONS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8" w:name="page59"/>
    <w:bookmarkEnd w:id="58"/>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9855"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379855" cy="411480"/>
                    </a:xfrm>
                    <a:prstGeom prst="rect">
                      <a:avLst/>
                    </a:prstGeom>
                    <a:noFill/>
                  </pic:spPr>
                </pic:pic>
              </a:graphicData>
            </a:graphic>
          </wp:anchor>
        </w:drawing>
        <w:t>South Plains Financial, Inc.</w:t>
      </w:r>
    </w:p>
    <w:p>
      <w:pPr>
        <w:spacing w:after="0" w:line="238" w:lineRule="auto"/>
        <w:rPr>
          <w:sz w:val="20"/>
          <w:szCs w:val="20"/>
          <w:color w:val="auto"/>
        </w:rPr>
      </w:pPr>
      <w:r>
        <w:rPr>
          <w:rFonts w:ascii="Arial" w:cs="Arial" w:eastAsia="Arial" w:hAnsi="Arial"/>
          <w:sz w:val="22"/>
          <w:szCs w:val="22"/>
          <w:color w:val="auto"/>
        </w:rPr>
        <w:t>November 12, 2020</w:t>
      </w:r>
    </w:p>
    <w:p>
      <w:pPr>
        <w:spacing w:after="0"/>
        <w:rPr>
          <w:sz w:val="20"/>
          <w:szCs w:val="20"/>
          <w:color w:val="auto"/>
        </w:rPr>
      </w:pPr>
      <w:r>
        <w:rPr>
          <w:rFonts w:ascii="Arial" w:cs="Arial" w:eastAsia="Arial" w:hAnsi="Arial"/>
          <w:sz w:val="22"/>
          <w:szCs w:val="22"/>
          <w:color w:val="auto"/>
        </w:rPr>
        <w:t>Page 2</w:t>
      </w:r>
    </w:p>
    <w:p>
      <w:pPr>
        <w:spacing w:after="0" w:line="215" w:lineRule="exact"/>
        <w:rPr>
          <w:sz w:val="20"/>
          <w:szCs w:val="20"/>
          <w:color w:val="auto"/>
        </w:rPr>
      </w:pPr>
    </w:p>
    <w:p>
      <w:pPr>
        <w:ind w:left="1260" w:right="80" w:hanging="604"/>
        <w:spacing w:after="0" w:line="250" w:lineRule="auto"/>
        <w:tabs>
          <w:tab w:leader="none" w:pos="12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Registration Rights Agreement, dated as of September 29, 2020 (the “</w:t>
      </w:r>
      <w:r>
        <w:rPr>
          <w:rFonts w:ascii="Arial" w:cs="Arial" w:eastAsia="Arial" w:hAnsi="Arial"/>
          <w:sz w:val="22"/>
          <w:szCs w:val="22"/>
          <w:u w:val="single" w:color="auto"/>
          <w:color w:val="auto"/>
        </w:rPr>
        <w:t>Registration Rights Agreement</w:t>
      </w:r>
      <w:r>
        <w:rPr>
          <w:rFonts w:ascii="Arial" w:cs="Arial" w:eastAsia="Arial" w:hAnsi="Arial"/>
          <w:sz w:val="22"/>
          <w:szCs w:val="22"/>
          <w:color w:val="auto"/>
        </w:rPr>
        <w:t>”) among the Company and the purchasers party thereto.</w:t>
      </w:r>
    </w:p>
    <w:p>
      <w:pPr>
        <w:spacing w:after="0" w:line="20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For purposes of the opinion expressed below, we have relied upon, among other things, our examination of such</w:t>
      </w:r>
    </w:p>
    <w:p>
      <w:pPr>
        <w:spacing w:after="0" w:line="8"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documents and records of the Company and certificates of its officers and of public officials as we deemed necessary, including</w:t>
      </w:r>
    </w:p>
    <w:p>
      <w:pPr>
        <w:spacing w:after="0" w:line="25" w:lineRule="exact"/>
        <w:rPr>
          <w:sz w:val="20"/>
          <w:szCs w:val="20"/>
          <w:color w:val="auto"/>
        </w:rPr>
      </w:pPr>
    </w:p>
    <w:p>
      <w:pPr>
        <w:ind w:right="260" w:firstLine="8"/>
        <w:spacing w:after="0" w:line="280" w:lineRule="auto"/>
        <w:tabs>
          <w:tab w:leader="none" w:pos="258"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Company’s Amended and Restated Certificate of Formation, as amended through the date hereof, (ii) the Company’s Amended and Restated Bylaws, as amended through the date hereof, (iii) the resolutions of the Company’s Board of Directors authorizing registration and the issuance of the Exchange Notes, and (iv) a certificate issued by the Texas Secretary of State on the date hereof to the effect that the Company is authorized to transact business under the laws of Texas.</w:t>
      </w:r>
    </w:p>
    <w:p>
      <w:pPr>
        <w:spacing w:after="0" w:line="177" w:lineRule="exact"/>
        <w:rPr>
          <w:sz w:val="20"/>
          <w:szCs w:val="20"/>
          <w:color w:val="auto"/>
        </w:rPr>
      </w:pPr>
    </w:p>
    <w:p>
      <w:pPr>
        <w:ind w:right="240" w:firstLine="648"/>
        <w:spacing w:after="0" w:line="282" w:lineRule="auto"/>
        <w:rPr>
          <w:sz w:val="20"/>
          <w:szCs w:val="20"/>
          <w:color w:val="auto"/>
        </w:rPr>
      </w:pPr>
      <w:r>
        <w:rPr>
          <w:rFonts w:ascii="Arial" w:cs="Arial" w:eastAsia="Arial" w:hAnsi="Arial"/>
          <w:sz w:val="19"/>
          <w:szCs w:val="19"/>
          <w:color w:val="auto"/>
        </w:rPr>
        <w:t>For purposes of the opinions expressed below, we have assumed (i) the authenticity of all documents submitted to us as originals, (ii) the conformity to the originals of all documents submitted as certified, photostatic or electronic copies and the authenticity of the originals thereof, (iii) the legal capacity of natural persons, (iv) the genuineness of all signatures and the completion of all deliveries not witnessed by us and (v) the due authorization, execution and delivery of all documents by all parties and, except as set forth below, the validity, binding effect and enforceability thereof.</w:t>
      </w:r>
    </w:p>
    <w:p>
      <w:pPr>
        <w:spacing w:after="0" w:line="174" w:lineRule="exact"/>
        <w:rPr>
          <w:sz w:val="20"/>
          <w:szCs w:val="20"/>
          <w:color w:val="auto"/>
        </w:rPr>
      </w:pPr>
    </w:p>
    <w:p>
      <w:pPr>
        <w:ind w:right="220" w:firstLine="648"/>
        <w:spacing w:after="0" w:line="328" w:lineRule="auto"/>
        <w:rPr>
          <w:sz w:val="20"/>
          <w:szCs w:val="20"/>
          <w:color w:val="auto"/>
        </w:rPr>
      </w:pPr>
      <w:r>
        <w:rPr>
          <w:rFonts w:ascii="Arial" w:cs="Arial" w:eastAsia="Arial" w:hAnsi="Arial"/>
          <w:sz w:val="19"/>
          <w:szCs w:val="19"/>
          <w:color w:val="auto"/>
        </w:rPr>
        <w:t>We note that the Indenture and the Exchange Note include a provision stating that such instrument shall be governed by the laws of the State of New York. We also note that the Company is organized under the laws of the State of Texas.</w:t>
      </w:r>
    </w:p>
    <w:p>
      <w:pPr>
        <w:spacing w:after="0" w:line="132"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In conducting our examination of executed documents, we have assumed (i) the valid existence and good standing of each of the parties thereto, (ii) that such parties had the corporate power and authority to enter into and to incur and perform all their obligations thereunder, (iii) the due authorization by all requisite corporate action by such parties, and (iv) the due execution and delivery of such documents by such parties, except to the extent such execution and delivery by the Company are matters of the laws of the State of New York referred to below.</w:t>
      </w:r>
    </w:p>
    <w:p>
      <w:pPr>
        <w:spacing w:after="0" w:line="214" w:lineRule="exact"/>
        <w:rPr>
          <w:sz w:val="20"/>
          <w:szCs w:val="20"/>
          <w:color w:val="auto"/>
        </w:rPr>
      </w:pPr>
    </w:p>
    <w:p>
      <w:pPr>
        <w:ind w:right="120" w:firstLine="648"/>
        <w:spacing w:after="0" w:line="274" w:lineRule="auto"/>
        <w:rPr>
          <w:sz w:val="20"/>
          <w:szCs w:val="20"/>
          <w:color w:val="auto"/>
        </w:rPr>
      </w:pPr>
      <w:r>
        <w:rPr>
          <w:rFonts w:ascii="Arial" w:cs="Arial" w:eastAsia="Arial" w:hAnsi="Arial"/>
          <w:sz w:val="19"/>
          <w:szCs w:val="19"/>
          <w:color w:val="auto"/>
        </w:rPr>
        <w:t>Based upon and subject to the foregoing and the limitations, qualifications, exceptions and assumptions set forth herein, we are of the opinion that when (i) the Registration Statement and any required amendments thereto have all become effective under the Securities Act and all prospectus supplements required by applicable law have been delivered and filed as required by such applicable law, (ii) the Indenture has been duly qualified under the Trust Indenture Act of 1939, as amended, (iii) the Exchange Notes (in the form examined by us) have been duly executed by the Company, authenticated by the Trustee in accordance with the terms of the Indenture, and (iv) the Exchange Notes have been duly issued and delivered upon consummation of the Exchange Offer against receipt of Original Notes surrendered in exchange therefor in accordance with the terms of the Exchange Offer, the Registration Rights Agreement and the Indenture, the Exchange Notes will constitute valid and legally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9" w:right="35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9855" cy="411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379855" cy="411480"/>
                    </a:xfrm>
                    <a:prstGeom prst="rect">
                      <a:avLst/>
                    </a:prstGeom>
                    <a:noFill/>
                  </pic:spPr>
                </pic:pic>
              </a:graphicData>
            </a:graphic>
          </wp:anchor>
        </w:drawing>
        <w:t>South Plains Financial, Inc.</w:t>
      </w:r>
    </w:p>
    <w:p>
      <w:pPr>
        <w:spacing w:after="0" w:line="238" w:lineRule="auto"/>
        <w:rPr>
          <w:sz w:val="20"/>
          <w:szCs w:val="20"/>
          <w:color w:val="auto"/>
        </w:rPr>
      </w:pPr>
      <w:r>
        <w:rPr>
          <w:rFonts w:ascii="Arial" w:cs="Arial" w:eastAsia="Arial" w:hAnsi="Arial"/>
          <w:sz w:val="22"/>
          <w:szCs w:val="22"/>
          <w:color w:val="auto"/>
        </w:rPr>
        <w:t>November 12, 2020</w:t>
      </w:r>
    </w:p>
    <w:p>
      <w:pPr>
        <w:spacing w:after="0"/>
        <w:rPr>
          <w:sz w:val="20"/>
          <w:szCs w:val="20"/>
          <w:color w:val="auto"/>
        </w:rPr>
      </w:pPr>
      <w:r>
        <w:rPr>
          <w:rFonts w:ascii="Arial" w:cs="Arial" w:eastAsia="Arial" w:hAnsi="Arial"/>
          <w:sz w:val="22"/>
          <w:szCs w:val="22"/>
          <w:color w:val="auto"/>
        </w:rPr>
        <w:t>Page 3</w:t>
      </w:r>
    </w:p>
    <w:p>
      <w:pPr>
        <w:spacing w:after="0" w:line="215" w:lineRule="exact"/>
        <w:rPr>
          <w:sz w:val="20"/>
          <w:szCs w:val="20"/>
          <w:color w:val="auto"/>
        </w:rPr>
      </w:pPr>
    </w:p>
    <w:p>
      <w:pPr>
        <w:ind w:right="100" w:firstLine="648"/>
        <w:spacing w:after="0" w:line="274" w:lineRule="auto"/>
        <w:rPr>
          <w:sz w:val="20"/>
          <w:szCs w:val="20"/>
          <w:color w:val="auto"/>
        </w:rPr>
      </w:pPr>
      <w:r>
        <w:rPr>
          <w:rFonts w:ascii="Arial" w:cs="Arial" w:eastAsia="Arial" w:hAnsi="Arial"/>
          <w:sz w:val="21"/>
          <w:szCs w:val="21"/>
          <w:color w:val="auto"/>
        </w:rPr>
        <w:t>The foregoing opinion is limited solely to the laws of the State of New York. We express no opinion as to any other laws, statutes, regulations or ordinances of any other jurisdiction, including the “blue sky” laws of any jurisdiction.</w:t>
      </w:r>
    </w:p>
    <w:p>
      <w:pPr>
        <w:spacing w:after="0" w:line="178" w:lineRule="exact"/>
        <w:rPr>
          <w:sz w:val="20"/>
          <w:szCs w:val="20"/>
          <w:color w:val="auto"/>
        </w:rPr>
      </w:pPr>
    </w:p>
    <w:p>
      <w:pPr>
        <w:ind w:right="220" w:firstLine="648"/>
        <w:spacing w:after="0" w:line="246" w:lineRule="auto"/>
        <w:rPr>
          <w:sz w:val="20"/>
          <w:szCs w:val="20"/>
          <w:color w:val="auto"/>
        </w:rPr>
      </w:pPr>
      <w:r>
        <w:rPr>
          <w:rFonts w:ascii="Arial" w:cs="Arial" w:eastAsia="Arial" w:hAnsi="Arial"/>
          <w:sz w:val="21"/>
          <w:szCs w:val="21"/>
          <w:color w:val="auto"/>
        </w:rPr>
        <w:t>Our opinions herein regarding the enforceability or effect of the Exchange Notes are qualified by (i) bankruptcy, insolvency, reorganization, arrangement, moratorium and other laws relating to or affecting the rights of creditors generally, including without limitation fraudulent conveyance or transfer laws, and preference and equitable subordination laws and principles; (ii) general principles of equity (whether considered in a proceeding at law or in equity); and (iii) concepts of materiality, unconscionability, reasonableness, impracticability or impossibility of performance, good faith and fair dealing. We also express no opinion regarding the effectiveness of any waiver of stay, extension or usury laws or of unknown future rights, and we express no opinion regarding severability provisions.</w:t>
      </w:r>
    </w:p>
    <w:p>
      <w:pPr>
        <w:spacing w:after="0" w:line="21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21"/>
          <w:szCs w:val="21"/>
          <w:color w:val="auto"/>
        </w:rPr>
        <w:t>We hereby consent to the filing of this opinion letter with the Commission as an exhibit to the Registration Statement and to the reference to our firm under the heading “Legal Matters” in the prospectus forming a part of the Registration Statement. In giving this consent, we do not admit that we are in the category of persons whose consent is required under Section 7 of the Securities Act or the rules and regulations of the Commission promulgated thereunder.</w:t>
      </w:r>
    </w:p>
    <w:p>
      <w:pPr>
        <w:spacing w:after="0" w:line="201" w:lineRule="exact"/>
        <w:rPr>
          <w:sz w:val="20"/>
          <w:szCs w:val="20"/>
          <w:color w:val="auto"/>
        </w:rPr>
      </w:pPr>
    </w:p>
    <w:p>
      <w:pPr>
        <w:jc w:val="both"/>
        <w:ind w:right="80" w:firstLine="648"/>
        <w:spacing w:after="0" w:line="252" w:lineRule="auto"/>
        <w:rPr>
          <w:sz w:val="20"/>
          <w:szCs w:val="20"/>
          <w:color w:val="auto"/>
        </w:rPr>
      </w:pPr>
      <w:r>
        <w:rPr>
          <w:rFonts w:ascii="Arial" w:cs="Arial" w:eastAsia="Arial" w:hAnsi="Arial"/>
          <w:sz w:val="21"/>
          <w:szCs w:val="21"/>
          <w:color w:val="auto"/>
        </w:rPr>
        <w:t>This opinion letter is rendered as of the date hereof, and we disclaim any obligation to advise you of facts, circumstances, events or developments that hereafter may be brought to our attention and that may alter, affect or modify the opinions expressed herein. Our opinion letter is expressly limited to the matters set forth above and we render no opinion, whether by implication or otherwise, as to any matters beyond the matters expressly set forth herein.</w:t>
      </w: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Very truly yours,</w:t>
      </w:r>
    </w:p>
    <w:p>
      <w:pPr>
        <w:spacing w:after="0" w:line="20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Hunton Andrews Kurth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To the Shareholders, Board of Directors and Audit Committee</w:t>
      </w:r>
    </w:p>
    <w:p>
      <w:pPr>
        <w:spacing w:after="0" w:line="238" w:lineRule="auto"/>
        <w:rPr>
          <w:sz w:val="20"/>
          <w:szCs w:val="20"/>
          <w:color w:val="auto"/>
        </w:rPr>
      </w:pPr>
      <w:r>
        <w:rPr>
          <w:rFonts w:ascii="Arial" w:cs="Arial" w:eastAsia="Arial" w:hAnsi="Arial"/>
          <w:sz w:val="22"/>
          <w:szCs w:val="22"/>
          <w:color w:val="auto"/>
        </w:rPr>
        <w:t>South Plains Financial, Inc.</w:t>
      </w:r>
    </w:p>
    <w:p>
      <w:pPr>
        <w:spacing w:after="0"/>
        <w:rPr>
          <w:sz w:val="20"/>
          <w:szCs w:val="20"/>
          <w:color w:val="auto"/>
        </w:rPr>
      </w:pPr>
      <w:r>
        <w:rPr>
          <w:rFonts w:ascii="Arial" w:cs="Arial" w:eastAsia="Arial" w:hAnsi="Arial"/>
          <w:sz w:val="22"/>
          <w:szCs w:val="22"/>
          <w:color w:val="auto"/>
        </w:rPr>
        <w:t>Lubbock, Texas</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consent to the inclusion in South Plains Financial, Inc.’s Registration Statement (No. 333-XXX) on Form S-4 (the Registration Statement) of our report dated March 25, 2020, on our audits of the consolidated financial statements of South Plains Financial, Inc. as of December 31, 2019 and 2018, and for each of the years in the two-year period ended December 31, 2019, incorporated by reference in the Prospectus and Registration Statement. We also consent to the reference to our firm under the caption “Experts” in this Registration Statement.</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 Weaver and Tidwell, L.L.P.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Fort Worth, Texas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226695</wp:posOffset>
            </wp:positionV>
            <wp:extent cx="10629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line="230" w:lineRule="auto"/>
        <w:rPr>
          <w:sz w:val="20"/>
          <w:szCs w:val="20"/>
          <w:color w:val="auto"/>
        </w:rPr>
      </w:pPr>
      <w:r>
        <w:rPr>
          <w:rFonts w:ascii="Arial" w:cs="Arial" w:eastAsia="Arial" w:hAnsi="Arial"/>
          <w:sz w:val="22"/>
          <w:szCs w:val="22"/>
          <w:b w:val="1"/>
          <w:bCs w:val="1"/>
          <w:color w:val="auto"/>
        </w:rPr>
        <w:t>CORPORATION DESIGNATED TO ACT AS TRUSTEE</w:t>
      </w:r>
    </w:p>
    <w:p>
      <w:pPr>
        <w:jc w:val="center"/>
        <w:spacing w:after="0" w:line="231" w:lineRule="auto"/>
        <w:rPr>
          <w:sz w:val="20"/>
          <w:szCs w:val="20"/>
          <w:color w:val="auto"/>
        </w:rPr>
      </w:pPr>
      <w:r>
        <w:rPr>
          <w:rFonts w:ascii="Arial" w:cs="Arial" w:eastAsia="Arial" w:hAnsi="Arial"/>
          <w:sz w:val="22"/>
          <w:szCs w:val="22"/>
          <w:color w:val="auto"/>
        </w:rPr>
        <w:t>Check if an Application to Determine Eligibility of</w:t>
      </w:r>
    </w:p>
    <w:p>
      <w:pPr>
        <w:jc w:val="center"/>
        <w:spacing w:after="0"/>
        <w:rPr>
          <w:sz w:val="20"/>
          <w:szCs w:val="20"/>
          <w:color w:val="auto"/>
        </w:rPr>
      </w:pPr>
      <w:r>
        <w:rPr>
          <w:rFonts w:ascii="Arial" w:cs="Arial" w:eastAsia="Arial" w:hAnsi="Arial"/>
          <w:sz w:val="22"/>
          <w:szCs w:val="22"/>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218440</wp:posOffset>
            </wp:positionV>
            <wp:extent cx="10629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UMB BANK, NATIONAL ASSOCIATION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Trustee as specified in its charter)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44-0201230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I.R.S. Employer Identification No.</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1010 Grand Blvd.</w:t>
            </w:r>
          </w:p>
        </w:tc>
        <w:tc>
          <w:tcPr>
            <w:tcW w:w="5600" w:type="dxa"/>
            <w:vAlign w:val="bottom"/>
            <w:tcBorders>
              <w:top w:val="single" w:sz="8" w:color="auto"/>
              <w:right w:val="single" w:sz="8" w:color="auto"/>
            </w:tcBorders>
          </w:tcPr>
          <w:p>
            <w:pPr>
              <w:spacing w:after="0"/>
              <w:rPr>
                <w:sz w:val="19"/>
                <w:szCs w:val="19"/>
                <w:color w:val="auto"/>
              </w:rPr>
            </w:pPr>
          </w:p>
        </w:tc>
      </w:tr>
      <w:tr>
        <w:trPr>
          <w:trHeight w:val="237"/>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Kansas City, Missouri</w:t>
            </w:r>
          </w:p>
        </w:tc>
        <w:tc>
          <w:tcPr>
            <w:tcW w:w="5600" w:type="dxa"/>
            <w:vAlign w:val="bottom"/>
            <w:tcBorders>
              <w:bottom w:val="single" w:sz="8" w:color="auto"/>
              <w:right w:val="single" w:sz="8" w:color="auto"/>
            </w:tcBorders>
          </w:tcPr>
          <w:p>
            <w:pPr>
              <w:jc w:val="right"/>
              <w:ind w:right="2490"/>
              <w:spacing w:after="0"/>
              <w:rPr>
                <w:sz w:val="20"/>
                <w:szCs w:val="20"/>
                <w:color w:val="auto"/>
              </w:rPr>
            </w:pPr>
            <w:r>
              <w:rPr>
                <w:rFonts w:ascii="Arial" w:cs="Arial" w:eastAsia="Arial" w:hAnsi="Arial"/>
                <w:sz w:val="18"/>
                <w:szCs w:val="18"/>
                <w:color w:val="auto"/>
              </w:rPr>
              <w:t>64106</w:t>
            </w:r>
          </w:p>
        </w:tc>
      </w:tr>
      <w:tr>
        <w:trPr>
          <w:trHeight w:val="22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Mauri J. Cowen</w:t>
      </w:r>
    </w:p>
    <w:p>
      <w:pPr>
        <w:jc w:val="center"/>
        <w:spacing w:after="0" w:line="238" w:lineRule="auto"/>
        <w:rPr>
          <w:sz w:val="20"/>
          <w:szCs w:val="20"/>
          <w:color w:val="auto"/>
        </w:rPr>
      </w:pPr>
      <w:r>
        <w:rPr>
          <w:rFonts w:ascii="Arial" w:cs="Arial" w:eastAsia="Arial" w:hAnsi="Arial"/>
          <w:sz w:val="22"/>
          <w:szCs w:val="22"/>
          <w:color w:val="auto"/>
        </w:rPr>
        <w:t>UMB BANK, NATIONAL ASSOCIATION</w:t>
      </w:r>
    </w:p>
    <w:p>
      <w:pPr>
        <w:jc w:val="center"/>
        <w:spacing w:after="0" w:line="230" w:lineRule="auto"/>
        <w:rPr>
          <w:sz w:val="20"/>
          <w:szCs w:val="20"/>
          <w:color w:val="auto"/>
        </w:rPr>
      </w:pPr>
      <w:r>
        <w:rPr>
          <w:rFonts w:ascii="Arial" w:cs="Arial" w:eastAsia="Arial" w:hAnsi="Arial"/>
          <w:sz w:val="22"/>
          <w:szCs w:val="22"/>
          <w:color w:val="auto"/>
        </w:rPr>
        <w:t>5555 San Felipe, Suite 870</w:t>
      </w:r>
    </w:p>
    <w:p>
      <w:pPr>
        <w:jc w:val="center"/>
        <w:spacing w:after="0" w:line="231" w:lineRule="auto"/>
        <w:rPr>
          <w:sz w:val="20"/>
          <w:szCs w:val="20"/>
          <w:color w:val="auto"/>
        </w:rPr>
      </w:pPr>
      <w:r>
        <w:rPr>
          <w:rFonts w:ascii="Arial" w:cs="Arial" w:eastAsia="Arial" w:hAnsi="Arial"/>
          <w:sz w:val="22"/>
          <w:szCs w:val="22"/>
          <w:color w:val="auto"/>
        </w:rPr>
        <w:t>Houston, Texas 77056</w:t>
      </w:r>
    </w:p>
    <w:p>
      <w:pPr>
        <w:jc w:val="center"/>
        <w:spacing w:after="0" w:line="230" w:lineRule="auto"/>
        <w:rPr>
          <w:sz w:val="20"/>
          <w:szCs w:val="20"/>
          <w:color w:val="auto"/>
        </w:rPr>
      </w:pPr>
      <w:r>
        <w:rPr>
          <w:rFonts w:ascii="Arial" w:cs="Arial" w:eastAsia="Arial" w:hAnsi="Arial"/>
          <w:sz w:val="22"/>
          <w:szCs w:val="22"/>
          <w:color w:val="auto"/>
        </w:rPr>
        <w:t>(713) 300-0586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(Name, address and telephone number of agent for service)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South Plains Financial,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(Issuer with respect to the Securities)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5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3"/>
              </w:rPr>
              <w:t>Texas</w:t>
            </w:r>
          </w:p>
        </w:tc>
        <w:tc>
          <w:tcPr>
            <w:tcW w:w="5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75-2453320</w:t>
            </w: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right w:val="single" w:sz="8" w:color="auto"/>
            </w:tcBorders>
          </w:tcPr>
          <w:p>
            <w:pPr>
              <w:spacing w:after="0"/>
              <w:rPr>
                <w:sz w:val="19"/>
                <w:szCs w:val="19"/>
                <w:color w:val="auto"/>
              </w:rPr>
            </w:pPr>
          </w:p>
        </w:tc>
        <w:tc>
          <w:tcPr>
            <w:tcW w:w="5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auto"/>
            </w:tcBorders>
          </w:tcPr>
          <w:p>
            <w:pPr>
              <w:spacing w:after="0"/>
              <w:rPr>
                <w:sz w:val="21"/>
                <w:szCs w:val="21"/>
                <w:color w:val="auto"/>
              </w:rPr>
            </w:pPr>
          </w:p>
        </w:tc>
        <w:tc>
          <w:tcPr>
            <w:tcW w:w="5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540" w:type="dxa"/>
            <w:vAlign w:val="bottom"/>
            <w:tcBorders>
              <w:left w:val="single" w:sz="8" w:color="auto"/>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90"/>
              </w:rPr>
              <w:t>5219 City Bank Parkway</w:t>
            </w:r>
          </w:p>
        </w:tc>
        <w:tc>
          <w:tcPr>
            <w:tcW w:w="5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79407</w:t>
            </w:r>
          </w:p>
        </w:tc>
        <w:tc>
          <w:tcPr>
            <w:tcW w:w="0" w:type="dxa"/>
            <w:vAlign w:val="bottom"/>
          </w:tcPr>
          <w:p>
            <w:pPr>
              <w:spacing w:after="0"/>
              <w:rPr>
                <w:sz w:val="1"/>
                <w:szCs w:val="1"/>
                <w:color w:val="auto"/>
              </w:rPr>
            </w:pPr>
          </w:p>
        </w:tc>
      </w:tr>
      <w:tr>
        <w:trPr>
          <w:trHeight w:val="271"/>
        </w:trPr>
        <w:tc>
          <w:tcPr>
            <w:tcW w:w="5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Lubbock, Texas</w:t>
            </w:r>
          </w:p>
        </w:tc>
        <w:tc>
          <w:tcPr>
            <w:tcW w:w="5700" w:type="dxa"/>
            <w:vAlign w:val="bottom"/>
            <w:tcBorders>
              <w:bottom w:val="single" w:sz="8" w:color="auto"/>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4.50% Fixed-to-Floating Rate Subordinated Notes due 2030</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458470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2" w:name="page63"/>
    <w:bookmarkEnd w:id="62"/>
    <w:p>
      <w:pPr>
        <w:jc w:val="center"/>
        <w:ind w:right="-159"/>
        <w:spacing w:after="0"/>
        <w:rPr>
          <w:sz w:val="20"/>
          <w:szCs w:val="20"/>
          <w:color w:val="auto"/>
        </w:rPr>
      </w:pPr>
      <w:r>
        <w:rPr>
          <w:rFonts w:ascii="Arial" w:cs="Arial" w:eastAsia="Arial" w:hAnsi="Arial"/>
          <w:sz w:val="22"/>
          <w:szCs w:val="22"/>
          <w:b w:val="1"/>
          <w:bCs w:val="1"/>
          <w:u w:val="single" w:color="auto"/>
          <w:color w:val="auto"/>
        </w:rPr>
        <w:t>FORM T-1</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GENERAL INFORMATION</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Furnish the following information as to the Trustee.</w:t>
      </w:r>
    </w:p>
    <w:p>
      <w:pPr>
        <w:spacing w:after="0" w:line="239" w:lineRule="exact"/>
        <w:rPr>
          <w:sz w:val="20"/>
          <w:szCs w:val="20"/>
          <w:color w:val="auto"/>
        </w:rPr>
      </w:pPr>
    </w:p>
    <w:p>
      <w:pPr>
        <w:ind w:left="1420" w:hanging="440"/>
        <w:spacing w:after="0"/>
        <w:tabs>
          <w:tab w:leader="none" w:pos="1420" w:val="left"/>
        </w:tabs>
        <w:numPr>
          <w:ilvl w:val="0"/>
          <w:numId w:val="54"/>
        </w:numPr>
        <w:rPr>
          <w:rFonts w:ascii="Arial" w:cs="Arial" w:eastAsia="Arial" w:hAnsi="Arial"/>
          <w:sz w:val="22"/>
          <w:szCs w:val="22"/>
          <w:color w:val="auto"/>
        </w:rPr>
      </w:pPr>
      <w:r>
        <w:rPr>
          <w:rFonts w:ascii="Arial" w:cs="Arial" w:eastAsia="Arial" w:hAnsi="Arial"/>
          <w:sz w:val="22"/>
          <w:szCs w:val="22"/>
          <w:i w:val="1"/>
          <w:iCs w:val="1"/>
          <w:color w:val="auto"/>
        </w:rPr>
        <w:t>Name and address of each examining or supervising authority to which it is subject.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The Comptroller of the Currency</w:t>
      </w:r>
    </w:p>
    <w:p>
      <w:pPr>
        <w:ind w:left="1960"/>
        <w:spacing w:after="0" w:line="238" w:lineRule="auto"/>
        <w:rPr>
          <w:sz w:val="20"/>
          <w:szCs w:val="20"/>
          <w:color w:val="auto"/>
        </w:rPr>
      </w:pPr>
      <w:r>
        <w:rPr>
          <w:rFonts w:ascii="Arial" w:cs="Arial" w:eastAsia="Arial" w:hAnsi="Arial"/>
          <w:sz w:val="22"/>
          <w:szCs w:val="22"/>
          <w:color w:val="auto"/>
        </w:rPr>
        <w:t>Mid-Western District</w:t>
      </w:r>
    </w:p>
    <w:p>
      <w:pPr>
        <w:ind w:left="1960"/>
        <w:spacing w:after="0" w:line="230" w:lineRule="auto"/>
        <w:rPr>
          <w:sz w:val="20"/>
          <w:szCs w:val="20"/>
          <w:color w:val="auto"/>
        </w:rPr>
      </w:pPr>
      <w:r>
        <w:rPr>
          <w:rFonts w:ascii="Arial" w:cs="Arial" w:eastAsia="Arial" w:hAnsi="Arial"/>
          <w:sz w:val="22"/>
          <w:szCs w:val="22"/>
          <w:color w:val="auto"/>
        </w:rPr>
        <w:t>2345 Grand Avenue, Suite 700</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Kansas City, Missouri 64108</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Federal Reserve Bank of Kansas City</w:t>
      </w:r>
    </w:p>
    <w:p>
      <w:pPr>
        <w:ind w:left="1960"/>
        <w:spacing w:after="0" w:line="238" w:lineRule="auto"/>
        <w:rPr>
          <w:sz w:val="20"/>
          <w:szCs w:val="20"/>
          <w:color w:val="auto"/>
        </w:rPr>
      </w:pPr>
      <w:r>
        <w:rPr>
          <w:rFonts w:ascii="Arial" w:cs="Arial" w:eastAsia="Arial" w:hAnsi="Arial"/>
          <w:sz w:val="22"/>
          <w:szCs w:val="22"/>
          <w:color w:val="auto"/>
        </w:rPr>
        <w:t>Federal Reserve P.O. Station</w:t>
      </w:r>
    </w:p>
    <w:p>
      <w:pPr>
        <w:ind w:left="1960"/>
        <w:spacing w:after="0"/>
        <w:rPr>
          <w:sz w:val="20"/>
          <w:szCs w:val="20"/>
          <w:color w:val="auto"/>
        </w:rPr>
      </w:pPr>
      <w:r>
        <w:rPr>
          <w:rFonts w:ascii="Arial" w:cs="Arial" w:eastAsia="Arial" w:hAnsi="Arial"/>
          <w:sz w:val="22"/>
          <w:szCs w:val="22"/>
          <w:color w:val="auto"/>
        </w:rPr>
        <w:t>Kansas City, Missouri 64198</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Supervising Examiner</w:t>
      </w:r>
    </w:p>
    <w:p>
      <w:pPr>
        <w:ind w:left="1960"/>
        <w:spacing w:after="0" w:line="238" w:lineRule="auto"/>
        <w:rPr>
          <w:sz w:val="20"/>
          <w:szCs w:val="20"/>
          <w:color w:val="auto"/>
        </w:rPr>
      </w:pPr>
      <w:r>
        <w:rPr>
          <w:rFonts w:ascii="Arial" w:cs="Arial" w:eastAsia="Arial" w:hAnsi="Arial"/>
          <w:sz w:val="22"/>
          <w:szCs w:val="22"/>
          <w:color w:val="auto"/>
        </w:rPr>
        <w:t>Federal Deposit Insurance Corporation</w:t>
      </w:r>
    </w:p>
    <w:p>
      <w:pPr>
        <w:ind w:left="1960"/>
        <w:spacing w:after="0" w:line="230" w:lineRule="auto"/>
        <w:rPr>
          <w:sz w:val="20"/>
          <w:szCs w:val="20"/>
          <w:color w:val="auto"/>
        </w:rPr>
      </w:pPr>
      <w:r>
        <w:rPr>
          <w:rFonts w:ascii="Arial" w:cs="Arial" w:eastAsia="Arial" w:hAnsi="Arial"/>
          <w:sz w:val="22"/>
          <w:szCs w:val="22"/>
          <w:color w:val="auto"/>
        </w:rPr>
        <w:t>720 Olive Street, Suite 2909</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St. Louis, Missouri 63101</w:t>
      </w:r>
    </w:p>
    <w:p>
      <w:pPr>
        <w:spacing w:after="0" w:line="215" w:lineRule="exact"/>
        <w:rPr>
          <w:sz w:val="20"/>
          <w:szCs w:val="20"/>
          <w:color w:val="auto"/>
        </w:rPr>
      </w:pPr>
    </w:p>
    <w:p>
      <w:pPr>
        <w:ind w:left="1960" w:right="4640" w:hanging="980"/>
        <w:spacing w:after="0" w:line="458" w:lineRule="auto"/>
        <w:tabs>
          <w:tab w:leader="none" w:pos="1312"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 xml:space="preserve">Whether it is authorized to exercise corporate trust powers. </w:t>
      </w:r>
      <w:r>
        <w:rPr>
          <w:rFonts w:ascii="Arial" w:cs="Arial" w:eastAsia="Arial" w:hAnsi="Arial"/>
          <w:sz w:val="22"/>
          <w:szCs w:val="22"/>
          <w:color w:val="auto"/>
        </w:rPr>
        <w:t>Yes</w:t>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 xml:space="preserve">AFFILIATIONS WITH OBLIGOR. </w:t>
      </w:r>
      <w:r>
        <w:rPr>
          <w:rFonts w:ascii="Arial" w:cs="Arial" w:eastAsia="Arial" w:hAnsi="Arial"/>
          <w:sz w:val="19"/>
          <w:szCs w:val="19"/>
          <w:i w:val="1"/>
          <w:iCs w:val="1"/>
          <w:color w:val="auto"/>
        </w:rPr>
        <w:t>If the obligor is an affiliate of the Trustee, describe each such affiliation.</w:t>
      </w:r>
    </w:p>
    <w:p>
      <w:pPr>
        <w:spacing w:after="0" w:line="23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ind w:left="1300" w:right="120" w:hanging="1295"/>
        <w:spacing w:after="0" w:line="250" w:lineRule="auto"/>
        <w:tabs>
          <w:tab w:leader="none" w:pos="1280" w:val="left"/>
        </w:tabs>
        <w:rPr>
          <w:sz w:val="20"/>
          <w:szCs w:val="20"/>
          <w:color w:val="auto"/>
        </w:rPr>
      </w:pPr>
      <w:r>
        <w:rPr>
          <w:rFonts w:ascii="Arial" w:cs="Arial" w:eastAsia="Arial" w:hAnsi="Arial"/>
          <w:sz w:val="22"/>
          <w:szCs w:val="22"/>
          <w:b w:val="1"/>
          <w:bCs w:val="1"/>
          <w:color w:val="auto"/>
        </w:rPr>
        <w:t>Items 3-15</w:t>
      </w:r>
      <w:r>
        <w:rPr>
          <w:sz w:val="20"/>
          <w:szCs w:val="20"/>
          <w:color w:val="auto"/>
        </w:rPr>
        <w:tab/>
      </w:r>
      <w:r>
        <w:rPr>
          <w:rFonts w:ascii="Arial" w:cs="Arial" w:eastAsia="Arial" w:hAnsi="Arial"/>
          <w:sz w:val="22"/>
          <w:szCs w:val="22"/>
          <w:i w:val="1"/>
          <w:iCs w:val="1"/>
          <w:color w:val="auto"/>
        </w:rPr>
        <w:t>Items 3-15 are not applicable because, to the best of the Trustee's knowledge, the obligor is not in default under any Indenture for which the Trustee acts as Trustee.</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16.</w:t>
      </w:r>
      <w:r>
        <w:rPr>
          <w:sz w:val="20"/>
          <w:szCs w:val="20"/>
          <w:color w:val="auto"/>
        </w:rPr>
        <w:tab/>
      </w:r>
      <w:r>
        <w:rPr>
          <w:rFonts w:ascii="Arial" w:cs="Arial" w:eastAsia="Arial" w:hAnsi="Arial"/>
          <w:sz w:val="19"/>
          <w:szCs w:val="19"/>
          <w:b w:val="1"/>
          <w:bCs w:val="1"/>
          <w:color w:val="auto"/>
        </w:rPr>
        <w:t xml:space="preserve">LIST OF EXHIBITS: </w:t>
      </w:r>
      <w:r>
        <w:rPr>
          <w:rFonts w:ascii="Arial" w:cs="Arial" w:eastAsia="Arial" w:hAnsi="Arial"/>
          <w:sz w:val="19"/>
          <w:szCs w:val="19"/>
          <w:i w:val="1"/>
          <w:iCs w:val="1"/>
          <w:color w:val="auto"/>
        </w:rPr>
        <w:t>List below all exhibits filed as a part of this statement of eligibility and qualification.</w:t>
      </w:r>
    </w:p>
    <w:p>
      <w:pPr>
        <w:spacing w:after="0" w:line="239" w:lineRule="exact"/>
        <w:rPr>
          <w:sz w:val="20"/>
          <w:szCs w:val="20"/>
          <w:color w:val="auto"/>
        </w:rPr>
      </w:pPr>
    </w:p>
    <w:p>
      <w:pPr>
        <w:ind w:left="1300" w:hanging="320"/>
        <w:spacing w:after="0" w:line="250" w:lineRule="auto"/>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 copy of the Articles of Association of the Trustee (Exhibit 1 to Form T-1 filed with Registration Statement No. 333-74008).</w:t>
      </w:r>
    </w:p>
    <w:p>
      <w:pPr>
        <w:spacing w:after="0" w:line="201" w:lineRule="exact"/>
        <w:rPr>
          <w:rFonts w:ascii="Arial" w:cs="Arial" w:eastAsia="Arial" w:hAnsi="Arial"/>
          <w:sz w:val="22"/>
          <w:szCs w:val="22"/>
          <w:color w:val="auto"/>
        </w:rPr>
      </w:pPr>
    </w:p>
    <w:p>
      <w:pPr>
        <w:ind w:left="1300" w:right="240" w:hanging="320"/>
        <w:spacing w:after="0" w:line="250" w:lineRule="auto"/>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Certificate of Authority from the Comptroller of the Currency evidencing a change of the corporate title of the Association (Exhibit 2 to Form T-1 filed with Registration Statement No. 333-74008).</w:t>
      </w:r>
    </w:p>
    <w:p>
      <w:pPr>
        <w:spacing w:after="0" w:line="201" w:lineRule="exact"/>
        <w:rPr>
          <w:rFonts w:ascii="Arial" w:cs="Arial" w:eastAsia="Arial" w:hAnsi="Arial"/>
          <w:sz w:val="22"/>
          <w:szCs w:val="22"/>
          <w:color w:val="auto"/>
        </w:rPr>
      </w:pPr>
    </w:p>
    <w:p>
      <w:pPr>
        <w:ind w:left="1300" w:right="60" w:hanging="320"/>
        <w:spacing w:after="0"/>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Certificate from the Comptroller of the Currency evidencing authority to exercise corporate trust powers and a letter evidencing a change of the corporate title of the Association (Exhibit 3 to Form T-1 filed with Registration Statement No. 333-74008).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55" w:right="499" w:bottom="1440" w:gutter="0" w:footer="0" w:header="0"/>
        </w:sectPr>
      </w:pPr>
    </w:p>
    <w:bookmarkStart w:id="63" w:name="page64"/>
    <w:bookmarkEnd w:id="63"/>
    <w:p>
      <w:pPr>
        <w:ind w:left="320" w:hanging="320"/>
        <w:spacing w:after="0"/>
        <w:tabs>
          <w:tab w:leader="none" w:pos="3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Bylaws, as amended of the Trustee (Exhibit 4 to Form T-1 filed with Registration Statement No. 333-74008).</w:t>
      </w:r>
    </w:p>
    <w:p>
      <w:pPr>
        <w:spacing w:after="0" w:line="268" w:lineRule="exact"/>
        <w:rPr>
          <w:rFonts w:ascii="Arial" w:cs="Arial" w:eastAsia="Arial" w:hAnsi="Arial"/>
          <w:sz w:val="19"/>
          <w:szCs w:val="19"/>
          <w:color w:val="auto"/>
        </w:rPr>
      </w:pPr>
    </w:p>
    <w:p>
      <w:pPr>
        <w:ind w:left="320" w:hanging="320"/>
        <w:spacing w:after="0"/>
        <w:tabs>
          <w:tab w:leader="none" w:pos="3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 copy of each Indenture referred to in Item 4, if the obligor is in default. Not applicable.</w:t>
      </w:r>
    </w:p>
    <w:p>
      <w:pPr>
        <w:spacing w:after="0" w:line="233" w:lineRule="exact"/>
        <w:rPr>
          <w:rFonts w:ascii="Arial" w:cs="Arial" w:eastAsia="Arial" w:hAnsi="Arial"/>
          <w:sz w:val="22"/>
          <w:szCs w:val="22"/>
          <w:color w:val="auto"/>
        </w:rPr>
      </w:pPr>
    </w:p>
    <w:p>
      <w:pPr>
        <w:ind w:left="320" w:right="180" w:hanging="320"/>
        <w:spacing w:after="0" w:line="250" w:lineRule="auto"/>
        <w:tabs>
          <w:tab w:leader="none" w:pos="3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consent of the Trustee required by Section 321(b) of the Act (Exhibit 6 to Registration Statement No. 333-74008).</w:t>
      </w:r>
    </w:p>
    <w:p>
      <w:pPr>
        <w:spacing w:after="0" w:line="201" w:lineRule="exact"/>
        <w:rPr>
          <w:rFonts w:ascii="Arial" w:cs="Arial" w:eastAsia="Arial" w:hAnsi="Arial"/>
          <w:sz w:val="22"/>
          <w:szCs w:val="22"/>
          <w:color w:val="auto"/>
        </w:rPr>
      </w:pPr>
    </w:p>
    <w:p>
      <w:pPr>
        <w:ind w:left="320" w:hanging="320"/>
        <w:spacing w:after="0" w:line="250" w:lineRule="auto"/>
        <w:tabs>
          <w:tab w:leader="none" w:pos="3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Report of Condition of the Trustee as of September 30, 2020 published pursuant to law or the requirements of its supervising or examining authority, attached as Exhibit 7.</w:t>
      </w:r>
    </w:p>
    <w:p>
      <w:pPr>
        <w:spacing w:after="0" w:line="201" w:lineRule="exact"/>
        <w:rPr>
          <w:rFonts w:ascii="Arial" w:cs="Arial" w:eastAsia="Arial" w:hAnsi="Arial"/>
          <w:sz w:val="22"/>
          <w:szCs w:val="22"/>
          <w:color w:val="auto"/>
        </w:rPr>
      </w:pPr>
    </w:p>
    <w:p>
      <w:pPr>
        <w:ind w:left="320" w:right="340" w:hanging="320"/>
        <w:spacing w:after="0" w:line="250" w:lineRule="auto"/>
        <w:tabs>
          <w:tab w:leader="none" w:pos="3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 copy of any order pursuant to which the foreign trustee is authorized to act as sole trustee under indentures qualified or to be qualified under the Act. Not applicable.</w:t>
      </w:r>
    </w:p>
    <w:p>
      <w:pPr>
        <w:spacing w:after="0" w:line="201" w:lineRule="exact"/>
        <w:rPr>
          <w:rFonts w:ascii="Arial" w:cs="Arial" w:eastAsia="Arial" w:hAnsi="Arial"/>
          <w:sz w:val="22"/>
          <w:szCs w:val="22"/>
          <w:color w:val="auto"/>
        </w:rPr>
      </w:pPr>
    </w:p>
    <w:p>
      <w:pPr>
        <w:ind w:left="320" w:right="520" w:hanging="320"/>
        <w:spacing w:after="0" w:line="250" w:lineRule="auto"/>
        <w:tabs>
          <w:tab w:leader="none" w:pos="3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Foreign trustees are required to file a consent to serve of process of Form F-X [§269.5 of this chapter].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253365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300" w:top="118" w:right="519" w:bottom="1440" w:gutter="0" w:footer="0" w:header="0"/>
        </w:sectPr>
      </w:pPr>
    </w:p>
    <w:bookmarkStart w:id="64" w:name="page65"/>
    <w:bookmarkEnd w:id="64"/>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Pursuant to the requirements of the Trust Indenture Act of 1939, as amended, the Trustee, UMB BANK, NATIONAL ASSOCIATION</w:t>
      </w:r>
      <w:r>
        <w:rPr>
          <w:rFonts w:ascii="Arial" w:cs="Arial" w:eastAsia="Arial" w:hAnsi="Arial"/>
          <w:sz w:val="17"/>
          <w:szCs w:val="17"/>
          <w:color w:val="auto"/>
        </w:rPr>
        <w:t>,</w:t>
      </w:r>
      <w:r>
        <w:rPr>
          <w:rFonts w:ascii="Arial" w:cs="Arial" w:eastAsia="Arial" w:hAnsi="Arial"/>
          <w:sz w:val="22"/>
          <w:szCs w:val="22"/>
          <w:color w:val="auto"/>
        </w:rPr>
        <w:t xml:space="preserve">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12th of November, 2020.</w:t>
      </w:r>
    </w:p>
    <w:p>
      <w:pPr>
        <w:spacing w:after="0" w:line="212"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22"/>
          <w:szCs w:val="22"/>
          <w:color w:val="auto"/>
        </w:rPr>
        <w:t>By:</w:t>
        <w:tab/>
        <w:t>/s/ Mauri J.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6985</wp:posOffset>
            </wp:positionV>
            <wp:extent cx="321437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Mauri J. Cowen</w:t>
      </w:r>
    </w:p>
    <w:p>
      <w:pPr>
        <w:spacing w:after="0" w:line="4"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Sr.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2" w:right="49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22"/>
          <w:szCs w:val="22"/>
          <w:b w:val="1"/>
          <w:bCs w:val="1"/>
          <w:u w:val="single" w:color="auto"/>
          <w:color w:val="auto"/>
        </w:rPr>
        <w:t>Exhibit 7</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5896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589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7014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701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ind w:left="7780"/>
        <w:spacing w:after="0"/>
        <w:rPr>
          <w:sz w:val="20"/>
          <w:szCs w:val="20"/>
          <w:color w:val="auto"/>
        </w:rPr>
      </w:pPr>
      <w:r>
        <w:rPr>
          <w:rFonts w:ascii="Arial" w:cs="Arial" w:eastAsia="Arial" w:hAnsi="Arial"/>
          <w:sz w:val="16"/>
          <w:szCs w:val="16"/>
          <w:b w:val="1"/>
          <w:bCs w:val="1"/>
          <w:color w:val="auto"/>
        </w:rPr>
        <w:t>Exhibit 99.1</w:t>
      </w:r>
    </w:p>
    <w:p>
      <w:pPr>
        <w:spacing w:after="0" w:line="14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THIS DOCUMENT IS IMPORTANT AND REQUIRES YOUR IMMEDIATE ATTENTION. If you are in any doubt as to the action to be taken, you should immediately consult your broker, bank manager, lawyer, accountant, investment advisor or other professional advisor.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Transmittal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Tender of All Unregistered Outstanding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4.50% Fixed-to-Floating Rate Subordinated Notes due 2030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Exchange for Registered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4.50% Fixed-to-Floating Rate Subordinated Notes due 2030</w:t>
      </w:r>
    </w:p>
    <w:p>
      <w:pPr>
        <w:spacing w:after="0" w:line="99"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7"/>
          <w:szCs w:val="17"/>
          <w:b w:val="1"/>
          <w:bCs w:val="1"/>
          <w:color w:val="auto"/>
        </w:rPr>
        <w:t>The Exchange Offer will expire at 5:00 p.m., Eastern Standard Time, on , 2020, unless extended (the “Expiration Date”). Old Notes (defined below) tendered in the Exchange Offer may be withdrawn at any time prior to 5:00 p.m., Eastern Standard Time, on the Expiration Date, but not thereafter.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Exchange Agent for the Exchange Offer 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UMB Bank, National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Deliver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By Hand, Overnight Delivery or Mail: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UMB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Mauri J. Cowen, Corporate Trust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5555 San Felipe Street, Suite 870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By Facsimile Transmission (Eligible Institutions Only):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 389-5949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Confirm by Telephone: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(713) 300-0587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 Information Call: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(713) 300-0587</w:t>
      </w:r>
    </w:p>
    <w:p>
      <w:pPr>
        <w:spacing w:after="0" w:line="99" w:lineRule="exact"/>
        <w:rPr>
          <w:sz w:val="20"/>
          <w:szCs w:val="20"/>
          <w:color w:val="auto"/>
        </w:rPr>
      </w:pPr>
    </w:p>
    <w:p>
      <w:pPr>
        <w:jc w:val="both"/>
        <w:ind w:left="300" w:right="299"/>
        <w:spacing w:after="0" w:line="261" w:lineRule="auto"/>
        <w:rPr>
          <w:sz w:val="20"/>
          <w:szCs w:val="20"/>
          <w:color w:val="auto"/>
        </w:rPr>
      </w:pPr>
      <w:r>
        <w:rPr>
          <w:rFonts w:ascii="Arial" w:cs="Arial" w:eastAsia="Arial" w:hAnsi="Arial"/>
          <w:sz w:val="18"/>
          <w:szCs w:val="18"/>
          <w:b w:val="1"/>
          <w:bCs w:val="1"/>
          <w:color w:val="auto"/>
        </w:rPr>
        <w:t>The instructions accompanying this letter of transmittal should be read carefully before you tender your Old Notes (as defined below). A defective tender of your Old Notes will not constitute valid delivery. We may waive defects and irregularities with respect to your tender of Old Notes, but we are not required to do so and may not do so.</w:t>
      </w:r>
    </w:p>
    <w:p>
      <w:pPr>
        <w:spacing w:after="0" w:line="76"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undersigned is a holder of an unregistered, issued and outstanding 4.50% Fixed-to-Floating Rate Subordinated Note due 2030 (Accredited Investor CUSIP: 83946P AB3; QIB CUSIP: 83946P AA5) (an “Old Note”) issued by South Plains Financial, Inc. (the “Issuer”) under that certain indenture, dated as of September 29, 2020 (as supplemented, amended and modified, the “Indenture”), between the Issuer and UMB Bank, National Association, as trustee.</w:t>
      </w:r>
    </w:p>
    <w:p>
      <w:pPr>
        <w:spacing w:after="0" w:line="7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r>
              <w:rPr>
                <w:rFonts w:ascii="Arial" w:cs="Arial" w:eastAsia="Arial" w:hAnsi="Arial"/>
                <w:sz w:val="18"/>
                <w:szCs w:val="18"/>
                <w:b w:val="1"/>
                <w:bCs w:val="1"/>
                <w:color w:val="auto"/>
              </w:rPr>
              <w:t>The undersigned hereby acknowledges receipt and review of the prospectus</w:t>
            </w:r>
            <w:r>
              <w:rPr>
                <w:rFonts w:ascii="Arial" w:cs="Arial" w:eastAsia="Arial" w:hAnsi="Arial"/>
                <w:sz w:val="18"/>
                <w:szCs w:val="18"/>
                <w:color w:val="auto"/>
              </w:rPr>
              <w:t>, dated as of</w:t>
            </w:r>
          </w:p>
        </w:tc>
        <w:tc>
          <w:tcPr>
            <w:tcW w:w="820" w:type="dxa"/>
            <w:vAlign w:val="bottom"/>
          </w:tcPr>
          <w:p>
            <w:pPr>
              <w:jc w:val="right"/>
              <w:spacing w:after="0"/>
              <w:rPr>
                <w:sz w:val="20"/>
                <w:szCs w:val="20"/>
                <w:color w:val="auto"/>
              </w:rPr>
            </w:pPr>
            <w:r>
              <w:rPr>
                <w:rFonts w:ascii="Arial" w:cs="Arial" w:eastAsia="Arial" w:hAnsi="Arial"/>
                <w:sz w:val="18"/>
                <w:szCs w:val="18"/>
                <w:color w:val="auto"/>
              </w:rPr>
              <w:t>, 2020</w:t>
            </w:r>
          </w:p>
        </w:tc>
      </w:tr>
    </w:tbl>
    <w:p>
      <w:pPr>
        <w:jc w:val="both"/>
        <w:ind w:left="300" w:right="299"/>
        <w:spacing w:after="0" w:line="253" w:lineRule="auto"/>
        <w:rPr>
          <w:sz w:val="20"/>
          <w:szCs w:val="20"/>
          <w:color w:val="auto"/>
        </w:rPr>
      </w:pPr>
      <w:r>
        <w:rPr>
          <w:rFonts w:ascii="Arial" w:cs="Arial" w:eastAsia="Arial" w:hAnsi="Arial"/>
          <w:sz w:val="18"/>
          <w:szCs w:val="18"/>
          <w:color w:val="auto"/>
        </w:rPr>
        <w:t>(the “Prospectus”), of the Issuer and this letter of transmittal. These two documents together constitute the offer by the Issuer to exchange its 4.50% Fixed-to-Floating Rate Subordinated Notes due 2030 (the “New Notes”), the issuance of which has been registered under the Securities Act of 1933, as amended (the “Securities Act”), for a like principal amount of the Issuer’s Old Notes. The offer to exchange the New Notes for the Old Notes is referred to as the “Exchange Offer.”</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Capitalized terms used herein and not defined herein shall have the meaning ascribed to them in the Prospectus.</w:t>
      </w:r>
    </w:p>
    <w:p>
      <w:pPr>
        <w:spacing w:after="0" w:line="140"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The Issuer reserves the right, at any time or from time to time, to extend the period of time during which the Exchange Offer is open, at its discretion, in which event the term “Expiration Date” shall mean the latest date to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9" w:name="page70"/>
    <w:bookmarkEnd w:id="69"/>
    <w:p>
      <w:pPr>
        <w:jc w:val="both"/>
        <w:ind w:left="300" w:right="299"/>
        <w:spacing w:after="0" w:line="263" w:lineRule="auto"/>
        <w:rPr>
          <w:sz w:val="20"/>
          <w:szCs w:val="20"/>
          <w:color w:val="auto"/>
        </w:rPr>
      </w:pPr>
      <w:r>
        <w:rPr>
          <w:rFonts w:ascii="Arial" w:cs="Arial" w:eastAsia="Arial" w:hAnsi="Arial"/>
          <w:sz w:val="18"/>
          <w:szCs w:val="18"/>
          <w:color w:val="auto"/>
        </w:rPr>
        <w:t>Exchange Offer is extended. The Issuer shall notify the Exchange Agent and each registered holder of the Old Notes of any such extension by oral or written notice no later than 5:00 p.m., Eastern Standard Time, on the next business day after the previously scheduled Expiration Date.</w:t>
      </w:r>
    </w:p>
    <w:p>
      <w:pPr>
        <w:spacing w:after="0" w:line="76"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 xml:space="preserve">Tender of the Old Notes is to be made by book-entry transfer to the Exchange Agent’s account at the Depository Trust Company (“DTC”), by executing the tender through the DTC “Automated Tender Offer Program” (“ATOP”). DTC participants that are tendering Old Notes pursuant to an Exchange Offer must transmit their acceptance through ATOP to DTC, which will edit and verify the acceptance and send a computer generated message known as an “agent’s message” to the Exchange Agent for its acceptance. </w:t>
      </w:r>
      <w:r>
        <w:rPr>
          <w:rFonts w:ascii="Arial" w:cs="Arial" w:eastAsia="Arial" w:hAnsi="Arial"/>
          <w:sz w:val="16"/>
          <w:szCs w:val="16"/>
          <w:b w:val="1"/>
          <w:bCs w:val="1"/>
          <w:color w:val="auto"/>
        </w:rPr>
        <w:t>Accordingly, this letter of transmittal need not be</w:t>
      </w:r>
      <w:r>
        <w:rPr>
          <w:rFonts w:ascii="Arial" w:cs="Arial" w:eastAsia="Arial" w:hAnsi="Arial"/>
          <w:sz w:val="16"/>
          <w:szCs w:val="16"/>
          <w:color w:val="auto"/>
        </w:rPr>
        <w:t xml:space="preserve"> </w:t>
      </w:r>
      <w:r>
        <w:rPr>
          <w:rFonts w:ascii="Arial" w:cs="Arial" w:eastAsia="Arial" w:hAnsi="Arial"/>
          <w:sz w:val="16"/>
          <w:szCs w:val="16"/>
          <w:b w:val="1"/>
          <w:bCs w:val="1"/>
          <w:color w:val="auto"/>
        </w:rPr>
        <w:t>completed by holders tendering through ATOP. However, each holder will be bound by the terms of this letter of transmittal and the terms of the Exchange Offer, as described in the Prospectus, and this letter of transmittal, and will be deemed to have made the acknowledgements and the representations and warranties contained in this letter of transmittal. Delivery by a holder of documents to DTC or Issuer does not constitute valid delivery to the Exchange Agent.</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There is no procedure for guaranteed late delivery of the Old Notes in connection with the Exchange Offer.</w:t>
      </w:r>
    </w:p>
    <w:p>
      <w:pPr>
        <w:spacing w:after="0" w:line="129"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Exchange Offer is not being directed to, nor will tenders be accepted from or on behalf of, holders of Old Notes in any jurisdiction in which the making or acceptance of the Exchange Offer would not be in compliance with the laws of such jurisdiction.</w:t>
      </w:r>
    </w:p>
    <w:p>
      <w:pPr>
        <w:spacing w:after="0" w:line="7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term “holder” with respect to the Exchange Offer means any person in whose name Old Notes are registered on the books of the registrar for the Old Notes or any person who holds Old Notes and has obtained a properly completed bond power from the registered holder of such Old Notes.</w:t>
      </w:r>
    </w:p>
    <w:p>
      <w:pPr>
        <w:spacing w:after="0" w:line="72" w:lineRule="exact"/>
        <w:rPr>
          <w:sz w:val="20"/>
          <w:szCs w:val="20"/>
          <w:color w:val="auto"/>
        </w:rPr>
      </w:pPr>
    </w:p>
    <w:p>
      <w:pPr>
        <w:jc w:val="both"/>
        <w:ind w:left="300" w:right="299"/>
        <w:spacing w:after="0" w:line="258" w:lineRule="auto"/>
        <w:rPr>
          <w:sz w:val="20"/>
          <w:szCs w:val="20"/>
          <w:color w:val="auto"/>
        </w:rPr>
      </w:pPr>
      <w:r>
        <w:rPr>
          <w:rFonts w:ascii="Arial" w:cs="Arial" w:eastAsia="Arial" w:hAnsi="Arial"/>
          <w:sz w:val="18"/>
          <w:szCs w:val="18"/>
          <w:b w:val="1"/>
          <w:bCs w:val="1"/>
          <w:color w:val="auto"/>
        </w:rPr>
        <w:t>Please read this entire letter of transmittal and the Prospectus, including the information incorporated by reference therein, carefully before tendering your Old Notes. The instructions included with this letter of transmittal must be followed. Questions and requests for assistance or for additional copies of the Prospectus and this letter of transmittal may be directed to the Exchange Agent. See Instruction 9 of this letter of transmittal.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READ THE ACCOMPANYING INSTRUCTIONS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70" w:name="page71"/>
    <w:bookmarkEnd w:id="70"/>
    <w:p>
      <w:pPr>
        <w:ind w:left="300" w:right="1599" w:firstLine="1305"/>
        <w:spacing w:after="0" w:line="393" w:lineRule="auto"/>
        <w:rPr>
          <w:sz w:val="20"/>
          <w:szCs w:val="20"/>
          <w:color w:val="auto"/>
        </w:rPr>
      </w:pPr>
      <w:r>
        <w:rPr>
          <w:rFonts w:ascii="Arial" w:cs="Arial" w:eastAsia="Arial" w:hAnsi="Arial"/>
          <w:sz w:val="18"/>
          <w:szCs w:val="18"/>
          <w:b w:val="1"/>
          <w:bCs w:val="1"/>
          <w:color w:val="auto"/>
        </w:rPr>
        <w:t xml:space="preserve">PLEASE READ THE ACCOMPANYING INSTRUCTIONS CAREFULLY </w:t>
      </w:r>
      <w:r>
        <w:rPr>
          <w:rFonts w:ascii="Arial" w:cs="Arial" w:eastAsia="Arial" w:hAnsi="Arial"/>
          <w:sz w:val="18"/>
          <w:szCs w:val="18"/>
          <w:color w:val="auto"/>
        </w:rPr>
        <w:t>Ladies and Gentlemen:</w:t>
      </w:r>
    </w:p>
    <w:p>
      <w:pPr>
        <w:spacing w:after="0" w:line="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Subject to the terms and conditions of the Exchange Offer, the undersigned hereby tenders to the Issuer for exchange the principal amount of Old Notes credited by the undersigned to the Exchange Agent’s account at DTC using ATOP. Subject to and effective upon the acceptance for exchange of the principal amount of Old Notes tendered in accordance with this letter of transmittal, the undersigned hereby exchanges, assigns and transfers to, or upon the order of, the Issuer all right, title and interest in and to such Old Notes tendered for exchange hereby. The undersigned hereby irrevocably constitutes and appoints the Exchange Agent as the true and lawful agent and attorney-in-fact for the undersigned (with full knowledge that such Exchange Agent also acts as the agent for the Issuer in connection with the Exchange Offer and as trustee under the Indenture) with respect to the tendered Old Notes with full power of substitution to:</w:t>
      </w:r>
    </w:p>
    <w:p>
      <w:pPr>
        <w:spacing w:after="0" w:line="73" w:lineRule="exact"/>
        <w:rPr>
          <w:sz w:val="20"/>
          <w:szCs w:val="20"/>
          <w:color w:val="auto"/>
        </w:rPr>
      </w:pPr>
    </w:p>
    <w:p>
      <w:pPr>
        <w:ind w:left="1000" w:right="31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deliver such Old Notes to the Issuer and deliver all accompanying evidences of transfer and authenticity; and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present such Old Notes for transfer on the books of the Issuer and receive all benefits and otherwise exercise all rights of beneficial ownership of such Old Notes, all in accordance with the terms of the Exchange Offer.</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power of attorney granted in this paragraph shall be deemed to be irrevocable and coupled with an interest.</w:t>
      </w:r>
    </w:p>
    <w:p>
      <w:pPr>
        <w:spacing w:after="0" w:line="129"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tender, exchange, assign and transfer the Old Notes tendered hereby and to acquire the New Notes issuable upon the exchange of such tendered Old Notes, and that the Issuer will acquire good and unencumbered title to such Old Notes, free and clear of all liens, restrictions, charges and encumbrances and not subject to any adverse claim or right, when the same are accepted for exchange by the Issuer.</w:t>
      </w:r>
    </w:p>
    <w:p>
      <w:pPr>
        <w:spacing w:after="0" w:line="80"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The undersigned acknowledges that the Exchange Offer is being made in reliance upon interpretations set forth in no-action letters issued to third parties by the staff of the Securities and Exchange Commission (the “SEC”), including Exxon Capital Holdings Corporation (available May 13, 1988), Morgan Stanley &amp; Co. Incorporated (available June 5, 1991), Mary Kay Cosmetics, Inc. (available June 5, 1991), Shearman &amp; Sterling (available July 2, 1993) and other similar no-action letters (the “Prior No-Action Letters”), and that the New Notes issued in exchange for the Old Notes pursuant to the Exchange Offer may be offered for resale, resold and otherwise transferred by a holder thereof (other than any holder that is a broker-dealer who purchased Old Notes directly from the Issuer for resale pursuant to Rule 144A under the Securities Act or another exemption under the Securities Act and any holder that is an “affiliate” of the Issuer within the meaning of Rule 405 under the Securities Act) without compliance with the registration and prospectus delivery provisions of the Securities Act (except for prospectus delivery obligations applicable to certain broker-dealers), provided that such New Notes are acquired in the ordinary course of such holder’s business and such holder is not engaged in, and does not intend to engage in, and has no arrangement or understanding with any person to participate in, a distribution of such New Notes. The SEC has not, however, considered the Exchange Offer in the context of a no-action letter, and there can be no assurance that the staff of the SEC would make a similar determination with respect to the Exchange Offer as it has in other circumstances.</w:t>
      </w:r>
    </w:p>
    <w:p>
      <w:pPr>
        <w:spacing w:after="0" w:line="59"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The undersigned hereby further represents to the Issuer that (i) any New Notes received in exchange for Old Notes are being acquired in the ordinary course of business of the person receiving such New Notes, whether or not the undersigned, (ii) neither the undersigned nor any such other person has any arrangement or understanding with any person to participate in the distribution of the Old Notes or the New Notes within the meaning of the Securities Act and (iii) neither the undersigned nor any such other person is an “affiliate” of the Issuer within the meaning of Rule 405 under the Securities Act, or if any such person is an “affiliate,” such person will comply with the registration and prospectus delivery requirements of the Securities Act to the extent applicable.</w:t>
      </w:r>
    </w:p>
    <w:p>
      <w:pPr>
        <w:spacing w:after="0" w:line="58"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undersigned represents that it is not engaged in, and does not intend to engage in, a distribution of New Notes. If the undersigned is a brokerdealer, it represents that it will receive New Notes in exchange for Old Notes that were acquired for its own account as a result of market-making activities or other trading activities, and it acknowledges that it will deliver a prospectus meeting the requirements of the Securities Act in connection with any resale of such New Notes; however, by so acknowledging and by delivering a prospectus, the undersigned will not be deemed to admit that it is an “underwriter” within the meaning of the Securities Act. If the undersigned is a broker-dealer,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96520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1" w:name="page72"/>
    <w:bookmarkEnd w:id="71"/>
    <w:p>
      <w:pPr>
        <w:jc w:val="both"/>
        <w:ind w:left="300" w:right="299"/>
        <w:spacing w:after="0" w:line="311" w:lineRule="auto"/>
        <w:rPr>
          <w:sz w:val="20"/>
          <w:szCs w:val="20"/>
          <w:color w:val="auto"/>
        </w:rPr>
      </w:pPr>
      <w:r>
        <w:rPr>
          <w:rFonts w:ascii="Arial" w:cs="Arial" w:eastAsia="Arial" w:hAnsi="Arial"/>
          <w:sz w:val="16"/>
          <w:szCs w:val="16"/>
          <w:color w:val="auto"/>
        </w:rPr>
        <w:t>undersigned represents that it did not purchase the Old Notes to be exchanged for the New Notes from the Issuer. Additionally, the undersigned represents that it is not acting on behalf of any person who could not truthfully and completely make the foregoing representations and the representations in the immediately preceding paragraph.</w:t>
      </w:r>
    </w:p>
    <w:p>
      <w:pPr>
        <w:spacing w:after="0" w:line="4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undersigned acknowledges that if the undersigned is tendering Old Notes in the Exchange Offer with the intention of participating in any manner in a distribution of the New Notes:</w:t>
      </w:r>
    </w:p>
    <w:p>
      <w:pPr>
        <w:spacing w:after="0" w:line="62" w:lineRule="exact"/>
        <w:rPr>
          <w:sz w:val="20"/>
          <w:szCs w:val="20"/>
          <w:color w:val="auto"/>
        </w:rPr>
      </w:pPr>
    </w:p>
    <w:p>
      <w:pPr>
        <w:jc w:val="both"/>
        <w:ind w:left="1000" w:right="319" w:hanging="348"/>
        <w:spacing w:after="0" w:line="296" w:lineRule="auto"/>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undersigned cannot rely on the position of the staff of the SEC set forth in the Prior No-Action Letters and, in the absence of an exemption therefrom, must comply with the registration and prospectus delivery requirements of the Securities Act in connection with a secondary resale transaction of the New Notes, in which case the registration statement must contain the selling security holder information required by Item 507 or Item 508, as applicable, of Regulation S-K promulgated by the SEC; and</w:t>
      </w:r>
    </w:p>
    <w:p>
      <w:pPr>
        <w:spacing w:after="0" w:line="53"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failure to comply with such requirements in such instance could result in the undersigned incurring liability for which the undersigned is not indemnified by the Issuer.</w:t>
      </w:r>
    </w:p>
    <w:p>
      <w:pPr>
        <w:spacing w:after="0" w:line="6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undersigned will, upon request, execute and deliver any additional documents deemed by the Exchange Agent or the Issuer to be necessary or desirable to complete the exchange, assignment and transfer of the Old Notes tendered hereby.</w:t>
      </w:r>
    </w:p>
    <w:p>
      <w:pPr>
        <w:spacing w:after="0" w:line="76"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For purposes of the Exchange Offer, the Issuer shall be deemed to have accepted for exchange validly tendered Old Notes when, as and if the Issuer gives oral or written notice thereof to the Exchange Agent. Any tendered Old Notes that are not accepted for exchange pursuant to the Exchange Offer for any reason will be returned, without expense, to the undersigned promptly after the Expiration Date or the Issuer’s withdrawal of the Exchange Offer, as applicable.</w:t>
      </w:r>
    </w:p>
    <w:p>
      <w:pPr>
        <w:spacing w:after="0" w:line="80"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All authority conferred or agreed to be conferred by this letter of transmittal shall not be affected by, and shall survive, the death, incapacity or dissolution of the undersigned, and every obligation of the undersigned under this letter of transmittal shall be binding upon the undersigned’s successors, assigns, heirs, executors, administrators, trustees in bankruptcy and legal representatives. This tender may be withdrawn only in accordance with the procedures set forth in the Prospectus under the caption “The Exchange Offer-Withdrawal of Tenders.”</w:t>
      </w:r>
    </w:p>
    <w:p>
      <w:pPr>
        <w:spacing w:after="0" w:line="53"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The undersigned acknowledges that the acceptance by the Issuer of properly tendered Old Notes pursuant to the procedures described in the Prospectus under the caption “The Exchange Offer-Procedures for Tendering Old Notes” and in the instructions hereto will constitute a binding agreement between the undersigned, on the one hand, and the Issuer, on the other hand, upon the terms and subject to the conditions of the Exchange Offer.</w:t>
      </w:r>
    </w:p>
    <w:p>
      <w:pPr>
        <w:spacing w:after="0" w:line="49"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The Exchange Offer is subject to certain conditions set forth in the Prospectus under the caption “The Exchange Offer-Conditions.” The undersigned recognizes that as a result of these conditions (which may be waived, in whole or in part, by the Issuer), the Issuer may not be required to exchange any of the Old Notes tendered hereby.</w:t>
      </w:r>
    </w:p>
    <w:p>
      <w:pPr>
        <w:spacing w:after="0" w:line="41" w:lineRule="exact"/>
        <w:rPr>
          <w:sz w:val="20"/>
          <w:szCs w:val="20"/>
          <w:color w:val="auto"/>
        </w:rPr>
      </w:pPr>
    </w:p>
    <w:p>
      <w:pPr>
        <w:jc w:val="both"/>
        <w:ind w:left="300" w:right="319"/>
        <w:spacing w:after="0" w:line="301" w:lineRule="auto"/>
        <w:rPr>
          <w:sz w:val="20"/>
          <w:szCs w:val="20"/>
          <w:color w:val="auto"/>
        </w:rPr>
      </w:pPr>
      <w:r>
        <w:rPr>
          <w:rFonts w:ascii="Arial" w:cs="Arial" w:eastAsia="Arial" w:hAnsi="Arial"/>
          <w:sz w:val="16"/>
          <w:szCs w:val="16"/>
          <w:color w:val="auto"/>
        </w:rPr>
        <w:t>New Notes and Old Notes not tendered or accepted for exchange will be issued in the name of the undersigned. Similarly, New Notes and Old Notes not tendered or accepted for exchange will be delivered, without expense, to the undersigned’s account at DTC or such other account as designated herein, pursuant to the book-entry transfer procedures described in the Prospectus, after the expiration or termination of the Exchange Offer.</w:t>
      </w:r>
    </w:p>
    <w:p>
      <w:pPr>
        <w:spacing w:after="0" w:line="49"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By crediting the Old Notes to the Exchange Agent’s account at DTC using ATOP and by complying with applicable ATOP procedures with respect to the Exchange Offer, the DTC participant confirms and agrees to be bound by, on behalf of itself and the beneficial owners of such Old Notes, all provisions of this letter of transmittal (including all acknowledgements, representations and warranties contained herein) applicable to it and such beneficial owner as fully as if it had completed the information required herein and executed and transmitted this letter of transmittal to the Exchange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INSTRUCTIONS TO LETTER OF TRANSMITTAL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FORMING PART OF THE TERMS AND CONDITIONS OF THE EXCHANGE OFFER</w:t>
      </w:r>
    </w:p>
    <w:p>
      <w:pPr>
        <w:spacing w:after="0" w:line="103" w:lineRule="exact"/>
        <w:rPr>
          <w:sz w:val="20"/>
          <w:szCs w:val="20"/>
          <w:color w:val="auto"/>
        </w:rPr>
      </w:pPr>
    </w:p>
    <w:p>
      <w:pPr>
        <w:jc w:val="both"/>
        <w:ind w:left="300" w:right="299" w:hanging="8"/>
        <w:spacing w:after="0" w:line="270" w:lineRule="auto"/>
        <w:tabs>
          <w:tab w:leader="none" w:pos="52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Book Entry Confirmations</w:t>
      </w:r>
      <w:r>
        <w:rPr>
          <w:rFonts w:ascii="Arial" w:cs="Arial" w:eastAsia="Arial" w:hAnsi="Arial"/>
          <w:sz w:val="17"/>
          <w:szCs w:val="17"/>
          <w:color w:val="auto"/>
        </w:rPr>
        <w:t>. For a holder to properly tender Old Notes in book-entry form pursuant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Offer and to obtain New Notes, (1) the Exchange Agent must receive a properly transmitted “agent’s message” (as defined in the Prospectus under “The Exchange Offer—Procedures for Tendering Old Notes”) through ATOP prior to 5:00 p.m., Eastern Standard Time on the Expiration Date and (2) the Exchange Agent must receive a timely confirmation of a book-entry tender of such Old Notes into its account at DTC through ATOP pursuant to the procedure for book-entry transfer through DTC described in the Prospectus under “The Exchange Offer— Procedures for Tendering Old Notes” prior to 5:00 p.m., Eastern Standard Time on the Expiration Date. Upon expiration or termination of the exchange offer, the Exchange Agent will exchange all Old Notes validly tendered and accepted and not validly withdrawn for an equal principal amount of New Notes.</w:t>
      </w:r>
    </w:p>
    <w:p>
      <w:pPr>
        <w:spacing w:after="0" w:line="73"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METHOD OF DELIVERY OF ALL REQUIRED DOCUMENTS TO THE EXCHANGE AGENT IS AT THE ELECTION AND SOLE RISK OF THE HOLDER AND DELIVERY WILL BE DEEMED TO BE MADE ONLY IF AND WHEN ACTUALLY RECEIVED BY THE EXCHANGE AGENT. INSTEAD OF DELIVERY BY MAIL, HOLDERS SHOULD USE AN OVERNIGHT OR HAND DELIVERY SERVICE. IN ALL CASES, HOLDERS SHOULD ALLOW FOR SUFFICIENT TIME TO ENSURE DELIVERY TO THE EXCHANGE AGENT BEFORE THE EXPIRATION DATE AND PROPER INSURANCE SHOULD BE OBTAINED. HOLDERS MAY REQUEST THEIR BROKER, DEALER, COMMERCIAL BANK, TRUST COMPANY OR NOMINEE TO EFFECT THESE TRANSACTIONS ON THEIR BEHALF. HOLDERS SHOULD NOT SEND ANY DOCUMENTS TO THE ISSUER.</w:t>
      </w:r>
    </w:p>
    <w:p>
      <w:pPr>
        <w:spacing w:after="0" w:line="88" w:lineRule="exact"/>
        <w:rPr>
          <w:sz w:val="20"/>
          <w:szCs w:val="20"/>
          <w:color w:val="auto"/>
        </w:rPr>
      </w:pPr>
    </w:p>
    <w:p>
      <w:pPr>
        <w:jc w:val="both"/>
        <w:ind w:left="300" w:right="299" w:hanging="8"/>
        <w:spacing w:after="0" w:line="255" w:lineRule="auto"/>
        <w:tabs>
          <w:tab w:leader="none" w:pos="493"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Tender by Holder</w:t>
      </w:r>
      <w:r>
        <w:rPr>
          <w:rFonts w:ascii="Arial" w:cs="Arial" w:eastAsia="Arial" w:hAnsi="Arial"/>
          <w:sz w:val="18"/>
          <w:szCs w:val="18"/>
          <w:color w:val="auto"/>
        </w:rPr>
        <w:t>. Only a registered holder of Old Notes (or the legal representative or attorney-in-fact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holder) may tender such Old Notes in the Exchange Offer. Any beneficial holder of Old Notes who is not the registered holder and who wishes to tender should promptly arrange with the registered holder to tender the Old Notes on his, her or its behalf or must, prior to tendering his, her or its Old Notes, either make appropriate arrangements to register ownership of the Old Notes in such holder’s name or obtain a properly completed bond power from the registered holder.</w:t>
      </w:r>
    </w:p>
    <w:p>
      <w:pPr>
        <w:spacing w:after="0" w:line="84" w:lineRule="exact"/>
        <w:rPr>
          <w:rFonts w:ascii="Arial" w:cs="Arial" w:eastAsia="Arial" w:hAnsi="Arial"/>
          <w:sz w:val="18"/>
          <w:szCs w:val="18"/>
          <w:color w:val="auto"/>
        </w:rPr>
      </w:pPr>
    </w:p>
    <w:p>
      <w:pPr>
        <w:jc w:val="both"/>
        <w:ind w:left="300" w:right="299" w:hanging="8"/>
        <w:spacing w:after="0" w:line="293" w:lineRule="auto"/>
        <w:tabs>
          <w:tab w:leader="none" w:pos="48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Partial Tender</w:t>
      </w:r>
      <w:r>
        <w:rPr>
          <w:rFonts w:ascii="Arial" w:cs="Arial" w:eastAsia="Arial" w:hAnsi="Arial"/>
          <w:sz w:val="16"/>
          <w:szCs w:val="16"/>
          <w:color w:val="auto"/>
        </w:rPr>
        <w:t>. Tenders of Old Notes will be accepted only in principal amounts equal to at least $100,000 and in</w:t>
      </w:r>
      <w:r>
        <w:rPr>
          <w:rFonts w:ascii="Arial" w:cs="Arial" w:eastAsia="Arial" w:hAnsi="Arial"/>
          <w:sz w:val="16"/>
          <w:szCs w:val="16"/>
          <w:i w:val="1"/>
          <w:iCs w:val="1"/>
          <w:color w:val="auto"/>
        </w:rPr>
        <w:t xml:space="preserve"> </w:t>
      </w:r>
      <w:r>
        <w:rPr>
          <w:rFonts w:ascii="Arial" w:cs="Arial" w:eastAsia="Arial" w:hAnsi="Arial"/>
          <w:sz w:val="16"/>
          <w:szCs w:val="16"/>
          <w:color w:val="auto"/>
        </w:rPr>
        <w:t>integral multiples of $1,000 in excess thereof. The “agent’s message” described above must include the principal amount of Old Notes held by the holder to be tendered. The entire principal amount of Old Notes delivered to the Exchange Agent will be deemed to have been tendered unless otherwise indicated in the “agent’s message.” If less than the entire principal amount of any Old Notes is tendered, then Old Notes for the principal amount of the Old Notes not tendered will be returned by credit to the holder’s account at DTC, following the Expiration Date.</w:t>
      </w:r>
    </w:p>
    <w:p>
      <w:pPr>
        <w:spacing w:after="0" w:line="56" w:lineRule="exact"/>
        <w:rPr>
          <w:rFonts w:ascii="Arial" w:cs="Arial" w:eastAsia="Arial" w:hAnsi="Arial"/>
          <w:sz w:val="16"/>
          <w:szCs w:val="16"/>
          <w:color w:val="auto"/>
        </w:rPr>
      </w:pPr>
    </w:p>
    <w:p>
      <w:pPr>
        <w:jc w:val="both"/>
        <w:ind w:left="300" w:right="299" w:hanging="8"/>
        <w:spacing w:after="0" w:line="287" w:lineRule="auto"/>
        <w:tabs>
          <w:tab w:leader="none" w:pos="48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Transfer Taxes</w:t>
      </w:r>
      <w:r>
        <w:rPr>
          <w:rFonts w:ascii="Arial" w:cs="Arial" w:eastAsia="Arial" w:hAnsi="Arial"/>
          <w:sz w:val="16"/>
          <w:szCs w:val="16"/>
          <w:color w:val="auto"/>
        </w:rPr>
        <w:t>. The Issuer will pay or cause to be paid all transfer taxes, if any, applicable to the exchange of Old</w:t>
      </w:r>
      <w:r>
        <w:rPr>
          <w:rFonts w:ascii="Arial" w:cs="Arial" w:eastAsia="Arial" w:hAnsi="Arial"/>
          <w:sz w:val="16"/>
          <w:szCs w:val="16"/>
          <w:i w:val="1"/>
          <w:iCs w:val="1"/>
          <w:color w:val="auto"/>
        </w:rPr>
        <w:t xml:space="preserve"> </w:t>
      </w:r>
      <w:r>
        <w:rPr>
          <w:rFonts w:ascii="Arial" w:cs="Arial" w:eastAsia="Arial" w:hAnsi="Arial"/>
          <w:sz w:val="16"/>
          <w:szCs w:val="16"/>
          <w:color w:val="auto"/>
        </w:rPr>
        <w:t>Notes pursuant to the Exchange Offer. If, however, New Notes or Old Notes for principal amounts not tendered or accepted for exchange are to be delivered to, or are to be registered or issued in the name of, any person other than the registered holder of the Old Notes tendered hereby, or if tendered Old Notes are registered in the name of any person other than the person tendering the Old Notes, or if a transfer tax is imposed for any reason other than the exchange of Old Notes pursuant to the Exchange Offer, then the amount of any such transfer taxes (whether imposed on the registered holder or any other person) will be payable by the tendering holder. If satisfactory evidence of payment of such taxes or exemption therefrom is not submitted with this letter of transmittal, the amount of such transfer taxes will be billed directly to such tendering holder and the Exchange Agent will retain possession of an amount of New Notes with a face amount at least equal to the amount of such transfer taxes due by such tendering holder pending receipt by the Exchange Agent of the amount of such taxes.</w:t>
      </w:r>
    </w:p>
    <w:p>
      <w:pPr>
        <w:spacing w:after="0" w:line="63" w:lineRule="exact"/>
        <w:rPr>
          <w:rFonts w:ascii="Arial" w:cs="Arial" w:eastAsia="Arial" w:hAnsi="Arial"/>
          <w:sz w:val="16"/>
          <w:szCs w:val="16"/>
          <w:color w:val="auto"/>
        </w:rPr>
      </w:pPr>
    </w:p>
    <w:p>
      <w:pPr>
        <w:jc w:val="both"/>
        <w:ind w:left="300" w:right="299" w:hanging="8"/>
        <w:spacing w:after="0" w:line="253" w:lineRule="auto"/>
        <w:tabs>
          <w:tab w:leader="none" w:pos="4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Important Tax Information</w:t>
      </w:r>
      <w:r>
        <w:rPr>
          <w:rFonts w:ascii="Arial" w:cs="Arial" w:eastAsia="Arial" w:hAnsi="Arial"/>
          <w:sz w:val="18"/>
          <w:szCs w:val="18"/>
          <w:color w:val="auto"/>
        </w:rPr>
        <w:t>. Under U.S. federal income tax law, a holder of New Notes may be subject to backup</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withholding on reportable payments received in respect of the New Notes unless the holder provides the Exchange Agent with its correct taxpayer identification number (“TIN”) and certain other information on Internal Revenue Service (“IRS”) Form W-9, which is included herein, or otherwise establishes an exemption. If the Exchange Agent is not provided with the correct TIN or an adequate basis for an exemption, a holder may be subject to a penalty imposed by the IRS, and backup withholding (currently at a rate of 24%) may apply to any reportable payments made to such holder. Backup withholding is not an additional tax. Rather, the U.S. federal income tax liability of a person subject to backup withholding will be reduced by the amount withheld. If withholding results in an overpayment of taxes, a refund may be obtained, provided that the required information is timely provided to the 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106680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3" w:name="page74"/>
    <w:bookmarkEnd w:id="73"/>
    <w:p>
      <w:pPr>
        <w:jc w:val="both"/>
        <w:ind w:left="300" w:right="299"/>
        <w:spacing w:after="0" w:line="287" w:lineRule="auto"/>
        <w:rPr>
          <w:sz w:val="20"/>
          <w:szCs w:val="20"/>
          <w:color w:val="auto"/>
        </w:rPr>
      </w:pPr>
      <w:r>
        <w:rPr>
          <w:rFonts w:ascii="Arial" w:cs="Arial" w:eastAsia="Arial" w:hAnsi="Arial"/>
          <w:sz w:val="16"/>
          <w:szCs w:val="16"/>
          <w:color w:val="auto"/>
        </w:rPr>
        <w:t>To prevent backup withholding on reportable payments in respect of the New Notes, each holder that is a U.S. person for U.S. federal income tax purposes must provide such holder’s correct TIN by completing the enclosed IRS Form W-9, certifying that (i) the TIN provided on the IRS Form W-9 is correct (or that the holder is awaiting a TIN),</w:t>
      </w:r>
    </w:p>
    <w:p>
      <w:pPr>
        <w:spacing w:after="0" w:line="2" w:lineRule="exact"/>
        <w:rPr>
          <w:sz w:val="20"/>
          <w:szCs w:val="20"/>
          <w:color w:val="auto"/>
        </w:rPr>
      </w:pPr>
    </w:p>
    <w:p>
      <w:pPr>
        <w:ind w:left="580" w:hanging="288"/>
        <w:spacing w:after="0"/>
        <w:tabs>
          <w:tab w:leader="none" w:pos="5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holder is not subject to backup withholding because (x) the holder is exempt from backup withholding,</w:t>
      </w:r>
    </w:p>
    <w:p>
      <w:pPr>
        <w:spacing w:after="0" w:line="20" w:lineRule="exact"/>
        <w:rPr>
          <w:rFonts w:ascii="Arial" w:cs="Arial" w:eastAsia="Arial" w:hAnsi="Arial"/>
          <w:sz w:val="17"/>
          <w:szCs w:val="17"/>
          <w:color w:val="auto"/>
        </w:rPr>
      </w:pPr>
    </w:p>
    <w:p>
      <w:pPr>
        <w:jc w:val="both"/>
        <w:ind w:left="300" w:right="299" w:hanging="8"/>
        <w:spacing w:after="0" w:line="253" w:lineRule="auto"/>
        <w:tabs>
          <w:tab w:leader="none" w:pos="5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holder has not been notified by the IRS that he or she is subject to backup withholding as a result of a failure to report all interest or dividends, or (z) the IRS has notified the holder that he or she is no longer subject to backup withholding, (iii) the holder is a U.S. person for U.S. federal income tax purposes (including a U.S. resident alien), and (iv) the FATCA code entered on the IRS Form W-9, if any, to indicate that the holder is exempt from FATCA reporting, is correct.</w:t>
      </w:r>
    </w:p>
    <w:p>
      <w:pPr>
        <w:spacing w:after="0" w:line="83"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Certain holders (including, among others, corporations and certain non-U.S. persons) are not subject to backup withholding. Exempt U.S. holders should indicate their exempt status on IRS Form W-9 by entering the appropriate exempt payee code. Please see the instructions to the enclosed IRS Form W-9 for more detailed information about how to complete the IRS Form W-9, including information regarding the exempt payee codes.</w:t>
      </w:r>
    </w:p>
    <w:p>
      <w:pPr>
        <w:spacing w:after="0" w:line="63"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 non-U.S. holder may qualify as an exempt recipient by submitting to the Exchange Agent a properly completed IRS Form W-8BEN or other appropriate IRS Form W-8, signed under penalties of perjury, attesting to that holder’s exempt status. Non-U.S. holders are urged to consult with their tax advisors to determine which IRS Form W-8 is appropriate. The applicable IRS Form W-8 can be obtained from the Exchange Agent or the IRS website at www.irs.gov.</w:t>
      </w:r>
    </w:p>
    <w:p>
      <w:pPr>
        <w:spacing w:after="0" w:line="80" w:lineRule="exact"/>
        <w:rPr>
          <w:sz w:val="20"/>
          <w:szCs w:val="20"/>
          <w:color w:val="auto"/>
        </w:rPr>
      </w:pPr>
    </w:p>
    <w:p>
      <w:pPr>
        <w:jc w:val="both"/>
        <w:ind w:left="300" w:right="299" w:hanging="8"/>
        <w:spacing w:after="0" w:line="269" w:lineRule="auto"/>
        <w:tabs>
          <w:tab w:leader="none" w:pos="493"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Validity of Tenders</w:t>
      </w:r>
      <w:r>
        <w:rPr>
          <w:rFonts w:ascii="Arial" w:cs="Arial" w:eastAsia="Arial" w:hAnsi="Arial"/>
          <w:sz w:val="17"/>
          <w:szCs w:val="17"/>
          <w:color w:val="auto"/>
        </w:rPr>
        <w:t>. All questions as to the validity, form, eligibility (including time of receipt), acceptance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withdrawal of tendered Old Notes will be determined by the Issuer in its sole discretion, which determination will be conclusive, final and binding. The Issuer reserves the absolute right to reject any and all Old Notes not properly tendered or any Old Notes the Issuer’s acceptance of which would, in the opinion of the Issuer’s counsel, be unlawful. The Issuer also reserves the right to waive any conditions of the Exchange Offer or defects or irregularities of tenders as to particular Old Notes. The Issuer’s interpretation of the terms and conditions of the Exchange Offer (including the instructions in this letter of transmittal) shall be conclusive, final and binding on all parties. Unless waived, any defects or irregularities in connection with tenders of Old Notes must be cured within such time as the Issuer shall determine. Neither the Issuer, the Exchange Agent nor any other person shall be under any duty to give notification of defects or irregularities with respect to tenders of Old Notes nor shall any of them incur any liability for failure to give such notification. Each tendering holder, by delivery of an agent’s message, waives any right to receive any notice of the acceptance of such tender.</w:t>
      </w:r>
    </w:p>
    <w:p>
      <w:pPr>
        <w:spacing w:after="0" w:line="70" w:lineRule="exact"/>
        <w:rPr>
          <w:rFonts w:ascii="Arial" w:cs="Arial" w:eastAsia="Arial" w:hAnsi="Arial"/>
          <w:sz w:val="17"/>
          <w:szCs w:val="17"/>
          <w:color w:val="auto"/>
        </w:rPr>
      </w:pPr>
    </w:p>
    <w:p>
      <w:pPr>
        <w:ind w:left="300" w:right="319" w:hanging="8"/>
        <w:spacing w:after="0" w:line="277" w:lineRule="auto"/>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Waiver of Conditions</w:t>
      </w:r>
      <w:r>
        <w:rPr>
          <w:rFonts w:ascii="Arial" w:cs="Arial" w:eastAsia="Arial" w:hAnsi="Arial"/>
          <w:sz w:val="18"/>
          <w:szCs w:val="18"/>
          <w:color w:val="auto"/>
        </w:rPr>
        <w:t>. The Issuer reserves the absolute right to waive, in whole or in part, any of the conditions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Offer set forth in the Prospectus.</w:t>
      </w:r>
    </w:p>
    <w:p>
      <w:pPr>
        <w:spacing w:after="0" w:line="102" w:lineRule="exact"/>
        <w:rPr>
          <w:rFonts w:ascii="Arial" w:cs="Arial" w:eastAsia="Arial" w:hAnsi="Arial"/>
          <w:sz w:val="18"/>
          <w:szCs w:val="18"/>
          <w:color w:val="auto"/>
        </w:rPr>
      </w:pPr>
    </w:p>
    <w:p>
      <w:pPr>
        <w:ind w:left="480" w:hanging="188"/>
        <w:spacing w:after="0"/>
        <w:tabs>
          <w:tab w:leader="none" w:pos="48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No Conditional Tender</w:t>
      </w:r>
      <w:r>
        <w:rPr>
          <w:rFonts w:ascii="Arial" w:cs="Arial" w:eastAsia="Arial" w:hAnsi="Arial"/>
          <w:sz w:val="16"/>
          <w:szCs w:val="16"/>
          <w:color w:val="auto"/>
        </w:rPr>
        <w:t>. No alternative, conditional, irregular or contingent tender of Old Notes will be accepted.</w:t>
      </w:r>
    </w:p>
    <w:p>
      <w:pPr>
        <w:spacing w:after="0" w:line="140" w:lineRule="exact"/>
        <w:rPr>
          <w:rFonts w:ascii="Arial" w:cs="Arial" w:eastAsia="Arial" w:hAnsi="Arial"/>
          <w:sz w:val="16"/>
          <w:szCs w:val="16"/>
          <w:color w:val="auto"/>
        </w:rPr>
      </w:pPr>
    </w:p>
    <w:p>
      <w:pPr>
        <w:jc w:val="both"/>
        <w:ind w:left="300" w:right="299" w:hanging="8"/>
        <w:spacing w:after="0" w:line="279" w:lineRule="auto"/>
        <w:tabs>
          <w:tab w:leader="none" w:pos="48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Requests for Assistance or Additional Copies</w:t>
      </w:r>
      <w:r>
        <w:rPr>
          <w:rFonts w:ascii="Arial" w:cs="Arial" w:eastAsia="Arial" w:hAnsi="Arial"/>
          <w:sz w:val="17"/>
          <w:szCs w:val="17"/>
          <w:color w:val="auto"/>
        </w:rPr>
        <w:t>. Questions and requests for assistance or for additional copies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or this letter of transmittal may be directed to the Exchange Agent at the address or facsimile number set forth on the cover page of this letter of transmittal. Holders may also contact their broker, dealer, commercial bank, trust company or other nominee for assistance concerning the Exchange Offer.</w:t>
      </w:r>
    </w:p>
    <w:p>
      <w:pPr>
        <w:spacing w:after="0" w:line="63" w:lineRule="exact"/>
        <w:rPr>
          <w:rFonts w:ascii="Arial" w:cs="Arial" w:eastAsia="Arial" w:hAnsi="Arial"/>
          <w:sz w:val="17"/>
          <w:szCs w:val="17"/>
          <w:color w:val="auto"/>
        </w:rPr>
      </w:pPr>
    </w:p>
    <w:p>
      <w:pPr>
        <w:jc w:val="both"/>
        <w:ind w:left="300" w:right="299" w:hanging="8"/>
        <w:spacing w:after="0" w:line="253" w:lineRule="auto"/>
        <w:tabs>
          <w:tab w:leader="none" w:pos="57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Withdrawal</w:t>
      </w:r>
      <w:r>
        <w:rPr>
          <w:rFonts w:ascii="Arial" w:cs="Arial" w:eastAsia="Arial" w:hAnsi="Arial"/>
          <w:sz w:val="18"/>
          <w:szCs w:val="18"/>
          <w:color w:val="auto"/>
        </w:rPr>
        <w:t>. Tenders may be withdrawn only pursuant to the limited withdrawal rights set forth in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caption “The Exchange Offer-Withdrawal of Tenders.” For a withdrawal of tendered Old Notes to be effective, the Exchange Agent must receive, prior to 5:00 p.m., Eastern Standard Time, on the Expiration Date, a computer generated notice of withdrawal, transmitted on behalf of the holder in accordance with the appropriate procedures of DTC’s ATOP system. Any such notice of withdrawal must (1) specify the name of the tendering holder of Old Notes to be withdrawn, (2) specify the principal amount of the Old Notes delivered for exchange, (3) specify the name and number of the account at DTC to be credited with the withdrawn Old Notes, (4) include a statement that such holder is withdrawing its election to have the Old Notes exchanged, and (5) otherwise comply with the procedures of DTC.</w:t>
      </w:r>
    </w:p>
    <w:p>
      <w:pPr>
        <w:spacing w:after="0" w:line="84" w:lineRule="exact"/>
        <w:rPr>
          <w:sz w:val="20"/>
          <w:szCs w:val="20"/>
          <w:color w:val="auto"/>
        </w:rPr>
      </w:pPr>
    </w:p>
    <w:p>
      <w:pPr>
        <w:jc w:val="both"/>
        <w:ind w:left="300" w:right="299"/>
        <w:spacing w:after="0" w:line="258" w:lineRule="auto"/>
        <w:rPr>
          <w:sz w:val="20"/>
          <w:szCs w:val="20"/>
          <w:color w:val="auto"/>
        </w:rPr>
      </w:pPr>
      <w:r>
        <w:rPr>
          <w:rFonts w:ascii="Arial" w:cs="Arial" w:eastAsia="Arial" w:hAnsi="Arial"/>
          <w:sz w:val="18"/>
          <w:szCs w:val="18"/>
          <w:b w:val="1"/>
          <w:bCs w:val="1"/>
          <w:color w:val="auto"/>
        </w:rPr>
        <w:t>IMPORTANT: The Old Notes must be received by the Exchange Agent prior to 5:00 p.m., Eastern Standard Time, on the Expiration Date. Further, by using DTC’s ATOP procedures to tender and exchange Old Notes, you will not be required to deliver this letter of transmittal to the Exchange Agent. However, you will be bound by its terms, and you will be deemed to have made the acknowledgments and the representations and warranties it contains, just as if you had signed it.</w:t>
      </w:r>
    </w:p>
    <w:sectPr>
      <w:pgSz w:w="11900" w:h="16838" w:orient="portrait"/>
      <w:cols w:equalWidth="0" w:num="1">
        <w:col w:w="9019"/>
      </w:cols>
      <w:pgMar w:left="1440" w:top="2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decimal"/>
      <w:start w:val="1"/>
    </w:lvl>
    <w:lvl w:ilvl="1">
      <w:lvlJc w:val="left"/>
      <w:lvlText w:val="(%2)"/>
      <w:numFmt w:val="decimal"/>
      <w:start w:val="214"/>
    </w:lvl>
  </w:abstractNum>
  <w:abstractNum w:abstractNumId="1">
    <w:nsid w:val="4516DDE9"/>
    <w:multiLevelType w:val="hybridMultilevel"/>
    <w:lvl w:ilvl="0">
      <w:lvlJc w:val="left"/>
      <w:lvlText w:val="(%1)"/>
      <w:numFmt w:val="decimal"/>
      <w:start w:val="214"/>
    </w:lvl>
    <w:lvl w:ilvl="1">
      <w:lvlJc w:val="left"/>
      <w:lvlText w:val="%2"/>
      <w:numFmt w:val="decimal"/>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1)"/>
      <w:numFmt w:val="decimal"/>
      <w:start w:val="806"/>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decimal"/>
      <w:start w:val="806"/>
    </w:lvl>
  </w:abstractNum>
  <w:abstractNum w:abstractNumId="8">
    <w:nsid w:val="3804823E"/>
    <w:multiLevelType w:val="hybridMultilevel"/>
    <w:lvl w:ilvl="0">
      <w:lvlJc w:val="left"/>
      <w:lvlText w:val="(%1)"/>
      <w:numFmt w:val="lowerRoman"/>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1)"/>
      <w:numFmt w:val="lowerRoman"/>
      <w:start w:val="4"/>
    </w:lvl>
    <w:lvl w:ilvl="1">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lvl w:ilvl="1">
      <w:lvlJc w:val="left"/>
      <w:lvlText w:val="(%2)"/>
      <w:numFmt w:val="lowerLetter"/>
      <w:start w:val="1"/>
    </w:lvl>
  </w:abstractNum>
  <w:abstractNum w:abstractNumId="25">
    <w:nsid w:val="57E4CCAF"/>
    <w:multiLevelType w:val="hybridMultilevel"/>
    <w:lvl w:ilvl="0">
      <w:lvlJc w:val="left"/>
      <w:lvlText w:val="•"/>
      <w:numFmt w:val="bullet"/>
      <w:start w:val="1"/>
    </w:lvl>
    <w:lvl w:ilvl="1">
      <w:lvlJc w:val="left"/>
      <w:lvlText w:val="(%2)"/>
      <w:numFmt w:val="lowerLetter"/>
      <w:start w:val="3"/>
    </w:lvl>
  </w:abstractNum>
  <w:abstractNum w:abstractNumId="26">
    <w:nsid w:val="7A6D8D3C"/>
    <w:multiLevelType w:val="hybridMultilevel"/>
    <w:lvl w:ilvl="0">
      <w:lvlJc w:val="left"/>
      <w:lvlText w:val="•"/>
      <w:numFmt w:val="bullet"/>
      <w:start w:val="1"/>
    </w:lvl>
    <w:lvl w:ilvl="1">
      <w:lvlJc w:val="left"/>
      <w:lvlText w:val="(%2)"/>
      <w:numFmt w:val="lowerLetter"/>
      <w:start w:val="1"/>
    </w:lvl>
  </w:abstractNum>
  <w:abstractNum w:abstractNumId="27">
    <w:nsid w:val="4B588F54"/>
    <w:multiLevelType w:val="hybridMultilevel"/>
    <w:lvl w:ilvl="0">
      <w:lvlJc w:val="left"/>
      <w:lvlText w:val="•"/>
      <w:numFmt w:val="bullet"/>
      <w:start w:val="1"/>
    </w:lvl>
    <w:lvl w:ilvl="1">
      <w:lvlJc w:val="left"/>
      <w:lvlText w:val="(%2)"/>
      <w:numFmt w:val="lowerLetter"/>
      <w:start w:val="1"/>
    </w:lvl>
  </w:abstractNum>
  <w:abstractNum w:abstractNumId="28">
    <w:nsid w:val="542289EC"/>
    <w:multiLevelType w:val="hybridMultilevel"/>
    <w:lvl w:ilvl="0">
      <w:lvlJc w:val="left"/>
      <w:lvlText w:val="•"/>
      <w:numFmt w:val="bullet"/>
      <w:start w:val="1"/>
    </w:lvl>
    <w:lvl w:ilvl="1">
      <w:lvlJc w:val="left"/>
      <w:lvlText w:val="(%2)"/>
      <w:numFmt w:val="lowerLetter"/>
      <w:start w:val="2"/>
    </w:lvl>
  </w:abstractNum>
  <w:abstractNum w:abstractNumId="29">
    <w:nsid w:val="6DE91B18"/>
    <w:multiLevelType w:val="hybridMultilevel"/>
    <w:lvl w:ilvl="0">
      <w:lvlJc w:val="left"/>
      <w:lvlText w:val="•"/>
      <w:numFmt w:val="bullet"/>
      <w:start w:val="1"/>
    </w:lvl>
    <w:lvl w:ilvl="1">
      <w:lvlJc w:val="left"/>
      <w:lvlText w:val="(%2)"/>
      <w:numFmt w:val="lowerLetter"/>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lvl w:ilvl="1">
      <w:lvlJc w:val="left"/>
      <w:lvlText w:val="(%2)"/>
      <w:numFmt w:val="lowerRoman"/>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1)"/>
      <w:numFmt w:val="decimal"/>
      <w:start w:val="1"/>
    </w:lvl>
    <w:lvl w:ilvl="1">
      <w:lvlJc w:val="left"/>
      <w:lvlText w:val="(%2)"/>
      <w:numFmt w:val="lowerRoman"/>
      <w:start w:val="1"/>
    </w:lvl>
  </w:abstractNum>
  <w:abstractNum w:abstractNumId="50">
    <w:nsid w:val="180115BE"/>
    <w:multiLevelType w:val="hybridMultilevel"/>
    <w:lvl w:ilvl="0">
      <w:lvlJc w:val="left"/>
      <w:lvlText w:val="(%1)"/>
      <w:numFmt w:val="lowerLetter"/>
      <w:start w:val="1"/>
    </w:lvl>
  </w:abstractNum>
  <w:abstractNum w:abstractNumId="51">
    <w:nsid w:val="235BA861"/>
    <w:multiLevelType w:val="hybridMultilevel"/>
    <w:lvl w:ilvl="0">
      <w:lvlJc w:val="left"/>
      <w:lvlText w:val="(%1)"/>
      <w:numFmt w:val="lowerLetter"/>
      <w:start w:val="4"/>
    </w:lvl>
  </w:abstractNum>
  <w:abstractNum w:abstractNumId="52">
    <w:nsid w:val="47398C89"/>
    <w:multiLevelType w:val="hybridMultilevel"/>
    <w:lvl w:ilvl="0">
      <w:lvlJc w:val="left"/>
      <w:lvlText w:val="(%1)"/>
      <w:numFmt w:val="lowerRoman"/>
      <w:start w:val="1"/>
    </w:lvl>
  </w:abstractNum>
  <w:abstractNum w:abstractNumId="53">
    <w:nsid w:val="354FE9F9"/>
    <w:multiLevelType w:val="hybridMultilevel"/>
    <w:lvl w:ilvl="0">
      <w:lvlJc w:val="left"/>
      <w:lvlText w:val="%1)"/>
      <w:numFmt w:val="lowerLetter"/>
      <w:start w:val="1"/>
    </w:lvl>
  </w:abstractNum>
  <w:abstractNum w:abstractNumId="54">
    <w:nsid w:val="15B5AF5C"/>
    <w:multiLevelType w:val="hybridMultilevel"/>
    <w:lvl w:ilvl="0">
      <w:lvlJc w:val="left"/>
      <w:lvlText w:val="%1)"/>
      <w:numFmt w:val="lowerLetter"/>
      <w:start w:val="2"/>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1."/>
      <w:numFmt w:val="decimal"/>
      <w:start w:val="4"/>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2"/>
    </w:lvl>
  </w:abstractNum>
  <w:abstractNum w:abstractNumId="61">
    <w:nsid w:val="77AE35EB"/>
    <w:multiLevelType w:val="hybridMultilevel"/>
    <w:lvl w:ilvl="0">
      <w:lvlJc w:val="left"/>
      <w:lvlText w:val="(%1)"/>
      <w:numFmt w:val="lowerLetter"/>
      <w:start w:val="35"/>
    </w:lvl>
  </w:abstractNum>
  <w:abstractNum w:abstractNumId="62">
    <w:nsid w:val="579BE4F1"/>
    <w:multiLevelType w:val="hybridMultilevel"/>
    <w:lvl w:ilvl="0">
      <w:lvlJc w:val="left"/>
      <w:lvlText w:val="(%1)"/>
      <w:numFmt w:val="lowerLetter"/>
      <w:start w:val="25"/>
    </w:lvl>
  </w:abstractNum>
  <w:abstractNum w:abstractNumId="63">
    <w:nsid w:val="310C50B3"/>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jpe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jpeg"/><Relationship Id="rId119" Type="http://schemas.openxmlformats.org/officeDocument/2006/relationships/image" Target="media/image92.png"/><Relationship Id="rId120" Type="http://schemas.openxmlformats.org/officeDocument/2006/relationships/image" Target="media/image93.jpeg"/><Relationship Id="rId121" Type="http://schemas.openxmlformats.org/officeDocument/2006/relationships/image" Target="media/image94.png"/><Relationship Id="rId122" Type="http://schemas.openxmlformats.org/officeDocument/2006/relationships/image" Target="media/image95.jpe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29" Type="http://schemas.openxmlformats.org/officeDocument/2006/relationships/hyperlink" Target="https://www.sec.gov/Archives/edgar/data/1163668/000114036120006857/form10k.htm" TargetMode="External"/><Relationship Id="rId30" Type="http://schemas.openxmlformats.org/officeDocument/2006/relationships/hyperlink" Target="https://www.sec.gov/Archives/edgar/data/1163668/000114036120011557/form10q.htm" TargetMode="External"/><Relationship Id="rId31" Type="http://schemas.openxmlformats.org/officeDocument/2006/relationships/hyperlink" Target="https://www.sec.gov/Archives/edgar/data/1163668/000114036120018402/brhc10014344_10q.htm" TargetMode="External"/><Relationship Id="rId32" Type="http://schemas.openxmlformats.org/officeDocument/2006/relationships/hyperlink" Target="https://www.sec.gov/Archives/edgar/data/1163668/000114036120024737/brhc10016583_10q.htm" TargetMode="External"/><Relationship Id="rId33" Type="http://schemas.openxmlformats.org/officeDocument/2006/relationships/hyperlink" Target="https://www.sec.gov/Archives/edgar/data/1163668/000114036120000998/form8k.htm" TargetMode="External"/><Relationship Id="rId34" Type="http://schemas.openxmlformats.org/officeDocument/2006/relationships/hyperlink" Target="https://www.sec.gov/Archives/edgar/data/1163668/000114036120001611/form8ka.htm" TargetMode="External"/><Relationship Id="rId35" Type="http://schemas.openxmlformats.org/officeDocument/2006/relationships/hyperlink" Target="https://www.sec.gov/Archives/edgar/data/1163668/000114036120005820/form8k.htm" TargetMode="External"/><Relationship Id="rId36" Type="http://schemas.openxmlformats.org/officeDocument/2006/relationships/hyperlink" Target="https://www.sec.gov/Archives/edgar/data/1163668/000114036120009082/form8k.htm" TargetMode="External"/><Relationship Id="rId37" Type="http://schemas.openxmlformats.org/officeDocument/2006/relationships/hyperlink" Target="https://www.sec.gov/Archives/edgar/data/1163668/000114036120012176/form8k.htm" TargetMode="External"/><Relationship Id="rId38" Type="http://schemas.openxmlformats.org/officeDocument/2006/relationships/hyperlink" Target="https://www.sec.gov/Archives/edgar/data/1163668/000114036120016199/brhc10013525_8k.htm" TargetMode="External"/><Relationship Id="rId39" Type="http://schemas.openxmlformats.org/officeDocument/2006/relationships/hyperlink" Target="https://www.sec.gov/Archives/edgar/data/1163668/000114036120021876/brhc10015606_8k.htm" TargetMode="External"/><Relationship Id="rId40" Type="http://schemas.openxmlformats.org/officeDocument/2006/relationships/hyperlink" Target="https://www.sec.gov/Archives/edgar/data/1163668/000114036120023606/brhc10016147_8k.htm" TargetMode="External"/><Relationship Id="rId41" Type="http://schemas.openxmlformats.org/officeDocument/2006/relationships/hyperlink" Target="https://www.sec.gov/Archives/edgar/data/1163668/000114036120024275/brhc10016458_8k.htm" TargetMode="External"/><Relationship Id="rId42" Type="http://schemas.openxmlformats.org/officeDocument/2006/relationships/hyperlink" Target="https://www.sec.gov/Archives/edgar/data/1163668/000114036120007749/nc10010539x1_def14a.htm" TargetMode="External"/><Relationship Id="rId105" Type="http://schemas.openxmlformats.org/officeDocument/2006/relationships/hyperlink" Target="https://www.sec.gov/Archives/edgar/data/1163668/000114036119007042/s002614x4_ex3-1.htm" TargetMode="External"/><Relationship Id="rId106" Type="http://schemas.openxmlformats.org/officeDocument/2006/relationships/hyperlink" Target="https://www.sec.gov/Archives/edgar/data/1163668/000114036119007042/s002614x4_ex3-2.htm" TargetMode="External"/><Relationship Id="rId107" Type="http://schemas.openxmlformats.org/officeDocument/2006/relationships/hyperlink" Target="https://www.sec.gov/Archives/edgar/data/1163668/000114036120021876/brhc10015606_ex4-1.htm" TargetMode="External"/><Relationship Id="rId108" Type="http://schemas.openxmlformats.org/officeDocument/2006/relationships/hyperlink" Target="https://www.sec.gov/Archives/edgar/data/1163668/000114036120021876/brhc10015606_ex4-1.htm#EXHIBITA-l" TargetMode="External"/><Relationship Id="rId109" Type="http://schemas.openxmlformats.org/officeDocument/2006/relationships/hyperlink" Target="https://www.sec.gov/Archives/edgar/data/1163668/000114036120021876/brhc10015606_ex10-1.htm" TargetMode="External"/><Relationship Id="rId110" Type="http://schemas.openxmlformats.org/officeDocument/2006/relationships/hyperlink" Target="https://www.sec.gov/Archives/edgar/data/1163668/000114036120021876/bhrc10015606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2020-11-12T07:28:58Z</dcterms:created>
  <dcterms:modified xsi:type="dcterms:W3CDTF">2020-11-12T07:28:58Z</dcterms:modified>
</cp:coreProperties>
</file>