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132715</wp:posOffset>
            </wp:positionV>
            <wp:extent cx="8572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165100</wp:posOffset>
            </wp:positionV>
            <wp:extent cx="857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80" w:right="1440" w:hanging="3872"/>
        <w:spacing w:after="0" w:line="500" w:lineRule="auto"/>
        <w:tabs>
          <w:tab w:leader="none" w:pos="6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780" w:right="1580" w:hanging="3772"/>
        <w:spacing w:after="0" w:line="500" w:lineRule="auto"/>
        <w:tabs>
          <w:tab w:leader="none" w:pos="49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156845</wp:posOffset>
            </wp:positionV>
            <wp:extent cx="8572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75-2453320</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5219 City Bank Parkway</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7"/>
              </w:rPr>
              <w:t>Lubbock, Texas</w:t>
            </w:r>
          </w:p>
        </w:tc>
        <w:tc>
          <w:tcPr>
            <w:tcW w:w="3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79407</w:t>
            </w:r>
          </w:p>
        </w:tc>
      </w:tr>
      <w:tr>
        <w:trPr>
          <w:trHeight w:val="234"/>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(806) 792-7101</w:t>
      </w:r>
    </w:p>
    <w:p>
      <w:pPr>
        <w:spacing w:after="0" w:line="22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5, 2024, the registrant had 16,386,627 shares of common stock,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r>
      <w:tr>
        <w:trPr>
          <w:trHeight w:val="439"/>
        </w:trPr>
        <w:tc>
          <w:tcPr>
            <w:tcW w:w="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2"/>
        </w:trPr>
        <w:tc>
          <w:tcPr>
            <w:tcW w:w="9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PART I.</w:t>
            </w:r>
          </w:p>
        </w:tc>
        <w:tc>
          <w:tcPr>
            <w:tcW w:w="9580" w:type="dxa"/>
            <w:vAlign w:val="bottom"/>
            <w:gridSpan w:val="19"/>
            <w:shd w:val="clear" w:color="auto" w:fill="CCEEFF"/>
          </w:tcPr>
          <w:p>
            <w:pPr>
              <w:ind w:left="200"/>
              <w:spacing w:after="0" w:line="142" w:lineRule="exact"/>
              <w:rPr>
                <w:sz w:val="20"/>
                <w:szCs w:val="20"/>
                <w:color w:val="auto"/>
              </w:rPr>
            </w:pPr>
            <w:r>
              <w:rPr>
                <w:rFonts w:ascii="Times New Roman" w:cs="Times New Roman" w:eastAsia="Times New Roman" w:hAnsi="Times New Roman"/>
                <w:sz w:val="16"/>
                <w:szCs w:val="16"/>
                <w:color w:val="0000EE"/>
              </w:rPr>
              <w:t>FINANCIAL INFORMATION</w:t>
            </w:r>
          </w:p>
        </w:tc>
        <w:tc>
          <w:tcPr>
            <w:tcW w:w="7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3</w:t>
            </w:r>
          </w:p>
        </w:tc>
      </w:tr>
      <w:tr>
        <w:trPr>
          <w:trHeight w:val="34"/>
        </w:trPr>
        <w:tc>
          <w:tcPr>
            <w:tcW w:w="7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Consolidated Financial Statements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(Unaudited)</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6"/>
        </w:trPr>
        <w:tc>
          <w:tcPr>
            <w:tcW w:w="7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30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(Unaudited)</w:t>
            </w:r>
          </w:p>
        </w:tc>
        <w:tc>
          <w:tcPr>
            <w:tcW w:w="3800" w:type="dxa"/>
            <w:vAlign w:val="bottom"/>
            <w:tcBorders>
              <w:top w:val="single" w:sz="8" w:color="CCEEFF"/>
            </w:tcBorders>
            <w:gridSpan w:val="2"/>
          </w:tcPr>
          <w:p>
            <w:pPr>
              <w:spacing w:after="0"/>
              <w:rPr>
                <w:sz w:val="15"/>
                <w:szCs w:val="15"/>
                <w:color w:val="auto"/>
              </w:rPr>
            </w:pPr>
          </w:p>
        </w:tc>
        <w:tc>
          <w:tcPr>
            <w:tcW w:w="7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398"/>
        </w:trPr>
        <w:tc>
          <w:tcPr>
            <w:tcW w:w="7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292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6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9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9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868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62,821</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251,982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267,337</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298,006</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591,031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622,762</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($12,252 and $6,615 at fair value at June 30, 2024 and December 31, 2023, respectively)</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14,499</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3,094,273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3,014,153</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(43,173)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(42,356)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3,051,100</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2,971,797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20,881</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53,952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55,070</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74,504</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19,315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19,315</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26,426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26,569</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19,413</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45,403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47,396</w:t>
            </w:r>
          </w:p>
        </w:tc>
        <w:tc>
          <w:tcPr>
            <w:tcW w:w="0" w:type="dxa"/>
            <w:vAlign w:val="bottom"/>
          </w:tcPr>
          <w:p>
            <w:pPr>
              <w:spacing w:after="0"/>
              <w:rPr>
                <w:sz w:val="1"/>
                <w:szCs w:val="1"/>
                <w:color w:val="auto"/>
              </w:rPr>
            </w:pPr>
          </w:p>
        </w:tc>
      </w:tr>
      <w:tr>
        <w:trPr>
          <w:trHeight w:val="256"/>
        </w:trPr>
        <w:tc>
          <w:tcPr>
            <w:tcW w:w="86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4,220,936</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4,204,793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Deposits:</w:t>
            </w: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Noninterest-bearing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951,565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974,201</w:t>
            </w:r>
          </w:p>
        </w:tc>
        <w:tc>
          <w:tcPr>
            <w:tcW w:w="0" w:type="dxa"/>
            <w:vAlign w:val="bottom"/>
          </w:tcPr>
          <w:p>
            <w:pPr>
              <w:spacing w:after="0"/>
              <w:rPr>
                <w:sz w:val="1"/>
                <w:szCs w:val="1"/>
                <w:color w:val="auto"/>
              </w:rPr>
            </w:pPr>
          </w:p>
        </w:tc>
      </w:tr>
      <w:tr>
        <w:trPr>
          <w:trHeight w:val="223"/>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Interest-bearing</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2,672,948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2,651,952</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deposits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3,624,513</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68,177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61,358</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63,775</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46,393</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3,802,951</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3,797,679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4"/>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$1.00 par value per share, 30,000,000 shares authorized; 16,424,021 and 16,417,099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outstanding at June 30, 2024 and December 31, 2023, respectively</w:t>
            </w:r>
          </w:p>
        </w:tc>
        <w:tc>
          <w:tcPr>
            <w:tcW w:w="10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16,424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16,417</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97,107</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362,855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345,264</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(59,060)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(51,674)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4"/>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417,985</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407,114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4,220,936</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4,204,793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including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99,503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82,461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Non-taxable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2,224</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funds sold and interest-bearing deposits in banks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2,979</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50,821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117,935</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98,269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43,292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25,803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16,240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46,679</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35,888</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71,256</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68,896</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2,605</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4,710</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34,113</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mortgage banking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commissions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Fiduciary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240" w:type="dxa"/>
            <w:vAlign w:val="bottom"/>
          </w:tcPr>
          <w:p>
            <w:pPr>
              <w:spacing w:after="0"/>
              <w:rPr>
                <w:sz w:val="18"/>
                <w:szCs w:val="18"/>
                <w:color w:val="auto"/>
              </w:rPr>
            </w:pP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33,488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47,112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24,118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57,803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23,437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38,187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42,691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Occupancy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7,949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 and data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card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Appraisal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on sale of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3,409</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8,086</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8,542</w:t>
            </w: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64,502</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37,494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28,267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49,129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38,927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0.68</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38,927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561</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(7,109)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Change in fair value on hedged state and municipal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for loss on sale of securities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3,409</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effect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(1,449)</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(7,386)</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3,280</w:t>
            </w:r>
          </w:p>
        </w:tc>
      </w:tr>
      <w:tr>
        <w:trPr>
          <w:trHeight w:val="257"/>
        </w:trPr>
        <w:tc>
          <w:tcPr>
            <w:tcW w:w="59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70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80" w:type="dxa"/>
            <w:vAlign w:val="bottom"/>
          </w:tcPr>
          <w:p>
            <w:pPr>
              <w:spacing w:after="0"/>
              <w:rPr>
                <w:sz w:val="18"/>
                <w:szCs w:val="18"/>
                <w:color w:val="auto"/>
              </w:rPr>
            </w:pPr>
          </w:p>
        </w:tc>
        <w:tc>
          <w:tcPr>
            <w:tcW w:w="27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17,027,197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112,834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292,261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(65,108)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357,014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38,927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38,927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 $0.26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adoption of ASU 2016-13 -</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CECL</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net of 24,140 shares for cashless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and net of 13,892 shares for</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37,829</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(112,954)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16,952,072</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325,772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16,417,099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97,107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345,264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407,114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 $0.27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(7,386)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(7,386)</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net of 4,051 shares for cashless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and net of 4,675 shares for taxes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20,721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(13,799)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16,424,021</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362,855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17,062,572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17,062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112,981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298,300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(60,379)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367,964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29,683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29,683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 $0.13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net of 10,567 shares for cashless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(112,954)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16,952,072</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325,772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16,431,755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16,432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97,406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354,011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(59,137)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408,712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11,134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 $0.14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(2,290)</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related to stock-based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net of 1,445 shares for cashless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16,424,021</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362,855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38,927</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foreclosed asset losses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Accretion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gains,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(33,488)</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sale of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3,409</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(6,446)</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194,977</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 originated for sale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(151,879)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(181,019)</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Earnings on bank-owned life insurance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1,114</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valuation of mortgage servicing rights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Accrued interest receivable and other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(4,759)</w:t>
            </w:r>
          </w:p>
        </w:tc>
      </w:tr>
      <w:tr>
        <w:trPr>
          <w:trHeight w:val="223"/>
        </w:trPr>
        <w:tc>
          <w:tcPr>
            <w:tcW w:w="86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37,337</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25,725</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Activity in 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(299,849)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52,828</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320,058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20,418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originations and principal collections,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(82,575)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(232,692)</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(3,452)</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premises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subsidiary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foreclosed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(62,960)</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(125,810)</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168,092</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Payments to tax authorities for 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(4,419)</w:t>
            </w: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Payments to repurchase common stock</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(2,548)</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(32,152)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60,698</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330,158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234,883</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298,006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295,581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paid on deposits and borrowed funds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45,667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28,552</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schedule of noncash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transferred to foreclosed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Premises and equipment transferred to other real estate owned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mortgage servicing rights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7" w:lineRule="exact"/>
        <w:rPr>
          <w:sz w:val="20"/>
          <w:szCs w:val="20"/>
          <w:color w:val="auto"/>
        </w:rPr>
      </w:pPr>
    </w:p>
    <w:p>
      <w:pPr>
        <w:jc w:val="both"/>
        <w:ind w:firstLine="1"/>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Nature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South Plains Financial, Inc. (“SPFI”) is a Texas corporation and registered bank holding company that conducts its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through its subsidiaries from offices located throughout Texas and Eastern New Mexico. Principal activities include commercial and retail banking, along with investment, trust, and mortgage services. The following were subsidiaries of SPFI as of June 30,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Wholly-Owned, Consolidated Subsidiaries:</w:t>
            </w:r>
          </w:p>
        </w:tc>
        <w:tc>
          <w:tcPr>
            <w:tcW w:w="6380" w:type="dxa"/>
            <w:vAlign w:val="bottom"/>
          </w:tcPr>
          <w:p>
            <w:pPr>
              <w:spacing w:after="0"/>
              <w:rPr>
                <w:sz w:val="20"/>
                <w:szCs w:val="20"/>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City Bank</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Bank subsidiary</w:t>
            </w:r>
          </w:p>
        </w:tc>
      </w:tr>
      <w:tr>
        <w:trPr>
          <w:trHeight w:val="216"/>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Ruidoso Retail, Inc.</w:t>
            </w:r>
          </w:p>
        </w:tc>
        <w:tc>
          <w:tcPr>
            <w:tcW w:w="6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CB Provence, LLC</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CBT Brushy Creek, LLC</w:t>
            </w:r>
          </w:p>
        </w:tc>
        <w:tc>
          <w:tcPr>
            <w:tcW w:w="6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CBT Properties, LLC</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Wholly-Owned, Equity Method Subsidiaries:</w:t>
            </w:r>
          </w:p>
        </w:tc>
        <w:tc>
          <w:tcPr>
            <w:tcW w:w="6380" w:type="dxa"/>
            <w:vAlign w:val="bottom"/>
          </w:tcPr>
          <w:p>
            <w:pPr>
              <w:spacing w:after="0"/>
              <w:rPr>
                <w:sz w:val="18"/>
                <w:szCs w:val="18"/>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Plains Financial Capital Trusts (“SPFCT”) III-V</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subsidiaries</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2023, SPFI entered into a Securities Purchase Agreement (“Agreement”) with Alliant Insurance Services, Inc. (“Alliant”), providing for the sale of Windmark Insurance Agency, Inc. (“Windmark”), City Bank’s wholly-owned subsidiary, through a sale of all of the outstanding shares of capital stock of Windmark to Alliant. The transaction was consummated on April 1, 2023. Pursuant to the terms and subject to the conditions of the Agreement, SPFI received an aggregate purchase price of $36.1 million in exchange for Windmark’s common shares, representing a pre-tax gain of $33.5 million through the six months ended June 30, 2023. This transaction did not meet the criteria for discontinued operations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 and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 this Quarterly Report on Form 10-Q for the three and six months ended June 30, 2024 (this “Form 10-Q”) include the accounts of SPFI and its wholly-owned consolidated subsidiaries (collectively referred to as the “Company”) identified above. All significant intercompany balances and transactions have been eliminated in consolidation.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2023 as filed with the SEC on March 15, 2024 (the “2023 Annual Report on Form 10-K”). Operating results for the interim periods disclosed herein are not necessarily indicative of the results that may be expected for a full year or any future period.</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Use of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(“ACL”) is a material estimate that is particularly susceptible to significant change in the near term; the assumptions used in stock-based compensation, derivatives, mortgage servicing rights, and fair values of financial instruments can also involve significant management estimates.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Updates to the Financial Accounting Standards Board (“FASB”) Accounting Standards Codification (“ASC”)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prescribed in Accounting Standards Updates (“ASUs”), which are not authoritative until incorporated into the ASC.</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ASU 2023-06, Disclosure Improvements: Codification Amendments in Response to the SEC’s Disclosure Update and Simplification Initiative.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Update modify the disclosure or presentation requirements of a variety of Topics in the Codification. Certain of the amendments represent clarifications to, or technical corrections of the current requirements. Each amendment in the ASU will only become effective if the SEC removes the related disclosure or presentation requirement from its existing regulations by June 30, 2027. The amendments in this ASU are not expected to have a material impact on the results of operations or financial position.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2023-07, Segment Reporting (Topic 280): Improvements to Reportable Segment Disclosures. </w:t>
      </w:r>
      <w:r>
        <w:rPr>
          <w:rFonts w:ascii="Times New Roman" w:cs="Times New Roman" w:eastAsia="Times New Roman" w:hAnsi="Times New Roman"/>
          <w:sz w:val="18"/>
          <w:szCs w:val="18"/>
          <w:color w:val="auto"/>
        </w:rPr>
        <w:t>The amendments in this Update require public entities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 information about reportable segments’ significant expenses on an interim and annual basis. This update is effective for fiscal years beginning after December 15, 2023, and interim periods within fiscal years beginning after December 15, 2024. The adoption of ASU 2023-07 is not expected to have a material effect on the Company’s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ASU 2023-09, Income Taxes (Topic 740): Improvements to Income Tax Disclosures. </w:t>
      </w:r>
      <w:r>
        <w:rPr>
          <w:rFonts w:ascii="Times New Roman" w:cs="Times New Roman" w:eastAsia="Times New Roman" w:hAnsi="Times New Roman"/>
          <w:sz w:val="18"/>
          <w:szCs w:val="18"/>
          <w:color w:val="auto"/>
        </w:rPr>
        <w:t>The amendments in this Update are intended to improve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transparency of income tax disclosures by requiring consistent categories and greater disaggregation of information in the rate reconciliation and income taxes paid disaggregated by jurisdiction. It also includes certain other amendments intended to improve the effectiveness of income tax disclosures. This update is effective for fiscal years beginning after December 15, 2024. The adoption of ASU 2023-09 is not expected to have a material effect on the Company’s financial statements.</w:t>
      </w:r>
    </w:p>
    <w:p>
      <w:pPr>
        <w:spacing w:after="0" w:line="18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Subsequent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evaluated subsequent events and transactions from June 30, 2024 through the date this Form 10-Q was filed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for potential recognition or disclosure as required by GAAP.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related gross unrealized gains and losses, allowance for credit losses, and estimated fair value of securities available for sale at the dates indicated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Credit</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10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75"/>
        </w:trPr>
        <w:tc>
          <w:tcPr>
            <w:tcW w:w="10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2024</w:t>
            </w:r>
          </w:p>
        </w:tc>
        <w:tc>
          <w:tcPr>
            <w:tcW w:w="36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176,032</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(58,206)</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278,466</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47,256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(6,551)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40,705</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69,260</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69,118</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17,342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15,705</w:t>
            </w:r>
          </w:p>
        </w:tc>
      </w:tr>
      <w:tr>
        <w:trPr>
          <w:trHeight w:val="22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11,005</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3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683,368</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591,031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Credit</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14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75"/>
        </w:trPr>
        <w:tc>
          <w:tcPr>
            <w:tcW w:w="4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180,575</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(50,547)</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300,704</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47,898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41,748</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72,391</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71,930</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18,476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17,040</w:t>
            </w:r>
          </w:p>
        </w:tc>
      </w:tr>
      <w:tr>
        <w:trPr>
          <w:trHeight w:val="22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10,765</w:t>
            </w:r>
          </w:p>
        </w:tc>
      </w:tr>
      <w:tr>
        <w:trPr>
          <w:trHeight w:val="256"/>
        </w:trPr>
        <w:tc>
          <w:tcPr>
            <w:tcW w:w="142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704,830</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securities at June 30, 2024 are presented below by contractual maturity (dollars in thousands). Expected maturities may differ from contractual maturities because issuers may have the right to call or prepay obligations. Declining-balance securities are shown separately since they are not due at a single maturity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Available for Sale</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16,152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165,389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Declining-balance securities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470,530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683,368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591,031</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both June 30, 2024 and December 31, 2023, there were no holdings of securities of any one issuer, other than the U.S. government, its agencies, or its sponsored enterprises, in an amount greater than 10% of stockholders’ equity.</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with a carrying value of approximately $300.7 million and $438.9 million at June 30, 2024 and December 31, 2023, respectively, were pledged to collateralize public deposits and for other purposes as required or permitted by law.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segregates securities with unrealized losses at the periods indicated, by the duration they have been in a loss position for which an allowance for credit losses has not been recorded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Pr>
          <w:p>
            <w:pPr>
              <w:spacing w:after="0"/>
              <w:rPr>
                <w:sz w:val="21"/>
                <w:szCs w:val="21"/>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66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62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60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1"/>
                <w:szCs w:val="21"/>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1"/>
                <w:szCs w:val="21"/>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175"/>
        </w:trPr>
        <w:tc>
          <w:tcPr>
            <w:tcW w:w="3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June 30, 2024</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173,973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24,794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174,746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24,807</w:t>
            </w: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278,466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58,206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278,466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58,206</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6,551</w:t>
            </w:r>
          </w:p>
        </w:tc>
      </w:tr>
      <w:tr>
        <w:trPr>
          <w:trHeight w:val="198"/>
        </w:trPr>
        <w:tc>
          <w:tcPr>
            <w:tcW w:w="3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Commercial collateralized mortgage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69,118</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69,118</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198"/>
        </w:trPr>
        <w:tc>
          <w:tcPr>
            <w:tcW w:w="3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15,705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1,637</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15,705</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w:t>
            </w:r>
          </w:p>
        </w:tc>
      </w:tr>
      <w:tr>
        <w:trPr>
          <w:trHeight w:val="223"/>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585,646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589,744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32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177,908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178,115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22,241</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300,695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50,547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300,704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50,547</w:t>
            </w: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41,748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41,748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6,150</w:t>
            </w:r>
          </w:p>
        </w:tc>
      </w:tr>
      <w:tr>
        <w:trPr>
          <w:trHeight w:val="198"/>
        </w:trPr>
        <w:tc>
          <w:tcPr>
            <w:tcW w:w="3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collateralized mortgage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71,930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71,930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198"/>
        </w:trPr>
        <w:tc>
          <w:tcPr>
            <w:tcW w:w="3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Asset-backed and other amortizing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1,436</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1,235</w:t>
            </w:r>
          </w:p>
        </w:tc>
      </w:tr>
      <w:tr>
        <w:trPr>
          <w:trHeight w:val="27"/>
        </w:trPr>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616,800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81,856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620,302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82,070</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were 144 securities with an unrealized loss at June 30, 2024, generally due to increases in market rates. Management evaluates AFS securities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as there are adequate liquidity sources to meet expected and unexpected funding needs. The fair value of these securities is expected to recover as the securities approach their maturity date or repricing date or if market yields for such investments decline. Accordingly, as of June 30, 2024, management believes the unrealized loss positions detailed in the previous table are due to non-credit related factors, including changes in interest rates and other market conditions, and therefore no ACL or losses have been recognized or realized in the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LOANS HELD FOR INVESTMENT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investment are summarized by category as of the periods presented below (dollars in thousands):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1,081,056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372,376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517,361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534,731</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305,271</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74,168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129,190</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3,094,273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3,014,153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(43,173)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(42,356)</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3,051,100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2,971,797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Commercial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Underwriting standards have been designed to determine whether the borrower possesses sound business ethics and practices,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current and projected cash flows to determine the ability of the borrower to repay their obligations as agreed and ensure appropriate collateral is obtained to secure the loan. Commercial real estate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Commercial – General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Commercial loans are underwritten after evaluating and understanding the borrower’s ability to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Loans to consumers include 1-4 family residential loans, auto loans, and other loans for recreational vehicles or other purposes.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Loans for residential construction are for single-family properties to developers, builders, or end-users. These loans are underwritten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commercial real estate and construction categories comprise the Company’s nonowner-occupied real estate loans. Total nonowner-occupied real estate loans were $1.23 billion at June 30, 2024, and $1.20 billion at December 31,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ACL for loans was $43.2 million at June 30, 2024, compared to $42.4 million at December 31, 2023. The ACL for loans to loans held for investment was 1.40% at June 30, 2024 and 1.41% at December 31, 2023.</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detail the activity in the ACL for loans for the periods indicated (dollars in thousands). Allocation of a portion of the allowance to one category of loans does not preclude its availability to absorb losses in other categories.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0" w:type="dxa"/>
            <w:vAlign w:val="bottom"/>
          </w:tcPr>
          <w:p>
            <w:pPr>
              <w:spacing w:after="0"/>
              <w:rPr>
                <w:sz w:val="1"/>
                <w:szCs w:val="1"/>
                <w:color w:val="auto"/>
              </w:rPr>
            </w:pPr>
          </w:p>
        </w:tc>
      </w:tr>
      <w:tr>
        <w:trPr>
          <w:trHeight w:val="277"/>
        </w:trPr>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4"/>
                <w:szCs w:val="24"/>
                <w:color w:val="auto"/>
              </w:rPr>
            </w:pPr>
          </w:p>
        </w:tc>
        <w:tc>
          <w:tcPr>
            <w:tcW w:w="1220" w:type="dxa"/>
            <w:vAlign w:val="bottom"/>
            <w:gridSpan w:val="2"/>
          </w:tcPr>
          <w:p>
            <w:pPr>
              <w:jc w:val="center"/>
              <w:ind w:right="400"/>
              <w:spacing w:after="0" w:line="270" w:lineRule="exact"/>
              <w:rPr>
                <w:sz w:val="20"/>
                <w:szCs w:val="20"/>
                <w:color w:val="auto"/>
              </w:rPr>
            </w:pPr>
            <w:r>
              <w:rPr>
                <w:rFonts w:ascii="Times New Roman" w:cs="Times New Roman" w:eastAsia="Times New Roman" w:hAnsi="Times New Roman"/>
                <w:sz w:val="18"/>
                <w:szCs w:val="18"/>
                <w:b w:val="1"/>
                <w:bCs w:val="1"/>
                <w:color w:val="auto"/>
                <w:w w:val="90"/>
              </w:rPr>
              <w:t>Losses</w:t>
            </w:r>
            <w:r>
              <w:rPr>
                <w:rFonts w:ascii="Times New Roman" w:cs="Times New Roman" w:eastAsia="Times New Roman" w:hAnsi="Times New Roman"/>
                <w:sz w:val="29"/>
                <w:szCs w:val="29"/>
                <w:b w:val="1"/>
                <w:bCs w:val="1"/>
                <w:color w:val="auto"/>
                <w:w w:val="90"/>
                <w:vertAlign w:val="superscript"/>
              </w:rPr>
              <w:t>(1)</w:t>
            </w:r>
          </w:p>
        </w:tc>
        <w:tc>
          <w:tcPr>
            <w:tcW w:w="1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Charge-offs</w:t>
            </w: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175"/>
        </w:trPr>
        <w:tc>
          <w:tcPr>
            <w:tcW w:w="4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 June 30, 2024</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15,593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4,736</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9,702</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 June 30, 2023</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13,381</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14,501</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7,637</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8,851</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7"/>
        </w:trPr>
        <w:tc>
          <w:tcPr>
            <w:tcW w:w="2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43,137</w:t>
            </w: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For the six months ended June 30, 2024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6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8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15,593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4,736</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9,702</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58" w:lineRule="auto"/>
        <w:tabs>
          <w:tab w:leader="none" w:pos="2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2024 the provision for credit loss of $1.8 million and $2.6 million, respectively, on the Consolidated Statement of Comprehensive Income includes a provision for credit losses on loans of $1.8 million and $2.5 million, respectively, and a provision for off-balance sheet credit exposures of $— and $65 thousand , respectively. For the three months ended June 30, 2023, the $3.7 million provision for credit loss on the Consolidated Statement of Comprehensive Income includes a $4.0 million provision for credit losses on loans and a $(260) thousand provision for off-balance sheet credit exposures.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Impact of</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Provision for</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CECL</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Ending</w:t>
            </w:r>
          </w:p>
        </w:tc>
      </w:tr>
      <w:tr>
        <w:trPr>
          <w:trHeight w:val="277"/>
        </w:trPr>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160" w:type="dxa"/>
            <w:vAlign w:val="bottom"/>
          </w:tcPr>
          <w:p>
            <w:pPr>
              <w:spacing w:after="0"/>
              <w:rPr>
                <w:sz w:val="24"/>
                <w:szCs w:val="24"/>
                <w:color w:val="auto"/>
              </w:rPr>
            </w:pPr>
          </w:p>
        </w:tc>
        <w:tc>
          <w:tcPr>
            <w:tcW w:w="1200" w:type="dxa"/>
            <w:vAlign w:val="bottom"/>
            <w:gridSpan w:val="2"/>
          </w:tcPr>
          <w:p>
            <w:pPr>
              <w:jc w:val="center"/>
              <w:ind w:right="360"/>
              <w:spacing w:after="0" w:line="270" w:lineRule="exact"/>
              <w:rPr>
                <w:sz w:val="20"/>
                <w:szCs w:val="20"/>
                <w:color w:val="auto"/>
              </w:rPr>
            </w:pPr>
            <w:r>
              <w:rPr>
                <w:rFonts w:ascii="Times New Roman" w:cs="Times New Roman" w:eastAsia="Times New Roman" w:hAnsi="Times New Roman"/>
                <w:sz w:val="18"/>
                <w:szCs w:val="18"/>
                <w:b w:val="1"/>
                <w:bCs w:val="1"/>
                <w:color w:val="auto"/>
                <w:w w:val="93"/>
              </w:rPr>
              <w:t>Losses</w:t>
            </w:r>
            <w:r>
              <w:rPr>
                <w:rFonts w:ascii="Times New Roman" w:cs="Times New Roman" w:eastAsia="Times New Roman" w:hAnsi="Times New Roman"/>
                <w:sz w:val="29"/>
                <w:szCs w:val="29"/>
                <w:b w:val="1"/>
                <w:bCs w:val="1"/>
                <w:color w:val="auto"/>
                <w:w w:val="93"/>
                <w:vertAlign w:val="superscript"/>
              </w:rPr>
              <w:t>(1)</w:t>
            </w:r>
          </w:p>
        </w:tc>
        <w:tc>
          <w:tcPr>
            <w:tcW w:w="1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Charge-offs</w:t>
            </w: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Balance</w:t>
            </w:r>
          </w:p>
        </w:tc>
      </w:tr>
      <w:tr>
        <w:trPr>
          <w:trHeight w:val="175"/>
        </w:trPr>
        <w:tc>
          <w:tcPr>
            <w:tcW w:w="32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For the six months ended June 30, 2023</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8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14,501</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4,154</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(2,574)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7,637</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8,851</w:t>
            </w:r>
          </w:p>
        </w:tc>
      </w:tr>
      <w:tr>
        <w:trPr>
          <w:trHeight w:val="216"/>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r>
      <w:tr>
        <w:trPr>
          <w:trHeight w:val="216"/>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r>
      <w:tr>
        <w:trPr>
          <w:trHeight w:val="22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2,987</w:t>
            </w:r>
          </w:p>
        </w:tc>
      </w:tr>
      <w:tr>
        <w:trPr>
          <w:trHeight w:val="256"/>
        </w:trPr>
        <w:tc>
          <w:tcPr>
            <w:tcW w:w="28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39,288</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firstLine="8"/>
        <w:spacing w:after="0" w:line="282" w:lineRule="auto"/>
        <w:tabs>
          <w:tab w:leader="none" w:pos="2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$4.7 million provision for credit loss on the Consolidated Statement of Comprehensive Income includes a $4.8 million provision for credit losses on loans and a $(50) thousand provision for off-balance sheet credit exposures for the six months ended June 30, 2023.</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decrease in the provision for credit losses during the three months ended June 30, 2024, compared to the three months ended June 30, 2023, was primarily due to a decrease in loan growth and specific reserves during the three months ended June 30, 2024 as compared to the three months ended June 30,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the provision for credit losses during the six months ended June 30, 2024, compared to the six months ended June 30, 2023, was primarily due to a decrease in loan growth and specific reserves during the six months ended June 30, 2024 as compared to the six months ended June 30, 2023.</w:t>
      </w:r>
    </w:p>
    <w:p>
      <w:pPr>
        <w:sectPr>
          <w:pgSz w:w="11900" w:h="16838" w:orient="portrait"/>
          <w:cols w:equalWidth="0" w:num="1">
            <w:col w:w="11240"/>
          </w:cols>
          <w:pgMar w:left="320" w:top="116" w:right="339" w:bottom="12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2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amortized cost in loans and related ACL for collateral dependent loans by class using the fair value of collateral loss estimation methodology of evaluating expected credit losses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ACL</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 Loans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Evaluated</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20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Evaluated</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175"/>
        </w:trPr>
        <w:tc>
          <w:tcPr>
            <w:tcW w:w="4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20,551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20,551</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3"/>
        </w:trPr>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ACL</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 Loans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Evaluated</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20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Evaluated</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175"/>
        </w:trPr>
        <w:tc>
          <w:tcPr>
            <w:tcW w:w="4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provides an age analysis on accruing past-due loans and nonaccrual loans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90 Days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r>
      <w:tr>
        <w:trPr>
          <w:trHeight w:val="216"/>
        </w:trPr>
        <w:tc>
          <w:tcPr>
            <w:tcW w:w="10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More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with no</w:t>
            </w:r>
          </w:p>
        </w:tc>
      </w:tr>
      <w:tr>
        <w:trPr>
          <w:trHeight w:val="245"/>
        </w:trPr>
        <w:tc>
          <w:tcPr>
            <w:tcW w:w="10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c>
          <w:tcPr>
            <w:tcW w:w="12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ACL</w:t>
            </w:r>
          </w:p>
        </w:tc>
      </w:tr>
      <w:tr>
        <w:trPr>
          <w:trHeight w:val="175"/>
        </w:trPr>
        <w:tc>
          <w:tcPr>
            <w:tcW w:w="60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90 Days or</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r>
      <w:tr>
        <w:trPr>
          <w:trHeight w:val="216"/>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More Past</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with no</w:t>
            </w:r>
          </w:p>
        </w:tc>
      </w:tr>
      <w:tr>
        <w:trPr>
          <w:trHeight w:val="245"/>
        </w:trPr>
        <w:tc>
          <w:tcPr>
            <w:tcW w:w="14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Due</w:t>
            </w: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ACL</w:t>
            </w:r>
          </w:p>
        </w:tc>
      </w:tr>
      <w:tr>
        <w:trPr>
          <w:trHeight w:val="176"/>
        </w:trPr>
        <w:tc>
          <w:tcPr>
            <w:tcW w:w="5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56"/>
        </w:trPr>
        <w:tc>
          <w:tcPr>
            <w:tcW w:w="14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795"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795"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Quality Indicators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by the Company about the risks of default associated with the loan. The Company reviews the grades on loans as part of the Company’s on-going monitoring of the credit quality of the loan portfolio. 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 thousand with direct exposure. Interest income recognized using a cash-basis method on non-accrual loans for the three and six months ended June 30, 2024 and 2023 was not significant. In addition, the Company closely monitors substandard accruing loans over $1 million with direct exposure, and past due accruing loans over $100 thousand for possible individual evaluation. All other loans will be evaluated collectively in designated pools unless a loss exposure has been identified. Additional funds committed to be advanced on individually analyzed loans are not significant.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tables reflect the amortized cost basis in loans held for investment by credit quality indicator and origination year at the dates indicated, and related year-to-date gross charge-offs. Loans acquired are shown in the table by origination year, not merger date. The Company had an immaterial amount of revolving loans converted to term loans at June 30, 2024 and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Term Loans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gridSpan w:val="11"/>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Amortized Cost Basis by Origination Year</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Revolving</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40" w:type="dxa"/>
            <w:vAlign w:val="bottom"/>
          </w:tcPr>
          <w:p>
            <w:pPr>
              <w:spacing w:after="0"/>
              <w:rPr>
                <w:sz w:val="21"/>
                <w:szCs w:val="21"/>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0" w:type="dxa"/>
            <w:vAlign w:val="bottom"/>
          </w:tcPr>
          <w:p>
            <w:pPr>
              <w:spacing w:after="0"/>
              <w:rPr>
                <w:sz w:val="21"/>
                <w:szCs w:val="21"/>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3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60,131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271,803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336,552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168,463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198,353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1,088,394</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5,569</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6,018</w:t>
            </w:r>
          </w:p>
        </w:tc>
        <w:tc>
          <w:tcPr>
            <w:tcW w:w="0" w:type="dxa"/>
            <w:vAlign w:val="bottom"/>
          </w:tcPr>
          <w:p>
            <w:pPr>
              <w:spacing w:after="0"/>
              <w:rPr>
                <w:sz w:val="1"/>
                <w:szCs w:val="1"/>
                <w:color w:val="auto"/>
              </w:rPr>
            </w:pPr>
          </w:p>
        </w:tc>
      </w:tr>
      <w:tr>
        <w:trPr>
          <w:trHeight w:val="22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28,748</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1,673</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30,860</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real estate</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271,803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336,629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197,211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204,284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1,125,272</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 specialized</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68,335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47,313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35,557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97,625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419,638</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specialized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106,036</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68,335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49,597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48,279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422,602</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 general</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42,656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86,872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112,962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32,460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96,592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518,132</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8,907</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 general</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42,656</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87,103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115,549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97,684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527,772</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Consumer 1-4 family</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48,504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107,910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160,980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102,260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80,581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554,608</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1,345</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4,144</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7,228</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13,988</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consumer 1-4 family</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48,504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108,402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162,325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106,404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49,774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568,596</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auto loans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88,402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98,885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271,912</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7"/>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consumer auto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32,299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88,426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99,065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272,444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other consumer</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20,495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69,264</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consumer other</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consumer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20,582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69,513</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4"/>
        </w:trPr>
        <w:tc>
          <w:tcPr>
            <w:tcW w:w="22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34,619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49,576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16,964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106,844</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36"/>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construction loans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34,619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49,891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17,059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108,074</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Includes $156 thousand in charged-off demand deposit overdrafts reported as 2024 originations.</w:t>
      </w:r>
    </w:p>
    <w:p>
      <w:pPr>
        <w:sectPr>
          <w:pgSz w:w="11900" w:h="16908" w:orient="portrait"/>
          <w:cols w:equalWidth="0" w:num="1">
            <w:col w:w="11240"/>
          </w:cols>
          <w:pgMar w:left="320" w:top="116" w:right="339"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908" w:orient="portrait"/>
          <w:cols w:equalWidth="0" w:num="1">
            <w:col w:w="11240"/>
          </w:cols>
          <w:pgMar w:left="320" w:top="116" w:right="339" w:bottom="0" w:gutter="0" w:footer="0" w:header="0"/>
          <w:type w:val="continuous"/>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Term Loans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gridSpan w:val="11"/>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Amortized Cost Basis by Origination Year</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Revolving</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40" w:type="dxa"/>
            <w:vAlign w:val="bottom"/>
          </w:tcPr>
          <w:p>
            <w:pPr>
              <w:spacing w:after="0"/>
              <w:rPr>
                <w:sz w:val="21"/>
                <w:szCs w:val="21"/>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0" w:type="dxa"/>
            <w:vAlign w:val="bottom"/>
          </w:tcPr>
          <w:p>
            <w:pPr>
              <w:spacing w:after="0"/>
              <w:rPr>
                <w:sz w:val="21"/>
                <w:szCs w:val="21"/>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3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324,601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189,211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47,988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174,859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1,045,927</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11,677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11,677</w:t>
            </w:r>
          </w:p>
        </w:tc>
        <w:tc>
          <w:tcPr>
            <w:tcW w:w="0" w:type="dxa"/>
            <w:vAlign w:val="bottom"/>
          </w:tcPr>
          <w:p>
            <w:pPr>
              <w:spacing w:after="0"/>
              <w:rPr>
                <w:sz w:val="1"/>
                <w:szCs w:val="1"/>
                <w:color w:val="auto"/>
              </w:rPr>
            </w:pPr>
          </w:p>
        </w:tc>
      </w:tr>
      <w:tr>
        <w:trPr>
          <w:trHeight w:val="22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21,152</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23,452</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real estate</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254,766</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324,683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210,363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48,137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175,229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1,081,056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 specialized</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117,912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56,152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57,839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22,758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368,288</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specialized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117,912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59,195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58,035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372,376</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 general</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128,627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90,957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68,990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503,070</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1,565</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2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4,676</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2,749</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1,442</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12,476</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commercial - general</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131,557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95,633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48,409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71,997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517,361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Consumer 1-4 family</w:t>
            </w:r>
          </w:p>
        </w:tc>
        <w:tc>
          <w:tcPr>
            <w:tcW w:w="1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8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113,897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156,549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106,619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56,666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520,786</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4,238</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3,758</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4,483</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13,945</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consumer 1-4 family</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114,273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156,931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110,857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534,731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auto loans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124,588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48,686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304,694</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consumer auto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124,777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48,885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305,271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other consumer</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10,198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74,016</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consumer other</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consumer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74,168</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624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24"/>
        </w:trPr>
        <w:tc>
          <w:tcPr>
            <w:tcW w:w="10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(1)</w:t>
            </w:r>
          </w:p>
        </w:tc>
        <w:tc>
          <w:tcPr>
            <w:tcW w:w="136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61,903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53,930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127,925</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construction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62,034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54,244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129,190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Includes $574 thousand in charged-off demand deposit overdrafts reported as 2023 originations.</w:t>
      </w:r>
    </w:p>
    <w:p>
      <w:pPr>
        <w:spacing w:after="0" w:line="3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For the loans included in the “combination” columns below, multiple types of modifications have been made on the same loan within the current reporting period.</w:t>
      </w:r>
    </w:p>
    <w:p>
      <w:pPr>
        <w:sectPr>
          <w:pgSz w:w="11900" w:h="16838" w:orient="portrait"/>
          <w:cols w:equalWidth="0" w:num="1">
            <w:col w:w="11240"/>
          </w:cols>
          <w:pgMar w:left="320" w:top="114" w:right="339" w:bottom="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at June 30, 2024 and 2023 that were both experiencing financial difficulty and modified during the periods indicated, by class and by type of modification. The percentage of the amortized cost basis of loans that were modified to borrowers in financial distress as compared to the amortized cost basis of each class of financing receivable is also presented below (dollars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Delay, Term</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and</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and Interest</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Delay and</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and Interest</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 Class</w:t>
            </w:r>
          </w:p>
        </w:tc>
      </w:tr>
      <w:tr>
        <w:trPr>
          <w:trHeight w:val="216"/>
        </w:trPr>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 Financing</w:t>
            </w:r>
          </w:p>
        </w:tc>
      </w:tr>
      <w:tr>
        <w:trPr>
          <w:trHeight w:val="245"/>
        </w:trPr>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Delay</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Extension</w:t>
            </w:r>
          </w:p>
        </w:tc>
        <w:tc>
          <w:tcPr>
            <w:tcW w:w="14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Delay</w:t>
            </w:r>
          </w:p>
        </w:tc>
        <w:tc>
          <w:tcPr>
            <w:tcW w:w="14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Receivable</w:t>
            </w:r>
          </w:p>
        </w:tc>
      </w:tr>
      <w:tr>
        <w:trPr>
          <w:trHeight w:val="176"/>
        </w:trPr>
        <w:tc>
          <w:tcPr>
            <w:tcW w:w="1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152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June 30, 2024</w:t>
            </w:r>
          </w:p>
        </w:tc>
        <w:tc>
          <w:tcPr>
            <w:tcW w:w="3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198"/>
        </w:trPr>
        <w:tc>
          <w:tcPr>
            <w:tcW w:w="18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specialized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7"/>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6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169"/>
        </w:trPr>
        <w:tc>
          <w:tcPr>
            <w:tcW w:w="1840" w:type="dxa"/>
            <w:vAlign w:val="bottom"/>
            <w:tcBorders>
              <w:top w:val="single" w:sz="8" w:color="CCEEFF"/>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96"/>
        </w:trPr>
        <w:tc>
          <w:tcPr>
            <w:tcW w:w="152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June 30, 2023</w:t>
            </w:r>
          </w:p>
        </w:tc>
        <w:tc>
          <w:tcPr>
            <w:tcW w:w="3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198"/>
        </w:trPr>
        <w:tc>
          <w:tcPr>
            <w:tcW w:w="18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specialized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1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2,744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6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70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13</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52</w:t>
            </w: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r>
      <w:tr>
        <w:trPr>
          <w:trHeight w:val="169"/>
        </w:trPr>
        <w:tc>
          <w:tcPr>
            <w:tcW w:w="1840" w:type="dxa"/>
            <w:vAlign w:val="bottom"/>
            <w:tcBorders>
              <w:top w:val="single" w:sz="8" w:color="CCEEFF"/>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rPr>
              <w:t>Six Months Ended June</w:t>
            </w: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96"/>
        </w:trPr>
        <w:tc>
          <w:tcPr>
            <w:tcW w:w="10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30, 2024</w:t>
            </w:r>
          </w:p>
        </w:tc>
        <w:tc>
          <w:tcPr>
            <w:tcW w:w="5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198"/>
        </w:trPr>
        <w:tc>
          <w:tcPr>
            <w:tcW w:w="18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specialized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7"/>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6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35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169"/>
        </w:trPr>
        <w:tc>
          <w:tcPr>
            <w:tcW w:w="1840" w:type="dxa"/>
            <w:vAlign w:val="bottom"/>
            <w:tcBorders>
              <w:top w:val="single" w:sz="8" w:color="CCEEFF"/>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rPr>
              <w:t>Six Months Ended June</w:t>
            </w: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96"/>
        </w:trPr>
        <w:tc>
          <w:tcPr>
            <w:tcW w:w="10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30, 2023</w:t>
            </w:r>
          </w:p>
        </w:tc>
        <w:tc>
          <w:tcPr>
            <w:tcW w:w="5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198"/>
        </w:trPr>
        <w:tc>
          <w:tcPr>
            <w:tcW w:w="18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specialized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1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4,726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0.97%</w:t>
            </w:r>
          </w:p>
        </w:tc>
      </w:tr>
      <w:tr>
        <w:trPr>
          <w:trHeight w:val="216"/>
        </w:trPr>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18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18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6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113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13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52</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0.28%</w:t>
            </w:r>
          </w:p>
        </w:tc>
      </w:tr>
      <w:tr>
        <w:trPr>
          <w:trHeight w:val="20"/>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effects of the loan modifications presented above to borrowers experiencing financial difficulty during the periods indicated below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Term</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Extension</w:t>
            </w:r>
          </w:p>
        </w:tc>
      </w:tr>
      <w:tr>
        <w:trPr>
          <w:trHeight w:val="245"/>
        </w:trPr>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Forgiveness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176"/>
        </w:trPr>
        <w:tc>
          <w:tcPr>
            <w:tcW w:w="7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 June 30, 2024</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7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r>
      <w:tr>
        <w:trPr>
          <w:trHeight w:val="169"/>
        </w:trPr>
        <w:tc>
          <w:tcPr>
            <w:tcW w:w="7320" w:type="dxa"/>
            <w:vAlign w:val="bottom"/>
            <w:tcBorders>
              <w:top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Three Months Ended June 30, 2023</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7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22"/>
                <w:szCs w:val="22"/>
                <w:color w:val="auto"/>
              </w:rPr>
            </w:pPr>
          </w:p>
        </w:tc>
      </w:tr>
      <w:tr>
        <w:trPr>
          <w:trHeight w:val="169"/>
        </w:trPr>
        <w:tc>
          <w:tcPr>
            <w:tcW w:w="7320" w:type="dxa"/>
            <w:vAlign w:val="bottom"/>
            <w:tcBorders>
              <w:top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Six Months Ended June 30, 2024</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2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7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r>
      <w:tr>
        <w:trPr>
          <w:trHeight w:val="169"/>
        </w:trPr>
        <w:tc>
          <w:tcPr>
            <w:tcW w:w="7320" w:type="dxa"/>
            <w:vAlign w:val="bottom"/>
            <w:tcBorders>
              <w:top w:val="single" w:sz="8" w:color="CCEEFF"/>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Six Months Ended June 30, 2023</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3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2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7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20"/>
                <w:szCs w:val="20"/>
                <w:color w:val="auto"/>
              </w:rPr>
            </w:pP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closely monitors the performance of loans that are modified to borrowers experiencing financial difficulty to understand the effectiveness of its modification efforts. The following presents the performance of such loans that have been modified in the last twelve months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90 Days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30-89 Days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More Past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Due</w:t>
            </w:r>
          </w:p>
        </w:tc>
        <w:tc>
          <w:tcPr>
            <w:tcW w:w="10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w:t>
            </w:r>
          </w:p>
        </w:tc>
      </w:tr>
      <w:tr>
        <w:trPr>
          <w:trHeight w:val="175"/>
        </w:trPr>
        <w:tc>
          <w:tcPr>
            <w:tcW w:w="5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June 30, 2024</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22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768"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768"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2023 and the three months ended June 30, 2024, the Company had no loans made to borrowers experiencing financial difficulty that were modified during the last twelve months that subsequently defaulted.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had $31 thousand in loans made to borrowers experiencing financial difficulty that were modified during the last twelve months that subsequently defaulted. Payment default is defined as movement to nonperforming status, foreclosure, or charge-off.</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$19.3 million at June 30, 2024 and December 31,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which consisted of core deposit intangibles at the dates indicated are summarized below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deposit intangible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6,679</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6,679</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8"/>
              </w:rPr>
              <w:t>(4,615)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w:t>
            </w:r>
          </w:p>
        </w:tc>
      </w:tr>
      <w:tr>
        <w:trPr>
          <w:trHeight w:val="257"/>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2,064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MORTGAGE SERVICING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adjustment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26,426</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26,658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26,658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serviced for others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1,955,538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2,001,476</w:t>
            </w:r>
          </w:p>
        </w:tc>
        <w:tc>
          <w:tcPr>
            <w:tcW w:w="160" w:type="dxa"/>
            <w:vAlign w:val="bottom"/>
            <w:shd w:val="clear" w:color="auto" w:fill="CCEEFF"/>
          </w:tcPr>
          <w:p>
            <w:pPr>
              <w:spacing w:after="0"/>
              <w:rPr>
                <w:sz w:val="18"/>
                <w:szCs w:val="18"/>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assets as a percentage of serviced mortgage loans</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key assumptions used in measuring the fair value of the Company’s mortgage servicing rights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0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constant prepayment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life in years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Subordinated Debt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2018, the Company issued $14.1 million of notes that have a maturity date of December 2030 and a weighted average fixed rate of 6.41% for the first seven years. After the fixed rate periods, the notes will float at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2020, the Company issued $50.0 million in subordinated debt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(“SOFR”), as published by the Federal Reserve Bank of New York, plus 438 basis points. These notes pay interest semi-annually, are unsecured, and may be called by the Company at any time after the remaining maturity is five years or less. Additionally, these notes qualify for Tier 2 capital treatment, subject to regulatory limitations.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 total amount of subordinated notes outstanding was $64.1 million less approximately $232 thousand of remaining debt issuance costs for a total balance of $63.9 million. As of December 31, 2023, the total amount of subordinated notes outstanding was $64.1 million less approximately $325 thousand of remaining debt issuance costs for a total balance of $63.8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Payable and Other Borrowings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City Bank had no outstanding advances from the Federal Home Loan Bank of Dallas (“FHLB”).</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Incentive Plan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The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4,919,509 at June 30, 2024. The maximum aggregate number of shares that may be issued under the Plan may be increased annually by up to 3% of the total issued and outstanding common shares of the Company at the beginning of each fiscal year.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the U.S. Treasury yield curve in effect at the time of the grant.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in the Plan during the period indicated is presented in the table below (dollars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Remaining Contractual</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45"/>
        </w:trPr>
        <w:tc>
          <w:tcPr>
            <w:tcW w:w="24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20" w:type="dxa"/>
            <w:vAlign w:val="bottom"/>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Life in Years</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175"/>
        </w:trPr>
        <w:tc>
          <w:tcPr>
            <w:tcW w:w="5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Six Months Ended June 30, 2024</w:t>
            </w: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1,280,858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16.91</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13,052</w:t>
            </w:r>
          </w:p>
        </w:tc>
      </w:tr>
      <w:tr>
        <w:trPr>
          <w:trHeight w:val="21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32,465</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29.32</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(5,969)</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18.40</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2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1,307,354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13,001</w:t>
            </w:r>
          </w:p>
        </w:tc>
      </w:tr>
      <w:tr>
        <w:trPr>
          <w:trHeight w:val="209"/>
        </w:trPr>
        <w:tc>
          <w:tcPr>
            <w:tcW w:w="24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1,181,221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12,683</w:t>
            </w:r>
          </w:p>
        </w:tc>
      </w:tr>
      <w:tr>
        <w:trPr>
          <w:trHeight w:val="210"/>
        </w:trPr>
        <w:tc>
          <w:tcPr>
            <w:tcW w:w="24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end of period</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1,181,221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w:t>
            </w:r>
          </w:p>
        </w:tc>
        <w:tc>
          <w:tcPr>
            <w:tcW w:w="2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12,683</w:t>
            </w:r>
          </w:p>
        </w:tc>
      </w:tr>
      <w:tr>
        <w:trPr>
          <w:trHeight w:val="564"/>
        </w:trPr>
        <w:tc>
          <w:tcPr>
            <w:tcW w:w="2400" w:type="dxa"/>
            <w:vAlign w:val="bottom"/>
            <w:tcBorders>
              <w:top w:val="single" w:sz="8" w:color="CCEEFF"/>
            </w:tcBorders>
          </w:tcPr>
          <w:p>
            <w:pPr>
              <w:spacing w:after="0"/>
              <w:rPr>
                <w:sz w:val="24"/>
                <w:szCs w:val="24"/>
                <w:color w:val="auto"/>
              </w:rPr>
            </w:pPr>
          </w:p>
        </w:tc>
        <w:tc>
          <w:tcPr>
            <w:tcW w:w="268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240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9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summary of assumptions used to calculate the fair values of the awards granted during the periods noted is presented below:</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1020" w:type="dxa"/>
            <w:vAlign w:val="bottom"/>
          </w:tcPr>
          <w:p>
            <w:pPr>
              <w:spacing w:after="0"/>
              <w:rPr>
                <w:sz w:val="21"/>
                <w:szCs w:val="21"/>
                <w:color w:val="auto"/>
              </w:rPr>
            </w:pPr>
          </w:p>
        </w:tc>
        <w:tc>
          <w:tcPr>
            <w:tcW w:w="7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23"/>
        </w:trPr>
        <w:tc>
          <w:tcPr>
            <w:tcW w:w="10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39.13% to 39.68%</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 to 1.90%</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6.1 to 6.3</w:t>
            </w: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 to 3.98%</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during the six months ended June 30, 2024 and 2023 was $52 thousand and $313 thousand,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Awards and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in the Plan during the period indicated is presented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240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45"/>
        </w:trPr>
        <w:tc>
          <w:tcPr>
            <w:tcW w:w="240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175"/>
        </w:trPr>
        <w:tc>
          <w:tcPr>
            <w:tcW w:w="84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Six Months Ended June 30, 2024</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400" w:type="dxa"/>
            <w:vAlign w:val="bottom"/>
            <w:tcBorders>
              <w:top w:val="single" w:sz="8" w:color="auto"/>
            </w:tcBorders>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26.58</w:t>
            </w:r>
          </w:p>
        </w:tc>
      </w:tr>
      <w:tr>
        <w:trPr>
          <w:trHeight w:val="216"/>
        </w:trPr>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89,103</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26.56</w:t>
            </w:r>
          </w:p>
        </w:tc>
      </w:tr>
      <w:tr>
        <w:trPr>
          <w:trHeight w:val="216"/>
        </w:trPr>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(23,478)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27.38</w:t>
            </w:r>
          </w:p>
        </w:tc>
      </w:tr>
      <w:tr>
        <w:trPr>
          <w:trHeight w:val="223"/>
        </w:trPr>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(3,647)</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24.54</w:t>
            </w:r>
          </w:p>
        </w:tc>
      </w:tr>
      <w:tr>
        <w:trPr>
          <w:trHeight w:val="216"/>
        </w:trPr>
        <w:tc>
          <w:tcPr>
            <w:tcW w:w="240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187,895</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26.51</w:t>
            </w:r>
          </w:p>
        </w:tc>
      </w:tr>
      <w:tr>
        <w:trPr>
          <w:trHeight w:val="20"/>
        </w:trPr>
        <w:tc>
          <w:tcPr>
            <w:tcW w:w="24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units granted under the Plan typically vest from one to four years, but vesting periods may vary. Compensation expense for these grants will be recognized over the vesting period of the awards based on the fair value of the stock at the issue date. The total fair value of restricted stock units vested during each of the six months ended June 30, 2024 and 2023 was $643 thousand and $930 thousand,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and 2023 the Company recorded stock-based compensation expense related to the Plan of $657 thousand and $590 thousand, respectively. The Company recorded stock-based compensation expense related to the Plan of $1.1 million for the six months ended June 30, 2024 and 2023, respectively. The total unrecognized compensation cost for the awards outstanding under the Plan at June 30, 2024 was $4.4 million and will be recognized over a weighted average remaining period of 1.75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OFF-BALANCE-SHEET ACTIVITIES, COMMITMENTS AND CONTINGENCIES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Financial instruments with off-balance-sheet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is a party to financial instruments with off-balance-sheet risk in the normal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whose contract amounts represent credit risk outstanding at the dates indicated follow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 and unfunded commitments under lines of 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598,800</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15,093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11,503</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ectPr>
          <w:pgSz w:w="11900" w:h="16838" w:orient="portrait"/>
          <w:cols w:equalWidth="0" w:num="1">
            <w:col w:w="11240"/>
          </w:cols>
          <w:pgMar w:left="320" w:top="114"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FHLB Letters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may use FHLB letters of credit to pledge to certain public deposits. At June 30, 2024 there were FHLB letters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outstanding of $75.0 million. There were no FHLB letters of credit outstanding at December 31, 2023.</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is a defendant in legal actions arising from time to time in the normal course of business. Management believes that the ultimate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if any, arising from these matters will not materially affect the consolidated financial statements, based on information known as of the date the consolidated financial statements were issued.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 AND REGULATORY MATTERS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June 30, 2024 and December 31, 2023, that the Company and its bank subsidiary met all capital adequacy requirements to which they are subject.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and December 31, 2023, the Company met the definition of “well-capitalized” under the applicable regulations of the Board of Governors of the Federal Reserve System and the bank subsidiary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June 30, 2024 that management believes have changed the bank subsidiary’s category.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bank subsidiary’s actual capital amounts and ratios at the dates indicated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Minimum Required</w:t>
            </w:r>
          </w:p>
        </w:tc>
        <w:tc>
          <w:tcPr>
            <w:tcW w:w="160" w:type="dxa"/>
            <w:vAlign w:val="bottom"/>
          </w:tcPr>
          <w:p>
            <w:pPr>
              <w:spacing w:after="0"/>
              <w:rPr>
                <w:sz w:val="18"/>
                <w:szCs w:val="18"/>
                <w:color w:val="auto"/>
              </w:rPr>
            </w:pPr>
          </w:p>
        </w:tc>
        <w:tc>
          <w:tcPr>
            <w:tcW w:w="2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Be Well Capitalized</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Under BASEL III</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Under Prompt Corrective</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Fully Phased-In</w:t>
            </w:r>
          </w:p>
        </w:tc>
        <w:tc>
          <w:tcPr>
            <w:tcW w:w="160" w:type="dxa"/>
            <w:vAlign w:val="bottom"/>
          </w:tcPr>
          <w:p>
            <w:pPr>
              <w:spacing w:after="0"/>
              <w:rPr>
                <w:sz w:val="21"/>
                <w:szCs w:val="21"/>
                <w:color w:val="auto"/>
              </w:rPr>
            </w:pPr>
          </w:p>
        </w:tc>
        <w:tc>
          <w:tcPr>
            <w:tcW w:w="2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Action Provisions</w:t>
            </w:r>
          </w:p>
        </w:tc>
      </w:tr>
      <w:tr>
        <w:trPr>
          <w:trHeight w:val="223"/>
        </w:trPr>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9"/>
                <w:szCs w:val="19"/>
                <w:color w:val="auto"/>
              </w:rPr>
            </w:pPr>
          </w:p>
        </w:tc>
      </w:tr>
      <w:tr>
        <w:trPr>
          <w:trHeight w:val="175"/>
        </w:trPr>
        <w:tc>
          <w:tcPr>
            <w:tcW w:w="10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2024</w:t>
            </w:r>
          </w:p>
        </w:tc>
        <w:tc>
          <w:tcPr>
            <w:tcW w:w="2220" w:type="dxa"/>
            <w:vAlign w:val="bottom"/>
            <w:gridSpan w:val="2"/>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609,162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379,366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509,178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14.09%</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379,338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361,274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500,666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307,106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464,550</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307,083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289,019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32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to Risk Weighted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455,666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252,911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464,550</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252,892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234,828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500,666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170,372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464,550</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10.96%</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170,372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211,896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32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589,565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369,753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494,353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369,635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352,033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482,044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13.69%</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299,324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299,228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281,627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2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to Risk Weighted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437,044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12.41%</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246,502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246,423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228,822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482,044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171,037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170,945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212,594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200" w:lineRule="exact"/>
        <w:rPr>
          <w:sz w:val="20"/>
          <w:szCs w:val="20"/>
          <w:color w:val="auto"/>
        </w:rPr>
      </w:pPr>
    </w:p>
    <w:p>
      <w:pPr>
        <w:sectPr>
          <w:pgSz w:w="11900" w:h="16838" w:orient="portrait"/>
          <w:cols w:equalWidth="0" w:num="1">
            <w:col w:w="11240"/>
          </w:cols>
          <w:pgMar w:left="320" w:top="115" w:right="339" w:bottom="309"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309"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the Basel III capital ratio requirements which include a “capital conservation buffer” of 2.50% above the regulatory minimum risk-based capital adequacy requirements. This 2.50% capital conservation buffer is reflected in the table above. Both the Company’s and the Bank’s actual ratios, as outlined in the table above, exceeded the Basel III risk-based capital requirement with the capital conservation buffer as of June 30,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 of the interest rate swaps do not represent amounts exchanged by the parties. The amount exchanged is determined by reference to the notional amounts and the other terms of the individual interest rate swap agreements.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changes in fair value hedges included in the Consolidated Statements of Comprehensive Income (Loss) for the periods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00" w:type="dxa"/>
            <w:vAlign w:val="bottom"/>
          </w:tcPr>
          <w:p>
            <w:pPr>
              <w:spacing w:after="0"/>
              <w:rPr>
                <w:sz w:val="19"/>
                <w:szCs w:val="19"/>
                <w:color w:val="auto"/>
              </w:rPr>
            </w:pPr>
          </w:p>
        </w:tc>
        <w:tc>
          <w:tcPr>
            <w:tcW w:w="426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8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198"/>
        </w:trPr>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w:t>
            </w:r>
          </w:p>
        </w:tc>
        <w:tc>
          <w:tcPr>
            <w:tcW w:w="100" w:type="dxa"/>
            <w:vAlign w:val="bottom"/>
            <w:shd w:val="clear" w:color="auto" w:fill="CCEEFF"/>
          </w:tcPr>
          <w:p>
            <w:pPr>
              <w:spacing w:after="0"/>
              <w:rPr>
                <w:sz w:val="17"/>
                <w:szCs w:val="17"/>
                <w:color w:val="auto"/>
              </w:rPr>
            </w:pPr>
          </w:p>
        </w:tc>
        <w:tc>
          <w:tcPr>
            <w:tcW w:w="4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noninterest expense</w:t>
            </w: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4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1,844</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investment securities</w:t>
            </w:r>
          </w:p>
        </w:tc>
        <w:tc>
          <w:tcPr>
            <w:tcW w:w="10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noninterest expense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 fixed</w:t>
            </w:r>
          </w:p>
        </w:tc>
        <w:tc>
          <w:tcPr>
            <w:tcW w:w="10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income - Loans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loans</w:t>
            </w:r>
          </w:p>
        </w:tc>
        <w:tc>
          <w:tcPr>
            <w:tcW w:w="4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fixed rate loans</w:t>
            </w:r>
          </w:p>
        </w:tc>
        <w:tc>
          <w:tcPr>
            <w:tcW w:w="100" w:type="dxa"/>
            <w:vAlign w:val="bottom"/>
          </w:tcPr>
          <w:p>
            <w:pPr>
              <w:spacing w:after="0"/>
              <w:rPr>
                <w:sz w:val="20"/>
                <w:szCs w:val="20"/>
                <w:color w:val="auto"/>
              </w:rPr>
            </w:pPr>
          </w:p>
        </w:tc>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 - Loans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00" w:type="dxa"/>
            <w:vAlign w:val="bottom"/>
          </w:tcPr>
          <w:p>
            <w:pPr>
              <w:spacing w:after="0"/>
              <w:rPr>
                <w:sz w:val="19"/>
                <w:szCs w:val="19"/>
                <w:color w:val="auto"/>
              </w:rPr>
            </w:pPr>
          </w:p>
        </w:tc>
        <w:tc>
          <w:tcPr>
            <w:tcW w:w="426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00" w:type="dxa"/>
            <w:vAlign w:val="bottom"/>
          </w:tcPr>
          <w:p>
            <w:pPr>
              <w:spacing w:after="0"/>
              <w:rPr>
                <w:sz w:val="19"/>
                <w:szCs w:val="19"/>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198"/>
        </w:trPr>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w:t>
            </w:r>
          </w:p>
        </w:tc>
        <w:tc>
          <w:tcPr>
            <w:tcW w:w="100" w:type="dxa"/>
            <w:vAlign w:val="bottom"/>
            <w:shd w:val="clear" w:color="auto" w:fill="CCEEFF"/>
          </w:tcPr>
          <w:p>
            <w:pPr>
              <w:spacing w:after="0"/>
              <w:rPr>
                <w:sz w:val="17"/>
                <w:szCs w:val="17"/>
                <w:color w:val="auto"/>
              </w:rPr>
            </w:pPr>
          </w:p>
        </w:tc>
        <w:tc>
          <w:tcPr>
            <w:tcW w:w="4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noninterest expense</w:t>
            </w:r>
          </w:p>
        </w:tc>
        <w:tc>
          <w:tcPr>
            <w:tcW w:w="1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4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investment securities</w:t>
            </w:r>
          </w:p>
        </w:tc>
        <w:tc>
          <w:tcPr>
            <w:tcW w:w="10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noninterest expense</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(920)</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w:t>
            </w: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 fixed</w:t>
            </w:r>
          </w:p>
        </w:tc>
        <w:tc>
          <w:tcPr>
            <w:tcW w:w="100" w:type="dxa"/>
            <w:vAlign w:val="bottom"/>
            <w:shd w:val="clear" w:color="auto" w:fill="CCEEFF"/>
          </w:tcPr>
          <w:p>
            <w:pPr>
              <w:spacing w:after="0"/>
              <w:rPr>
                <w:sz w:val="17"/>
                <w:szCs w:val="17"/>
                <w:color w:val="auto"/>
              </w:rPr>
            </w:pPr>
          </w:p>
        </w:tc>
        <w:tc>
          <w:tcPr>
            <w:tcW w:w="45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income - Loans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loans</w:t>
            </w:r>
          </w:p>
        </w:tc>
        <w:tc>
          <w:tcPr>
            <w:tcW w:w="4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fixed rate loans</w:t>
            </w:r>
          </w:p>
        </w:tc>
        <w:tc>
          <w:tcPr>
            <w:tcW w:w="10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 - Loans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fair value hedges included in the Consolidated Balance Sheets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1"/>
                <w:szCs w:val="21"/>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4"/>
        </w:trPr>
        <w:tc>
          <w:tcPr>
            <w:tcW w:w="4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4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10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fixed rate loans</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state and municipal securities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assets: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fixed rate loans</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11,803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r>
        <w:trPr>
          <w:trHeight w:val="23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state and municipal securities</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123,760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17,493</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123,760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16,628</w:t>
            </w:r>
          </w:p>
        </w:tc>
      </w:tr>
      <w:tr>
        <w:trPr>
          <w:trHeight w:val="552"/>
        </w:trPr>
        <w:tc>
          <w:tcPr>
            <w:tcW w:w="4980" w:type="dxa"/>
            <w:vAlign w:val="bottom"/>
          </w:tcPr>
          <w:p>
            <w:pPr>
              <w:spacing w:after="0"/>
              <w:rPr>
                <w:sz w:val="24"/>
                <w:szCs w:val="24"/>
                <w:color w:val="auto"/>
              </w:rPr>
            </w:pP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banking derivatives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gains (losses) relating to free standing derivative instruments used for risk management are summarized below for the periods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45"/>
        </w:trPr>
        <w:tc>
          <w:tcPr>
            <w:tcW w:w="3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8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mortgage banking derivatives</w:t>
            </w:r>
          </w:p>
        </w:tc>
        <w:tc>
          <w:tcPr>
            <w:tcW w:w="540" w:type="dxa"/>
            <w:vAlign w:val="bottom"/>
            <w:shd w:val="clear" w:color="auto" w:fill="CCEEFF"/>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on sales of loans</w:t>
            </w: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3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16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6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mortgage banking derivatives</w:t>
            </w:r>
          </w:p>
        </w:tc>
        <w:tc>
          <w:tcPr>
            <w:tcW w:w="540" w:type="dxa"/>
            <w:vAlign w:val="bottom"/>
            <w:shd w:val="clear" w:color="auto" w:fill="CCEEFF"/>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on sales of loans</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amount and fair value of mortgage banking derivatives in the Consolidated Balance Sheets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4"/>
        </w:trPr>
        <w:tc>
          <w:tcPr>
            <w:tcW w:w="58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90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2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21"/>
                <w:szCs w:val="21"/>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4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assets:</w:t>
            </w: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15,250</w:t>
            </w:r>
          </w:p>
        </w:tc>
        <w:tc>
          <w:tcPr>
            <w:tcW w:w="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29,679</w:t>
            </w:r>
          </w:p>
        </w:tc>
        <w:tc>
          <w:tcPr>
            <w:tcW w:w="9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16,887</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5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12,724</w:t>
            </w:r>
          </w:p>
        </w:tc>
        <w:tc>
          <w:tcPr>
            <w:tcW w:w="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19,021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received cash collateral of $19.0 million and $18.3 million to offset asset derivative positions on its interest rate swaps at June 30, 2024 and December 31, 2023, respectively. This amount is reported in other liabilities in the Consolidated Balance Sheets. The Company had advanced $1.1 million to offset liability derivative positions on its interest rate swaps at June 30, 2024 and December 31, 2023, respectively. Additionally, the Company had advanced $440 thousand on its mortgage forward contracts at June 30, 2024 and December 31, 2023, respectively. The advanced cash collateral amounts are reported in cash and due from banks in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used in the earnings per share computation for the periods indicated follow (dollars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4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16,425,360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17,048,432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16,427,640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17,047,578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awards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506,717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338,083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507,758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390,779</w:t>
            </w:r>
          </w:p>
        </w:tc>
      </w:tr>
      <w:tr>
        <w:trPr>
          <w:trHeight w:val="27"/>
        </w:trPr>
        <w:tc>
          <w:tcPr>
            <w:tcW w:w="47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16,932,077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17,386,515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16,935,398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17,438,357</w:t>
            </w:r>
          </w:p>
        </w:tc>
      </w:tr>
      <w:tr>
        <w:trPr>
          <w:trHeight w:val="20"/>
        </w:trPr>
        <w:tc>
          <w:tcPr>
            <w:tcW w:w="4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r>
        <w:trPr>
          <w:trHeight w:val="570"/>
        </w:trPr>
        <w:tc>
          <w:tcPr>
            <w:tcW w:w="4780" w:type="dxa"/>
            <w:vAlign w:val="bottom"/>
          </w:tcPr>
          <w:p>
            <w:pPr>
              <w:spacing w:after="0"/>
              <w:rPr>
                <w:sz w:val="24"/>
                <w:szCs w:val="24"/>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7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DISCLOSURES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192" w:lineRule="exact"/>
        <w:rPr>
          <w:sz w:val="20"/>
          <w:szCs w:val="20"/>
          <w:color w:val="auto"/>
        </w:rPr>
      </w:pPr>
    </w:p>
    <w:p>
      <w:pPr>
        <w:ind w:left="860" w:right="20" w:hanging="488"/>
        <w:spacing w:after="0" w:line="26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Unadjusted quoted prices in active markets for identical assets or liabilities that the reporting entity has the ability to access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w:t>
      </w:r>
    </w:p>
    <w:p>
      <w:pPr>
        <w:jc w:val="both"/>
        <w:ind w:left="860" w:hanging="488"/>
        <w:spacing w:after="0" w:line="250"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Inputs other than quoted prices included in Level 1 that are observable for the asset or liability, either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 w:lineRule="exact"/>
        <w:rPr>
          <w:rFonts w:ascii="Times New Roman" w:cs="Times New Roman" w:eastAsia="Times New Roman" w:hAnsi="Times New Roman"/>
          <w:sz w:val="18"/>
          <w:szCs w:val="18"/>
          <w:color w:val="auto"/>
        </w:rPr>
      </w:pPr>
    </w:p>
    <w:p>
      <w:pPr>
        <w:ind w:left="860" w:hanging="488"/>
        <w:spacing w:after="0" w:line="260"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Inputs </w:t>
      </w:r>
      <w:r>
        <w:rPr>
          <w:rFonts w:ascii="Times New Roman" w:cs="Times New Roman" w:eastAsia="Times New Roman" w:hAnsi="Times New Roman"/>
          <w:sz w:val="18"/>
          <w:szCs w:val="18"/>
          <w:color w:val="auto"/>
        </w:rPr>
        <w:t>- Significant unobservable inputs for determining the fair values of assets or liabilities that reflect an entity’s own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the assumptions that market participants would use in pricing the assets or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fair value measurements as of the dates indicated below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75"/>
        </w:trPr>
        <w:tc>
          <w:tcPr>
            <w:tcW w:w="10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2024</w:t>
            </w:r>
          </w:p>
        </w:tc>
        <w:tc>
          <w:tcPr>
            <w:tcW w:w="4960" w:type="dxa"/>
            <w:vAlign w:val="bottom"/>
            <w:gridSpan w:val="2"/>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176,032</w:t>
            </w:r>
          </w:p>
        </w:tc>
      </w:tr>
      <w:tr>
        <w:trPr>
          <w:trHeight w:val="216"/>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278,466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278,466</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40,705</w:t>
            </w:r>
          </w:p>
        </w:tc>
      </w:tr>
      <w:tr>
        <w:trPr>
          <w:trHeight w:val="216"/>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69,118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69,118</w:t>
            </w: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15,705</w:t>
            </w:r>
          </w:p>
        </w:tc>
      </w:tr>
      <w:tr>
        <w:trPr>
          <w:trHeight w:val="216"/>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11,005</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(mandatory)</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12,252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12,252</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26,426</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18,228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18,228</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19,648</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5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180,575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180,575</w:t>
            </w: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300,704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300,704</w:t>
            </w: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41,748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41,748</w:t>
            </w: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71,930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71,930</w:t>
            </w:r>
          </w:p>
        </w:tc>
      </w:tr>
      <w:tr>
        <w:trPr>
          <w:trHeight w:val="216"/>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17,040</w:t>
            </w: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10,765</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sale (mandatory)</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6,615</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26,569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26,569</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17,230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17,230</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1,482</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1,482</w:t>
            </w:r>
          </w:p>
        </w:tc>
      </w:tr>
    </w:tbl>
    <w:p>
      <w:pPr>
        <w:spacing w:after="0" w:line="200" w:lineRule="exact"/>
        <w:rPr>
          <w:sz w:val="20"/>
          <w:szCs w:val="20"/>
          <w:color w:val="auto"/>
        </w:rPr>
      </w:pPr>
    </w:p>
    <w:p>
      <w:pPr>
        <w:sectPr>
          <w:pgSz w:w="11900" w:h="16838" w:orient="portrait"/>
          <w:cols w:equalWidth="0" w:num="1">
            <w:col w:w="11240"/>
          </w:cols>
          <w:pgMar w:left="320" w:top="115" w:right="339" w:bottom="984"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984"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5 for the Level 3 change activity for the three and six months ended June 30, 2024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w:t>
      </w:r>
      <w:r>
        <w:rPr>
          <w:rFonts w:ascii="Times New Roman" w:cs="Times New Roman" w:eastAsia="Times New Roman" w:hAnsi="Times New Roman"/>
          <w:sz w:val="18"/>
          <w:szCs w:val="18"/>
          <w:color w:val="auto"/>
        </w:rPr>
        <w:t xml:space="preserve"> – Fair value of derivatives is based on valuation models using observable market data as of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Loans held for investment</w:t>
      </w:r>
      <w:r>
        <w:rPr>
          <w:rFonts w:ascii="Times New Roman" w:cs="Times New Roman" w:eastAsia="Times New Roman" w:hAnsi="Times New Roman"/>
          <w:sz w:val="18"/>
          <w:szCs w:val="18"/>
          <w:color w:val="auto"/>
        </w:rPr>
        <w:t xml:space="preserve"> – Includes certain collateral-dependent loans which are reported at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Assets Recorded on a Recurring Basis for which the Fair Value Option has been Elected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Loans held for sale (mandatory)</w:t>
      </w:r>
      <w:r>
        <w:rPr>
          <w:rFonts w:ascii="Times New Roman" w:cs="Times New Roman" w:eastAsia="Times New Roman" w:hAnsi="Times New Roman"/>
          <w:sz w:val="18"/>
          <w:szCs w:val="18"/>
          <w:color w:val="auto"/>
        </w:rPr>
        <w:t xml:space="preserve"> – 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Derivatives and Hedging. For assets for which the fair value option has been elected, the earned current contractual interest payment is recognized in interest income, loan origination costs and fees on fair value option loans are recognized in earnings as incurred and not deferred. At June 30, 2024, and December 31, 2023, there were no gains or losses recorded attributable to changes in instrument-specific credit risk. Fair value is determined using quoted prices for similar assets, adjusted for specific attributes of that loan. At June 30, 2024 and December 31, 2023 the aggregate fair value of loans held for sale for mandatory delivery was $12.3 million and $6.6 million, respectively. The aggregate unpaid principal balance as of the same dates was $12.0 million and $6.4 million, respectively, representing differences between fair value and unpaid principal balance of $287 thousand and $190 thousand, respectively. The Company had no loans held for sale for mandatory delivery designated as nonaccrual or 90 days or more past due at each of June 30, 2024 and December 31, 2023.</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fair value option impact on noninterest income for loans held for sale for mandatory delivery is included in Net gain on sales of loans in the consolidated statements of comprehensive income (loss). For the three months ended June 30, 2024 and 2023 the net (gain) loss amount totaled $32 thousand and $9 thousand, respectively. For the six months ended June 30, 2024 and 2023 the net (gain) loss amount totaled $(340) thousand and $(252) thousand,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recurring and non-recurring Level 3 fair value measurements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Range of</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 w:type="dxa"/>
            <w:vAlign w:val="bottom"/>
          </w:tcPr>
          <w:p>
            <w:pPr>
              <w:spacing w:after="0"/>
              <w:rPr>
                <w:sz w:val="21"/>
                <w:szCs w:val="21"/>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Techniques</w:t>
            </w:r>
          </w:p>
        </w:tc>
        <w:tc>
          <w:tcPr>
            <w:tcW w:w="100" w:type="dxa"/>
            <w:vAlign w:val="bottom"/>
          </w:tcPr>
          <w:p>
            <w:pPr>
              <w:spacing w:after="0"/>
              <w:rPr>
                <w:sz w:val="21"/>
                <w:szCs w:val="21"/>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Discounts</w:t>
            </w:r>
          </w:p>
        </w:tc>
      </w:tr>
      <w:tr>
        <w:trPr>
          <w:trHeight w:val="175"/>
        </w:trPr>
        <w:tc>
          <w:tcPr>
            <w:tcW w:w="10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2024</w:t>
            </w:r>
          </w:p>
        </w:tc>
        <w:tc>
          <w:tcPr>
            <w:tcW w:w="138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Non-recurring:</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19,648</w:t>
            </w: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Recurring:</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26,426</w:t>
            </w: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Discounted cash flows</w:t>
            </w: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Constant prepayment rate</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2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1,482</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Collateral discounts and selling costs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20%-100%</w:t>
            </w: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26,569</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Discounted cash flows</w:t>
            </w: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Constant prepayment rate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10.66%</w:t>
            </w:r>
          </w:p>
        </w:tc>
      </w:tr>
      <w:tr>
        <w:trPr>
          <w:trHeight w:val="570"/>
        </w:trPr>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gridSpan w:val="2"/>
          </w:tcPr>
          <w:p>
            <w:pPr>
              <w:jc w:val="right"/>
              <w:ind w:right="115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values, and related carrying amounts, of the Company’s financial instruments that are not previously disclosed in the recurring fair values section are as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1"/>
                <w:szCs w:val="2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391"/>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June 30, 2024</w:t>
            </w:r>
          </w:p>
        </w:tc>
        <w:tc>
          <w:tcPr>
            <w:tcW w:w="3600" w:type="dxa"/>
            <w:vAlign w:val="bottom"/>
            <w:gridSpan w:val="2"/>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298,006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298,006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298,006</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3,051,100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2,933,460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2,933,460</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4,333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4,408</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19,481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19,481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19,481</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3,624,513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3,624,285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3,624,285</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52,695</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52,695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52,695</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33,530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33,530</w:t>
            </w:r>
          </w:p>
        </w:tc>
      </w:tr>
      <w:tr>
        <w:trPr>
          <w:trHeight w:val="234"/>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63,868</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57,558</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57,558</w:t>
            </w:r>
          </w:p>
        </w:tc>
      </w:tr>
      <w:tr>
        <w:trPr>
          <w:trHeight w:val="391"/>
        </w:trPr>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1"/>
                <w:szCs w:val="2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392"/>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330,158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330,158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330,158</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2,971,797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2,848,536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2,848,536</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7,884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7,977</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20,881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20,881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20,881</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3,626,153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3,625,321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3,625,321</w:t>
            </w: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5,057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5,057</w:t>
            </w: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33,098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33,098</w:t>
            </w:r>
          </w:p>
        </w:tc>
      </w:tr>
      <w:tr>
        <w:trPr>
          <w:trHeight w:val="234"/>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63,775</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57,497</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57,497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IMMATERIAL CORRECTION OF PRIOR PERIOD ERROR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identified an immaterial prior period error in the Consolidated Statements of Cash Flows related to cash flow activity of certain of the Company’s portfolio mortgage loans and third-party brokered loans erroneously being included in the cash flow activity for loans held for sale. The Company assessed the materiality of this change in presentation on prior period consolidated financial statements in accordance with SEC Staff Accounting Bulletin No. 99, “Materiality,” (ASC Topic 250, Accounting Changes and Error Corrections). Based on this assessment, the Company concluded that these error corrections in its Consolidated Statements of Cash Flows are not material to any previously presented consolidated financial statements. The corrections had no impact on the Consolidated Balance Sheets, Consolidated Statements of Comprehensive Income (Loss), or Consolidated Statements of Changes in Stockholders’ Equity, or notes to these consolidated financial statements, for any previously presented interim or annual consolidated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reporting periods affected by this error include the Company’s previously reported interim unaudited consolidated financial statements for each of the fiscal year-to-date periods ended March 31, 2023; June 30, 2023; and September 30, 2023. A summary of the immaterial corrections to the Company’s previously reported unaudited consolidated financial statements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Corrected Consolidated Statement of Cash Flows for Six Months Ended June 30, 2023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32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Immaterial Correction</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Corrected</w:t>
            </w:r>
          </w:p>
        </w:tc>
        <w:tc>
          <w:tcPr>
            <w:tcW w:w="100" w:type="dxa"/>
            <w:vAlign w:val="bottom"/>
          </w:tcPr>
          <w:p>
            <w:pPr>
              <w:spacing w:after="0"/>
              <w:rPr>
                <w:sz w:val="21"/>
                <w:szCs w:val="2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4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233,170</w:t>
            </w: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(38,193)</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194,977</w:t>
            </w:r>
          </w:p>
        </w:tc>
        <w:tc>
          <w:tcPr>
            <w:tcW w:w="100" w:type="dxa"/>
            <w:vAlign w:val="bottom"/>
            <w:shd w:val="clear" w:color="auto" w:fill="CCEEFF"/>
          </w:tcPr>
          <w:p>
            <w:pPr>
              <w:spacing w:after="0"/>
              <w:rPr>
                <w:sz w:val="18"/>
                <w:szCs w:val="18"/>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Loans originated for sale</w:t>
            </w:r>
          </w:p>
        </w:tc>
        <w:tc>
          <w:tcPr>
            <w:tcW w:w="272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(219,212)</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38,193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(181,019)</w:t>
            </w:r>
          </w:p>
        </w:tc>
      </w:tr>
      <w:tr>
        <w:trPr>
          <w:trHeight w:val="768"/>
        </w:trPr>
        <w:tc>
          <w:tcPr>
            <w:tcW w:w="4280" w:type="dxa"/>
            <w:vAlign w:val="bottom"/>
          </w:tcPr>
          <w:p>
            <w:pPr>
              <w:spacing w:after="0"/>
              <w:rPr>
                <w:sz w:val="24"/>
                <w:szCs w:val="24"/>
                <w:color w:val="auto"/>
              </w:rPr>
            </w:pPr>
          </w:p>
        </w:tc>
        <w:tc>
          <w:tcPr>
            <w:tcW w:w="2460" w:type="dxa"/>
            <w:vAlign w:val="bottom"/>
          </w:tcPr>
          <w:p>
            <w:pPr>
              <w:jc w:val="right"/>
              <w:ind w:right="959"/>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2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Declaration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17, 2024, the Company declared a cash dividend of $0.14 per share of common stock to be paid on August 12, 2024 to all shareholders of record as of July 29, 2024.</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1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periods covered by this Quarterly Report on Form 10-Q (this “Form 10-Q”) and should be read in conjunction with our consolidated financial statements and the accompanying notes thereto included in this Form 10-Q and in our Annual Report on Form 10-K for the year ended December 31, 2023 (the “2023 Annual Report on Form 10-K”) filed with the U.S. Securities and Exchange Commission (the “SEC”) pursuant to Rule 424(b) of the Securities Act of 1933, as amended (the “Securities Act”), on March 15, 2024.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autionary Notice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62"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recession in the United States and our market areas;</w:t>
      </w:r>
    </w:p>
    <w:p>
      <w:pPr>
        <w:spacing w:after="0" w:line="27"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deposits and related changes in deposit customer behavior;</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persistence of the current inflationary pressures, or the resurgence of elevated levels of inflation, in the United States and our market areas, and its impact on market interest rates, the economy and credit quality;</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allowance for credit losses;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expansion strategy and manage our growth, including identifying and consummating suitable acquisitions;</w:t>
      </w: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economic conditions, particularly those affecting our market areas, as well as the concentration of our business in such market areas;</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concentrations of loans secured by real estate located in our market areas;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commercial loan portfolio, including the risk of declines in commercial real estate prices or deterioration in value of the general business assets that secure such loans;</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prices, values and sales volumes of commercial and residential real estate securing our real estate loans;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unemployment rates in the United States and our market areas;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agricultural loan portfolio, including the heightened sensitivity to weather conditions, commodity prices, and other factors generally outside the borrowers and our control;</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significant amount of credit that we have extended to a limited number of borrowers and in a limited geographic area;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funds deposits comprising a relatively high percentage of our deposits;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on the goodwill we have recorded or may record in connection with business acquisitions;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reputation;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credit risk and the sufficiency of our allowance for credit losses;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management personnel;</w:t>
      </w:r>
    </w:p>
    <w:p>
      <w:pPr>
        <w:spacing w:after="0" w:line="9"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management team, including our ability to retain executive officers and key employees and their customer and community relationships;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which could have an adverse effect on our profitability;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banks, credit unions and other financial services providers;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change or difficulties we may experience when implementing new technologies;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cyber incidents or other failures, disruptions or security breaches of our operational or security systems or infrastructure, or those of our third-party vendors or other service providers, including as a result of cyber-attacks;</w:t>
      </w: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error, fraudulent activity by employees or customers and inaccurate or incomplete information about our customers and counterparties;</w:t>
      </w:r>
    </w:p>
    <w:p>
      <w:pPr>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capital requirements imposed by banking regulators, which may require us to raise capital at a time when capital is not available on favorable terms or at all;</w:t>
      </w:r>
    </w:p>
    <w:p>
      <w:pPr>
        <w:ind w:left="980" w:right="2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raise necessary capital to fund our acquisition strategy and operations or to meet increased minimum regulatory capital levels;</w:t>
      </w: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litigation, investigations or similar matters to which we may be subject, including any effect on our reputation;</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acts of god, acts of war or terrorism, geopolitical instability, outbreaks of hostilities, public health outbreaks (such as the COVID-19 pandemic or any future pandemic), other international or domestic calamities, and other external events or matters beyond our control;</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United States fiscal debt and budget matters;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governmental and regulatory requirements, including the Dodd-Frank Act Wall Street Reform and Consumer Protection Act, the Economic Growth, Regulatory Relief, and Consumer Protection Act (“EGRRCPA”), and others relating to banking, consumer protection, securities and tax matters; and</w:t>
      </w:r>
    </w:p>
    <w:p>
      <w:pPr>
        <w:spacing w:after="0" w:line="1" w:lineRule="exact"/>
        <w:rPr>
          <w:rFonts w:ascii="Times New Roman" w:cs="Times New Roman" w:eastAsia="Times New Roman" w:hAnsi="Times New Roman"/>
          <w:sz w:val="18"/>
          <w:szCs w:val="18"/>
          <w:color w:val="auto"/>
        </w:rPr>
      </w:pPr>
    </w:p>
    <w:p>
      <w:pPr>
        <w:jc w:val="both"/>
        <w:ind w:left="980" w:right="20" w:hanging="324"/>
        <w:spacing w:after="0" w:line="255"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rules, regulations, interpretations or policies relating to financial institutions, accounting, tax, trade, current and future governmental monetary and fiscal policies, including the uncertain impacts of ongoing quantitative tightening and current and future policies of the Board of Governors of the Federal Reserve System (“Federal Reserve”) and as a result of initiatives of the Biden administration.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Form 10-Q and the risk factors set forth in our 2023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maintains an Internet web site at </w:t>
      </w:r>
      <w:r>
        <w:rPr>
          <w:rFonts w:ascii="Times New Roman" w:cs="Times New Roman" w:eastAsia="Times New Roman" w:hAnsi="Times New Roman"/>
          <w:sz w:val="18"/>
          <w:szCs w:val="18"/>
          <w:i w:val="1"/>
          <w:iCs w:val="1"/>
          <w:u w:val="single" w:color="auto"/>
          <w:color w:val="auto"/>
        </w:rPr>
        <w:t>www.spfi.bank</w:t>
      </w:r>
      <w:r>
        <w:rPr>
          <w:rFonts w:ascii="Times New Roman" w:cs="Times New Roman" w:eastAsia="Times New Roman" w:hAnsi="Times New Roman"/>
          <w:sz w:val="18"/>
          <w:szCs w:val="18"/>
          <w:color w:val="auto"/>
        </w:rPr>
        <w:t xml:space="preserve">. The Company makes available, free of charge, on its web site (under </w:t>
      </w:r>
      <w:r>
        <w:rPr>
          <w:rFonts w:ascii="Times New Roman" w:cs="Times New Roman" w:eastAsia="Times New Roman" w:hAnsi="Times New Roman"/>
          <w:sz w:val="18"/>
          <w:szCs w:val="18"/>
          <w:i w:val="1"/>
          <w:iCs w:val="1"/>
          <w:u w:val="single" w:color="auto"/>
          <w:color w:val="auto"/>
        </w:rPr>
        <w:t>www.spfi.bank/financials-filings/sec-filings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Company’s annual reports on Form 10-K, quarterly reports on Form 10-Q, current reports on Form 8-K,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Times New Roman" w:cs="Times New Roman" w:eastAsia="Times New Roman" w:hAnsi="Times New Roman"/>
          <w:sz w:val="18"/>
          <w:szCs w:val="18"/>
          <w:i w:val="1"/>
          <w:iCs w:val="1"/>
          <w:u w:val="single" w:color="auto"/>
          <w:color w:val="auto"/>
        </w:rPr>
        <w:t>www.spfi.bank/corporate-governance/documents-charters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links to the Company’s Code of Conduct and the charters for its board committees.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SEC maintains an Internet 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 that contains reports, proxy and information statements, and other information regarding issuers that file electronically with the SEC.</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routinely posts important information for investors on its web site (under </w:t>
      </w:r>
      <w:r>
        <w:rPr>
          <w:rFonts w:ascii="Times New Roman" w:cs="Times New Roman" w:eastAsia="Times New Roman" w:hAnsi="Times New Roman"/>
          <w:sz w:val="18"/>
          <w:szCs w:val="18"/>
          <w:i w:val="1"/>
          <w:iCs w:val="1"/>
          <w:u w:val="single" w:color="auto"/>
          <w:color w:val="auto"/>
        </w:rPr>
        <w:t>www.spfi.bank</w:t>
      </w:r>
      <w:r>
        <w:rPr>
          <w:rFonts w:ascii="Times New Roman" w:cs="Times New Roman" w:eastAsia="Times New Roman" w:hAnsi="Times New Roman"/>
          <w:sz w:val="18"/>
          <w:szCs w:val="18"/>
          <w:color w:val="auto"/>
        </w:rPr>
        <w:t xml:space="preserve"> and, more specifically, under the News &amp; Events tab at </w:t>
      </w:r>
      <w:r>
        <w:rPr>
          <w:rFonts w:ascii="Times New Roman" w:cs="Times New Roman" w:eastAsia="Times New Roman" w:hAnsi="Times New Roman"/>
          <w:sz w:val="18"/>
          <w:szCs w:val="18"/>
          <w:i w:val="1"/>
          <w:iCs w:val="1"/>
          <w:u w:val="single" w:color="auto"/>
          <w:color w:val="auto"/>
        </w:rPr>
        <w:t>www.spfi.bank/news-events/press-releases</w:t>
      </w:r>
      <w:r>
        <w:rPr>
          <w:rFonts w:ascii="Times New Roman" w:cs="Times New Roman" w:eastAsia="Times New Roman" w:hAnsi="Times New Roman"/>
          <w:sz w:val="18"/>
          <w:szCs w:val="18"/>
          <w:color w:val="auto"/>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contained on, or that may be accessed through, the Company’s web site is not incorporated by reference into, and is not a part of, this Form 10-Q.</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net income of $11.1 million, or $0.66 per diluted common share, for the three months ended June 30, 2024, compared to net income of $29.7 million, or $1.71 per diluted common share for the three months ended June 30, 2023. Return on average equity (annualized) was 10.83% and return on average assets (annualized) was 1.07% for the three months ended June 30, 2024, compared to 31.33% and 2.97%, respectively, for the three months ended June 30,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net income of $22.0 million, or $1.30 per diluted common share for the six months ended June 30, 2024, compared to net income of $38.9 million, or $2.23 per diluted common share for the six months ended June 30, 2023. Return on average equity (annualized) was 10.78% and return on average assets (annualized) was 1.06% for the six months ended June 30, 2024, compared to 21.14% and 1.98%, respectively, for the six months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gridSpan w:val="9"/>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1"/>
                <w:szCs w:val="21"/>
                <w:color w:val="auto"/>
              </w:rPr>
            </w:pP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(Dollars in thousands)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3,082,601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50,579</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2,894,087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42,872</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5.94%</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5,285</w:t>
            </w:r>
          </w:p>
        </w:tc>
        <w:tc>
          <w:tcPr>
            <w:tcW w:w="16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575,983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5,365</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210,709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1,403</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3"/>
        </w:trPr>
        <w:tc>
          <w:tcPr>
            <w:tcW w:w="38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interest-earning assets </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2,545</w:t>
            </w:r>
          </w:p>
        </w:tc>
        <w:tc>
          <w:tcPr>
            <w:tcW w:w="160" w:type="dxa"/>
            <w:vAlign w:val="bottom"/>
          </w:tcPr>
          <w:p>
            <w:pPr>
              <w:spacing w:after="0"/>
              <w:rPr>
                <w:sz w:val="19"/>
                <w:szCs w:val="19"/>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149,996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1,484</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3,997,282</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5"/>
              </w:rPr>
              <w:t>5.98</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3,830,775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51,124</w:t>
            </w: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5"/>
              </w:rPr>
              <w:t>5.35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182,752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8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4,168,754</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4,013,527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savings and money market deposits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2,221,427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17,652</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2,059,182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12,484</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2.43%</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3,977</w:t>
            </w:r>
          </w:p>
        </w:tc>
        <w:tc>
          <w:tcPr>
            <w:tcW w:w="16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299,358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1,949</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&amp; other longer-term borrowings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63,845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76,031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16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789</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2,724,446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2,481,289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2.63%</w:t>
            </w:r>
          </w:p>
        </w:tc>
        <w:tc>
          <w:tcPr>
            <w:tcW w:w="0" w:type="dxa"/>
            <w:vAlign w:val="bottom"/>
          </w:tcPr>
          <w:p>
            <w:pPr>
              <w:spacing w:after="0"/>
              <w:rPr>
                <w:sz w:val="1"/>
                <w:szCs w:val="1"/>
                <w:color w:val="auto"/>
              </w:rPr>
            </w:pPr>
          </w:p>
        </w:tc>
      </w:tr>
      <w:tr>
        <w:trPr>
          <w:trHeight w:val="216"/>
        </w:trPr>
        <w:tc>
          <w:tcPr>
            <w:tcW w:w="38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960,106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1,075,514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noninterest-bearing liabilities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1,152,241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379,997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4,168,754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4,013,527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8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36,111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34,884</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8"/>
              </w:rPr>
              <w:t>2.73%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1" w:orient="portrait"/>
          <w:cols w:equalWidth="0" w:num="1">
            <w:col w:w="11240"/>
          </w:cols>
          <w:pgMar w:left="320" w:top="115" w:right="339" w:bottom="0" w:gutter="0" w:footer="0" w:header="0"/>
        </w:sectPr>
      </w:pPr>
    </w:p>
    <w:bookmarkStart w:id="33" w:name="page34"/>
    <w:bookmarkEnd w:id="33"/>
    <w:p>
      <w:pPr>
        <w:spacing w:after="0"/>
        <w:tabs>
          <w:tab w:leader="none" w:pos="6940" w:val="left"/>
          <w:tab w:leader="none" w:pos="10740" w:val="left"/>
        </w:tabs>
        <w:rPr>
          <w:sz w:val="20"/>
          <w:szCs w:val="20"/>
          <w:color w:val="auto"/>
        </w:rPr>
      </w:pPr>
      <w:r>
        <w:rPr>
          <w:rFonts w:ascii="Times New Roman" w:cs="Times New Roman" w:eastAsia="Times New Roman" w:hAnsi="Times New Roman"/>
          <w:sz w:val="18"/>
          <w:szCs w:val="18"/>
          <w:color w:val="auto"/>
        </w:rPr>
        <w:t>Net interest margin</w:t>
      </w:r>
      <w:r>
        <w:rPr>
          <w:rFonts w:ascii="Times New Roman" w:cs="Times New Roman" w:eastAsia="Times New Roman" w:hAnsi="Times New Roman"/>
          <w:sz w:val="29"/>
          <w:szCs w:val="29"/>
          <w:color w:val="auto"/>
          <w:vertAlign w:val="superscript"/>
        </w:rPr>
        <w:t>(3)</w:t>
      </w:r>
      <w:r>
        <w:rPr>
          <w:sz w:val="20"/>
          <w:szCs w:val="20"/>
          <w:color w:val="auto"/>
        </w:rPr>
        <w:tab/>
      </w:r>
      <w:r>
        <w:rPr>
          <w:rFonts w:ascii="Times New Roman" w:cs="Times New Roman" w:eastAsia="Times New Roman" w:hAnsi="Times New Roman"/>
          <w:sz w:val="18"/>
          <w:szCs w:val="18"/>
          <w:color w:val="auto"/>
        </w:rPr>
        <w:t>3.63%</w:t>
      </w:r>
      <w:r>
        <w:rPr>
          <w:sz w:val="20"/>
          <w:szCs w:val="20"/>
          <w:color w:val="auto"/>
        </w:rPr>
        <w:tab/>
      </w:r>
      <w:r>
        <w:rPr>
          <w:rFonts w:ascii="Times New Roman" w:cs="Times New Roman" w:eastAsia="Times New Roman" w:hAnsi="Times New Roman"/>
          <w:sz w:val="17"/>
          <w:szCs w:val="17"/>
          <w:color w:val="auto"/>
        </w:rPr>
        <w:t>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-55880</wp:posOffset>
            </wp:positionV>
            <wp:extent cx="6254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547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-30480</wp:posOffset>
            </wp:positionV>
            <wp:extent cx="6254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-55880</wp:posOffset>
            </wp:positionV>
            <wp:extent cx="643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-30480</wp:posOffset>
            </wp:positionV>
            <wp:extent cx="643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3,048,569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99,519</w:t>
            </w: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2,836,482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82,474</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5.86%</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10,796</w:t>
            </w:r>
          </w:p>
        </w:tc>
        <w:tc>
          <w:tcPr>
            <w:tcW w:w="13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580,705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10,605</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2,046</w:t>
            </w: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211,950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2,815</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3"/>
        </w:trPr>
        <w:tc>
          <w:tcPr>
            <w:tcW w:w="328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262,345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6,020</w:t>
            </w:r>
          </w:p>
        </w:tc>
        <w:tc>
          <w:tcPr>
            <w:tcW w:w="13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155,976</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2,979</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4,010,562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118,381</w:t>
            </w: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5"/>
              </w:rPr>
              <w:t>5.94</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3,785,113</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98,873</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5"/>
              </w:rPr>
              <w:t>5.27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186,114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4,188,444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3,971,227</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NOW, savings and money market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2,253,704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35,649</w:t>
            </w: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2,023,869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22,468</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2.24%</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7,643</w:t>
            </w:r>
          </w:p>
        </w:tc>
        <w:tc>
          <w:tcPr>
            <w:tcW w:w="13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291,677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3,335</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Notes payable &amp; other longer-term</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63,822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1,670</w:t>
            </w: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76,008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Junior subordinated deferrable interest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debentures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1,717</w:t>
            </w:r>
          </w:p>
        </w:tc>
        <w:tc>
          <w:tcPr>
            <w:tcW w:w="13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46,393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1,540</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2,747,738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46,679</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2,438,112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29,373</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2.43%</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1,092,429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70,856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69,443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noninterest-bearing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1,030,075</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1,161,872</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410,631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371,243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Borders>
              <w:top w:val="single" w:sz="8" w:color="CCEEFF"/>
            </w:tcBorders>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Total liabilities and shareholders’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4,188,444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3,971,227</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71,702</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69,500</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2.84%</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2"/>
          </w:tcPr>
          <w:p>
            <w:pPr>
              <w:spacing w:after="0" w:line="210" w:lineRule="exact"/>
              <w:rPr>
                <w:sz w:val="20"/>
                <w:szCs w:val="20"/>
                <w:color w:val="auto"/>
              </w:rPr>
            </w:pPr>
            <w:r>
              <w:rPr>
                <w:rFonts w:ascii="Times New Roman" w:cs="Times New Roman" w:eastAsia="Times New Roman" w:hAnsi="Times New Roman"/>
                <w:sz w:val="15"/>
                <w:szCs w:val="15"/>
                <w:color w:val="auto"/>
              </w:rPr>
              <w:t>Net interest margin</w:t>
            </w:r>
            <w:r>
              <w:rPr>
                <w:rFonts w:ascii="Times New Roman" w:cs="Times New Roman" w:eastAsia="Times New Roman" w:hAnsi="Times New Roman"/>
                <w:sz w:val="24"/>
                <w:szCs w:val="24"/>
                <w:color w:val="auto"/>
                <w:vertAlign w:val="superscript"/>
              </w:rPr>
              <w:t>(3)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3.70%</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loan balances include nonaccrual loans and loans held for sale.</w:t>
      </w:r>
    </w:p>
    <w:p>
      <w:pPr>
        <w:spacing w:after="0" w:line="27"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and average balances for interest-earning deposits at other banks, nonmarketable securities, federal funds sold, and other miscellaneous interest-earning assets</w:t>
      </w: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is calculated as the annualized net interest income, on a fully tax-equivalent basis, divided by average interest-earning assets.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40" w:type="dxa"/>
            <w:vAlign w:val="bottom"/>
            <w:gridSpan w:val="9"/>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2024 over 2023</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60" w:type="dxa"/>
            <w:vAlign w:val="bottom"/>
            <w:vMerge w:val="continue"/>
          </w:tcPr>
          <w:p>
            <w:pPr>
              <w:spacing w:after="0"/>
              <w:rPr>
                <w:sz w:val="16"/>
                <w:szCs w:val="16"/>
                <w:color w:val="auto"/>
              </w:rPr>
            </w:pP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7,707</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(decrease) in interest income</w:t>
            </w:r>
          </w:p>
        </w:tc>
        <w:tc>
          <w:tcPr>
            <w:tcW w:w="26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NOW, Savings, MMDAs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increase (decrease) interest expense:</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net interest income</w:t>
            </w:r>
          </w:p>
        </w:tc>
        <w:tc>
          <w:tcPr>
            <w:tcW w:w="26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9"/>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2024 over 2023</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660" w:type="dxa"/>
            <w:vAlign w:val="bottom"/>
            <w:vMerge w:val="continue"/>
          </w:tcPr>
          <w:p>
            <w:pPr>
              <w:spacing w:after="0"/>
              <w:rPr>
                <w:sz w:val="16"/>
                <w:szCs w:val="16"/>
                <w:color w:val="auto"/>
              </w:rPr>
            </w:pP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17,045</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2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(decrease) in interest income</w:t>
            </w:r>
          </w:p>
        </w:tc>
        <w:tc>
          <w:tcPr>
            <w:tcW w:w="26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NOW, Savings, MMDAs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4,308</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 securities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increase (decrease) interest expense:</w:t>
            </w: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14,031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17,306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net interest income</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2660" w:type="dxa"/>
            <w:vAlign w:val="bottom"/>
            <w:vMerge w:val="restart"/>
          </w:tcPr>
          <w:p>
            <w:pPr>
              <w:jc w:val="right"/>
              <w:ind w:right="1535"/>
              <w:spacing w:after="0"/>
              <w:rPr>
                <w:sz w:val="20"/>
                <w:szCs w:val="20"/>
                <w:color w:val="auto"/>
              </w:rPr>
            </w:pPr>
            <w:r>
              <w:rPr>
                <w:rFonts w:ascii="Times New Roman" w:cs="Times New Roman" w:eastAsia="Times New Roman" w:hAnsi="Times New Roman"/>
                <w:sz w:val="14"/>
                <w:szCs w:val="14"/>
                <w:color w:val="auto"/>
              </w:rPr>
              <w:t>36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6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66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for the three months ended June 30, 2024 was $35.9 million, compared to $34.6 million for the three months ended June 30, 2023, an increase of $1.3 million, or 3.8%, and was comprised of an increase of $8.4 million in interest income, partially offset by an increase of $7.1 million in interest expense. The growth in interest income was attributable to increases of $7.7 million in loan interest income and $680 thousand in interest income from securities and other interest-earning assets. The increase in loan interest income was mainly due to growth of $188.5 million in average loans outstanding and an increase of 66 basis points in the yield on loans. The increase in interest income on securities and other interest-earning assets was primarily due to higher market interest rates. The $7.1 million increase in interest expense was primarily related to an increase of $255.7 million in average interest-bearing deposits and an 88 basis point increase in the rate paid on interest-bearing deposits over the same period in 2023. Additionally, average noninterest-bearing demand deposits decreased $115.4 million for the three months ended June 30, 2024 as compared to the three months ended June 30, 2023.</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net interest margin and net interest spread were 3.63% and 2.54%, respectively, compared to 3.65% and 2.73%, respectively, for the same period in 2023, which reflects the changes in interest income and interest expense discussed above.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for the six months ended June 30, 2024 was $71.3 million, compared to $68.9 million for the six months ended June 30, 2023, an increase of $2.4 million, or 3.4%, and was comprised of an increase of $19.7 million in interest income, partially offset by an increase of $17.3 million in interest expense. The growth in interest income was attributable to increases of $17.0 million in loan interest income and $2.7 million in interest income from securities and other interest-earning assets. The increase in loan interest income was mainly due to growth of $212.1 million in average loans outstanding and an increase of 70 basis points in the yield on loans. The increase in interest income on securities and other interest-earning assets was primarily due to higher market interest rates. The $17.3 million increase in interest expense was primarily related to an increase of $322.0 million in average interest-bearing deposits and a 105 basis point increase in the rate paid on interest-bearing deposits over the same period in 2023. Additionally, average noninterest-bearing demand deposits decreased $133.2 million for the six months ended June 30, 2024 as compared to the six months ended June 30, 2023.</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interest margin and net interest spread were 3.60% and 2.52%, respectively, compared to 3.70% and 2.84%, respectively, for the same period in 2023, which reflects the changes in interest income and interest expense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risk is inherent in the business of making loans. We establish an allowance for credit losses (“ACL”) through charges to earnings, which are shown in the consolidated statements of comprehensive income (loss) as the provision for credit losses. Credit losses on loans are charged against the allowance when management believes the uncollectibility of a loan balance is confirmed. The provision for credit losses is determined by conducting a quarterly evaluation of the adequacy of our ACL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 provision for credit losses of $1.8 million for the three months ended June 30, 2024, compared to $3.7 million for the three months ended June 30, 2023. The decline in provision of $1.9 million was largely attributable to a decrease in the period net loan growth of $108.0 million and a reduction of $456 thousand in provision for loans individually evaluated.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 provision for credit losses for the six months ended June 30, 2024 of $2.6 million, compared to $4.7 million for the six months ended June 30, 2023. The decline in provision of $2.1 million was largely attributable to a decrease in the period net loan growth of $150.9 million and a reduction of $399 thousand in provision for loans individually evaluated.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credit losses is a significant factor in the Company’s operating results. For further discussion regarding the provision for credit losses and management’s assessment of the adequacy of the ACL for loans, see “Allowance for Credit Losses for Loans” and “Asset Quality” under “Financial Condition” in this Item 2,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noninterest income for the periods indicated:</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6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8"/>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 banking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5,258</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(1,861)</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Fiduciary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33,488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(33,488)</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(33,488)</w:t>
            </w:r>
          </w:p>
        </w:tc>
        <w:tc>
          <w:tcPr>
            <w:tcW w:w="0" w:type="dxa"/>
            <w:vAlign w:val="bottom"/>
          </w:tcPr>
          <w:p>
            <w:pPr>
              <w:spacing w:after="0"/>
              <w:rPr>
                <w:sz w:val="1"/>
                <w:szCs w:val="1"/>
                <w:color w:val="auto"/>
              </w:rPr>
            </w:pPr>
          </w:p>
        </w:tc>
      </w:tr>
      <w:tr>
        <w:trPr>
          <w:trHeight w:val="223"/>
        </w:trPr>
        <w:tc>
          <w:tcPr>
            <w:tcW w:w="328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income and fees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1,524</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47,112</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right="2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and fees includes income and fees associated with the increase in the cash surrender value of life insurance, safe deposit box rental, check printing, collections, legal settlements, wire transfer, Small Business Investment Company (“SBIC”) investments, and other miscellaneous services.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for the three months ended June 30, 2024 was $12.7 million, compared to $47.1 million for the three months ended June 30, 2023, a decrease of $34.4 million, or 73.0%. Significant changes in the components of noninterest income are detailed below.</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Service charges on deposit accounts </w:t>
      </w:r>
      <w:r>
        <w:rPr>
          <w:rFonts w:ascii="Times New Roman" w:cs="Times New Roman" w:eastAsia="Times New Roman" w:hAnsi="Times New Roman"/>
          <w:sz w:val="18"/>
          <w:szCs w:val="18"/>
          <w:color w:val="auto"/>
        </w:rPr>
        <w:t>- Income from service charges on deposit accounts increased $204 thousand, or 11.7%,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30, 2024 as compared to the same period in 2023. The increase was primarily the result of treasury management initiatives taken to drive growth.</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Mortgage banking activities </w:t>
      </w:r>
      <w:r>
        <w:rPr>
          <w:rFonts w:ascii="Times New Roman" w:cs="Times New Roman" w:eastAsia="Times New Roman" w:hAnsi="Times New Roman"/>
          <w:sz w:val="18"/>
          <w:szCs w:val="18"/>
          <w:color w:val="auto"/>
        </w:rPr>
        <w:t>- Income from mortgage banking activities decreased $1.9 million, or 35.4%, to $3.4 million for the three months ended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2024 from $5.3 million for the three months ended June 30, 2023. This decrease was mainly the result of a decline of $1.1 million in the fair value adjustment of the mortgage servicing rights assets as interest rates that affect the value were relatively flat after rising modestly in the second quarter of 2023. Additionally, mortgage loan originations declined $23.7 million, or 22.1%, in the current year period as compared to the prior year period as mortgage interest rates have risen and overall mortgage lending has slowed.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Gain on sale of subsidiary </w:t>
      </w:r>
      <w:r>
        <w:rPr>
          <w:rFonts w:ascii="Times New Roman" w:cs="Times New Roman" w:eastAsia="Times New Roman" w:hAnsi="Times New Roman"/>
          <w:sz w:val="18"/>
          <w:szCs w:val="18"/>
          <w:color w:val="auto"/>
        </w:rPr>
        <w:t>- A $33.5 million gain from the sale of Windmark Insurance Agency, Inc. (“Windmark”) was recorded in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for the six months ended June 30, 2024 was $24.1 million, compared to $57.8 million for the six months ended June 30, 2023, a decrease of $33.7 million, or 58.3%. Significant changes in the components of noninterest income are detailed below.</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Service charges on deposit accounts </w:t>
      </w:r>
      <w:r>
        <w:rPr>
          <w:rFonts w:ascii="Times New Roman" w:cs="Times New Roman" w:eastAsia="Times New Roman" w:hAnsi="Times New Roman"/>
          <w:sz w:val="18"/>
          <w:szCs w:val="18"/>
          <w:color w:val="auto"/>
        </w:rPr>
        <w:t>- Income from service charges on deposit accounts increased $316 thousand, or 9.2%, for the six months ended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2024 as compared to the same period in 2023. The increase was primarily the result of treasury management initiatives taken to drive growth.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Gain on sale of subsidiary </w:t>
      </w:r>
      <w:r>
        <w:rPr>
          <w:rFonts w:ascii="Times New Roman" w:cs="Times New Roman" w:eastAsia="Times New Roman" w:hAnsi="Times New Roman"/>
          <w:sz w:val="18"/>
          <w:szCs w:val="18"/>
          <w:color w:val="auto"/>
        </w:rPr>
        <w:t>- A $33.5 million gain from the sale of Windmark was recorded in the second quarter of 2023.</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from insurance activities </w:t>
      </w:r>
      <w:r>
        <w:rPr>
          <w:rFonts w:ascii="Times New Roman" w:cs="Times New Roman" w:eastAsia="Times New Roman" w:hAnsi="Times New Roman"/>
          <w:sz w:val="18"/>
          <w:szCs w:val="18"/>
          <w:color w:val="auto"/>
        </w:rPr>
        <w:t>- Due to the sale of Windmark in the second quarter of 2023, there was a decline of $1.4 million in income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activities for the six months ended June 30, 2024 as compared to the same period in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noninterest expense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23,437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38,187</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expense,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4,303</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8,135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Appraisal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sale of securities</w:t>
            </w:r>
          </w:p>
        </w:tc>
        <w:tc>
          <w:tcPr>
            <w:tcW w:w="240" w:type="dxa"/>
            <w:vAlign w:val="bottom"/>
          </w:tcPr>
          <w:p>
            <w:pPr>
              <w:spacing w:after="0"/>
              <w:rPr>
                <w:sz w:val="18"/>
                <w:szCs w:val="18"/>
                <w:color w:val="auto"/>
              </w:rPr>
            </w:pP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3,409</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expenses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4,345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40,499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(7,927)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(8,358)</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20" w:hanging="652"/>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items such as banking regulatory assessments, telephone expenses, postage, courier fees, directors’ fees, supplies, and insurance.</w:t>
      </w:r>
    </w:p>
    <w:p>
      <w:pPr>
        <w:sectPr>
          <w:pgSz w:w="11900" w:h="16838" w:orient="portrait"/>
          <w:cols w:equalWidth="0" w:num="1">
            <w:col w:w="11240"/>
          </w:cols>
          <w:pgMar w:left="320" w:top="113" w:right="339" w:bottom="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838" w:orient="portrait"/>
          <w:cols w:equalWidth="0" w:num="1">
            <w:col w:w="11240"/>
          </w:cols>
          <w:pgMar w:left="320" w:top="113" w:right="339"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for the three months ended June 30, 2024 was $32.6 million compared to $40.5 million for the three months ended June 30, 2023, an decrease of $7.9 million, or 19.6%. Significant changes in the components of noninterest expense are detailed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Salaries and employee benefits </w:t>
      </w:r>
      <w:r>
        <w:rPr>
          <w:rFonts w:ascii="Times New Roman" w:cs="Times New Roman" w:eastAsia="Times New Roman" w:hAnsi="Times New Roman"/>
          <w:sz w:val="18"/>
          <w:szCs w:val="18"/>
          <w:color w:val="auto"/>
        </w:rPr>
        <w:t>- Salaries and employee benefits decreased $4.2 million, or 18.1%, from $23.4 million for the three months ended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2023 to $19.2 million for the three months ended June 30, 2024. This decrease was primarily driven by $4.3 million of Windmark transaction and related incentive-based compensation expenses incurred in the second quarter of 2023.</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Loss on sale of securities - </w:t>
      </w:r>
      <w:r>
        <w:rPr>
          <w:rFonts w:ascii="Times New Roman" w:cs="Times New Roman" w:eastAsia="Times New Roman" w:hAnsi="Times New Roman"/>
          <w:sz w:val="18"/>
          <w:szCs w:val="18"/>
          <w:color w:val="auto"/>
        </w:rPr>
        <w:t>The Company sold approximately $56.2 million of available for sale securities in the second quarter of 2023. This resulted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on sale of $3.4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expenses - </w:t>
      </w:r>
      <w:r>
        <w:rPr>
          <w:rFonts w:ascii="Times New Roman" w:cs="Times New Roman" w:eastAsia="Times New Roman" w:hAnsi="Times New Roman"/>
          <w:sz w:val="18"/>
          <w:szCs w:val="18"/>
          <w:color w:val="auto"/>
        </w:rPr>
        <w:t>There was approximately $200 thousand of Windmark transaction expenses in the second quarter of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for the six months ended June 30, 2024 was $64.5 million, compared to $72.9 million for the six months ended June 30, 2023, a decrease of $8.4 million, or 11.5%. Significant changes in the components of noninterest expense are detailed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Salaries and employee benefits </w:t>
      </w:r>
      <w:r>
        <w:rPr>
          <w:rFonts w:ascii="Times New Roman" w:cs="Times New Roman" w:eastAsia="Times New Roman" w:hAnsi="Times New Roman"/>
          <w:sz w:val="18"/>
          <w:szCs w:val="18"/>
          <w:color w:val="auto"/>
        </w:rPr>
        <w:t>- Salaries and employee benefits decreased $4.5 million, or 10.6%, from $42.7 million for the six months ended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to $38.2 million for the six months ended June 30, 2024. This decrease was primarily driven by $4.3 million of Windmark transaction and related incentive-based compensation expenses incurred in the second quarter of 2023.</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Loss on sale of securities </w:t>
      </w:r>
      <w:r>
        <w:rPr>
          <w:rFonts w:ascii="Times New Roman" w:cs="Times New Roman" w:eastAsia="Times New Roman" w:hAnsi="Times New Roman"/>
          <w:sz w:val="18"/>
          <w:szCs w:val="18"/>
          <w:color w:val="auto"/>
        </w:rPr>
        <w:t>- The Company sold approximately $56.2 million of available for sale securities in the second quarter of 2023. This resulted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on sale of $3.4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expenses - </w:t>
      </w:r>
      <w:r>
        <w:rPr>
          <w:rFonts w:ascii="Times New Roman" w:cs="Times New Roman" w:eastAsia="Times New Roman" w:hAnsi="Times New Roman"/>
          <w:sz w:val="18"/>
          <w:szCs w:val="18"/>
          <w:color w:val="auto"/>
        </w:rPr>
        <w:t>There was approximately $275 thousand of Windmark transaction expenses in the first and second quarters of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assets increased $16.1 million, or 0.4%, to $4.22 billion at June 30, 2024, compared to $4.20 billion at December 31, 2023. Our gross loans held for investment increased $80.1 million, or 2.7%, to $3.09 billion at June 30, 2024, compared to $3.01 billion at December 31, 2023. Our securities portfolio decreased $31.7 million, or 5.1%, to $591.0 million at June 30, 2024, compared to $622.8 million at December 31, 2023. Total deposits decreased $1.6 million, or 0.0%, to $3.62 billion at June 30, 2024, compared to $3.63 billion at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held for investment increased $80.1 million, or 2.7%, to $3.09 billion at June 30, 2024, compared to $3.01 billion at December 31, 2023. The growth in loans remained relationship-focused and occurred primarily in direct-energy loans, seasonal agricultural-related loans, and single-family property loans, partially offset by decreases in consumer auto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contractual maturities of our loans held for investment portfolio at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Due after One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Due after Five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Due in</w:t>
            </w:r>
          </w:p>
        </w:tc>
        <w:tc>
          <w:tcPr>
            <w:tcW w:w="22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One Year or</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Through Five</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Due 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Fifteen Years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Fifteen Years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(Dollars in thousands)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609,932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313,260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81,168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1,125,272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142,180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73,287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422,602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72,394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204,382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145,398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105,598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527,772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32,928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107,279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90,578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337,811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568,596</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188,584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80,955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272,444</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43,188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17,308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69,513</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92,658</w:t>
            </w: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13,319</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108,074</w:t>
            </w:r>
          </w:p>
        </w:tc>
      </w:tr>
      <w:tr>
        <w:trPr>
          <w:trHeight w:val="256"/>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484,410</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1,308,864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721,928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579,071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3,094,273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distribution between fixed and adjustable interest rate loans for maturities greater than one year as of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As of June 30, 2024</w:t>
            </w:r>
          </w:p>
        </w:tc>
      </w:tr>
      <w:tr>
        <w:trPr>
          <w:trHeight w:val="221"/>
        </w:trPr>
        <w:tc>
          <w:tcPr>
            <w:tcW w:w="8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12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Adjustable</w:t>
            </w: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568,022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89,896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179,110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286,328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204,806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8,709</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1,362,888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June 30, 2024, there was $1.57 billion in adjustable rate loans, with $876.6 million of these loans that mature or reprice in the next twelve months. Of these loans that mature or reprice in the next twelve months, $591.8 million will reprice immediately upon changes in the underlying index rate, with the remaining $284.8 million being subject to rate floors above the current index or a future repricing date.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is the predominate index used by the Bank. Further, there is $138.0 million of fixed rate loans that mature in the next twelve months as of June 30, 2024.</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 is primarily involved in real estate, commercial, agricultural and consumer lending activities with customers throughout Texas and Eastern New Mexico. We have a collateral concentration, as 72.2% of our loans were secured by real property as of June 30, 2024, compared to 72.7% as of December 31, 2023.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and residential construction loans represent 39.8% of loans held for investment as of June 30, 2024 and represented 40.1% of loans held for investment as of December 31, 2023. Further, these loans are geographically diversified, primarily throughout the state of Texas as well as Eastern New Mexico.</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Commercial Real Estate</w:t>
      </w:r>
      <w:r>
        <w:rPr>
          <w:rFonts w:ascii="Times New Roman" w:cs="Times New Roman" w:eastAsia="Times New Roman" w:hAnsi="Times New Roman"/>
          <w:sz w:val="18"/>
          <w:szCs w:val="18"/>
          <w:color w:val="auto"/>
        </w:rPr>
        <w:t>. Our commercial real estate portfolio includes loans for commercial property that is owned by real estate investors,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 real estate loans increased $44.2 million, or 4.1%, to $1.13 billion as of June 30, 2024 from $1.08 billion as of December 31, 2023. The increase was primarily driven by an increase in multifamily property loans of $64.9 million and an increase in other commercial real estate loans of $18.0 million, partially offset by a decrease in commercial land development and construction loans of $47.2 million due to the completion of several large projects.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Commercial – General and Specialized</w:t>
      </w:r>
      <w:r>
        <w:rPr>
          <w:rFonts w:ascii="Times New Roman" w:cs="Times New Roman" w:eastAsia="Times New Roman" w:hAnsi="Times New Roman"/>
          <w:sz w:val="18"/>
          <w:szCs w:val="18"/>
          <w:color w:val="auto"/>
        </w:rPr>
        <w:t>. Commercial loans are underwritten after evaluating and understanding the borrower’s ability to operate profitably.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general loans increased $10.4 million, or 2.0%, to $527.8 million as of June 30, 2024 from $517.4 million as of December 31, 2023. The increase in commercial general loans was primarily due to increases in loans to companies in the goods and services and industries.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Commercial specialized loans increased $50.2 million, or 13.5%, to $422.6 million as of June 30, 2024 from $372.4 million as of December 31, 2023. This increase was primarily due to growth of $47.3 million in energy sector loans.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Consumer</w:t>
      </w:r>
      <w:r>
        <w:rPr>
          <w:rFonts w:ascii="Times New Roman" w:cs="Times New Roman" w:eastAsia="Times New Roman" w:hAnsi="Times New Roman"/>
          <w:sz w:val="18"/>
          <w:szCs w:val="18"/>
          <w:color w:val="auto"/>
        </w:rPr>
        <w:t>. We utilize a computer-based credit scoring analysis to supplement our policies and procedures in underwriting consumer loans. Our loan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 and other loans decreased $3.6 million, or 0.4%, to $910.6 million as of June 30, 2024, from $914.2 million as of December 31, 2023. The decrease in these loans was primarily a result of a $32.8 million decrease in consumer auto loans, a decrease of $4.7 million in other consumer loans, partially offset by an increase of $33.9 million in residential mortgage loans. As of June 30, 2024, our consumer loan portfolio was comprised of $568.6 million in 1-4 family residential loans, $272.4 million in auto loans, and $69.5 million in other consumer loans. The consumer auto and other consumer loans portfolios have experienced a decline in new originations due to higher loan rates and economic pressures from inflation on consumers.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Loans for residential construction are for single-family properties to developers, builders, or end-users. These loans are underwritten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Construction loans decreased $21.1 million, or 16.3%, to $108.1 million as of June 30, 2024 from $129.2 million as of December 31, 2023. The decrease resulted from reduced demand for residential construction as interest rate levels remained elevated and projects were completed and sold.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commercial real estate and construction categories comprise the Company’s nonowner-occupied real estate loans. Total nonowner-occupied real estate loans were $1.23 billion at June 30, 2024 and $1.20 billion at December 31, 2023. Nonowner-occupied commercial real estate are made up of income-producing commercial real estate property loans and construction, acquisition, and development property loans. As of June 30, 2024, total income-producing commercial real estate property loans totaled $852.3 million and was comprised of $284.5 million of multi-family property loans, $171.4 million of retail property loans, $139.1 million of office property loans, $64.1 million in hospitality loans, and $193.3 million in other property loans. Other property loans include types such as industrial, warehouse, mini-storage, and convenience stores. As of June 30, 2024, total construction, acquisition, and development property loans totaled $381.0 million and was comprised of $108.1 million in residential construction property loans and $272.9 million of commercial construction and other land development loans. The weighted average loan-to-value of income-producing nonowner-occupied commercial real estate loans was approximately 55% at June 30, 2024. The weighted average loan-to-value of nonowner-occupied office commercial real estate loans was approximately 61% at June 30,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Owner-occupied commercial real estate loans totaled $335.0 million at June 30, 2024 and $341.1 million at December 31,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Company’s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ectPr>
          <w:pgSz w:w="11900" w:h="16838" w:orient="portrait"/>
          <w:cols w:equalWidth="0" w:num="1">
            <w:col w:w="11240"/>
          </w:cols>
          <w:pgMar w:left="320" w:top="116"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commitments we have made as of the dates presented.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 and unfunded commitments under lines of 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598,800</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11,503</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651,433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use our line of credit with the FHLB to take out letters of credit. These letters of credit are pledged as collateral for certain public fund deposits.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letters of credit are off-balance sheet liabilities and would only be funded in the event of a default by the Company</w:t>
      </w:r>
      <w:r>
        <w:rPr>
          <w:rFonts w:ascii="Times New Roman" w:cs="Times New Roman" w:eastAsia="Times New Roman" w:hAnsi="Times New Roman"/>
          <w:sz w:val="18"/>
          <w:szCs w:val="18"/>
          <w:i w:val="1"/>
          <w:i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for Loans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ACL provides a reserve against which loan losses are charged for current expected credit losses. Management evaluates the appropriate level of the ACL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ACL is assessed by regulatory examinations and the Company’s internal and external loan reviews. The ACL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determine the adequacy of the ACL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ectPr>
          <w:pgSz w:w="11900" w:h="16838" w:orient="portrait"/>
          <w:cols w:equalWidth="0" w:num="1">
            <w:col w:w="11240"/>
          </w:cols>
          <w:pgMar w:left="320" w:top="116"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ACL for loans was $43.2 million at June 30, 2024, compared to $42.4 million at December 31, 2023, an increase of $0.8 million, or 1.9%. The increase is primarily a result of a provision for credit losses on loans of $2.5 million being recorded during the six months ended June 30, 2024 largely attributable to growth of $80.1 million in loans held for investment, partially offset by net charge-offs of $1.7 million during the period and an increase in nonperforming loans. Uncertainty regarding forecasted economic conditions remains, due to the continued elevated interest rate environment and persistent inflation in the United States, and additional provisions for credit losses may be necessary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an analysis of the ACL for loans and other data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52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loans outstanding during the periods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5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1,114,782</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942,296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1,102,062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929,207</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398,661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342,519</w:t>
            </w: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379,510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330,903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529,762</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537,015</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524,826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514,729</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568,792</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506,630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553,526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491,399</w:t>
            </w:r>
          </w:p>
        </w:tc>
        <w:tc>
          <w:tcPr>
            <w:tcW w:w="0" w:type="dxa"/>
            <w:vAlign w:val="bottom"/>
          </w:tcPr>
          <w:p>
            <w:pPr>
              <w:spacing w:after="0"/>
              <w:rPr>
                <w:sz w:val="1"/>
                <w:szCs w:val="1"/>
                <w:color w:val="auto"/>
              </w:rPr>
            </w:pPr>
          </w:p>
        </w:tc>
      </w:tr>
      <w:tr>
        <w:trPr>
          <w:trHeight w:val="216"/>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282,908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319,875</w:t>
            </w: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290,729</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320,978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70,553</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80,760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71,812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80,474</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143,832</w:t>
            </w: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112,384</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146,074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21,160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13,720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22,718</w:t>
            </w:r>
          </w:p>
        </w:tc>
        <w:tc>
          <w:tcPr>
            <w:tcW w:w="0" w:type="dxa"/>
            <w:vAlign w:val="bottom"/>
          </w:tcPr>
          <w:p>
            <w:pPr>
              <w:spacing w:after="0"/>
              <w:rPr>
                <w:sz w:val="1"/>
                <w:szCs w:val="1"/>
                <w:color w:val="auto"/>
              </w:rPr>
            </w:pPr>
          </w:p>
        </w:tc>
      </w:tr>
      <w:tr>
        <w:trPr>
          <w:trHeight w:val="27"/>
        </w:trPr>
        <w:tc>
          <w:tcPr>
            <w:tcW w:w="5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average loans outstanding during the periods</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3,082,601</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2,894,087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3,048,569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2,836,482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 (recoveries) during the periods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3"/>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charge-offs (recoveries) during the periods</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charge-offs (recoveries) to average loans during the periods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7"/>
        </w:trPr>
        <w:tc>
          <w:tcPr>
            <w:tcW w:w="5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w w:val="99"/>
              </w:rPr>
              <w:t>Total ratio of net charge-offs (recoveries) to average loans during the periods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43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54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other loan data as of the dates indicated.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38"/>
        </w:trPr>
        <w:tc>
          <w:tcPr>
            <w:tcW w:w="10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194"/>
        </w:trPr>
        <w:tc>
          <w:tcPr>
            <w:tcW w:w="10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held for investment outstanding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3,094,273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3,014,153</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21,835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3,242</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43,173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42,356</w:t>
            </w:r>
          </w:p>
        </w:tc>
      </w:tr>
      <w:tr>
        <w:trPr>
          <w:trHeight w:val="216"/>
        </w:trPr>
        <w:tc>
          <w:tcPr>
            <w:tcW w:w="10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allowance to total loans held for investment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allowance to nonaccrual loans</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197.72%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1,306.48%</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nonaccrual loans to total loans held for investment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charge-offs (recoveries) totaled $776 thousand and were 0.10% (annualized) of average loans outstanding for the three months ended June 30, 2024, compared to $383 thousand and 0.05% (annualized) for the three months ended June 30, 2023. There was an increase of $220 thousand in net charge-offs on commercial-general loans in the second quarter of 2024 due to the charge-off of three loans under $135 thousand each. Net charge-offs totaled $1.7 million and were 0.11% (annualized) of average loans outstanding for the six months ended June 30, 2024, compared to $1.0 million and 0.07% (annualized) for the six months ended June 30, 2023. There was an increase of $424 thousand in net charge-offs on commercial-general loans during the first two quarters of 2024 due to the charge-off of several loans under $150 thousand each. The allowance for credit losses on loans as a percentage of loans held for investment was 1.40% at June 30, 2024 and 1.41% at December 31,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entire ACL for loans is available to absorb losses from any part of our loan portfolio, the following table sets forth the allocation of the ACL for loans for the periods presented and the percentage of allowance in each classification to total allowance: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1"/>
                <w:szCs w:val="21"/>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15,593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43,173</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42,356</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estate we acquire as a result of foreclosure or by deed-in-lieu of foreclosure is classified as other real estate owned (“OREO”) until sold and is initially recorded at fair value less costs to sell when acquired, establishing a new cost basis. OREO and repossessed assets are reported as foreclosed assets.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Nonperforming loans include nonaccrual loans and loans past due 90 days or more. Nonperforming assets consist of nonperforming loans plus foreclosed assets.</w:t>
      </w:r>
    </w:p>
    <w:p>
      <w:pPr>
        <w:sectPr>
          <w:pgSz w:w="11900" w:h="16838" w:orient="portrait"/>
          <w:cols w:equalWidth="0" w:num="1">
            <w:col w:w="11240"/>
          </w:cols>
          <w:pgMar w:left="320" w:top="114"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2024, our total nonaccrual loans were $21.8 million, or 0.71% of total loans held for investment, as compared to $3.2 million, or 0.11% of total loans held for investment, at December 31, 2023. These loans within this amount that exceeded $250 thousand were specifically analyzed and specific valuation allowances were established as necessary and included in the ACL for loans as of June 30, 2024 to cover any probable loss. One relationship totaling $20.5 million was placed on nonaccrual after the maturity date was accelerated during the second quarter of 2024. Two relationships totaling approximately $972 thousand that were on nonaccrual at December 31, 2023 were fully repaid in the first quarter of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Nonperforming loans were $23.5 million at June 30, 2024 and $5.2 million at December 31, 2023. This increase of $18.3 million is mainly due to the changes in nonaccrual loans noted above.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ACL for loans.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ACL for loans is adjusted by the same amount.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Portfolio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securities portfolio decreased $31.7 million, or 5.1%, to $591.0 million at June 30, 2024, compared to $622.8 million at December 31, 2023. The decrease was primarily due to $20.2 million in maturities, prepayments and calls, net of short-term purchases and maturities and by a $10.3 million decrease in the fair value of available for sale securities at June 30, 2024 as compared to December 31, 2023.</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securities have fair values less than amortized cost and, therefore, contain unrealized losses. During the six months ended June 30, 2024, the fair value of the Company’s available for sale securities declined by $10.3 million. At June 30, 2024,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ACL or losses have been recognized in the Company’s consolidated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an obligation with or without call or prepayment penalties.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June 30, 2024</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Due in One</w:t>
            </w:r>
          </w:p>
        </w:tc>
        <w:tc>
          <w:tcPr>
            <w:tcW w:w="160" w:type="dxa"/>
            <w:vAlign w:val="bottom"/>
          </w:tcPr>
          <w:p>
            <w:pPr>
              <w:spacing w:after="0"/>
              <w:rPr>
                <w:sz w:val="16"/>
                <w:szCs w:val="16"/>
                <w:color w:val="auto"/>
              </w:rPr>
            </w:pPr>
          </w:p>
        </w:tc>
        <w:tc>
          <w:tcPr>
            <w:tcW w:w="2120" w:type="dxa"/>
            <w:vAlign w:val="bottom"/>
            <w:gridSpan w:val="4"/>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Due after One Year</w:t>
            </w:r>
          </w:p>
        </w:tc>
        <w:tc>
          <w:tcPr>
            <w:tcW w:w="140" w:type="dxa"/>
            <w:vAlign w:val="bottom"/>
          </w:tcPr>
          <w:p>
            <w:pPr>
              <w:spacing w:after="0"/>
              <w:rPr>
                <w:sz w:val="16"/>
                <w:szCs w:val="16"/>
                <w:color w:val="auto"/>
              </w:rPr>
            </w:pPr>
          </w:p>
        </w:tc>
        <w:tc>
          <w:tcPr>
            <w:tcW w:w="2120" w:type="dxa"/>
            <w:vAlign w:val="bottom"/>
            <w:gridSpan w:val="4"/>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Due after Five Years</w:t>
            </w:r>
          </w:p>
        </w:tc>
        <w:tc>
          <w:tcPr>
            <w:tcW w:w="180" w:type="dxa"/>
            <w:vAlign w:val="bottom"/>
          </w:tcPr>
          <w:p>
            <w:pPr>
              <w:spacing w:after="0"/>
              <w:rPr>
                <w:sz w:val="16"/>
                <w:szCs w:val="16"/>
                <w:color w:val="auto"/>
              </w:rPr>
            </w:pPr>
          </w:p>
        </w:tc>
        <w:tc>
          <w:tcPr>
            <w:tcW w:w="1820" w:type="dxa"/>
            <w:vAlign w:val="bottom"/>
            <w:gridSpan w:val="3"/>
          </w:tcPr>
          <w:p>
            <w:pPr>
              <w:ind w:left="46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or Less</w:t>
            </w:r>
          </w:p>
        </w:tc>
        <w:tc>
          <w:tcPr>
            <w:tcW w:w="160" w:type="dxa"/>
            <w:vAlign w:val="bottom"/>
          </w:tcPr>
          <w:p>
            <w:pPr>
              <w:spacing w:after="0"/>
              <w:rPr>
                <w:sz w:val="21"/>
                <w:szCs w:val="21"/>
                <w:color w:val="auto"/>
              </w:rPr>
            </w:pP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40" w:type="dxa"/>
            <w:vAlign w:val="bottom"/>
          </w:tcPr>
          <w:p>
            <w:pPr>
              <w:spacing w:after="0"/>
              <w:rPr>
                <w:sz w:val="21"/>
                <w:szCs w:val="21"/>
                <w:color w:val="auto"/>
              </w:rPr>
            </w:pP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Through Ten Years</w:t>
            </w:r>
          </w:p>
        </w:tc>
        <w:tc>
          <w:tcPr>
            <w:tcW w:w="180" w:type="dxa"/>
            <w:vAlign w:val="bottom"/>
          </w:tcPr>
          <w:p>
            <w:pPr>
              <w:spacing w:after="0"/>
              <w:rPr>
                <w:sz w:val="21"/>
                <w:szCs w:val="21"/>
                <w:color w:val="auto"/>
              </w:rPr>
            </w:pPr>
          </w:p>
        </w:tc>
        <w:tc>
          <w:tcPr>
            <w:tcW w:w="198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Ten Years</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189,927</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198"/>
        </w:trPr>
        <w:tc>
          <w:tcPr>
            <w:tcW w:w="2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residential</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333,408</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98"/>
        </w:trPr>
        <w:tc>
          <w:tcPr>
            <w:tcW w:w="2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commercial</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47,256</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8"/>
        </w:trPr>
        <w:tc>
          <w:tcPr>
            <w:tcW w:w="2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Collateralized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obligations</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69,260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8"/>
        </w:trPr>
        <w:tc>
          <w:tcPr>
            <w:tcW w:w="2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3,146</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14,196</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available-for-sale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136,604</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537,531</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Due in One</w:t>
            </w:r>
          </w:p>
        </w:tc>
        <w:tc>
          <w:tcPr>
            <w:tcW w:w="160" w:type="dxa"/>
            <w:vAlign w:val="bottom"/>
          </w:tcPr>
          <w:p>
            <w:pPr>
              <w:spacing w:after="0"/>
              <w:rPr>
                <w:sz w:val="16"/>
                <w:szCs w:val="16"/>
                <w:color w:val="auto"/>
              </w:rPr>
            </w:pPr>
          </w:p>
        </w:tc>
        <w:tc>
          <w:tcPr>
            <w:tcW w:w="2120" w:type="dxa"/>
            <w:vAlign w:val="bottom"/>
            <w:gridSpan w:val="4"/>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Due after One Year</w:t>
            </w:r>
          </w:p>
        </w:tc>
        <w:tc>
          <w:tcPr>
            <w:tcW w:w="140" w:type="dxa"/>
            <w:vAlign w:val="bottom"/>
          </w:tcPr>
          <w:p>
            <w:pPr>
              <w:spacing w:after="0"/>
              <w:rPr>
                <w:sz w:val="16"/>
                <w:szCs w:val="16"/>
                <w:color w:val="auto"/>
              </w:rPr>
            </w:pPr>
          </w:p>
        </w:tc>
        <w:tc>
          <w:tcPr>
            <w:tcW w:w="2120" w:type="dxa"/>
            <w:vAlign w:val="bottom"/>
            <w:gridSpan w:val="4"/>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Due after Five Years</w:t>
            </w:r>
          </w:p>
        </w:tc>
        <w:tc>
          <w:tcPr>
            <w:tcW w:w="180" w:type="dxa"/>
            <w:vAlign w:val="bottom"/>
          </w:tcPr>
          <w:p>
            <w:pPr>
              <w:spacing w:after="0"/>
              <w:rPr>
                <w:sz w:val="16"/>
                <w:szCs w:val="16"/>
                <w:color w:val="auto"/>
              </w:rPr>
            </w:pPr>
          </w:p>
        </w:tc>
        <w:tc>
          <w:tcPr>
            <w:tcW w:w="1820" w:type="dxa"/>
            <w:vAlign w:val="bottom"/>
            <w:gridSpan w:val="3"/>
          </w:tcPr>
          <w:p>
            <w:pPr>
              <w:ind w:left="46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or Less</w:t>
            </w:r>
          </w:p>
        </w:tc>
        <w:tc>
          <w:tcPr>
            <w:tcW w:w="160" w:type="dxa"/>
            <w:vAlign w:val="bottom"/>
          </w:tcPr>
          <w:p>
            <w:pPr>
              <w:spacing w:after="0"/>
              <w:rPr>
                <w:sz w:val="21"/>
                <w:szCs w:val="21"/>
                <w:color w:val="auto"/>
              </w:rPr>
            </w:pP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40" w:type="dxa"/>
            <w:vAlign w:val="bottom"/>
          </w:tcPr>
          <w:p>
            <w:pPr>
              <w:spacing w:after="0"/>
              <w:rPr>
                <w:sz w:val="21"/>
                <w:szCs w:val="21"/>
                <w:color w:val="auto"/>
              </w:rPr>
            </w:pPr>
          </w:p>
        </w:tc>
        <w:tc>
          <w:tcPr>
            <w:tcW w:w="21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Through Ten Years</w:t>
            </w:r>
          </w:p>
        </w:tc>
        <w:tc>
          <w:tcPr>
            <w:tcW w:w="180" w:type="dxa"/>
            <w:vAlign w:val="bottom"/>
          </w:tcPr>
          <w:p>
            <w:pPr>
              <w:spacing w:after="0"/>
              <w:rPr>
                <w:sz w:val="21"/>
                <w:szCs w:val="21"/>
                <w:color w:val="auto"/>
              </w:rPr>
            </w:pPr>
          </w:p>
        </w:tc>
        <w:tc>
          <w:tcPr>
            <w:tcW w:w="198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Ten Years</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Yield</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191,070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98"/>
        </w:trPr>
        <w:tc>
          <w:tcPr>
            <w:tcW w:w="2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residential</w:t>
            </w:r>
          </w:p>
        </w:tc>
        <w:tc>
          <w:tcPr>
            <w:tcW w:w="1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347,293</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8"/>
        </w:trPr>
        <w:tc>
          <w:tcPr>
            <w:tcW w:w="2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commercial</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47,898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8"/>
        </w:trPr>
        <w:tc>
          <w:tcPr>
            <w:tcW w:w="2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Collateralized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obligations</w:t>
            </w:r>
          </w:p>
        </w:tc>
        <w:tc>
          <w:tcPr>
            <w:tcW w:w="1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72,391</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8"/>
        </w:trPr>
        <w:tc>
          <w:tcPr>
            <w:tcW w:w="2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16,117</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available-for-sale</w:t>
            </w: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140,465</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554,480</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deposits at June 30, 2024 were $3.62 billion, representing an decrease of $1.6 million, or 0.0%, compared to $3.63 billion at December 31, 2023. Although overall total deposits only changed minimally since December 31, 2023, there was a decrease of $22.6 million in noninterest-bearing deposits, partially offset by an increase of $21.0 million in interest-bearing deposits. As of June 30, 2024, 26.3% of total deposits were comprised of noninterest-bearing demand accounts, 62.0% of interest-bearing non-maturity accounts and 11.7% of time deposits.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deposit mix as of the dates presented: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4"/>
                <w:szCs w:val="24"/>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951,565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974,201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NOW and other transaction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483,700</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562,066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and other savings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1,766,199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1,722,170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423,049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367,716</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9"/>
                <w:szCs w:val="19"/>
                <w:color w:val="auto"/>
              </w:rPr>
            </w:pPr>
          </w:p>
        </w:tc>
      </w:tr>
      <w:tr>
        <w:trPr>
          <w:trHeight w:val="23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3,624,513</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3,626,153</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average deposit balances and weighted average rates paid on deposits, on an annualized basis, for the periods indicated.</w:t>
      </w:r>
    </w:p>
    <w:p>
      <w:pPr>
        <w:sectPr>
          <w:pgSz w:w="11900" w:h="16838" w:orient="portrait"/>
          <w:cols w:equalWidth="0" w:num="1">
            <w:col w:w="11240"/>
          </w:cols>
          <w:pgMar w:left="320" w:top="114" w:right="339" w:bottom="984"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984"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10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194"/>
        </w:trPr>
        <w:tc>
          <w:tcPr>
            <w:tcW w:w="10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6"/>
                <w:szCs w:val="16"/>
                <w:color w:val="auto"/>
              </w:rPr>
            </w:pPr>
          </w:p>
        </w:tc>
        <w:tc>
          <w:tcPr>
            <w:tcW w:w="11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6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14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Average Rate</w:t>
            </w: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3"/>
              </w:rPr>
              <w:t>(Dollars in</w:t>
            </w:r>
          </w:p>
        </w:tc>
        <w:tc>
          <w:tcPr>
            <w:tcW w:w="26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960,106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1,075,514</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and interest-bearing demand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482,212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307,171</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Savings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133,422</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147,533</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0.59%</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1,605,793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1,604,478</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r>
      <w:tr>
        <w:trPr>
          <w:trHeight w:val="223"/>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392,778</w:t>
            </w:r>
          </w:p>
        </w:tc>
        <w:tc>
          <w:tcPr>
            <w:tcW w:w="2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299,358</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59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2,614,205</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2,358,540</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5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3,574,311</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3,434,054</w:t>
            </w:r>
          </w:p>
        </w:tc>
        <w:tc>
          <w:tcPr>
            <w:tcW w:w="10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r>
      <w:tr>
        <w:trPr>
          <w:trHeight w:val="21"/>
        </w:trPr>
        <w:tc>
          <w:tcPr>
            <w:tcW w:w="10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3"/>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10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194"/>
        </w:trPr>
        <w:tc>
          <w:tcPr>
            <w:tcW w:w="10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6"/>
                <w:szCs w:val="16"/>
                <w:color w:val="auto"/>
              </w:rPr>
            </w:pPr>
          </w:p>
        </w:tc>
        <w:tc>
          <w:tcPr>
            <w:tcW w:w="11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6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14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Average Rate</w:t>
            </w: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3"/>
              </w:rPr>
              <w:t>(Dollars in</w:t>
            </w:r>
          </w:p>
        </w:tc>
        <w:tc>
          <w:tcPr>
            <w:tcW w:w="26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959,219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1,092,429</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and interest-bearing demand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490,506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321,199</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Savings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134,891</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149,743</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0.83%</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1,628,307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1,552,927</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383,816</w:t>
            </w:r>
          </w:p>
        </w:tc>
        <w:tc>
          <w:tcPr>
            <w:tcW w:w="2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291,677</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59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2,637,520</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2,315,546</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5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3,596,739</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3,407,975</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r>
        <w:trPr>
          <w:trHeight w:val="21"/>
        </w:trPr>
        <w:tc>
          <w:tcPr>
            <w:tcW w:w="10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 deposits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time deposits of more than $250 thousand as of June 30, 2024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Within:</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6"/>
                <w:szCs w:val="16"/>
                <w:color w:val="auto"/>
              </w:rPr>
            </w:pPr>
          </w:p>
        </w:tc>
        <w:tc>
          <w:tcPr>
            <w:tcW w:w="106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Three to</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Six to</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After</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21"/>
                <w:szCs w:val="21"/>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21"/>
                <w:szCs w:val="21"/>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Uninsured time deposits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40,546</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106,876</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amount of uninsured deposits as of June 30, 2024 was $1.17 billion. This represented approximately 31% of total deposits and excludes collateralized public fund deposits.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Borrowed Funds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deposits, we utilize advances from the FHLB and other borrowings as a supplementary funding source to finance our operations.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FHLB Advances</w:t>
      </w:r>
      <w:r>
        <w:rPr>
          <w:rFonts w:ascii="Times New Roman" w:cs="Times New Roman" w:eastAsia="Times New Roman" w:hAnsi="Times New Roman"/>
          <w:sz w:val="18"/>
          <w:szCs w:val="18"/>
          <w:color w:val="auto"/>
        </w:rPr>
        <w:t>. The FHLB allows us to borrow, both short and long-term, on a blanket floating lien status collateralized by first mortgage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real estate loans as well as FHLB stock. At June 30, 2024 and December 31, 2023, we had total remaining borrowing capacity from the FHLB of $1.09 billion and $1.10 billion, respectively, with no outstanding balance. We had no long-term FHLB borrowings during the three and six months ended June 30, 2024 or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Federal Reserve Bank of Dallas</w:t>
      </w:r>
      <w:r>
        <w:rPr>
          <w:rFonts w:ascii="Times New Roman" w:cs="Times New Roman" w:eastAsia="Times New Roman" w:hAnsi="Times New Roman"/>
          <w:sz w:val="18"/>
          <w:szCs w:val="18"/>
          <w:color w:val="auto"/>
        </w:rPr>
        <w:t>. The Bank has a line of credit with the Federal Reserve Bank of Dallas (the “FRB”). The amount of the line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monthly basis by the FRB. The line is collateralized by a blanket floating lien on all agriculture, commercial and consumer loans. The amount of the line was $679.3 million and $595.4 million at June 30, 2024 and December 31, 2023, respectively, with no outstanding balance. We had no long-term FRB borrowings during the six months ended June 30, 2024 or 2023.</w:t>
      </w:r>
    </w:p>
    <w:p>
      <w:pPr>
        <w:sectPr>
          <w:pgSz w:w="11900" w:h="16838" w:orient="portrait"/>
          <w:cols w:equalWidth="0" w:num="1">
            <w:col w:w="11240"/>
          </w:cols>
          <w:pgMar w:left="320" w:top="114"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Lines of Credit</w:t>
      </w:r>
      <w:r>
        <w:rPr>
          <w:rFonts w:ascii="Times New Roman" w:cs="Times New Roman" w:eastAsia="Times New Roman" w:hAnsi="Times New Roman"/>
          <w:sz w:val="18"/>
          <w:szCs w:val="18"/>
          <w:color w:val="auto"/>
        </w:rPr>
        <w:t>. The Bank has uncollateralized lines of credit with multiple banks as a source of funding for liquidity management. The total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was $140.0 million and $140.0 million as of June 30, 2024 and December 31, 2023, respectively. The lines were not used, other than testing during the three and six months June 30, 2024 or the three and six months June 30, 2023.</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FHLB Letters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may use FHLB letters of credit to pledge to certain public deposits. There were $75.0 million of FHLB letters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outstanding at June 30, 2024 and none outstanding at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Debt</w:t>
      </w:r>
      <w:r>
        <w:rPr>
          <w:rFonts w:ascii="Times New Roman" w:cs="Times New Roman" w:eastAsia="Times New Roman" w:hAnsi="Times New Roman"/>
          <w:sz w:val="18"/>
          <w:szCs w:val="18"/>
          <w:color w:val="auto"/>
        </w:rPr>
        <w:t>. In December 2018, the Company issued $14.1 million of notes that have a maturity date of December 2030 and an average fixed rate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6.41% for the first seven years. After the fixed rate periods, the notes will float at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with a floor of 4.0% and a ceiling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These notes pay interest quarterly, are unsecured, and may be called by the Company at any time after the remaining maturity is five years or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these notes are intended to qualify for Tier 2 capital treatment, subject to regulatory limitations.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2020, the Company issued $50.0 million in subordinated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total amount of subordinated debt securities outstanding was $64.1 million less approximately $232 thousand of remaining debt issuance costs for a total balance of $63.9 million.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Junior Subordinated Deferrable Interest Debentures and Trust Preferred Securities</w:t>
      </w:r>
      <w:r>
        <w:rPr>
          <w:rFonts w:ascii="Times New Roman" w:cs="Times New Roman" w:eastAsia="Times New Roman" w:hAnsi="Times New Roman"/>
          <w:sz w:val="18"/>
          <w:szCs w:val="18"/>
          <w:color w:val="auto"/>
        </w:rPr>
        <w:t>. Between March 2004 and June 2007, the Company formed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June 30, 2024 and December 31, 2023.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chart below indicates certain information, as of June 30, 2024,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and the interest rates on the junior subordinated deferrable interest debentures.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Stated</w:t>
            </w:r>
          </w:p>
        </w:tc>
        <w:tc>
          <w:tcPr>
            <w:tcW w:w="234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 Date of</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of</w:t>
            </w:r>
          </w:p>
        </w:tc>
      </w:tr>
      <w:tr>
        <w:trPr>
          <w:trHeight w:val="216"/>
        </w:trPr>
        <w:tc>
          <w:tcPr>
            <w:tcW w:w="2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Trust Preferred</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Trust Preferred</w:t>
            </w:r>
          </w:p>
        </w:tc>
      </w:tr>
      <w:tr>
        <w:trPr>
          <w:trHeight w:val="206"/>
        </w:trPr>
        <w:tc>
          <w:tcPr>
            <w:tcW w:w="2740" w:type="dxa"/>
            <w:vAlign w:val="bottom"/>
          </w:tcPr>
          <w:p>
            <w:pPr>
              <w:spacing w:after="0"/>
              <w:rPr>
                <w:sz w:val="17"/>
                <w:szCs w:val="17"/>
                <w:color w:val="auto"/>
              </w:rPr>
            </w:pPr>
          </w:p>
        </w:tc>
        <w:tc>
          <w:tcPr>
            <w:tcW w:w="18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20" w:type="dxa"/>
            <w:vAlign w:val="bottom"/>
          </w:tcPr>
          <w:p>
            <w:pPr>
              <w:spacing w:after="0"/>
              <w:rPr>
                <w:sz w:val="17"/>
                <w:szCs w:val="17"/>
                <w:color w:val="auto"/>
              </w:rPr>
            </w:pPr>
          </w:p>
        </w:tc>
        <w:tc>
          <w:tcPr>
            <w:tcW w:w="1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6"/>
              </w:rPr>
              <w:t>Trust Preferred</w:t>
            </w:r>
          </w:p>
        </w:tc>
        <w:tc>
          <w:tcPr>
            <w:tcW w:w="10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 and</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and</w:t>
            </w:r>
          </w:p>
        </w:tc>
      </w:tr>
      <w:tr>
        <w:trPr>
          <w:trHeight w:val="255"/>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Trust</w:t>
            </w:r>
          </w:p>
        </w:tc>
        <w:tc>
          <w:tcPr>
            <w:tcW w:w="1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Debentures</w:t>
            </w:r>
          </w:p>
        </w:tc>
        <w:tc>
          <w:tcPr>
            <w:tcW w:w="200" w:type="dxa"/>
            <w:vAlign w:val="bottom"/>
          </w:tcPr>
          <w:p>
            <w:pPr>
              <w:spacing w:after="0"/>
              <w:rPr>
                <w:sz w:val="22"/>
                <w:szCs w:val="22"/>
                <w:color w:val="auto"/>
              </w:rPr>
            </w:pPr>
          </w:p>
        </w:tc>
        <w:tc>
          <w:tcPr>
            <w:tcW w:w="130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rPr>
              <w:t>Debentures</w:t>
            </w:r>
            <w:r>
              <w:rPr>
                <w:rFonts w:ascii="Times New Roman" w:cs="Times New Roman" w:eastAsia="Times New Roman" w:hAnsi="Times New Roman"/>
                <w:sz w:val="28"/>
                <w:szCs w:val="28"/>
                <w:b w:val="1"/>
                <w:bCs w:val="1"/>
                <w:color w:val="auto"/>
                <w:vertAlign w:val="superscript"/>
              </w:rPr>
              <w:t>(1)</w:t>
            </w:r>
          </w:p>
        </w:tc>
        <w:tc>
          <w:tcPr>
            <w:tcW w:w="120" w:type="dxa"/>
            <w:vAlign w:val="bottom"/>
          </w:tcPr>
          <w:p>
            <w:pPr>
              <w:spacing w:after="0"/>
              <w:rPr>
                <w:sz w:val="22"/>
                <w:szCs w:val="22"/>
                <w:color w:val="auto"/>
              </w:rPr>
            </w:pPr>
          </w:p>
        </w:tc>
        <w:tc>
          <w:tcPr>
            <w:tcW w:w="234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6"/>
              </w:rPr>
              <w:t>Debentures</w:t>
            </w:r>
            <w:r>
              <w:rPr>
                <w:rFonts w:ascii="Times New Roman" w:cs="Times New Roman" w:eastAsia="Times New Roman" w:hAnsi="Times New Roman"/>
                <w:sz w:val="28"/>
                <w:szCs w:val="28"/>
                <w:b w:val="1"/>
                <w:bCs w:val="1"/>
                <w:color w:val="auto"/>
                <w:w w:val="96"/>
                <w:vertAlign w:val="superscript"/>
              </w:rPr>
              <w:t>(2)(3)</w:t>
            </w:r>
          </w:p>
        </w:tc>
      </w:tr>
      <w:tr>
        <w:trPr>
          <w:trHeight w:val="216"/>
        </w:trPr>
        <w:tc>
          <w:tcPr>
            <w:tcW w:w="2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960" w:type="dxa"/>
            <w:vAlign w:val="bottom"/>
            <w:gridSpan w:val="6"/>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w w:val="97"/>
              </w:rPr>
              <w:t>(Dollars in thousands)</w:t>
            </w:r>
          </w:p>
        </w:tc>
        <w:tc>
          <w:tcPr>
            <w:tcW w:w="2340" w:type="dxa"/>
            <w:vAlign w:val="bottom"/>
          </w:tcPr>
          <w:p>
            <w:pPr>
              <w:spacing w:after="0"/>
              <w:rPr>
                <w:sz w:val="18"/>
                <w:szCs w:val="18"/>
                <w:color w:val="auto"/>
              </w:rPr>
            </w:pP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South Plains Financial Capital</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3-mo. CME Term SOFR + 291</w:t>
            </w:r>
          </w:p>
        </w:tc>
      </w:tr>
      <w:tr>
        <w:trPr>
          <w:trHeight w:val="234"/>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Trust III</w:t>
            </w:r>
          </w:p>
        </w:tc>
        <w:tc>
          <w:tcPr>
            <w:tcW w:w="1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10,310</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2034</w:t>
            </w: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bps; 8.24%</w:t>
            </w: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South Plains Financial Capital</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3-mo. CME Term SOFR + 165</w:t>
            </w:r>
          </w:p>
        </w:tc>
      </w:tr>
      <w:tr>
        <w:trPr>
          <w:trHeight w:val="234"/>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 IV</w:t>
            </w:r>
          </w:p>
        </w:tc>
        <w:tc>
          <w:tcPr>
            <w:tcW w:w="1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20,619</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2035</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bps; 6.99%</w:t>
            </w: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South Plains Financial Capital</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3-mo. CME Term SOFR + 176</w:t>
            </w:r>
          </w:p>
        </w:tc>
      </w:tr>
      <w:tr>
        <w:trPr>
          <w:trHeight w:val="241"/>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Trust V</w:t>
            </w:r>
          </w:p>
        </w:tc>
        <w:tc>
          <w:tcPr>
            <w:tcW w:w="18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2037</w:t>
            </w:r>
          </w:p>
        </w:tc>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bps; 7.10%</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46,393</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redeemed at the Company’s option.</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quarterly with principal due at maturity.</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as of last reset date, prior to 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 At June 30, 2024, the Bank had the capacity to borrow additional funds from the FHLB and Federal Reserve discount window of up to approximately $1.09 billion and $679 million,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believes that the Company has adequate liquidity to meet its obligations. However, if general economic conditions, potential recession in the United States and our market areas, 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persistence of the current inflationary environment in the United States and our market areas, or other events, cause these sources of external funding to become restricted or are eliminated, the Company may not be able to raise adequate funds or may incur substantially higher funding costs or operating restrictions in order to raise the necessary funds to support the Company’s operations and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stockholders’ equity increased to $418.0 million as of June 30, 2024, compared to $407.1 million as of December 31, 2023, an increase of $10.9 million, or 2.7%. The increase from December 31, 2023 was primarily the result of $22.0 million in net earnings for the six months ended June 30, 2024, partially offset by a decrease in accumulated other comprehensive income (“AOCI”) of $7.4 million, net of tax, and $4.4 million of dividends paid. The decrease in AOCI was attributed to the decrease in fair value of our available for sale securities and fair value hedges, net of tax, as a result of the continued elevated interest rate environment experienced during the period.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2024 and December 31, 2023, both we and the Bank met all the capital adequacy requirements to which we and the Bank were subject. At June 30, 2024, we and the Bank were “well capitalized” under the regulatory framework for prompt corrective action. Management believes that no conditions or events have occurred since June 30, 2024 that would materially adversely change such capital classifications. From time to time, we may need to raise additional capital to support our and the Bank’s further growth and to maintain our “well capitalized” status.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capital requirements applicable to us and the Bank in order to be considered “well capitalized” from a regulatory perspective, as well as our and the Bank’s capital ratios as of the dates indicated.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4"/>
                <w:szCs w:val="24"/>
                <w:color w:val="auto"/>
              </w:rPr>
            </w:pPr>
          </w:p>
        </w:tc>
        <w:tc>
          <w:tcPr>
            <w:tcW w:w="242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South Plains Financial, Inc.</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9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609,162</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16.86%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589,565</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7"/>
              </w:rPr>
              <w:t>16.74%</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500,666</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13.86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482,044</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455,666</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12.61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437,044</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500,666</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11.81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482,044</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City Bank:</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509,178</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14.09%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494,353</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7"/>
              </w:rPr>
              <w:t>14.04%</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464,550</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464,550</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12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3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464,550</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10.96</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450,607</w:t>
            </w:r>
          </w:p>
        </w:tc>
        <w:tc>
          <w:tcPr>
            <w:tcW w:w="12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Bank Leverage Ratio</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 sheet exposures and trading assets and liabilities. Although the Company and the Bank are qualifying community banking organizations, the Company and the Bank have elected not to opt in to the CBLR framework at this time and will continue to follow the Basel III capital requirements as described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repurchased stock in accordance with its previously-announced stock repurchase program during the three and six months ended June 30, 2024. For the three months ended June 30, 2024, we repurchased 12,393 shares of common stock for a total of $305 thousand. For the six months ended June 30, 2024, we repurchased 13,799 share of common stock for a total of $340 thousand. These shares were retired immediately upon repurchase by the Company and not included in treasury stock. See Part II, Item 2, “Unregistered Sales of Equity Securities and Use of Proceeds,” of this Form 10-Q for further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and Market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simulated change in net interest income over a 12-month horizon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8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00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r>
      <w:tr>
        <w:trPr>
          <w:trHeight w:val="194"/>
        </w:trPr>
        <w:tc>
          <w:tcPr>
            <w:tcW w:w="30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5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 Change in</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 Change in</w:t>
            </w:r>
          </w:p>
        </w:tc>
        <w:tc>
          <w:tcPr>
            <w:tcW w:w="220" w:type="dxa"/>
            <w:vAlign w:val="bottom"/>
          </w:tcPr>
          <w:p>
            <w:pPr>
              <w:spacing w:after="0"/>
              <w:rPr>
                <w:sz w:val="16"/>
                <w:szCs w:val="16"/>
                <w:color w:val="auto"/>
              </w:rPr>
            </w:pPr>
          </w:p>
        </w:tc>
      </w:tr>
      <w:tr>
        <w:trPr>
          <w:trHeight w:val="198"/>
        </w:trPr>
        <w:tc>
          <w:tcPr>
            <w:tcW w:w="7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Change in Interest Rates (Basis Points)</w:t>
            </w:r>
          </w:p>
        </w:tc>
        <w:tc>
          <w:tcPr>
            <w:tcW w:w="1860" w:type="dxa"/>
            <w:vAlign w:val="bottom"/>
            <w:gridSpan w:val="3"/>
          </w:tcPr>
          <w:p>
            <w:pPr>
              <w:jc w:val="center"/>
              <w:ind w:right="3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Interest Income</w:t>
            </w:r>
          </w:p>
        </w:tc>
        <w:tc>
          <w:tcPr>
            <w:tcW w:w="17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b w:val="1"/>
                <w:bCs w:val="1"/>
                <w:color w:val="auto"/>
              </w:rPr>
              <w:t>Net Interest Income</w:t>
            </w:r>
          </w:p>
        </w:tc>
      </w:tr>
      <w:tr>
        <w:trPr>
          <w:trHeight w:val="28"/>
        </w:trPr>
        <w:tc>
          <w:tcPr>
            <w:tcW w:w="3000" w:type="dxa"/>
            <w:vAlign w:val="bottom"/>
            <w:tcBorders>
              <w:top w:val="single" w:sz="8" w:color="auto"/>
            </w:tcBorders>
          </w:tcPr>
          <w:p>
            <w:pPr>
              <w:spacing w:after="0"/>
              <w:rPr>
                <w:sz w:val="2"/>
                <w:szCs w:val="2"/>
                <w:color w:val="auto"/>
              </w:rPr>
            </w:pPr>
          </w:p>
        </w:tc>
        <w:tc>
          <w:tcPr>
            <w:tcW w:w="46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w:t>
            </w:r>
          </w:p>
        </w:tc>
        <w:tc>
          <w:tcPr>
            <w:tcW w:w="46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-6.45%</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-10.02%</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4620" w:type="dxa"/>
            <w:vAlign w:val="bottom"/>
          </w:tcPr>
          <w:p>
            <w:pPr>
              <w:spacing w:after="0"/>
              <w:rPr>
                <w:sz w:val="18"/>
                <w:szCs w:val="18"/>
                <w:color w:val="auto"/>
              </w:rPr>
            </w:pP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-4.18%</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46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4620" w:type="dxa"/>
            <w:vAlign w:val="bottom"/>
          </w:tcPr>
          <w:p>
            <w:pPr>
              <w:spacing w:after="0"/>
              <w:rPr>
                <w:sz w:val="18"/>
                <w:szCs w:val="18"/>
                <w:color w:val="auto"/>
              </w:rPr>
            </w:pPr>
          </w:p>
        </w:tc>
        <w:tc>
          <w:tcPr>
            <w:tcW w:w="1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0.90%</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462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spacing w:after="0" w:line="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consolidated statements of comprehensive income (loss),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ectPr>
          <w:pgSz w:w="11900" w:h="16838" w:orient="portrait"/>
          <w:cols w:equalWidth="0" w:num="1">
            <w:col w:w="11240"/>
          </w:cols>
          <w:pgMar w:left="320" w:top="116"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Tangible Book Value Per Common Share</w:t>
      </w:r>
      <w:r>
        <w:rPr>
          <w:rFonts w:ascii="Times New Roman" w:cs="Times New Roman" w:eastAsia="Times New Roman" w:hAnsi="Times New Roman"/>
          <w:sz w:val="18"/>
          <w:szCs w:val="18"/>
          <w:color w:val="auto"/>
        </w:rPr>
        <w:t>. Tangible book value per share is a non-GAAP measure generally used by investors, financial analysts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Tangible Common Equity to Tangible Assets</w:t>
      </w:r>
      <w:r>
        <w:rPr>
          <w:rFonts w:ascii="Times New Roman" w:cs="Times New Roman" w:eastAsia="Times New Roman" w:hAnsi="Times New Roman"/>
          <w:sz w:val="18"/>
          <w:szCs w:val="18"/>
          <w:color w:val="auto"/>
        </w:rPr>
        <w:t>. Tangible common equity to tangible assets is a non-GAAP measure generally used by investors,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Pr>
          <w:p>
            <w:pPr>
              <w:spacing w:after="0"/>
              <w:rPr>
                <w:sz w:val="21"/>
                <w:szCs w:val="21"/>
                <w:color w:val="auto"/>
              </w:rPr>
            </w:pPr>
          </w:p>
        </w:tc>
        <w:tc>
          <w:tcPr>
            <w:tcW w:w="1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417,985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407,114</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1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(21,379)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(21,744)</w:t>
            </w:r>
          </w:p>
        </w:tc>
      </w:tr>
      <w:tr>
        <w:trPr>
          <w:trHeight w:val="25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common equity</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396,606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385,370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4,220,936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4,204,793</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1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(21,379)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(21,744)</w:t>
            </w:r>
          </w:p>
        </w:tc>
      </w:tr>
      <w:tr>
        <w:trPr>
          <w:trHeight w:val="257"/>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assets</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4,199,557</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4,183,049</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w:t>
            </w:r>
          </w:p>
        </w:tc>
        <w:tc>
          <w:tcPr>
            <w:tcW w:w="18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16,424,021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16,417,099</w:t>
            </w:r>
          </w:p>
        </w:tc>
      </w:tr>
      <w:tr>
        <w:trPr>
          <w:trHeight w:val="210"/>
        </w:trPr>
        <w:tc>
          <w:tcPr>
            <w:tcW w:w="86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9.68%</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common equity to tangible assets</w:t>
            </w:r>
          </w:p>
        </w:tc>
        <w:tc>
          <w:tcPr>
            <w:tcW w:w="18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Book value per share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24.80</w:t>
            </w:r>
          </w:p>
        </w:tc>
      </w:tr>
      <w:tr>
        <w:trPr>
          <w:trHeight w:val="234"/>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book value per share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24.15</w:t>
            </w:r>
          </w:p>
        </w:tc>
        <w:tc>
          <w:tcPr>
            <w:tcW w:w="180" w:type="dxa"/>
            <w:vAlign w:val="bottom"/>
          </w:tcPr>
          <w:p>
            <w:pPr>
              <w:spacing w:after="0"/>
              <w:rPr>
                <w:sz w:val="20"/>
                <w:szCs w:val="20"/>
                <w:color w:val="auto"/>
              </w:rPr>
            </w:pPr>
          </w:p>
        </w:tc>
        <w:tc>
          <w:tcPr>
            <w:tcW w:w="26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accounting and reporting policies conform to GAAP and conform to general practices within the industry in which we operate. To prepare consolidated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consolidated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ectPr>
          <w:pgSz w:w="11900" w:h="16838" w:orient="portrait"/>
          <w:cols w:equalWidth="0" w:num="1">
            <w:col w:w="11240"/>
          </w:cols>
          <w:pgMar w:left="320" w:top="116"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critical accounting policies and significant estimates that we believe require us to make the most complex or subjective decisions or assessments.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Investment securities may be classified into trading, held-to-maturity, or available-for-sale portfolios. Securities that are held principally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The cost of securities sold is based on the specific identification method.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Loans that management has the intent and ability to hold for the foreseeable future or until maturity or payoff are reported at their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ACL for loans is established for future expected credit losses through a provision for credit losses charged to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Loan losses are charged against the allowance when management believes the uncollectibility of a loan balance is confirmed. Subsequent recoveries, if any, are credited to the allowance. The Company’s ACL for loans consists of specific valuation allowances established for probable losses on specifically analyzed loans and collective valuation allowances calculated using comparable and quantifiable information both internal and external about past events, including historical experience, current conditions, and reasonable and supportable forecasts that affect the collectability of the reported amount.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that exhibit characteristics different from their pool characteristics are evaluated on an individual basis. Loans evaluated individually are not included in the collective ACL for loans evaluation. Certain of these loans are considered to be collateral dependent with the borrower experiencing financial difficulty. For these loans, the fair value of collateral practical expedient is elected whereby the allowance is calculated as the amount by which the amortized cost exceeds the fair value of collateral, less costs to sell. All non-accrual loans $250 thousand or greater are analyzed for a specific ACL.</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expected credit losses on off-balance sheet credit exposures over the contractual period in which the Company is exposed to credit risk via a contractual obligation to extend credit, unless that obligation is unconditionally cancellable by the Company. The ACL for off-balance sheet credit exposures is adjusted through provision for credit losses. The estimate includes consideration of the likelihood that funding will occur and an estimate of expected credit losses on commitments expected to be funded over its estimated life. Utilization rates are determined based on a two-year rolling average of historical usage. Expected loss rates for all pass rated loans are used to determine the ACL for off-balance sheet credit exposures.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AFS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costs basis is written down to fair value through income. For AFS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impairment that has not been recorded through an ACL is recognized in other comprehensive income (loss). Changes in the ACL are recorded as provision for credit losses. Losses are charged against the allowance when management believes the uncollectibility of an AFS security is confirmed or when either of the criteria regarding intent or requirement to sell is met. Accrued interest is excluded from the estimate of credit losses on securities.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Loans Held for Sale. </w:t>
      </w:r>
      <w:r>
        <w:rPr>
          <w:rFonts w:ascii="Times New Roman" w:cs="Times New Roman" w:eastAsia="Times New Roman" w:hAnsi="Times New Roman"/>
          <w:sz w:val="18"/>
          <w:szCs w:val="18"/>
          <w:color w:val="auto"/>
        </w:rPr>
        <w:t>Loans held for sale are comprised of residential mortgage loans. Loans that are originated for best efforts delivery are carried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Mortgage Servicing Rights Asset. </w:t>
      </w:r>
      <w:r>
        <w:rPr>
          <w:rFonts w:ascii="Times New Roman" w:cs="Times New Roman" w:eastAsia="Times New Roman" w:hAnsi="Times New Roman"/>
          <w:sz w:val="18"/>
          <w:szCs w:val="18"/>
          <w:color w:val="auto"/>
        </w:rPr>
        <w:t>When mortgage loans are sold with servicing retained, servicing rights are initially recorded at fair value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 of comprehensive income (loss)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consolidated financial statements. The fair values of servicing rights are subject to significant fluctuations as a result of changes in estimated and actual prepayment speeds and default rates and losses.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Goodwill resulting from business combinations is generally determined as the excess of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Summary of Significant Accounting Policies, in the notes to the consolidated financial statements included elsewhere in this Form 10-Q regarding the impact of new accounting pronouncements.</w:t>
      </w:r>
    </w:p>
    <w:p>
      <w:pPr>
        <w:spacing w:after="0" w:line="15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17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Rules 13a-15(f) and 15d-15(f) under the Exchange Act) that occurred during the three months ended June 30, 2024 that have materially affected, or are reasonably likely to materially affect, the Company’s internal control over financial reporting.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are subject to various legal actions, as described in our Annual Report on Form 10-K for the year ended December 31, 2023 (the “2023 Annual Report on Form 10-K”) filed with the SEC on March 15, 2024. Except as described in our 2023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2023 Annual Report on Form 10-K. Management believes there have been no material changes in the risk factors disclosed by the Company in Part I, Item 1A, “Risk Factors,” of the 2023 Annual Report on Form 10-K. Additional risks and uncertainties not currently known to us or that we currently deem to be immaterial also may materially adversely affect our business, financial condition and/or operating results.</w:t>
      </w:r>
    </w:p>
    <w:p>
      <w:pPr>
        <w:spacing w:after="0" w:line="18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21, 2024, the Company’s board of directors approved a new stock repurchase program pursuant to which the Company may, from time to time, purchase up to $10.0 million of its outstanding shares of common stock (the “New Program”). The shares can be repurchased from time to time in privately negotiated transactions or the open market, including pursuant to Rule 10b5-1 trading plans, and in accordance with applicable regulations of the SEC. The Company is not obligated to purchase any shares of its common stock under the New Program and the timing and exact amount of any repurchases depends on various factors including, the performance of the Company’s stock price, general market and other conditions, applicable legal requirements and other factors. The New Program may be terminated or amended by the Company’s board of directors at any time prior to the expiration date of February 26,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share repurchase activity for the three months ended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Dollar</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 Dollar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Repurchase</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Pursuant to</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Publicly-</w:t>
            </w:r>
          </w:p>
        </w:tc>
      </w:tr>
      <w:tr>
        <w:trPr>
          <w:trHeight w:val="216"/>
        </w:trPr>
        <w:tc>
          <w:tcPr>
            <w:tcW w:w="100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r>
      <w:tr>
        <w:trPr>
          <w:trHeight w:val="245"/>
        </w:trPr>
        <w:tc>
          <w:tcPr>
            <w:tcW w:w="100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Repurchased</w:t>
            </w: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0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April 2024</w:t>
            </w:r>
          </w:p>
        </w:tc>
        <w:tc>
          <w:tcPr>
            <w:tcW w:w="49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305,383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9,659,477</w:t>
            </w:r>
          </w:p>
        </w:tc>
        <w:tc>
          <w:tcPr>
            <w:tcW w:w="10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2024</w:t>
            </w:r>
          </w:p>
        </w:tc>
        <w:tc>
          <w:tcPr>
            <w:tcW w:w="49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9,659,477</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2024</w:t>
            </w:r>
          </w:p>
        </w:tc>
        <w:tc>
          <w:tcPr>
            <w:tcW w:w="49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9,659,477</w:t>
            </w:r>
          </w:p>
        </w:tc>
      </w:tr>
      <w:tr>
        <w:trPr>
          <w:trHeight w:val="27"/>
        </w:trPr>
        <w:tc>
          <w:tcPr>
            <w:tcW w:w="100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9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12,393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360" w:type="dxa"/>
            <w:vAlign w:val="bottom"/>
            <w:gridSpan w:val="3"/>
          </w:tcPr>
          <w:p>
            <w:pPr>
              <w:jc w:val="right"/>
              <w:ind w:right="376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none of the directors or officers of the Company adopted or terminated a “Rule 10b5-1 trading arrangement” or a “non-Rule 10b5-1 trading arrangement,” as each term is defined in Item 408 of Regulation S-K.</w:t>
      </w:r>
    </w:p>
    <w:p>
      <w:pPr>
        <w:sectPr>
          <w:pgSz w:w="11900" w:h="16838" w:orient="portrait"/>
          <w:cols w:equalWidth="0" w:num="1">
            <w:col w:w="11240"/>
          </w:cols>
          <w:pgMar w:left="320" w:top="116"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980" w:type="dxa"/>
            <w:vAlign w:val="bottom"/>
          </w:tcPr>
          <w:p>
            <w:pPr>
              <w:spacing w:after="0"/>
              <w:rPr>
                <w:sz w:val="13"/>
                <w:szCs w:val="13"/>
                <w:color w:val="auto"/>
              </w:rPr>
            </w:pPr>
          </w:p>
        </w:tc>
      </w:tr>
      <w:tr>
        <w:trPr>
          <w:trHeight w:val="385"/>
        </w:trPr>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240" w:type="dxa"/>
            <w:vAlign w:val="bottom"/>
          </w:tcPr>
          <w:p>
            <w:pPr>
              <w:spacing w:after="0"/>
              <w:rPr>
                <w:sz w:val="24"/>
                <w:szCs w:val="24"/>
                <w:color w:val="auto"/>
              </w:rPr>
            </w:pPr>
          </w:p>
        </w:tc>
        <w:tc>
          <w:tcPr>
            <w:tcW w:w="86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24"/>
                <w:szCs w:val="24"/>
                <w:color w:val="auto"/>
              </w:rPr>
            </w:pPr>
          </w:p>
        </w:tc>
        <w:tc>
          <w:tcPr>
            <w:tcW w:w="9980" w:type="dxa"/>
            <w:vAlign w:val="bottom"/>
          </w:tcPr>
          <w:p>
            <w:pPr>
              <w:spacing w:after="0"/>
              <w:rPr>
                <w:sz w:val="24"/>
                <w:szCs w:val="24"/>
                <w:color w:val="auto"/>
              </w:rPr>
            </w:pPr>
          </w:p>
        </w:tc>
      </w:tr>
      <w:tr>
        <w:trPr>
          <w:trHeight w:val="245"/>
        </w:trPr>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bottom w:val="single" w:sz="8" w:color="CCEEFF"/>
            </w:tcBorders>
          </w:tcPr>
          <w:p>
            <w:pPr>
              <w:spacing w:after="0"/>
              <w:rPr>
                <w:sz w:val="21"/>
                <w:szCs w:val="21"/>
                <w:color w:val="auto"/>
              </w:rPr>
            </w:pPr>
          </w:p>
        </w:tc>
        <w:tc>
          <w:tcPr>
            <w:tcW w:w="998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Certificate of Formation of South Plains Financial, Inc. (incorporated by reference to Exhibit 3.1 to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Company’s Form S-1 filed with the SEC on April 12, 2019) (File No. 333-230851).</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Second Amended and Restated Bylaws of South Plains Financial, Inc. (incorporated by reference to Exhibit 3.1 to the Company’s Current</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Report on Form 8-K filed with the SEC on November 1, 2021) (File No. 001-38895).</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96"/>
        </w:trPr>
        <w:tc>
          <w:tcPr>
            <w:tcW w:w="5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4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2</w:t>
            </w:r>
            <w:r>
              <w:rPr>
                <w:rFonts w:ascii="Times New Roman" w:cs="Times New Roman" w:eastAsia="Times New Roman" w:hAnsi="Times New Roman"/>
                <w:sz w:val="18"/>
                <w:szCs w:val="18"/>
                <w:color w:val="000000"/>
                <w:w w:val="98"/>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6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6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8"/>
        </w:trPr>
        <w:tc>
          <w:tcPr>
            <w:tcW w:w="4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The following material from South Plains Financial, Inc.’s Form 10-Q for the quarter ended June 30, 2024, formatted in XBRL</w:t>
            </w: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(eXtensible  Business  Reporting  Language),  filed  herewith:  (i)  Consolidated  Balance  Sheets,  (ii)  Consolidated  Statements  of</w:t>
            </w: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Comprehensive Income, (iii) Consolidated Statements of Changes in Stockholders’ Equity, (iv) Consolidated Statements of Cash Flows,</w:t>
            </w:r>
          </w:p>
        </w:tc>
      </w:tr>
      <w:tr>
        <w:trPr>
          <w:trHeight w:val="234"/>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(v) Notes to Unaudited Consolidated Financial Statements.</w:t>
            </w:r>
          </w:p>
        </w:tc>
      </w:tr>
    </w:tbl>
    <w:p>
      <w:pPr>
        <w:spacing w:after="0" w:line="19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Filed with this Form 10-Q</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222222"/>
        </w:rPr>
        <w:t>**</w:t>
      </w:r>
      <w:r>
        <w:rPr>
          <w:sz w:val="20"/>
          <w:szCs w:val="20"/>
          <w:color w:val="auto"/>
        </w:rPr>
        <w:tab/>
      </w:r>
      <w:r>
        <w:rPr>
          <w:rFonts w:ascii="Times New Roman" w:cs="Times New Roman" w:eastAsia="Times New Roman" w:hAnsi="Times New Roman"/>
          <w:sz w:val="17"/>
          <w:szCs w:val="17"/>
          <w:color w:val="222222"/>
        </w:rPr>
        <w:t>Furnished with this Form 10-Q</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0" w:val="left"/>
          <w:tab w:leader="none" w:pos="6180" w:val="left"/>
          <w:tab w:leader="none" w:pos="8140" w:val="left"/>
        </w:tabs>
        <w:rPr>
          <w:sz w:val="20"/>
          <w:szCs w:val="20"/>
          <w:color w:val="auto"/>
        </w:rPr>
      </w:pPr>
      <w:r>
        <w:rPr>
          <w:rFonts w:ascii="Times New Roman" w:cs="Times New Roman" w:eastAsia="Times New Roman" w:hAnsi="Times New Roman"/>
          <w:sz w:val="18"/>
          <w:szCs w:val="18"/>
          <w:color w:val="auto"/>
        </w:rPr>
        <w:t>Date:</w:t>
        <w:tab/>
        <w:t>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3"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spacing w:after="0"/>
        <w:tabs>
          <w:tab w:leader="none" w:pos="560" w:val="left"/>
          <w:tab w:leader="none" w:pos="6180" w:val="left"/>
          <w:tab w:leader="none" w:pos="8080" w:val="left"/>
        </w:tabs>
        <w:rPr>
          <w:sz w:val="20"/>
          <w:szCs w:val="20"/>
          <w:color w:val="auto"/>
        </w:rPr>
      </w:pPr>
      <w:r>
        <w:rPr>
          <w:rFonts w:ascii="Times New Roman" w:cs="Times New Roman" w:eastAsia="Times New Roman" w:hAnsi="Times New Roman"/>
          <w:sz w:val="18"/>
          <w:szCs w:val="18"/>
          <w:color w:val="auto"/>
        </w:rPr>
        <w:t>Date:</w:t>
        <w:tab/>
        <w:t>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2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Curtis C. Griffith, certify that:</w:t>
      </w:r>
    </w:p>
    <w:p>
      <w:pPr>
        <w:spacing w:after="0" w:line="225"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 Plains Financial, Inc. (the “registrant”) for the quarter ended June 30, 2024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060" w:val="left"/>
          <w:tab w:leader="none" w:pos="768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B. Crockett, certify that:</w:t>
      </w:r>
    </w:p>
    <w:p>
      <w:pPr>
        <w:spacing w:after="0" w:line="225" w:lineRule="exact"/>
        <w:rPr>
          <w:sz w:val="20"/>
          <w:szCs w:val="20"/>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 Plains Financial, Inc. (the “registrant”) for the quarter ended June 30, 2024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790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South Plains Financial, Inc. (the “Company”) for the quarter ended June 30, 2024 (the “Report”), as filed with the Securities and Exchange Commission on the date hereof, I certify, pursuant to 18 U.S.C. § 1350, as adopted pursuant to § 906 of the Sarbanes-Oxley Act of 2002, that to the best of my knowledge:</w:t>
      </w:r>
    </w:p>
    <w:p>
      <w:pPr>
        <w:spacing w:after="0" w:line="176" w:lineRule="exact"/>
        <w:rPr>
          <w:sz w:val="20"/>
          <w:szCs w:val="20"/>
          <w:color w:val="auto"/>
        </w:rPr>
      </w:pPr>
    </w:p>
    <w:p>
      <w:pPr>
        <w:ind w:left="820" w:hanging="488"/>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20" w:val="left"/>
          <w:tab w:leader="none" w:pos="796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South Plains Financial, Inc. (the “Company”) for the quarter ended June 30, 2024 (the “Report”), as filed with the Securities and Exchange Commission on the date hereof, I certify, pursuant to 18 U.S.C. § 1350, as adopted pursuant to § 906 of the Sarbanes-Oxley Act of 2002, that to the best of my knowledge:</w:t>
      </w:r>
    </w:p>
    <w:p>
      <w:pPr>
        <w:spacing w:after="0" w:line="176" w:lineRule="exact"/>
        <w:rPr>
          <w:sz w:val="20"/>
          <w:szCs w:val="20"/>
          <w:color w:val="auto"/>
        </w:rPr>
      </w:pPr>
    </w:p>
    <w:p>
      <w:pPr>
        <w:ind w:left="820" w:hanging="488"/>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20" w:val="left"/>
          <w:tab w:leader="none" w:pos="790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64" Type="http://schemas.openxmlformats.org/officeDocument/2006/relationships/hyperlink" Target="https://www.sec.gov/Archives/edgar/data/1163668/000114036119007042/s002614x4_ex3-1.htm" TargetMode="External"/><Relationship Id="rId65" Type="http://schemas.openxmlformats.org/officeDocument/2006/relationships/hyperlink" Target="https://www.sec.gov/Archives/edgar/data/1163668/000114036121036078/brhc10030259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2024-08-06T16:40:26Z</dcterms:created>
  <dcterms:modified xsi:type="dcterms:W3CDTF">2024-08-06T16:40:26Z</dcterms:modified>
</cp:coreProperties>
</file>