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178435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Date of Report (Date of earliest event reported): December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187325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p>
      <w:pPr>
        <w:spacing w:after="0" w:line="200" w:lineRule="exact"/>
        <w:rPr>
          <w:sz w:val="24"/>
          <w:szCs w:val="24"/>
          <w:color w:val="auto"/>
        </w:rPr>
      </w:pPr>
    </w:p>
    <w:p>
      <w:pPr>
        <w:spacing w:after="0" w:line="288" w:lineRule="exact"/>
        <w:rPr>
          <w:sz w:val="24"/>
          <w:szCs w:val="24"/>
          <w:color w:val="auto"/>
        </w:rPr>
      </w:pPr>
    </w:p>
    <w:p>
      <w:pPr>
        <w:ind w:left="1700"/>
        <w:spacing w:after="0"/>
        <w:rPr>
          <w:sz w:val="20"/>
          <w:szCs w:val="20"/>
          <w:color w:val="auto"/>
        </w:rPr>
      </w:pPr>
      <w:r>
        <w:rPr>
          <w:rFonts w:ascii="Arial" w:cs="Arial" w:eastAsia="Arial" w:hAnsi="Arial"/>
          <w:sz w:val="14"/>
          <w:szCs w:val="14"/>
          <w:b w:val="1"/>
          <w:bCs w:val="1"/>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001-38895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75-2453320</w:t>
      </w:r>
    </w:p>
    <w:p>
      <w:pPr>
        <w:spacing w:after="0" w:line="50" w:lineRule="exact"/>
        <w:rPr>
          <w:sz w:val="24"/>
          <w:szCs w:val="24"/>
          <w:color w:val="auto"/>
        </w:rPr>
      </w:pPr>
    </w:p>
    <w:p>
      <w:pPr>
        <w:sectPr>
          <w:pgSz w:w="11900" w:h="16838" w:orient="portrait"/>
          <w:cols w:equalWidth="0" w:num="3">
            <w:col w:w="4640" w:space="720"/>
            <w:col w:w="3040" w:space="720"/>
            <w:col w:w="2300"/>
          </w:cols>
          <w:pgMar w:left="240" w:top="535"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840" w:space="720"/>
            <w:col w:w="3100"/>
          </w:cols>
          <w:pgMar w:left="240" w:top="535" w:right="239" w:bottom="1440" w:gutter="0" w:footer="0" w:header="0"/>
          <w:type w:val="continuous"/>
        </w:sectPr>
      </w:pPr>
    </w:p>
    <w:p>
      <w:pPr>
        <w:spacing w:after="0" w:line="45" w:lineRule="exact"/>
        <w:rPr>
          <w:sz w:val="24"/>
          <w:szCs w:val="24"/>
          <w:color w:val="auto"/>
        </w:rPr>
      </w:pPr>
    </w:p>
    <w:p>
      <w:pPr>
        <w:jc w:val="center"/>
        <w:ind w:right="372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372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3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140" w:space="720"/>
            <w:col w:w="2560"/>
          </w:cols>
          <w:pgMar w:left="240" w:top="535"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(806) 792-7101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2" w:lineRule="exact"/>
        <w:rPr>
          <w:sz w:val="24"/>
          <w:szCs w:val="24"/>
          <w:color w:val="auto"/>
        </w:rPr>
      </w:pPr>
    </w:p>
    <w:p>
      <w:pPr>
        <w:ind w:right="80"/>
        <w:spacing w:after="0" w:line="253"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2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58"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93"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Employment Agreement for Curtis C. Griffith.</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December 18, 2019, South Plains Financial, Inc. (the “Company”) and the Company’s wholly-owned banking subsidiary, City Bank, Lubbock, Texas (the “Bank”), entered into an Employment Agreement (the “Employment Agreement”) with Mr. Curtis C. Griffith. Under the Employment Agreement, Mr. Griffith will continue to serve as the Bank’s Chairman of the Board of Directors and the Company’s Chief Executive Officer and Chairman of the Board of Directors. The Employment Agreement has an initial three-year term beginning December 18, 2019, and automatically extends for additional three-year terms thereafter.</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Employment Agreement provides that Mr. Griffith will receive a base salary of not less than $360,000 annually. Mr. Griffith is also eligible for a performance-based annual cash bonus targeted at 50% of his salary and a maximum not exceeding 100% of his salary. The performance-based annual cash bonus will be measured against certain criteria, including, among other metrics, (i) the Company’s net income compared to the projected net income for that year; (ii) the Bank’s efficiency ratio; (iii) the Company’s return on equity, measured in relation to other peer group financial institutions; and (iv) certain acquisition target metrics, if applicable.</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Pursuant to the Employment Agreement, Mr. Griffith will also be granted an annual incentive stock option award with the shares subject to such option having a grant date fair value approximately equal to 35% of Mr. Griffith’s base salary. Such grant will occur at the beginning of each fiscal year and will contain a vesting schedule that is no less favorable than a vesting period of 4 years, with 25% vesting upon the first anniversary of the grant date and the remainder vesting pro rata on a monthly basis over the next three years. Such annual incentive stock option awards will be granted under the South Plains Financial, Inc. 2019 Equity Incentive Plan and the form stock option award agreement thereunder, previously filed with the Securities and Exchange Commission.</w:t>
      </w: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Employment Agreement also provides that, in the event Mr. Griffith’s employment is terminated by the Company without “Cause” (as defined in the Employment Agreement), the Company elects not to renew the Employment Agreement, or Mr. Griffith terminates employment for “Good Reason” (as defined in the Employment Agreement), then subject to the execution and effectiveness of a general release of claims in favor of the Company, Mr. Griffith will be entitled to receive: (i) an amount equal to 2 times the sum of (x) his annual base salary, and (y) his target annual cash incentive bonus; (ii) full vesting of equity and any phantom equity awards, with performance goals, if applicable, deemed met at target; and (iii) a lump sum payment equal to 24 months’ of the monthly premiums to continue existing healthcare coverage under the Consolidated Omnibus Budget Reconciliation Act of 1985 (“COBRA”), grossed-up for any applicable taxes. In lieu of the payments described in the preceding sentence, if Mr. Griffith’s employment is terminated by the Company without Cause, the Company elects not to renew the Employment Agreement, or Mr. Griffith terminated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the Company’s favor, Mr. Griffith will be entitled to receive: (i) an amount equal to 3 times the sum of (x) his annual base salary, and (y) his target annual cash incentive bonus; (ii) full vesting of equity and any phantom equity awards, with performance goals, if applicable, deemed met at target; and (iii) a lump sum payment equal to 36 months’ of the monthly premiums to continue existing healthcare coverage under COBRA, grossed-up for any applicable taxes. If any Change in Control payment Mr. Griffith receives would constitute “parachute payments” within the meaning of Section 280G of the Internal Revenue Code of 1986, as amended (the “Code”), then the parachute payments will be reduced so as not to trigger the excise tax imposed by Section 4999 of the Code, or paid without such reduction and with the applicable excise taxes, whichever would leave Mr. Griffith in a better after-tax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both"/>
        <w:ind w:right="20"/>
        <w:spacing w:after="0" w:line="251" w:lineRule="auto"/>
        <w:rPr>
          <w:sz w:val="20"/>
          <w:szCs w:val="20"/>
          <w:color w:val="auto"/>
        </w:rPr>
      </w:pPr>
      <w:r>
        <w:rPr>
          <w:rFonts w:ascii="Arial" w:cs="Arial" w:eastAsia="Arial" w:hAnsi="Arial"/>
          <w:sz w:val="22"/>
          <w:szCs w:val="22"/>
          <w:color w:val="auto"/>
        </w:rPr>
        <w:t>The Employment Agreement also contains customary restrictive covenants regarding confidentiality, non-competition, and non-solicitation covenants.</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foregoing summary of the Employment Agreement does not purport to be complete and is qualified in its entirety by reference to the Employment Agreement attached to this Current Report on Form 8-K as Exhibit 10.1 and is incorporated herein by reference.</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spacing w:after="0"/>
        <w:tabs>
          <w:tab w:leader="none" w:pos="6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10.1</w:t>
        </w:r>
      </w:hyperlink>
      <w:r>
        <w:rPr>
          <w:rFonts w:ascii="Arial" w:cs="Arial" w:eastAsia="Arial" w:hAnsi="Arial"/>
          <w:sz w:val="18"/>
          <w:szCs w:val="18"/>
          <w:color w:val="0000EE"/>
        </w:rPr>
        <w:tab/>
      </w:r>
      <w:r>
        <w:rPr>
          <w:rFonts w:ascii="Arial" w:cs="Arial" w:eastAsia="Arial" w:hAnsi="Arial"/>
          <w:sz w:val="16"/>
          <w:szCs w:val="16"/>
          <w:color w:val="0000EE"/>
        </w:rPr>
        <w:t>Employment Agreement, by and between South Plains Financial, Inc., City Bank and Curtis C. Griffith, dated as of December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December 19,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entered into as of December 18, 2019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among City Bank, Texas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Curtis Griffith (the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and South Plains Financial, Inc. (the “</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w:t>
      </w:r>
    </w:p>
    <w:p>
      <w:pPr>
        <w:spacing w:after="0" w:line="21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for the Executive to serve as its Chairman of the Board of Directors (the “</w:t>
      </w:r>
      <w:r>
        <w:rPr>
          <w:rFonts w:ascii="Arial" w:cs="Arial" w:eastAsia="Arial" w:hAnsi="Arial"/>
          <w:sz w:val="18"/>
          <w:szCs w:val="18"/>
          <w:b w:val="1"/>
          <w:bCs w:val="1"/>
          <w:i w:val="1"/>
          <w:iCs w:val="1"/>
          <w:color w:val="auto"/>
        </w:rPr>
        <w:t>Company Board</w:t>
      </w:r>
      <w:r>
        <w:rPr>
          <w:rFonts w:ascii="Arial" w:cs="Arial" w:eastAsia="Arial" w:hAnsi="Arial"/>
          <w:sz w:val="18"/>
          <w:szCs w:val="18"/>
          <w:color w:val="auto"/>
        </w:rPr>
        <w:t>”) and the Parent</w:t>
      </w:r>
      <w:r>
        <w:rPr>
          <w:rFonts w:ascii="Arial" w:cs="Arial" w:eastAsia="Arial" w:hAnsi="Arial"/>
          <w:sz w:val="18"/>
          <w:szCs w:val="18"/>
          <w:b w:val="1"/>
          <w:bCs w:val="1"/>
          <w:color w:val="auto"/>
        </w:rPr>
        <w:t xml:space="preserve"> </w:t>
      </w:r>
      <w:r>
        <w:rPr>
          <w:rFonts w:ascii="Arial" w:cs="Arial" w:eastAsia="Arial" w:hAnsi="Arial"/>
          <w:sz w:val="18"/>
          <w:szCs w:val="18"/>
          <w:color w:val="auto"/>
        </w:rPr>
        <w:t>desires for the Executive to also serve as its Chairman of the Board of Directors (the “</w:t>
      </w:r>
      <w:r>
        <w:rPr>
          <w:rFonts w:ascii="Arial" w:cs="Arial" w:eastAsia="Arial" w:hAnsi="Arial"/>
          <w:sz w:val="18"/>
          <w:szCs w:val="18"/>
          <w:b w:val="1"/>
          <w:bCs w:val="1"/>
          <w:i w:val="1"/>
          <w:iCs w:val="1"/>
          <w:color w:val="auto"/>
        </w:rPr>
        <w:t>Parent Board</w:t>
      </w:r>
      <w:r>
        <w:rPr>
          <w:rFonts w:ascii="Arial" w:cs="Arial" w:eastAsia="Arial" w:hAnsi="Arial"/>
          <w:sz w:val="18"/>
          <w:szCs w:val="18"/>
          <w:color w:val="auto"/>
        </w:rPr>
        <w:t>”) and to be employed by the Parent as its Chief Executive Officer, subject to the terms and conditions of this Agreement.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receipt and sufficiency of which are hereby acknowledged, the Company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Executive hereby agree as follows:</w:t>
      </w:r>
    </w:p>
    <w:p>
      <w:pPr>
        <w:spacing w:after="0" w:line="231" w:lineRule="exact"/>
        <w:rPr>
          <w:sz w:val="20"/>
          <w:szCs w:val="20"/>
          <w:color w:val="auto"/>
        </w:rPr>
      </w:pPr>
    </w:p>
    <w:p>
      <w:pPr>
        <w:ind w:left="1460" w:hanging="804"/>
        <w:spacing w:after="0"/>
        <w:tabs>
          <w:tab w:leader="none" w:pos="146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Employment and Duties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79" w:lineRule="auto"/>
        <w:tabs>
          <w:tab w:leader="none" w:pos="2279" w:val="left"/>
        </w:tabs>
        <w:numPr>
          <w:ilvl w:val="1"/>
          <w:numId w:val="4"/>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Executive shall serve as the Chairman of the Company Board and as an officer of the Company reporting to the Company Board, and as the Chairman of the Parent Board and Chief Executive Officer of the Parent, reporting to the Parent Board. The Executive shall have the duties and responsibilities commensurate with the duties and responsibilities of persons in similar capacities in similarly sized companies, and such other duties and responsibilities as may be reasonably assigned to the Executive from time to time by either the Parent Board or the Company Board that are consistent with the Executive’s positions at the Company and the Parent. The Executive’s principal place of employment shall be Lubbock, Texas.</w:t>
      </w:r>
    </w:p>
    <w:p>
      <w:pPr>
        <w:spacing w:after="0" w:line="177" w:lineRule="exact"/>
        <w:rPr>
          <w:rFonts w:ascii="Arial" w:cs="Arial" w:eastAsia="Arial" w:hAnsi="Arial"/>
          <w:sz w:val="19"/>
          <w:szCs w:val="19"/>
          <w:color w:val="auto"/>
        </w:rPr>
      </w:pPr>
    </w:p>
    <w:p>
      <w:pPr>
        <w:jc w:val="both"/>
        <w:ind w:firstLine="1305"/>
        <w:spacing w:after="0" w:line="234" w:lineRule="auto"/>
        <w:tabs>
          <w:tab w:leader="none" w:pos="2021"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Exclusive Services</w:t>
      </w:r>
      <w:r>
        <w:rPr>
          <w:rFonts w:ascii="Arial" w:cs="Arial" w:eastAsia="Arial" w:hAnsi="Arial"/>
          <w:sz w:val="22"/>
          <w:szCs w:val="22"/>
          <w:color w:val="auto"/>
        </w:rPr>
        <w:t xml:space="preserve">. For so long as the Executive is employed by the Company or the Parent, the Executive shall devote substantially all of the Executive’s business time (excluding periods of vacation and paid time off and other approved leaves of absence) to the Executive’s duties hereunder. Notwithstanding the foregoing, the Executive may (A) serve on corporate boards, provided the Executive receives prior permission from the Parent Board; (B) serve on civic, children sports organization or charitable boards without remuneration therefor; (C) participate in charitable, civic, educational, professional, community or industry affairs; and (D) manage the Executive’s or his family’s personal investments and businesses;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activity does not materially interfere with the Executive’s performance of his duties under this Agreement or create a potential business conflict.</w:t>
      </w:r>
    </w:p>
    <w:p>
      <w:pPr>
        <w:spacing w:after="0" w:line="214" w:lineRule="exact"/>
        <w:rPr>
          <w:rFonts w:ascii="Arial" w:cs="Arial" w:eastAsia="Arial" w:hAnsi="Arial"/>
          <w:sz w:val="22"/>
          <w:szCs w:val="22"/>
          <w:color w:val="auto"/>
        </w:rPr>
      </w:pPr>
    </w:p>
    <w:p>
      <w:pPr>
        <w:jc w:val="both"/>
        <w:ind w:firstLine="1305"/>
        <w:spacing w:after="0" w:line="236" w:lineRule="auto"/>
        <w:tabs>
          <w:tab w:leader="none" w:pos="2252"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Board Service</w:t>
      </w:r>
      <w:r>
        <w:rPr>
          <w:rFonts w:ascii="Arial" w:cs="Arial" w:eastAsia="Arial" w:hAnsi="Arial"/>
          <w:sz w:val="22"/>
          <w:szCs w:val="22"/>
          <w:color w:val="auto"/>
        </w:rPr>
        <w:t>. During the Term both the Parent Board and the Company Board shall nominate the Executive for re-election as a member to each of its respective Boards at the expiration of each then-current term. The Executive shall be entitled to receive compensation for his service on the Company Board and/or the Parent Board in accordance with any board compensation policies then in effect, which compensation shall be in addition to the elements of compensation set forth in Section 3.</w:t>
      </w:r>
    </w:p>
    <w:p>
      <w:pPr>
        <w:spacing w:after="0" w:line="214" w:lineRule="exact"/>
        <w:rPr>
          <w:rFonts w:ascii="Arial" w:cs="Arial" w:eastAsia="Arial" w:hAnsi="Arial"/>
          <w:sz w:val="22"/>
          <w:szCs w:val="22"/>
          <w:color w:val="auto"/>
        </w:rPr>
      </w:pPr>
    </w:p>
    <w:p>
      <w:pPr>
        <w:jc w:val="both"/>
        <w:ind w:firstLine="1305"/>
        <w:spacing w:after="0" w:line="277" w:lineRule="auto"/>
        <w:tabs>
          <w:tab w:leader="none" w:pos="2089" w:val="left"/>
        </w:tabs>
        <w:numPr>
          <w:ilvl w:val="1"/>
          <w:numId w:val="4"/>
        </w:numPr>
        <w:rPr>
          <w:rFonts w:ascii="Arial" w:cs="Arial" w:eastAsia="Arial" w:hAnsi="Arial"/>
          <w:sz w:val="19"/>
          <w:szCs w:val="19"/>
          <w:color w:val="auto"/>
        </w:rPr>
      </w:pPr>
      <w:r>
        <w:rPr>
          <w:rFonts w:ascii="Arial" w:cs="Arial" w:eastAsia="Arial" w:hAnsi="Arial"/>
          <w:sz w:val="19"/>
          <w:szCs w:val="19"/>
          <w:u w:val="single" w:color="auto"/>
          <w:color w:val="auto"/>
        </w:rPr>
        <w:t>Dodd-Frank Act, Sarbanes-Oxley and Other Applicable Law Requirements</w:t>
      </w:r>
      <w:r>
        <w:rPr>
          <w:rFonts w:ascii="Arial" w:cs="Arial" w:eastAsia="Arial" w:hAnsi="Arial"/>
          <w:sz w:val="19"/>
          <w:szCs w:val="19"/>
          <w:color w:val="auto"/>
        </w:rPr>
        <w:t>. The Executive agrees (i) to abide by any compensation recovery, recoupment, anti-hedging, or other policy applicable to executives of the Company, the Parent and their affiliates that is hereafter adopted by the Company Board, the Parent Board or a duly authorized committee thereof to comply with applicable law as required by the Dodd-Frank Wall Street Reform and Consumer Protection Act of 2010 (the “</w:t>
      </w:r>
      <w:r>
        <w:rPr>
          <w:rFonts w:ascii="Arial" w:cs="Arial" w:eastAsia="Arial" w:hAnsi="Arial"/>
          <w:sz w:val="19"/>
          <w:szCs w:val="19"/>
          <w:b w:val="1"/>
          <w:bCs w:val="1"/>
          <w:i w:val="1"/>
          <w:iCs w:val="1"/>
          <w:color w:val="auto"/>
        </w:rPr>
        <w:t>Dodd-Frank Act</w:t>
      </w:r>
      <w:r>
        <w:rPr>
          <w:rFonts w:ascii="Arial" w:cs="Arial" w:eastAsia="Arial" w:hAnsi="Arial"/>
          <w:sz w:val="19"/>
          <w:szCs w:val="19"/>
          <w:color w:val="auto"/>
        </w:rPr>
        <w:t>”), the Sarbanes-Oxley Act of 2002 (“</w:t>
      </w:r>
      <w:r>
        <w:rPr>
          <w:rFonts w:ascii="Arial" w:cs="Arial" w:eastAsia="Arial" w:hAnsi="Arial"/>
          <w:sz w:val="19"/>
          <w:szCs w:val="19"/>
          <w:b w:val="1"/>
          <w:bCs w:val="1"/>
          <w:i w:val="1"/>
          <w:iCs w:val="1"/>
          <w:color w:val="auto"/>
        </w:rPr>
        <w:t>Sarbanes-Oxley</w:t>
      </w:r>
      <w:r>
        <w:rPr>
          <w:rFonts w:ascii="Arial" w:cs="Arial" w:eastAsia="Arial" w:hAnsi="Arial"/>
          <w:sz w:val="19"/>
          <w:szCs w:val="19"/>
          <w:color w:val="auto"/>
        </w:rPr>
        <w:t>”), or other applicable law; and (ii) that the terms and conditions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shall be deemed automatically and unilaterally amended to the minimum extent necessary to ensure compliance by the Executive and this Agreement with such policies, the Dodd-Frank Act, Sarbanes-Oxley, and any other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jc w:val="both"/>
        <w:ind w:firstLine="656"/>
        <w:spacing w:after="0" w:line="279" w:lineRule="auto"/>
        <w:tabs>
          <w:tab w:leader="none" w:pos="1459"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Term of Employment</w:t>
      </w:r>
      <w:r>
        <w:rPr>
          <w:rFonts w:ascii="Arial" w:cs="Arial" w:eastAsia="Arial" w:hAnsi="Arial"/>
          <w:sz w:val="19"/>
          <w:szCs w:val="19"/>
          <w:color w:val="auto"/>
        </w:rPr>
        <w:t>. The Executive’s employment shall be covered by the terms of this Agreement, effective as of Effective Date, and shall continue for a period of three (3) years (“</w:t>
      </w:r>
      <w:r>
        <w:rPr>
          <w:rFonts w:ascii="Arial" w:cs="Arial" w:eastAsia="Arial" w:hAnsi="Arial"/>
          <w:sz w:val="19"/>
          <w:szCs w:val="19"/>
          <w:b w:val="1"/>
          <w:bCs w:val="1"/>
          <w:i w:val="1"/>
          <w:iCs w:val="1"/>
          <w:color w:val="auto"/>
        </w:rPr>
        <w:t>Term</w:t>
      </w:r>
      <w:r>
        <w:rPr>
          <w:rFonts w:ascii="Arial" w:cs="Arial" w:eastAsia="Arial" w:hAnsi="Arial"/>
          <w:sz w:val="19"/>
          <w:szCs w:val="19"/>
          <w:color w:val="auto"/>
        </w:rPr>
        <w:t>”), unless this Agreement (and the Executive’s employment hereunder) is otherwise terminated as set forth in this Agreement. Thereafter, this Agreement shall automatically renew thereafter for subsequent periods of three (3) years (“</w:t>
      </w:r>
      <w:r>
        <w:rPr>
          <w:rFonts w:ascii="Arial" w:cs="Arial" w:eastAsia="Arial" w:hAnsi="Arial"/>
          <w:sz w:val="19"/>
          <w:szCs w:val="19"/>
          <w:b w:val="1"/>
          <w:bCs w:val="1"/>
          <w:i w:val="1"/>
          <w:iCs w:val="1"/>
          <w:color w:val="auto"/>
        </w:rPr>
        <w:t>Renewal Term</w:t>
      </w:r>
      <w:r>
        <w:rPr>
          <w:rFonts w:ascii="Arial" w:cs="Arial" w:eastAsia="Arial" w:hAnsi="Arial"/>
          <w:sz w:val="19"/>
          <w:szCs w:val="19"/>
          <w:color w:val="auto"/>
        </w:rPr>
        <w:t>”), unless either party provides written notice to the other at least ninety (90) days prior to the end of the Term (or any Renewal Term thereafter) or unless this Agreement (and the Executive’s employment hereunder) is otherwise terminated as set forth in this Agreement.</w:t>
      </w:r>
    </w:p>
    <w:p>
      <w:pPr>
        <w:spacing w:after="0" w:line="178" w:lineRule="exact"/>
        <w:rPr>
          <w:rFonts w:ascii="Arial" w:cs="Arial" w:eastAsia="Arial" w:hAnsi="Arial"/>
          <w:sz w:val="19"/>
          <w:szCs w:val="19"/>
          <w:color w:val="auto"/>
        </w:rPr>
      </w:pPr>
    </w:p>
    <w:p>
      <w:pPr>
        <w:jc w:val="both"/>
        <w:ind w:firstLine="656"/>
        <w:spacing w:after="0"/>
        <w:tabs>
          <w:tab w:leader="none" w:pos="1513"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 Subject to the provisions of this Agreement and the prohibition in Section 3(n), the Company shall pay and provide the following compensation and other benefits to the Executive during the Term as compensation for services rendered hereunder:</w:t>
      </w:r>
    </w:p>
    <w:p>
      <w:pPr>
        <w:spacing w:after="0" w:line="213" w:lineRule="exact"/>
        <w:rPr>
          <w:rFonts w:ascii="Arial" w:cs="Arial" w:eastAsia="Arial" w:hAnsi="Arial"/>
          <w:sz w:val="22"/>
          <w:szCs w:val="22"/>
          <w:color w:val="auto"/>
        </w:rPr>
      </w:pPr>
    </w:p>
    <w:p>
      <w:pPr>
        <w:jc w:val="both"/>
        <w:ind w:firstLine="1305"/>
        <w:spacing w:after="0" w:line="248" w:lineRule="auto"/>
        <w:tabs>
          <w:tab w:leader="none" w:pos="2009" w:val="left"/>
        </w:tabs>
        <w:numPr>
          <w:ilvl w:val="1"/>
          <w:numId w:val="5"/>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The Company shall pay to the Executive an annual salary (the “</w:t>
      </w:r>
      <w:r>
        <w:rPr>
          <w:rFonts w:ascii="Arial" w:cs="Arial" w:eastAsia="Arial" w:hAnsi="Arial"/>
          <w:sz w:val="21"/>
          <w:szCs w:val="21"/>
          <w:b w:val="1"/>
          <w:bCs w:val="1"/>
          <w:i w:val="1"/>
          <w:iCs w:val="1"/>
          <w:color w:val="auto"/>
        </w:rPr>
        <w:t>Base Salary</w:t>
      </w:r>
      <w:r>
        <w:rPr>
          <w:rFonts w:ascii="Arial" w:cs="Arial" w:eastAsia="Arial" w:hAnsi="Arial"/>
          <w:sz w:val="21"/>
          <w:szCs w:val="21"/>
          <w:color w:val="auto"/>
        </w:rPr>
        <w:t>”) of not less than $360,000, payable in substantially equal installments at such intervals as may be determined by the Company in accordance with the Company’s then-current ordinary payroll practices as established from time to time, but not less frequently than monthly. The Base Salary shall be reviewed in good faith by the Compensation Committee of the Parent Board, or in the absence thereof, the Parent Board (the “</w:t>
      </w:r>
      <w:r>
        <w:rPr>
          <w:rFonts w:ascii="Arial" w:cs="Arial" w:eastAsia="Arial" w:hAnsi="Arial"/>
          <w:sz w:val="21"/>
          <w:szCs w:val="21"/>
          <w:b w:val="1"/>
          <w:bCs w:val="1"/>
          <w:i w:val="1"/>
          <w:iCs w:val="1"/>
          <w:color w:val="auto"/>
        </w:rPr>
        <w:t>Committee</w:t>
      </w:r>
      <w:r>
        <w:rPr>
          <w:rFonts w:ascii="Arial" w:cs="Arial" w:eastAsia="Arial" w:hAnsi="Arial"/>
          <w:sz w:val="21"/>
          <w:szCs w:val="21"/>
          <w:color w:val="auto"/>
        </w:rPr>
        <w:t>”), based upon the Executive’s performance, not less often than annually, and may be increased, but not decreased, from time to time by the Parent Board.</w:t>
      </w:r>
    </w:p>
    <w:p>
      <w:pPr>
        <w:spacing w:after="0" w:line="204" w:lineRule="exact"/>
        <w:rPr>
          <w:rFonts w:ascii="Arial" w:cs="Arial" w:eastAsia="Arial" w:hAnsi="Arial"/>
          <w:sz w:val="21"/>
          <w:szCs w:val="21"/>
          <w:color w:val="auto"/>
        </w:rPr>
      </w:pPr>
    </w:p>
    <w:p>
      <w:pPr>
        <w:jc w:val="both"/>
        <w:ind w:firstLine="1305"/>
        <w:spacing w:after="0" w:line="247" w:lineRule="auto"/>
        <w:tabs>
          <w:tab w:leader="none" w:pos="2048" w:val="left"/>
        </w:tabs>
        <w:numPr>
          <w:ilvl w:val="1"/>
          <w:numId w:val="5"/>
        </w:numPr>
        <w:rPr>
          <w:rFonts w:ascii="Arial" w:cs="Arial" w:eastAsia="Arial" w:hAnsi="Arial"/>
          <w:sz w:val="21"/>
          <w:szCs w:val="21"/>
          <w:color w:val="auto"/>
        </w:rPr>
      </w:pPr>
      <w:r>
        <w:rPr>
          <w:rFonts w:ascii="Arial" w:cs="Arial" w:eastAsia="Arial" w:hAnsi="Arial"/>
          <w:sz w:val="21"/>
          <w:szCs w:val="21"/>
          <w:u w:val="single" w:color="auto"/>
          <w:color w:val="auto"/>
        </w:rPr>
        <w:t>Annual Bonus</w:t>
      </w:r>
      <w:r>
        <w:rPr>
          <w:rFonts w:ascii="Arial" w:cs="Arial" w:eastAsia="Arial" w:hAnsi="Arial"/>
          <w:sz w:val="21"/>
          <w:szCs w:val="21"/>
          <w:color w:val="auto"/>
        </w:rPr>
        <w:t xml:space="preserve">. For each calendar year during the Term, the Executive shall be eligible for a performance-based cash bonus, measured against the criteria set forth on </w:t>
      </w:r>
      <w:r>
        <w:rPr>
          <w:rFonts w:ascii="Arial" w:cs="Arial" w:eastAsia="Arial" w:hAnsi="Arial"/>
          <w:sz w:val="21"/>
          <w:szCs w:val="21"/>
          <w:b w:val="1"/>
          <w:bCs w:val="1"/>
          <w:u w:val="single" w:color="auto"/>
          <w:color w:val="auto"/>
        </w:rPr>
        <w:t>Attachment 1</w:t>
      </w:r>
      <w:r>
        <w:rPr>
          <w:rFonts w:ascii="Arial" w:cs="Arial" w:eastAsia="Arial" w:hAnsi="Arial"/>
          <w:sz w:val="21"/>
          <w:szCs w:val="21"/>
          <w:color w:val="auto"/>
        </w:rPr>
        <w:t xml:space="preserve"> (or such other criteria as may be mutually agreed upon by the Executive and the Parent Board), with a target of fifty percent (50%) of Executive’s Base Salary (the “</w:t>
      </w:r>
      <w:r>
        <w:rPr>
          <w:rFonts w:ascii="Arial" w:cs="Arial" w:eastAsia="Arial" w:hAnsi="Arial"/>
          <w:sz w:val="21"/>
          <w:szCs w:val="21"/>
          <w:b w:val="1"/>
          <w:bCs w:val="1"/>
          <w:i w:val="1"/>
          <w:iCs w:val="1"/>
          <w:color w:val="auto"/>
        </w:rPr>
        <w:t>Annual Target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Bonus</w:t>
      </w:r>
      <w:r>
        <w:rPr>
          <w:rFonts w:ascii="Arial" w:cs="Arial" w:eastAsia="Arial" w:hAnsi="Arial"/>
          <w:sz w:val="21"/>
          <w:szCs w:val="21"/>
          <w:color w:val="auto"/>
        </w:rPr>
        <w:t>”), and a maximum not exceeding one hundred percent (100%) of Executive’s Base Salary. To the extent the performance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criteria are satisfied, such bonus will be considered earned as of December 31 of the calendar year to which the bonus is attributable, and will be paid in a lump sum no later than March 15th of the calendar year that immediately follows the calendar year to which the bonus is attributable.</w:t>
      </w:r>
    </w:p>
    <w:p>
      <w:pPr>
        <w:spacing w:after="0" w:line="205" w:lineRule="exact"/>
        <w:rPr>
          <w:rFonts w:ascii="Arial" w:cs="Arial" w:eastAsia="Arial" w:hAnsi="Arial"/>
          <w:sz w:val="21"/>
          <w:szCs w:val="21"/>
          <w:color w:val="auto"/>
        </w:rPr>
      </w:pPr>
    </w:p>
    <w:p>
      <w:pPr>
        <w:jc w:val="both"/>
        <w:ind w:firstLine="1305"/>
        <w:spacing w:after="0" w:line="277" w:lineRule="auto"/>
        <w:tabs>
          <w:tab w:leader="none" w:pos="2158"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Annual Equity Awards</w:t>
      </w:r>
      <w:r>
        <w:rPr>
          <w:rFonts w:ascii="Arial" w:cs="Arial" w:eastAsia="Arial" w:hAnsi="Arial"/>
          <w:sz w:val="19"/>
          <w:szCs w:val="19"/>
          <w:color w:val="auto"/>
        </w:rPr>
        <w:t xml:space="preserve">. The Parent shall grant to the Executive, on an annual basis, an annual incentive stock option award with the shares subject to such option having a grant date fair value approximately equal to thirty-five percent (35%) of the Base Salary, subject to the terms and conditions set forth in the award agreement(s) in substantially the form attached hereto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Such grant shall occur at the beginning of each fiscal year and shall contain a vesting schedule that is no less favorable than a vesting period of four (4) years, with twenty-five percent (25%) vesting upon the first anniversary of the date of grant and the remainder vesting pro rata on a monthly basis over the next three years; however, with respect to the stock option that is to be granted on or near December 18, 2019, service credit shall be applied from January 1, 2019 for purposes of vesting.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jc w:val="both"/>
        <w:ind w:firstLine="1305"/>
        <w:spacing w:after="0" w:line="241" w:lineRule="auto"/>
        <w:tabs>
          <w:tab w:leader="none" w:pos="2035"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Employee Benefits</w:t>
      </w:r>
      <w:r>
        <w:rPr>
          <w:rFonts w:ascii="Arial" w:cs="Arial" w:eastAsia="Arial" w:hAnsi="Arial"/>
          <w:sz w:val="22"/>
          <w:szCs w:val="22"/>
          <w:color w:val="auto"/>
        </w:rPr>
        <w:t>. In addition to the benefits set forth in this Agreement, the Executive shall be entitled to participate in all employee benefit arrangements that the Parent or the Company may offer to its executives of like status from time to time, and as may be amended from time to time.</w:t>
      </w:r>
    </w:p>
    <w:p>
      <w:pPr>
        <w:spacing w:after="0" w:line="210" w:lineRule="exact"/>
        <w:rPr>
          <w:rFonts w:ascii="Arial" w:cs="Arial" w:eastAsia="Arial" w:hAnsi="Arial"/>
          <w:sz w:val="22"/>
          <w:szCs w:val="22"/>
          <w:color w:val="auto"/>
        </w:rPr>
      </w:pPr>
    </w:p>
    <w:p>
      <w:pPr>
        <w:jc w:val="both"/>
        <w:ind w:firstLine="1305"/>
        <w:spacing w:after="0" w:line="247" w:lineRule="auto"/>
        <w:tabs>
          <w:tab w:leader="none" w:pos="2198" w:val="left"/>
        </w:tabs>
        <w:numPr>
          <w:ilvl w:val="0"/>
          <w:numId w:val="6"/>
        </w:numPr>
        <w:rPr>
          <w:rFonts w:ascii="Arial" w:cs="Arial" w:eastAsia="Arial" w:hAnsi="Arial"/>
          <w:sz w:val="21"/>
          <w:szCs w:val="21"/>
          <w:color w:val="auto"/>
        </w:rPr>
      </w:pPr>
      <w:r>
        <w:rPr>
          <w:rFonts w:ascii="Arial" w:cs="Arial" w:eastAsia="Arial" w:hAnsi="Arial"/>
          <w:sz w:val="21"/>
          <w:szCs w:val="21"/>
          <w:u w:val="single" w:color="auto"/>
          <w:color w:val="auto"/>
        </w:rPr>
        <w:t>Vacation; Sick Leave</w:t>
      </w:r>
      <w:r>
        <w:rPr>
          <w:rFonts w:ascii="Arial" w:cs="Arial" w:eastAsia="Arial" w:hAnsi="Arial"/>
          <w:sz w:val="21"/>
          <w:szCs w:val="21"/>
          <w:color w:val="auto"/>
        </w:rPr>
        <w:t>. The Executive shall be entitled to annual paid vacation in accordance with the Company’s policy applicable to senior executives, but in no event less than four (4) weeks per calendar year (as prorated for partial years), which vacation may be taken at such times as the Executive elects with due regard to the needs of the Company. The Executive shall be entitled to annual paid sick leave in accordance with the Company’s policy applicable to senior executives; provided, however, that the number of days of annual paid sick leave afforded to the Executive may not be reduced below the number in effect on the Effective Date without the Executive’s prior written consent. At the end of each calendar year, all such unused and accrued paid sick leave shall be paid in cash.</w:t>
      </w:r>
    </w:p>
    <w:p>
      <w:pPr>
        <w:spacing w:after="0" w:line="205" w:lineRule="exact"/>
        <w:rPr>
          <w:rFonts w:ascii="Arial" w:cs="Arial" w:eastAsia="Arial" w:hAnsi="Arial"/>
          <w:sz w:val="21"/>
          <w:szCs w:val="21"/>
          <w:color w:val="auto"/>
        </w:rPr>
      </w:pPr>
    </w:p>
    <w:p>
      <w:pPr>
        <w:jc w:val="both"/>
        <w:ind w:firstLine="1305"/>
        <w:spacing w:after="0"/>
        <w:tabs>
          <w:tab w:leader="none" w:pos="2053"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Paid Time Off</w:t>
      </w:r>
      <w:r>
        <w:rPr>
          <w:rFonts w:ascii="Arial" w:cs="Arial" w:eastAsia="Arial" w:hAnsi="Arial"/>
          <w:sz w:val="22"/>
          <w:szCs w:val="22"/>
          <w:color w:val="auto"/>
        </w:rPr>
        <w:t>. The Executive shall be entitled to at least five days of paid time off per calendar year (as prorated for partial years), or such greater number of days as may be specified in the Company’s policy applicable to senior executives.</w:t>
      </w:r>
    </w:p>
    <w:p>
      <w:pPr>
        <w:spacing w:after="0" w:line="213" w:lineRule="exact"/>
        <w:rPr>
          <w:rFonts w:ascii="Arial" w:cs="Arial" w:eastAsia="Arial" w:hAnsi="Arial"/>
          <w:sz w:val="22"/>
          <w:szCs w:val="22"/>
          <w:color w:val="auto"/>
        </w:rPr>
      </w:pPr>
    </w:p>
    <w:p>
      <w:pPr>
        <w:jc w:val="both"/>
        <w:ind w:firstLine="1305"/>
        <w:spacing w:after="0" w:line="238" w:lineRule="auto"/>
        <w:tabs>
          <w:tab w:leader="none" w:pos="2143"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Perquisites</w:t>
      </w:r>
      <w:r>
        <w:rPr>
          <w:rFonts w:ascii="Arial" w:cs="Arial" w:eastAsia="Arial" w:hAnsi="Arial"/>
          <w:sz w:val="22"/>
          <w:szCs w:val="22"/>
          <w:color w:val="auto"/>
        </w:rPr>
        <w:t>. The Company shall provide to the Executive all employee and executive perquisites which other senior executives of the Company or the Parent are generally entitled to receive, in accordance with Parent and Company policy. Additionally, the Company shall provide the Executive with two automobiles, which includes the right to use the automobile for private purposes.</w:t>
      </w:r>
    </w:p>
    <w:p>
      <w:pPr>
        <w:spacing w:after="0" w:line="212" w:lineRule="exact"/>
        <w:rPr>
          <w:rFonts w:ascii="Arial" w:cs="Arial" w:eastAsia="Arial" w:hAnsi="Arial"/>
          <w:sz w:val="22"/>
          <w:szCs w:val="22"/>
          <w:color w:val="auto"/>
        </w:rPr>
      </w:pPr>
    </w:p>
    <w:p>
      <w:pPr>
        <w:jc w:val="both"/>
        <w:ind w:firstLine="1305"/>
        <w:spacing w:after="0"/>
        <w:tabs>
          <w:tab w:leader="none" w:pos="1954"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Executive shall be entitled to reimbursement of business and entertainment expenses that are incurred in the ordinary course of business, in accordance with the applicable expense reimbursement policies and procedures of the Company as in effect from time to time.</w:t>
      </w:r>
    </w:p>
    <w:p>
      <w:pPr>
        <w:spacing w:after="0" w:line="21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k</w:t>
      </w:r>
      <w:r>
        <w:rPr>
          <w:rFonts w:ascii="Arial" w:cs="Arial" w:eastAsia="Arial" w:hAnsi="Arial"/>
          <w:sz w:val="19"/>
          <w:szCs w:val="19"/>
          <w:color w:val="auto"/>
        </w:rPr>
        <w:t xml:space="preserve">) </w:t>
      </w:r>
      <w:r>
        <w:rPr>
          <w:rFonts w:ascii="Arial" w:cs="Arial" w:eastAsia="Arial" w:hAnsi="Arial"/>
          <w:sz w:val="19"/>
          <w:szCs w:val="19"/>
          <w:u w:val="single" w:color="auto"/>
          <w:color w:val="auto"/>
        </w:rPr>
        <w:t>Employee Stock Ownership Plan</w:t>
      </w:r>
      <w:r>
        <w:rPr>
          <w:rFonts w:ascii="Arial" w:cs="Arial" w:eastAsia="Arial" w:hAnsi="Arial"/>
          <w:sz w:val="19"/>
          <w:szCs w:val="19"/>
          <w:color w:val="auto"/>
        </w:rPr>
        <w:t>. To the extent that the Executive’s benefits under any employee stock ownership plan of the Company or the Parent are capped for any given calendar year by applicable law, rule, or regulation at an amount less than what the Executive would otherwise be entitled to receive under the terms of such plan (the “</w:t>
      </w:r>
      <w:r>
        <w:rPr>
          <w:rFonts w:ascii="Arial" w:cs="Arial" w:eastAsia="Arial" w:hAnsi="Arial"/>
          <w:sz w:val="19"/>
          <w:szCs w:val="19"/>
          <w:b w:val="1"/>
          <w:bCs w:val="1"/>
          <w:i w:val="1"/>
          <w:iCs w:val="1"/>
          <w:color w:val="auto"/>
        </w:rPr>
        <w:t>Plan Amount</w:t>
      </w:r>
      <w:r>
        <w:rPr>
          <w:rFonts w:ascii="Arial" w:cs="Arial" w:eastAsia="Arial" w:hAnsi="Arial"/>
          <w:sz w:val="19"/>
          <w:szCs w:val="19"/>
          <w:color w:val="auto"/>
        </w:rPr>
        <w:t>”), the Company shall pay the Executive in cash the value of the difference obtained by subtracting the value of the contribution actually made by the Parent or the Company, as applicable, for such calendar year from the Plan Amount. Such cash value shall be paid in the form of a lump sum no later than March 15th of the calendar year that immediately follows the end of such calendar year.</w:t>
      </w:r>
    </w:p>
    <w:p>
      <w:pPr>
        <w:spacing w:after="0" w:line="178" w:lineRule="exact"/>
        <w:rPr>
          <w:sz w:val="20"/>
          <w:szCs w:val="20"/>
          <w:color w:val="auto"/>
        </w:rPr>
      </w:pPr>
    </w:p>
    <w:p>
      <w:pPr>
        <w:ind w:firstLine="1305"/>
        <w:spacing w:after="0" w:line="251" w:lineRule="auto"/>
        <w:tabs>
          <w:tab w:leader="none" w:pos="2122"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The Company shall pay all of the reasonable professional fees and expenses incurred by the Executive in the negotiation and preparation of this Agreement and related arrangements.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jc w:val="both"/>
        <w:ind w:firstLine="1305"/>
        <w:spacing w:after="0" w:line="270" w:lineRule="auto"/>
        <w:tabs>
          <w:tab w:leader="none" w:pos="2243" w:val="left"/>
        </w:tabs>
        <w:numPr>
          <w:ilvl w:val="2"/>
          <w:numId w:val="8"/>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To the fullest extent permitted by the indemnification provisions of the Articles of Incorporation and Bylaws of the Company in effect from time to time and the indemnification provisions of the corporate statute of the jurisdiction of the Company’s incorporation in effect from time to time (collectively the “</w:t>
      </w:r>
      <w:r>
        <w:rPr>
          <w:rFonts w:ascii="Arial" w:cs="Arial" w:eastAsia="Arial" w:hAnsi="Arial"/>
          <w:sz w:val="19"/>
          <w:szCs w:val="19"/>
          <w:b w:val="1"/>
          <w:bCs w:val="1"/>
          <w:i w:val="1"/>
          <w:iCs w:val="1"/>
          <w:color w:val="auto"/>
        </w:rPr>
        <w:t>Indemnification Provisions</w:t>
      </w:r>
      <w:r>
        <w:rPr>
          <w:rFonts w:ascii="Arial" w:cs="Arial" w:eastAsia="Arial" w:hAnsi="Arial"/>
          <w:sz w:val="19"/>
          <w:szCs w:val="19"/>
          <w:color w:val="auto"/>
        </w:rPr>
        <w:t>”), and in each case subject to the conditions thereof, the Company shall (i) indemnify the Executive, as a director and officer of the Company or a trustee or fiduciary of an employee benefit plan of the Company against all liabilities and reasonable expenses that the Executive may incur in any threatened, pending, or completed action, suit or proceeding, whether civil, criminal or administrative, or investigative and whether formal or informal, because the Executive is or was a director or officer of the Company or a trustee or fiduciary of such employee benefit plan, and against which the Executive may be indemnified by the Company, and (ii) pay for or reimburse the reasonable expenses incurred by the Executive in the defense of any proceeding to which the Executive is a party or in which the Executive is called as a witness or otherwise becomes involved because the Executive is or was a director or officer of the Company or a trustee or fiduciary of such employee benefit plan. The rights of the Executive under the Indemnification Provisions shall survive the termination of the employment of the Executive by the Company. To the extent that the Company maintains a directors’ and officers’ liability insurance policy (or policies), or an errors and omissions liability insurance policy (or policies), in place covering individuals who are current or former officers or directors of the Company, the Executive shall be entitled to coverage under such policies on the same terms and conditions (including, without limitation, with respect to scope, exclusions, amounts and deductibles) as are available to other senior executives of the Company, while the Executive is employed with the Company and thereafter until the sixth anniversary of the Executive’s termination date. Nothing in this Agreement shall require the Company to purchase or maintain any such insurance policy. The Parent shall enter into an Indemnification Agreement with the Executive in such form as is reasonably acceptable to the Executive. This provision is in addition to any other rights of indemnification the Executive may have.</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305"/>
        <w:spacing w:after="0" w:line="236" w:lineRule="auto"/>
        <w:tabs>
          <w:tab w:leader="none" w:pos="1981" w:val="left"/>
        </w:tabs>
        <w:numPr>
          <w:ilvl w:val="2"/>
          <w:numId w:val="8"/>
        </w:numPr>
        <w:rPr>
          <w:rFonts w:ascii="Arial" w:cs="Arial" w:eastAsia="Arial" w:hAnsi="Arial"/>
          <w:sz w:val="22"/>
          <w:szCs w:val="22"/>
          <w:color w:val="auto"/>
        </w:rPr>
      </w:pPr>
      <w:r>
        <w:rPr>
          <w:rFonts w:ascii="Arial" w:cs="Arial" w:eastAsia="Arial" w:hAnsi="Arial"/>
          <w:sz w:val="22"/>
          <w:szCs w:val="22"/>
          <w:u w:val="single" w:color="auto"/>
          <w:color w:val="auto"/>
        </w:rPr>
        <w:t>Prohibition on Payments</w:t>
      </w:r>
      <w:r>
        <w:rPr>
          <w:rFonts w:ascii="Arial" w:cs="Arial" w:eastAsia="Arial" w:hAnsi="Arial"/>
          <w:sz w:val="22"/>
          <w:szCs w:val="22"/>
          <w:color w:val="auto"/>
        </w:rPr>
        <w:t>. Notwithstanding anything in this Agreement to the contrary, neither the Parent nor the Company will be required to pay any benefit under this Agreement if, upon the advice of counsel, Parent or the Company determines that the payment of such benefit would be prohibited by 12 C.F.R. Part 359 or any successor regulations regarding employee compensation promulgated by any regulatory agency having jurisdiction over the Parent, the Company or any of their affiliates.</w:t>
      </w:r>
    </w:p>
    <w:p>
      <w:pPr>
        <w:spacing w:after="0" w:line="214" w:lineRule="exact"/>
        <w:rPr>
          <w:rFonts w:ascii="Arial" w:cs="Arial" w:eastAsia="Arial" w:hAnsi="Arial"/>
          <w:sz w:val="22"/>
          <w:szCs w:val="22"/>
          <w:color w:val="auto"/>
        </w:rPr>
      </w:pPr>
    </w:p>
    <w:p>
      <w:pPr>
        <w:jc w:val="both"/>
        <w:ind w:firstLine="656"/>
        <w:spacing w:after="0" w:line="238" w:lineRule="auto"/>
        <w:tabs>
          <w:tab w:leader="none" w:pos="1270"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Rights Upon a Termination of the Executive’s Employment</w:t>
      </w:r>
      <w:r>
        <w:rPr>
          <w:rFonts w:ascii="Arial" w:cs="Arial" w:eastAsia="Arial" w:hAnsi="Arial"/>
          <w:sz w:val="22"/>
          <w:szCs w:val="22"/>
          <w:color w:val="auto"/>
        </w:rPr>
        <w:t>. Any termination payments made and benefits provided under this Agreement to the Executive shall be in addition to any termination or severance payments or benefits for which the Executive may be eligible under any other agreement between the Company and the Executive and any of the plans, policies, or programs of the Company or its affiliates.</w:t>
      </w:r>
    </w:p>
    <w:p>
      <w:pPr>
        <w:spacing w:after="0" w:line="212" w:lineRule="exact"/>
        <w:rPr>
          <w:rFonts w:ascii="Arial" w:cs="Arial" w:eastAsia="Arial" w:hAnsi="Arial"/>
          <w:sz w:val="22"/>
          <w:szCs w:val="22"/>
          <w:color w:val="auto"/>
        </w:rPr>
      </w:pPr>
    </w:p>
    <w:p>
      <w:pPr>
        <w:jc w:val="both"/>
        <w:ind w:firstLine="1305"/>
        <w:spacing w:after="0" w:line="270" w:lineRule="auto"/>
        <w:tabs>
          <w:tab w:leader="none" w:pos="2049" w:val="left"/>
        </w:tabs>
        <w:numPr>
          <w:ilvl w:val="2"/>
          <w:numId w:val="9"/>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by the Company for Cause or by the Executive Without Good Reason</w:t>
      </w:r>
      <w:r>
        <w:rPr>
          <w:rFonts w:ascii="Arial" w:cs="Arial" w:eastAsia="Arial" w:hAnsi="Arial"/>
          <w:sz w:val="19"/>
          <w:szCs w:val="19"/>
          <w:color w:val="auto"/>
        </w:rPr>
        <w:t>. If the Executive’s employment is terminated by the Company for Cause, or the Executive voluntarily terminates the Executive’s employment without Good Reason, then the Executive shall receive the following from the Company: (i) any unpaid Base Salary accrued through the termination date, (ii) a lump sum payment for any accrued but unused vacation pay, sick leave, and paid time off, (iii) rights to elect continuation coverage under the Consolidated Omnibus Budget Reconciliation Act of 1985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and</w:t>
      </w:r>
    </w:p>
    <w:p>
      <w:pPr>
        <w:spacing w:after="0" w:line="4" w:lineRule="exact"/>
        <w:rPr>
          <w:rFonts w:ascii="Arial" w:cs="Arial" w:eastAsia="Arial" w:hAnsi="Arial"/>
          <w:sz w:val="19"/>
          <w:szCs w:val="19"/>
          <w:color w:val="auto"/>
        </w:rPr>
      </w:pPr>
    </w:p>
    <w:p>
      <w:pPr>
        <w:ind w:right="20" w:firstLine="8"/>
        <w:spacing w:after="0" w:line="256" w:lineRule="auto"/>
        <w:tabs>
          <w:tab w:leader="none" w:pos="371" w:val="left"/>
        </w:tabs>
        <w:numPr>
          <w:ilvl w:val="0"/>
          <w:numId w:val="10"/>
        </w:numPr>
        <w:rPr>
          <w:rFonts w:ascii="Arial" w:cs="Arial" w:eastAsia="Arial" w:hAnsi="Arial"/>
          <w:sz w:val="21"/>
          <w:szCs w:val="21"/>
          <w:color w:val="auto"/>
        </w:rPr>
      </w:pPr>
      <w:r>
        <w:rPr>
          <w:rFonts w:ascii="Arial" w:cs="Arial" w:eastAsia="Arial" w:hAnsi="Arial"/>
          <w:sz w:val="21"/>
          <w:szCs w:val="21"/>
          <w:color w:val="auto"/>
        </w:rPr>
        <w:t>a lump sum payment for any previously unreimbursed business expenses incurred by the Executive on behalf of the Company during the term of the Executive’s employment (collectively, such (i) through (iv) being the “</w:t>
      </w:r>
      <w:r>
        <w:rPr>
          <w:rFonts w:ascii="Arial" w:cs="Arial" w:eastAsia="Arial" w:hAnsi="Arial"/>
          <w:sz w:val="21"/>
          <w:szCs w:val="21"/>
          <w:b w:val="1"/>
          <w:bCs w:val="1"/>
          <w:i w:val="1"/>
          <w:iCs w:val="1"/>
          <w:color w:val="auto"/>
        </w:rPr>
        <w:t>Accrued Rights</w:t>
      </w:r>
      <w:r>
        <w:rPr>
          <w:rFonts w:ascii="Arial" w:cs="Arial" w:eastAsia="Arial" w:hAnsi="Arial"/>
          <w:sz w:val="21"/>
          <w:szCs w:val="21"/>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jc w:val="both"/>
        <w:ind w:firstLine="1953"/>
        <w:spacing w:after="0" w:line="270" w:lineRule="auto"/>
        <w:tabs>
          <w:tab w:leader="none" w:pos="2703" w:val="left"/>
        </w:tabs>
        <w:numPr>
          <w:ilvl w:val="0"/>
          <w:numId w:val="11"/>
        </w:numPr>
        <w:rPr>
          <w:rFonts w:ascii="Arial" w:cs="Arial" w:eastAsia="Arial" w:hAnsi="Arial"/>
          <w:sz w:val="19"/>
          <w:szCs w:val="19"/>
          <w:color w:val="auto"/>
        </w:rPr>
      </w:pPr>
      <w:r>
        <w:rPr>
          <w:rFonts w:ascii="Arial" w:cs="Arial" w:eastAsia="Arial" w:hAnsi="Arial"/>
          <w:sz w:val="19"/>
          <w:szCs w:val="19"/>
          <w:color w:val="auto"/>
        </w:rPr>
        <w:t>For purposes of this Agreement, the term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mean a termination by the Company of the Executive’s employment because of: (A) any act or omission that constitutes a material breach by the Executive of any of the Executive’s obligations under this Agreement; (B) the Executive’s conviction of, or plea of nolo contendere to, (1) any felony or (2) another crime involving dishonesty or moral turpitude; (C) the Executive’s engaging in any willful misconduct, willful act of dishonesty, violence or threat of violence (including any violation of federal securities laws) that is materially injurious to the Company or any of its subsidiaries or affiliates; (D) the Executive’s willful and material breach of a written policy of the Company or the rules of any governmental or regulatory body applicable to the Company that is materially injurious to the Company; and (E) the Executive’s willful and repeated refusal to follow the lawful and ethical directions of the Company Board or the Parent Board, which directions are consistent with normal business practice and not inconsistent with this Agreement and the Executive’s responsibilities hereunder. Notwithstanding anything in this Section 4(a)(i), no event or condition described in Sections 4(a)(i)(A), (C), (D), or (E) shall constitute Cause unless (x) within ninety (90) days from the Parent Board first acquiring actual knowledge of the existence of the Cause condition, the Parent Board provides the Executive written notice of its intention to terminate the Executive’s employment for Cause and the grounds for such termination; (y) such grounds for termination (if susceptible to correction) are not corrected by the Executive within thirty (30) days of the Executive’s receipt of such notice (or, in the event that such grounds cannot be corrected within such thirty-day (30) period, the Executive has not taken all reasonable steps within such thirty-day (30) period to correct such grounds as promptly as practicable thereafter); and (z) the Parent Board, by a two-thirds (2/3) vote of its members (excluding the Executive if he is a member of the Parent Board) terminates the Executive’s employment with the Company immediately following expiration of such sixty-day (60) period. For purposes of this Section 4(a)(i), any attempt by the Executive to correct a stated Cause shall not be deemed an admission by the Executive that the Parent Board’s assertion of Cause is valid.</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right="20" w:firstLine="1953"/>
        <w:spacing w:after="0" w:line="251" w:lineRule="auto"/>
        <w:tabs>
          <w:tab w:leader="none" w:pos="2765" w:val="left"/>
        </w:tabs>
        <w:numPr>
          <w:ilvl w:val="0"/>
          <w:numId w:val="11"/>
        </w:numPr>
        <w:rPr>
          <w:rFonts w:ascii="Arial" w:cs="Arial" w:eastAsia="Arial" w:hAnsi="Arial"/>
          <w:sz w:val="22"/>
          <w:szCs w:val="22"/>
          <w:color w:val="auto"/>
        </w:rPr>
      </w:pPr>
      <w:r>
        <w:rPr>
          <w:rFonts w:ascii="Arial" w:cs="Arial" w:eastAsia="Arial" w:hAnsi="Arial"/>
          <w:sz w:val="22"/>
          <w:szCs w:val="22"/>
          <w:color w:val="auto"/>
        </w:rPr>
        <w:t>For purposes of this Agreement, the term “</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shall mean the occurrence of any of the following events, as determined in the reasonable discretion of the Parent Board:</w:t>
      </w:r>
    </w:p>
    <w:p>
      <w:pPr>
        <w:spacing w:after="0" w:line="200" w:lineRule="exact"/>
        <w:rPr>
          <w:rFonts w:ascii="Arial" w:cs="Arial" w:eastAsia="Arial" w:hAnsi="Arial"/>
          <w:sz w:val="22"/>
          <w:szCs w:val="22"/>
          <w:color w:val="auto"/>
        </w:rPr>
      </w:pPr>
    </w:p>
    <w:p>
      <w:pPr>
        <w:jc w:val="both"/>
        <w:ind w:firstLine="2601"/>
        <w:spacing w:after="0" w:line="279" w:lineRule="auto"/>
        <w:tabs>
          <w:tab w:leader="none" w:pos="3366" w:val="left"/>
        </w:tabs>
        <w:numPr>
          <w:ilvl w:val="1"/>
          <w:numId w:val="11"/>
        </w:numPr>
        <w:rPr>
          <w:rFonts w:ascii="Arial" w:cs="Arial" w:eastAsia="Arial" w:hAnsi="Arial"/>
          <w:sz w:val="19"/>
          <w:szCs w:val="19"/>
          <w:color w:val="auto"/>
        </w:rPr>
      </w:pPr>
      <w:r>
        <w:rPr>
          <w:rFonts w:ascii="Arial" w:cs="Arial" w:eastAsia="Arial" w:hAnsi="Arial"/>
          <w:sz w:val="19"/>
          <w:szCs w:val="19"/>
          <w:color w:val="auto"/>
        </w:rPr>
        <w:t>Any “person” (as such term is used in Sections 13(d) and 14(d) of the Securities Exchange Act of 1934, as amended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other than (x) a trustee or other fiduciary holding securities under an employee benefit plan of the Company or any Affiliate, or (y) any corporation owned, directly or indirectly, by the shareholders of the Parent in substantially the same proportions as their ownership of the Parent’s common stock, becomes the “beneficial owner” (as defined in Rule 13d-3 of the Exchange Act), directly or indirectly, of securities of the Parent or the Company representing 50% or more of the total voting power represented by the Parent’s or the Company’s then outstanding voting securities;</w:t>
      </w:r>
    </w:p>
    <w:p>
      <w:pPr>
        <w:spacing w:after="0" w:line="177" w:lineRule="exact"/>
        <w:rPr>
          <w:rFonts w:ascii="Arial" w:cs="Arial" w:eastAsia="Arial" w:hAnsi="Arial"/>
          <w:sz w:val="19"/>
          <w:szCs w:val="19"/>
          <w:color w:val="auto"/>
        </w:rPr>
      </w:pPr>
    </w:p>
    <w:p>
      <w:pPr>
        <w:jc w:val="both"/>
        <w:ind w:firstLine="2601"/>
        <w:spacing w:after="0" w:line="238" w:lineRule="auto"/>
        <w:tabs>
          <w:tab w:leader="none" w:pos="3283" w:val="left"/>
        </w:tabs>
        <w:numPr>
          <w:ilvl w:val="1"/>
          <w:numId w:val="11"/>
        </w:numPr>
        <w:rPr>
          <w:rFonts w:ascii="Arial" w:cs="Arial" w:eastAsia="Arial" w:hAnsi="Arial"/>
          <w:sz w:val="22"/>
          <w:szCs w:val="22"/>
          <w:color w:val="auto"/>
        </w:rPr>
      </w:pPr>
      <w:r>
        <w:rPr>
          <w:rFonts w:ascii="Arial" w:cs="Arial" w:eastAsia="Arial" w:hAnsi="Arial"/>
          <w:sz w:val="22"/>
          <w:szCs w:val="22"/>
          <w:color w:val="auto"/>
        </w:rPr>
        <w:t>The sale or disposition by the Parent or the Company of all or substantially all of the Parent’s or the Company’s assets other than the sale or disposition of all or substantially all of the assets of the Parent or the Company to a person or persons who beneficially own, directly or indirectly, at least fifty percent (50%) or more of the combined voting power of the outstanding voting securities of the Parent at the time of the sale;</w:t>
      </w:r>
    </w:p>
    <w:p>
      <w:pPr>
        <w:spacing w:after="0" w:line="212" w:lineRule="exact"/>
        <w:rPr>
          <w:rFonts w:ascii="Arial" w:cs="Arial" w:eastAsia="Arial" w:hAnsi="Arial"/>
          <w:sz w:val="22"/>
          <w:szCs w:val="22"/>
          <w:color w:val="auto"/>
        </w:rPr>
      </w:pPr>
    </w:p>
    <w:p>
      <w:pPr>
        <w:jc w:val="both"/>
        <w:ind w:firstLine="2601"/>
        <w:spacing w:after="0" w:line="274" w:lineRule="auto"/>
        <w:tabs>
          <w:tab w:leader="none" w:pos="3372" w:val="left"/>
        </w:tabs>
        <w:numPr>
          <w:ilvl w:val="1"/>
          <w:numId w:val="11"/>
        </w:numPr>
        <w:rPr>
          <w:rFonts w:ascii="Arial" w:cs="Arial" w:eastAsia="Arial" w:hAnsi="Arial"/>
          <w:sz w:val="19"/>
          <w:szCs w:val="19"/>
          <w:color w:val="auto"/>
        </w:rPr>
      </w:pPr>
      <w:r>
        <w:rPr>
          <w:rFonts w:ascii="Arial" w:cs="Arial" w:eastAsia="Arial" w:hAnsi="Arial"/>
          <w:sz w:val="19"/>
          <w:szCs w:val="19"/>
          <w:color w:val="auto"/>
        </w:rPr>
        <w:t>A change in the composition of the Parent Board during any twelve (12) consecutive month period the result of which is that fewer than a majority of the members of the Parent Board are Incumbent Directors. For this purpose, “</w:t>
      </w:r>
      <w:r>
        <w:rPr>
          <w:rFonts w:ascii="Arial" w:cs="Arial" w:eastAsia="Arial" w:hAnsi="Arial"/>
          <w:sz w:val="19"/>
          <w:szCs w:val="19"/>
          <w:b w:val="1"/>
          <w:bCs w:val="1"/>
          <w:i w:val="1"/>
          <w:iCs w:val="1"/>
          <w:color w:val="auto"/>
        </w:rPr>
        <w:t>Incumbent Directors</w:t>
      </w:r>
      <w:r>
        <w:rPr>
          <w:rFonts w:ascii="Arial" w:cs="Arial" w:eastAsia="Arial" w:hAnsi="Arial"/>
          <w:sz w:val="19"/>
          <w:szCs w:val="19"/>
          <w:color w:val="auto"/>
        </w:rPr>
        <w:t>” are members of the Parent Board on the Effective Date; provided that any person becoming a director of the Company subsequent to the Effective Date shall be considered an Incumbent Director if such person’s election or nomination for election was approved by a vote of at least a majority of the Incumbent Directors; but provided further, that any such person whose initial assumption of office is in connection with an actual or threatened election contest relating to the election of members of the Parent Board or other actual or threatened solicitation of proxies or consents by or on behalf of a “person” (as defined in Section 13(d) and 14(d) of the Exchange Act) other than the Parent Board, including by reason of agreement intended to avoid or settle any such actual or threatened contest or solicitation, shall not be considered an Incumbent Director; or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jc w:val="both"/>
        <w:ind w:firstLine="2601"/>
        <w:spacing w:after="0" w:line="235" w:lineRule="auto"/>
        <w:tabs>
          <w:tab w:leader="none" w:pos="3388" w:val="left"/>
        </w:tabs>
        <w:numPr>
          <w:ilvl w:val="2"/>
          <w:numId w:val="12"/>
        </w:numPr>
        <w:rPr>
          <w:rFonts w:ascii="Arial" w:cs="Arial" w:eastAsia="Arial" w:hAnsi="Arial"/>
          <w:sz w:val="22"/>
          <w:szCs w:val="22"/>
          <w:color w:val="auto"/>
        </w:rPr>
      </w:pPr>
      <w:r>
        <w:rPr>
          <w:rFonts w:ascii="Arial" w:cs="Arial" w:eastAsia="Arial" w:hAnsi="Arial"/>
          <w:sz w:val="22"/>
          <w:szCs w:val="22"/>
          <w:color w:val="auto"/>
        </w:rPr>
        <w:t>A merger or consolidation of the Parent or the Company with any other corporation, other than a merger or consolidation which would result in the voting securities of the Parent or the Company, respectively, outstanding immediately prior thereto continuing to represent (either by remaining outstanding or by being converted into voting securities of the surviving entity or its parent) at least fifty percent (50%) of the total voting power represented by the voting securities of the Parent or the Company, respectively, or such surviving entity or its parent outstanding immediately after such merger or consolidation.</w:t>
      </w:r>
    </w:p>
    <w:p>
      <w:pPr>
        <w:spacing w:after="0" w:line="216" w:lineRule="exact"/>
        <w:rPr>
          <w:rFonts w:ascii="Arial" w:cs="Arial" w:eastAsia="Arial" w:hAnsi="Arial"/>
          <w:sz w:val="22"/>
          <w:szCs w:val="22"/>
          <w:color w:val="auto"/>
        </w:rPr>
      </w:pPr>
    </w:p>
    <w:p>
      <w:pPr>
        <w:jc w:val="both"/>
        <w:ind w:firstLine="1953"/>
        <w:spacing w:after="0" w:line="269" w:lineRule="auto"/>
        <w:tabs>
          <w:tab w:leader="none" w:pos="2715" w:val="left"/>
        </w:tabs>
        <w:numPr>
          <w:ilvl w:val="1"/>
          <w:numId w:val="13"/>
        </w:numPr>
        <w:rPr>
          <w:rFonts w:ascii="Arial" w:cs="Arial" w:eastAsia="Arial" w:hAnsi="Arial"/>
          <w:sz w:val="19"/>
          <w:szCs w:val="19"/>
          <w:color w:val="auto"/>
        </w:rPr>
      </w:pPr>
      <w:r>
        <w:rPr>
          <w:rFonts w:ascii="Arial" w:cs="Arial" w:eastAsia="Arial" w:hAnsi="Arial"/>
          <w:sz w:val="19"/>
          <w:szCs w:val="19"/>
          <w:color w:val="auto"/>
        </w:rPr>
        <w:t>For purposes of this Agreement, the term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shall mean a voluntary termination by the Executive of the Executive’s employment because of: (A) the Executive’s Base Salary is reduced by more than ten percent (10%) below Executive’s Base Salary in effect at any time during the preceding twelve (12) months; (B) a material diminution in the nature or scope of the Executive’s title, authority, duties, benefits, perquisites, or responsibilities from those applicable to the Executive as of the Effective Date, or the assignment by the Company to the Executive of any duties inconsistent with his position as set forth in Section 1(a); (C) the Company requiring the Executive to be based at any office or location more than ten (10) miles from Lubbock, Texas; (D) a material breach by the Company of any term or provision of this Agreement or (E) the failure of the Company to assign this Agreement to a successor to the Company or the failure of a successor to the Company to explicitly assume and agree to be bound by this Agreement. No event or condition described in this Section 4 shall constitute Good Reason unless,</w:t>
      </w:r>
    </w:p>
    <w:p>
      <w:pPr>
        <w:spacing w:after="0" w:line="1" w:lineRule="exact"/>
        <w:rPr>
          <w:rFonts w:ascii="Arial" w:cs="Arial" w:eastAsia="Arial" w:hAnsi="Arial"/>
          <w:sz w:val="19"/>
          <w:szCs w:val="19"/>
          <w:color w:val="auto"/>
        </w:rPr>
      </w:pPr>
    </w:p>
    <w:p>
      <w:pPr>
        <w:jc w:val="both"/>
        <w:ind w:firstLine="8"/>
        <w:spacing w:after="0" w:line="272" w:lineRule="auto"/>
        <w:tabs>
          <w:tab w:leader="none" w:pos="331" w:val="left"/>
        </w:tabs>
        <w:numPr>
          <w:ilvl w:val="0"/>
          <w:numId w:val="14"/>
        </w:numPr>
        <w:rPr>
          <w:rFonts w:ascii="Arial" w:cs="Arial" w:eastAsia="Arial" w:hAnsi="Arial"/>
          <w:sz w:val="19"/>
          <w:szCs w:val="19"/>
          <w:color w:val="auto"/>
        </w:rPr>
      </w:pPr>
      <w:r>
        <w:rPr>
          <w:rFonts w:ascii="Arial" w:cs="Arial" w:eastAsia="Arial" w:hAnsi="Arial"/>
          <w:sz w:val="19"/>
          <w:szCs w:val="19"/>
          <w:color w:val="auto"/>
        </w:rPr>
        <w:t>within ninety (90) days from the Executive first acquiring actual knowledge of the existence of the Good Reason condition described in this Section 4(a)(iii), the Executive provides the Parent Board written notice of the Executive’s intention to terminate the Executive’s employment for Good Reason and the grounds for such termination; (y) such grounds for termination (if susceptible to correction) are not corrected by the Parent Board within thirty (30) days of the Parent Board’s receipt of such notice (or, in the event that such grounds cannot be corrected within such thirty-day (30) period, the Parent Board has not taken all reasonable steps within such thirty-day (30) period to correct such grounds as promptly as practicable thereafter); and (z) the Executive terminates the Executive’s employment with the Company immediately following expiration of such thirty-day (30) period. For purposes of this Section 4(a)(iii), any attempt by the Parent Board to correct a stated Good Reason shall not be deemed an admission by the Parent Board that the Executive’s assertion of Good Reason is valid.</w:t>
      </w:r>
    </w:p>
    <w:p>
      <w:pPr>
        <w:spacing w:after="0" w:line="184" w:lineRule="exact"/>
        <w:rPr>
          <w:rFonts w:ascii="Arial" w:cs="Arial" w:eastAsia="Arial" w:hAnsi="Arial"/>
          <w:sz w:val="19"/>
          <w:szCs w:val="19"/>
          <w:color w:val="auto"/>
        </w:rPr>
      </w:pPr>
    </w:p>
    <w:p>
      <w:pPr>
        <w:jc w:val="both"/>
        <w:ind w:firstLine="1953"/>
        <w:spacing w:after="0" w:line="297" w:lineRule="auto"/>
        <w:tabs>
          <w:tab w:leader="none" w:pos="2635" w:val="left"/>
        </w:tabs>
        <w:numPr>
          <w:ilvl w:val="1"/>
          <w:numId w:val="14"/>
        </w:numPr>
        <w:rPr>
          <w:rFonts w:ascii="Arial" w:cs="Arial" w:eastAsia="Arial" w:hAnsi="Arial"/>
          <w:sz w:val="19"/>
          <w:szCs w:val="19"/>
          <w:color w:val="auto"/>
        </w:rPr>
      </w:pPr>
      <w:r>
        <w:rPr>
          <w:rFonts w:ascii="Arial" w:cs="Arial" w:eastAsia="Arial" w:hAnsi="Arial"/>
          <w:sz w:val="19"/>
          <w:szCs w:val="19"/>
          <w:color w:val="auto"/>
        </w:rPr>
        <w:t>For purposes of this Agreement, the term “</w:t>
      </w:r>
      <w:r>
        <w:rPr>
          <w:rFonts w:ascii="Arial" w:cs="Arial" w:eastAsia="Arial" w:hAnsi="Arial"/>
          <w:sz w:val="19"/>
          <w:szCs w:val="19"/>
          <w:b w:val="1"/>
          <w:bCs w:val="1"/>
          <w:i w:val="1"/>
          <w:iCs w:val="1"/>
          <w:color w:val="auto"/>
        </w:rPr>
        <w:t>Protection Period</w:t>
      </w:r>
      <w:r>
        <w:rPr>
          <w:rFonts w:ascii="Arial" w:cs="Arial" w:eastAsia="Arial" w:hAnsi="Arial"/>
          <w:sz w:val="19"/>
          <w:szCs w:val="19"/>
          <w:color w:val="auto"/>
        </w:rPr>
        <w:t>” shall mean the twenty-four (24) month period following a Change in Control, or at any time prior to a Change in Control if such termination occurs at the request of any third party participating in or causing the Change in Control or otherwise in connection with such Change in Control.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ind w:left="2040" w:hanging="735"/>
        <w:spacing w:after="0"/>
        <w:tabs>
          <w:tab w:leader="none" w:pos="2040" w:val="left"/>
        </w:tabs>
        <w:numPr>
          <w:ilvl w:val="1"/>
          <w:numId w:val="15"/>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by the Company Without Cause or by the Executive for Good Reason</w:t>
      </w:r>
      <w:r>
        <w:rPr>
          <w:rFonts w:ascii="Arial" w:cs="Arial" w:eastAsia="Arial" w:hAnsi="Arial"/>
          <w:sz w:val="21"/>
          <w:szCs w:val="21"/>
          <w:color w:val="auto"/>
        </w:rPr>
        <w:t>.</w:t>
      </w:r>
    </w:p>
    <w:p>
      <w:pPr>
        <w:spacing w:after="0" w:line="245" w:lineRule="exact"/>
        <w:rPr>
          <w:rFonts w:ascii="Arial" w:cs="Arial" w:eastAsia="Arial" w:hAnsi="Arial"/>
          <w:sz w:val="21"/>
          <w:szCs w:val="21"/>
          <w:color w:val="auto"/>
        </w:rPr>
      </w:pPr>
    </w:p>
    <w:p>
      <w:pPr>
        <w:jc w:val="both"/>
        <w:ind w:firstLine="1953"/>
        <w:spacing w:after="0" w:line="271" w:lineRule="auto"/>
        <w:tabs>
          <w:tab w:leader="none" w:pos="2743" w:val="left"/>
        </w:tabs>
        <w:numPr>
          <w:ilvl w:val="2"/>
          <w:numId w:val="15"/>
        </w:numPr>
        <w:rPr>
          <w:rFonts w:ascii="Arial" w:cs="Arial" w:eastAsia="Arial" w:hAnsi="Arial"/>
          <w:sz w:val="19"/>
          <w:szCs w:val="19"/>
          <w:color w:val="auto"/>
        </w:rPr>
      </w:pPr>
      <w:r>
        <w:rPr>
          <w:rFonts w:ascii="Arial" w:cs="Arial" w:eastAsia="Arial" w:hAnsi="Arial"/>
          <w:sz w:val="19"/>
          <w:szCs w:val="19"/>
          <w:u w:val="single" w:color="auto"/>
          <w:color w:val="auto"/>
        </w:rPr>
        <w:t>Outside of the Protection Period</w:t>
      </w:r>
      <w:r>
        <w:rPr>
          <w:rFonts w:ascii="Arial" w:cs="Arial" w:eastAsia="Arial" w:hAnsi="Arial"/>
          <w:sz w:val="19"/>
          <w:szCs w:val="19"/>
          <w:color w:val="auto"/>
        </w:rPr>
        <w:t>. If (1) the Executive’s employment is terminated by the Company without Cause or the Company elects not to renew the Executive’s employment under Section 2, or (2) the Executive’s employment is terminated by the Executive for Good Reason (whether as a termination or a non-renewal by the Executive under Section 2), and such termination occurs other than during the Protection Period, then the Executive shall receive the following from the Company:</w:t>
      </w:r>
    </w:p>
    <w:p>
      <w:pPr>
        <w:spacing w:after="0" w:line="3" w:lineRule="exact"/>
        <w:rPr>
          <w:rFonts w:ascii="Arial" w:cs="Arial" w:eastAsia="Arial" w:hAnsi="Arial"/>
          <w:sz w:val="19"/>
          <w:szCs w:val="19"/>
          <w:color w:val="auto"/>
        </w:rPr>
      </w:pPr>
    </w:p>
    <w:p>
      <w:pPr>
        <w:ind w:left="280" w:hanging="272"/>
        <w:spacing w:after="0"/>
        <w:tabs>
          <w:tab w:leader="none" w:pos="2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Accrued Rights, (ii) two times (2x) the Executive’s Base Salary, (iii) two times (2x) the Executive’s Annual Target Bonus,</w:t>
      </w:r>
    </w:p>
    <w:p>
      <w:pPr>
        <w:spacing w:after="0" w:line="24" w:lineRule="exact"/>
        <w:rPr>
          <w:rFonts w:ascii="Arial" w:cs="Arial" w:eastAsia="Arial" w:hAnsi="Arial"/>
          <w:sz w:val="19"/>
          <w:szCs w:val="19"/>
          <w:color w:val="auto"/>
        </w:rPr>
      </w:pPr>
    </w:p>
    <w:p>
      <w:pPr>
        <w:jc w:val="both"/>
        <w:ind w:firstLine="8"/>
        <w:spacing w:after="0"/>
        <w:tabs>
          <w:tab w:leader="none" w:pos="368" w:val="left"/>
        </w:tabs>
        <w:numPr>
          <w:ilvl w:val="0"/>
          <w:numId w:val="17"/>
        </w:numPr>
        <w:rPr>
          <w:rFonts w:ascii="Arial" w:cs="Arial" w:eastAsia="Arial" w:hAnsi="Arial"/>
          <w:sz w:val="20"/>
          <w:szCs w:val="20"/>
          <w:color w:val="auto"/>
        </w:rPr>
      </w:pPr>
      <w:r>
        <w:rPr>
          <w:rFonts w:ascii="Arial" w:cs="Arial" w:eastAsia="Arial" w:hAnsi="Arial"/>
          <w:sz w:val="20"/>
          <w:szCs w:val="20"/>
          <w:color w:val="auto"/>
        </w:rPr>
        <w:t>full accelerated vesting of the Executive’s outstanding and unvested time-based equity and any phantom equity awards, (v) full accelerated vesting of the Executive’s outstanding and unvested performance-based equity and any phantom equity awards, with the vesting of such awards deemed to occur at target levels, and (vi) a lump sum amount equal to twenty-four (24) months’ worth of the monthly premium payment to continue the Executive’s (and the Executive’s family’s) existing group health, dental coverage and vision, calculated under the applicable provisions of COBRA, and calculated without regard to whether the Executive actually elects such continuation coverage, and provided further that the Company shall gross-up the amounts paid to the Executive for such COBRA Benefits to cover any taxes owed by the Executive on such amounts, so that the Executive is in the same position as if he were not subject to such taxes (the “</w:t>
      </w:r>
      <w:r>
        <w:rPr>
          <w:rFonts w:ascii="Arial" w:cs="Arial" w:eastAsia="Arial" w:hAnsi="Arial"/>
          <w:sz w:val="20"/>
          <w:szCs w:val="20"/>
          <w:b w:val="1"/>
          <w:bCs w:val="1"/>
          <w:i w:val="1"/>
          <w:iCs w:val="1"/>
          <w:color w:val="auto"/>
        </w:rPr>
        <w:t>NP COBRA Benefits</w:t>
      </w:r>
      <w:r>
        <w:rPr>
          <w:rFonts w:ascii="Arial" w:cs="Arial" w:eastAsia="Arial" w:hAnsi="Arial"/>
          <w:sz w:val="20"/>
          <w:szCs w:val="20"/>
          <w:color w:val="auto"/>
        </w:rPr>
        <w:t>”) (collectively, (ii) through (vi) being the “</w:t>
      </w:r>
      <w:r>
        <w:rPr>
          <w:rFonts w:ascii="Arial" w:cs="Arial" w:eastAsia="Arial" w:hAnsi="Arial"/>
          <w:sz w:val="20"/>
          <w:szCs w:val="20"/>
          <w:b w:val="1"/>
          <w:bCs w:val="1"/>
          <w:i w:val="1"/>
          <w:iCs w:val="1"/>
          <w:color w:val="auto"/>
        </w:rPr>
        <w:t>Non-Protection Period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Severance Benefits</w:t>
      </w:r>
      <w:r>
        <w:rPr>
          <w:rFonts w:ascii="Arial" w:cs="Arial" w:eastAsia="Arial" w:hAnsi="Arial"/>
          <w:sz w:val="20"/>
          <w:szCs w:val="20"/>
          <w:color w:val="auto"/>
        </w:rPr>
        <w:t>”). The Non-Protection Period Severance Benefits shall be paid to the Executive in a lump sum cash payment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 later than the sixty-first (61</w:t>
      </w:r>
      <w:r>
        <w:rPr>
          <w:rFonts w:ascii="Arial" w:cs="Arial" w:eastAsia="Arial" w:hAnsi="Arial"/>
          <w:sz w:val="33"/>
          <w:szCs w:val="33"/>
          <w:color w:val="auto"/>
          <w:vertAlign w:val="superscript"/>
        </w:rPr>
        <w:t>st</w:t>
      </w:r>
      <w:r>
        <w:rPr>
          <w:rFonts w:ascii="Arial" w:cs="Arial" w:eastAsia="Arial" w:hAnsi="Arial"/>
          <w:sz w:val="20"/>
          <w:szCs w:val="20"/>
          <w:color w:val="auto"/>
        </w:rPr>
        <w:t>) day immediately following the date of termination, except that such payment shall be delayed to the minimum extent necessary to comply with Section 409A.</w:t>
      </w:r>
    </w:p>
    <w:p>
      <w:pPr>
        <w:spacing w:after="0" w:line="219" w:lineRule="exact"/>
        <w:rPr>
          <w:rFonts w:ascii="Arial" w:cs="Arial" w:eastAsia="Arial" w:hAnsi="Arial"/>
          <w:sz w:val="20"/>
          <w:szCs w:val="20"/>
          <w:color w:val="auto"/>
        </w:rPr>
      </w:pPr>
    </w:p>
    <w:p>
      <w:pPr>
        <w:jc w:val="both"/>
        <w:ind w:firstLine="1953"/>
        <w:spacing w:after="0" w:line="246" w:lineRule="auto"/>
        <w:tabs>
          <w:tab w:leader="none" w:pos="2857" w:val="left"/>
        </w:tabs>
        <w:numPr>
          <w:ilvl w:val="2"/>
          <w:numId w:val="17"/>
        </w:numPr>
        <w:rPr>
          <w:rFonts w:ascii="Arial" w:cs="Arial" w:eastAsia="Arial" w:hAnsi="Arial"/>
          <w:sz w:val="20"/>
          <w:szCs w:val="20"/>
          <w:color w:val="auto"/>
        </w:rPr>
      </w:pPr>
      <w:r>
        <w:rPr>
          <w:rFonts w:ascii="Arial" w:cs="Arial" w:eastAsia="Arial" w:hAnsi="Arial"/>
          <w:sz w:val="20"/>
          <w:szCs w:val="20"/>
          <w:u w:val="single" w:color="auto"/>
          <w:color w:val="auto"/>
        </w:rPr>
        <w:t>During the Protection Period</w:t>
      </w:r>
      <w:r>
        <w:rPr>
          <w:rFonts w:ascii="Arial" w:cs="Arial" w:eastAsia="Arial" w:hAnsi="Arial"/>
          <w:sz w:val="20"/>
          <w:szCs w:val="20"/>
          <w:color w:val="auto"/>
        </w:rPr>
        <w:t>. If (1) the Executive’s employment is terminated by the Company without Cause or the Company elects not to renew the Executive’s employment under Section 2, or (2) the Executive’s employment is terminated by the Executive for Good Reason (whether as a termination or a non-renewal by the Executive under Section 2), and such termination occurs during the Protection Period, then the Executive shall receive the following from the Company: (i) the Accrued Rights, (ii) three times (3x) the Executive’s Base Salary, (iii) three times (3x) the Executive’s Annual Target Bonus, (iv) full accelerated vesting of the Executive’s outstanding and unvested time-based equity and any phantom equity awards, (v) full accelerated vesting of the Executive’s outstanding and unvested performance-based equity and any phantom equity awards, with the vesting of such awards deemed to occur at target levels, and (vi) a lump sum amount equal to thirty-six (36) months’ worth of the monthly premium payment to continue the Executive’s (and the Executive’s family’s) existing group health, dental coverage and vision, calculated under the applicable provisions of COBRA, and calculated without regard to whether the Executive actually elects such continuation coverage, and provided further that the Company shall gross-up the amounts paid to the Executive for such COBRA Benefits to cover any taxes owed by the Executive on such amounts, so that the Executive is in the same position as if he were not subject to such taxes (the “</w:t>
      </w:r>
      <w:r>
        <w:rPr>
          <w:rFonts w:ascii="Arial" w:cs="Arial" w:eastAsia="Arial" w:hAnsi="Arial"/>
          <w:sz w:val="20"/>
          <w:szCs w:val="20"/>
          <w:b w:val="1"/>
          <w:bCs w:val="1"/>
          <w:i w:val="1"/>
          <w:iCs w:val="1"/>
          <w:color w:val="auto"/>
        </w:rPr>
        <w:t>PP COBRA Benefits</w:t>
      </w:r>
      <w:r>
        <w:rPr>
          <w:rFonts w:ascii="Arial" w:cs="Arial" w:eastAsia="Arial" w:hAnsi="Arial"/>
          <w:sz w:val="20"/>
          <w:szCs w:val="20"/>
          <w:color w:val="auto"/>
        </w:rPr>
        <w:t>”) (collectively, (ii) through (vi) being the “</w:t>
      </w:r>
      <w:r>
        <w:rPr>
          <w:rFonts w:ascii="Arial" w:cs="Arial" w:eastAsia="Arial" w:hAnsi="Arial"/>
          <w:sz w:val="20"/>
          <w:szCs w:val="20"/>
          <w:b w:val="1"/>
          <w:bCs w:val="1"/>
          <w:i w:val="1"/>
          <w:iCs w:val="1"/>
          <w:color w:val="auto"/>
        </w:rPr>
        <w:t>Protection Period Severance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Benefits</w:t>
      </w:r>
      <w:r>
        <w:rPr>
          <w:rFonts w:ascii="Arial" w:cs="Arial" w:eastAsia="Arial" w:hAnsi="Arial"/>
          <w:sz w:val="20"/>
          <w:szCs w:val="20"/>
          <w:color w:val="auto"/>
        </w:rPr>
        <w:t>” and, together with the Non-Protection Period Severance Benefits, the “</w:t>
      </w:r>
      <w:r>
        <w:rPr>
          <w:rFonts w:ascii="Arial" w:cs="Arial" w:eastAsia="Arial" w:hAnsi="Arial"/>
          <w:sz w:val="20"/>
          <w:szCs w:val="20"/>
          <w:b w:val="1"/>
          <w:bCs w:val="1"/>
          <w:i w:val="1"/>
          <w:iCs w:val="1"/>
          <w:color w:val="auto"/>
        </w:rPr>
        <w:t>Severance Benefits</w:t>
      </w:r>
      <w:r>
        <w:rPr>
          <w:rFonts w:ascii="Arial" w:cs="Arial" w:eastAsia="Arial" w:hAnsi="Arial"/>
          <w:sz w:val="20"/>
          <w:szCs w:val="20"/>
          <w:color w:val="auto"/>
        </w:rPr>
        <w:t>”). The Protection Period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Severance Benefits shall be paid to the Executive in a lump sum cash payment no later than the sixty-first (61</w:t>
      </w:r>
      <w:r>
        <w:rPr>
          <w:rFonts w:ascii="Arial" w:cs="Arial" w:eastAsia="Arial" w:hAnsi="Arial"/>
          <w:sz w:val="33"/>
          <w:szCs w:val="33"/>
          <w:color w:val="auto"/>
          <w:vertAlign w:val="superscript"/>
        </w:rPr>
        <w:t>st</w:t>
      </w:r>
      <w:r>
        <w:rPr>
          <w:rFonts w:ascii="Arial" w:cs="Arial" w:eastAsia="Arial" w:hAnsi="Arial"/>
          <w:sz w:val="20"/>
          <w:szCs w:val="20"/>
          <w:color w:val="auto"/>
        </w:rPr>
        <w:t>) day immediately following the date of termination, except that such payment shall be delayed to the minimum extent necessary to comply with Section 409A.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jc w:val="both"/>
        <w:ind w:firstLine="1305"/>
        <w:spacing w:after="0" w:line="277" w:lineRule="auto"/>
        <w:tabs>
          <w:tab w:leader="none" w:pos="2360"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If the Executive’s employment is terminated due to the Executive’s Disability, then the Executive shall receive the following from the Company: (i) the Accrued Rights, (ii) two times (2x) the Executive’s Base Salary,</w:t>
      </w:r>
    </w:p>
    <w:p>
      <w:pPr>
        <w:jc w:val="both"/>
        <w:ind w:firstLine="8"/>
        <w:spacing w:after="0" w:line="267" w:lineRule="auto"/>
        <w:tabs>
          <w:tab w:leader="none" w:pos="386" w:val="left"/>
        </w:tabs>
        <w:numPr>
          <w:ilvl w:val="0"/>
          <w:numId w:val="19"/>
        </w:numPr>
        <w:rPr>
          <w:rFonts w:ascii="Arial" w:cs="Arial" w:eastAsia="Arial" w:hAnsi="Arial"/>
          <w:sz w:val="19"/>
          <w:szCs w:val="19"/>
          <w:color w:val="auto"/>
        </w:rPr>
      </w:pPr>
      <w:r>
        <w:rPr>
          <w:rFonts w:ascii="Arial" w:cs="Arial" w:eastAsia="Arial" w:hAnsi="Arial"/>
          <w:sz w:val="19"/>
          <w:szCs w:val="19"/>
          <w:color w:val="auto"/>
        </w:rPr>
        <w:t>two times (2x) the Executive’s Annual Target Bonus, (iv) full accelerated vesting of the Executive’s outstanding and unvested time-based equity and any phantom equity awards, (v) full accelerated vesting of the Executive’s outstanding and unvested performance-based equity and any phantom equity awards, with the vesting of such awards deemed to occur at target levels, and</w:t>
      </w:r>
    </w:p>
    <w:p>
      <w:pPr>
        <w:jc w:val="both"/>
        <w:ind w:firstLine="8"/>
        <w:spacing w:after="0" w:line="250" w:lineRule="auto"/>
        <w:tabs>
          <w:tab w:leader="none" w:pos="368"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NP COBRA Benefits (collectively, (ii) through (vi) being the “</w:t>
      </w:r>
      <w:r>
        <w:rPr>
          <w:rFonts w:ascii="Arial" w:cs="Arial" w:eastAsia="Arial" w:hAnsi="Arial"/>
          <w:sz w:val="21"/>
          <w:szCs w:val="21"/>
          <w:b w:val="1"/>
          <w:bCs w:val="1"/>
          <w:i w:val="1"/>
          <w:iCs w:val="1"/>
          <w:color w:val="auto"/>
        </w:rPr>
        <w:t>Disability Benefits</w:t>
      </w:r>
      <w:r>
        <w:rPr>
          <w:rFonts w:ascii="Arial" w:cs="Arial" w:eastAsia="Arial" w:hAnsi="Arial"/>
          <w:sz w:val="21"/>
          <w:szCs w:val="21"/>
          <w:color w:val="auto"/>
        </w:rPr>
        <w:t>”); however, if the Executive is entitled to disability benefits pursuant to a Parent-sponsored or Company-sponsored disability insurance policy, then any amounts owed to the Executive under subsections (ii) and (iii) shall be reduced on a dollar-for-dollar basis by the amount the Executive is entitled to from such disability insurance policies. The Disability Benefits shall be paid to the Executive in a lump sum cash payment no later than the sixty-first (61</w:t>
      </w:r>
      <w:r>
        <w:rPr>
          <w:rFonts w:ascii="Arial" w:cs="Arial" w:eastAsia="Arial" w:hAnsi="Arial"/>
          <w:sz w:val="35"/>
          <w:szCs w:val="35"/>
          <w:color w:val="auto"/>
          <w:vertAlign w:val="superscript"/>
        </w:rPr>
        <w:t>st</w:t>
      </w:r>
      <w:r>
        <w:rPr>
          <w:rFonts w:ascii="Arial" w:cs="Arial" w:eastAsia="Arial" w:hAnsi="Arial"/>
          <w:sz w:val="21"/>
          <w:szCs w:val="21"/>
          <w:color w:val="auto"/>
        </w:rPr>
        <w:t>) day immediately following the date of termination.</w:t>
      </w:r>
    </w:p>
    <w:p>
      <w:pPr>
        <w:spacing w:after="0" w:line="15"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For purposes of this Agreement,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the inability of the Executive to have performed his material duties hereunder due to a physical or mental injury, infirmity or incapacity for 180 days (including weekends and holidays) in any 365-day period. The existence or nonexistence of a physical or mental injury, infirmity or incapacity shall be determined by an independent physician mutually agreed to by the Company and the Executive (provided that neither party shall unreasonably withhold its agreement).</w:t>
      </w:r>
    </w:p>
    <w:p>
      <w:pPr>
        <w:spacing w:after="0" w:line="215" w:lineRule="exact"/>
        <w:rPr>
          <w:sz w:val="20"/>
          <w:szCs w:val="20"/>
          <w:color w:val="auto"/>
        </w:rPr>
      </w:pPr>
    </w:p>
    <w:p>
      <w:pPr>
        <w:jc w:val="both"/>
        <w:ind w:firstLine="1305"/>
        <w:spacing w:after="0" w:line="281" w:lineRule="auto"/>
        <w:tabs>
          <w:tab w:leader="none" w:pos="1981"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If the Executive’s employment is terminated due to the Executive’s death, then the Executive’s estate shall receive (i) the Accrued Rights, (ii) full accelerated vesting of the Executive’s outstanding and unvested time-based equity and any phantom equity awards, (iii) full accelerated vesting of the Executive’s outstanding and unvested performance-based equity and any phantom equity awards, with the vesting of such awards deemed to occur at target levels, and (iv) any earned but unpaid bonus (collectively, (ii), (iii), and (iv) being the “</w:t>
      </w:r>
      <w:r>
        <w:rPr>
          <w:rFonts w:ascii="Arial" w:cs="Arial" w:eastAsia="Arial" w:hAnsi="Arial"/>
          <w:sz w:val="19"/>
          <w:szCs w:val="19"/>
          <w:b w:val="1"/>
          <w:bCs w:val="1"/>
          <w:i w:val="1"/>
          <w:iCs w:val="1"/>
          <w:color w:val="auto"/>
        </w:rPr>
        <w:t>Death Benefits</w:t>
      </w:r>
      <w:r>
        <w:rPr>
          <w:rFonts w:ascii="Arial" w:cs="Arial" w:eastAsia="Arial" w:hAnsi="Arial"/>
          <w:sz w:val="19"/>
          <w:szCs w:val="19"/>
          <w:color w:val="auto"/>
        </w:rPr>
        <w:t>”). The Death Benefits shall be paid to the Executive’s estate in a lump sum cash payment no later than the sixty-first (61</w:t>
      </w:r>
      <w:r>
        <w:rPr>
          <w:rFonts w:ascii="Arial" w:cs="Arial" w:eastAsia="Arial" w:hAnsi="Arial"/>
          <w:sz w:val="31"/>
          <w:szCs w:val="31"/>
          <w:color w:val="auto"/>
          <w:vertAlign w:val="superscript"/>
        </w:rPr>
        <w:t>st</w:t>
      </w:r>
      <w:r>
        <w:rPr>
          <w:rFonts w:ascii="Arial" w:cs="Arial" w:eastAsia="Arial" w:hAnsi="Arial"/>
          <w:sz w:val="19"/>
          <w:szCs w:val="19"/>
          <w:color w:val="auto"/>
        </w:rPr>
        <w:t>) day immediately following the date of termination.</w:t>
      </w:r>
    </w:p>
    <w:p>
      <w:pPr>
        <w:spacing w:after="0" w:line="5" w:lineRule="exact"/>
        <w:rPr>
          <w:rFonts w:ascii="Arial" w:cs="Arial" w:eastAsia="Arial" w:hAnsi="Arial"/>
          <w:sz w:val="19"/>
          <w:szCs w:val="19"/>
          <w:color w:val="auto"/>
        </w:rPr>
      </w:pPr>
    </w:p>
    <w:p>
      <w:pPr>
        <w:jc w:val="both"/>
        <w:ind w:firstLine="1305"/>
        <w:spacing w:after="0" w:line="287" w:lineRule="auto"/>
        <w:tabs>
          <w:tab w:leader="none" w:pos="1982"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No Continued Benefits Following Termination</w:t>
      </w:r>
      <w:r>
        <w:rPr>
          <w:rFonts w:ascii="Arial" w:cs="Arial" w:eastAsia="Arial" w:hAnsi="Arial"/>
          <w:sz w:val="19"/>
          <w:szCs w:val="19"/>
          <w:color w:val="auto"/>
        </w:rPr>
        <w:t>. Unless otherwise provided in this Agreement, contemplated by another agreement between the Executive and the Company, or contemplated by Company policy, or as otherwise required by law, all compensation, equity plans, and benefits payable to the Executive under this Agreement shall terminate on the date of termination of the Executive’s employment with the Company under the terms of this Agreement.</w:t>
      </w:r>
    </w:p>
    <w:p>
      <w:pPr>
        <w:spacing w:after="0" w:line="170" w:lineRule="exact"/>
        <w:rPr>
          <w:rFonts w:ascii="Arial" w:cs="Arial" w:eastAsia="Arial" w:hAnsi="Arial"/>
          <w:sz w:val="19"/>
          <w:szCs w:val="19"/>
          <w:color w:val="auto"/>
        </w:rPr>
      </w:pPr>
    </w:p>
    <w:p>
      <w:pPr>
        <w:jc w:val="both"/>
        <w:ind w:firstLine="1305"/>
        <w:spacing w:after="0" w:line="279" w:lineRule="auto"/>
        <w:tabs>
          <w:tab w:leader="none" w:pos="1918"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Resignation from Directorships, Officerships and Fiduciary Titles</w:t>
      </w:r>
      <w:r>
        <w:rPr>
          <w:rFonts w:ascii="Arial" w:cs="Arial" w:eastAsia="Arial" w:hAnsi="Arial"/>
          <w:sz w:val="19"/>
          <w:szCs w:val="19"/>
          <w:color w:val="auto"/>
        </w:rPr>
        <w:t>. Unless otherwise agreed by the Company and the Executive, the termination of the Executive’s employment for any reason shall constitute the Executive’s immediate resignation from (i) any officer or employee position the Executive has with the Company, unless mutually agreed upon by the Executive and the Parent Board; (ii) any position on the Company Board and/or the Parent Board; and (iii) all fiduciary positions (including as a trustee) the Executive holds with respect to any employee benefit plans or trusts established by the Company. The Executive agrees that this Agreement shall serve as written notice of resignation in this circumstance.</w:t>
      </w:r>
    </w:p>
    <w:p>
      <w:pPr>
        <w:spacing w:after="0" w:line="177" w:lineRule="exact"/>
        <w:rPr>
          <w:rFonts w:ascii="Arial" w:cs="Arial" w:eastAsia="Arial" w:hAnsi="Arial"/>
          <w:sz w:val="19"/>
          <w:szCs w:val="19"/>
          <w:color w:val="auto"/>
        </w:rPr>
      </w:pPr>
    </w:p>
    <w:p>
      <w:pPr>
        <w:jc w:val="both"/>
        <w:ind w:firstLine="1305"/>
        <w:spacing w:after="0" w:line="246" w:lineRule="auto"/>
        <w:tabs>
          <w:tab w:leader="none" w:pos="2021"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Waiver and Release</w:t>
      </w:r>
      <w:r>
        <w:rPr>
          <w:rFonts w:ascii="Arial" w:cs="Arial" w:eastAsia="Arial" w:hAnsi="Arial"/>
          <w:sz w:val="21"/>
          <w:szCs w:val="21"/>
          <w:color w:val="auto"/>
        </w:rPr>
        <w:t xml:space="preserve">. Notwithstanding any other provisions of this Agreement to the contrary, the Company shall not make or provide the Severance Benefits under this Section 4 unless the Executive timely executes and delivers to the Company a general release (which shall be provided by the Company not later than five (5) days from the date on which the Executive’s employment is terminated and be substantially in the form attached hereto as </w:t>
      </w:r>
      <w:r>
        <w:rPr>
          <w:rFonts w:ascii="Arial" w:cs="Arial" w:eastAsia="Arial" w:hAnsi="Arial"/>
          <w:sz w:val="21"/>
          <w:szCs w:val="21"/>
          <w:b w:val="1"/>
          <w:bCs w:val="1"/>
          <w:u w:val="single" w:color="auto"/>
          <w:color w:val="auto"/>
        </w:rPr>
        <w:t>Exhibit B</w:t>
      </w:r>
      <w:r>
        <w:rPr>
          <w:rFonts w:ascii="Arial" w:cs="Arial" w:eastAsia="Arial" w:hAnsi="Arial"/>
          <w:sz w:val="21"/>
          <w:szCs w:val="21"/>
          <w:color w:val="auto"/>
        </w:rPr>
        <w:t>, the “</w:t>
      </w:r>
      <w:r>
        <w:rPr>
          <w:rFonts w:ascii="Arial" w:cs="Arial" w:eastAsia="Arial" w:hAnsi="Arial"/>
          <w:sz w:val="21"/>
          <w:szCs w:val="21"/>
          <w:b w:val="1"/>
          <w:bCs w:val="1"/>
          <w:i w:val="1"/>
          <w:iCs w:val="1"/>
          <w:color w:val="auto"/>
        </w:rPr>
        <w:t>Waiver and Release</w:t>
      </w:r>
      <w:r>
        <w:rPr>
          <w:rFonts w:ascii="Arial" w:cs="Arial" w:eastAsia="Arial" w:hAnsi="Arial"/>
          <w:sz w:val="21"/>
          <w:szCs w:val="21"/>
          <w:color w:val="auto"/>
        </w:rPr>
        <w:t>”), and such Waiver and Release remains in full force and effect, has not been revoked and is no longer subject to revocation, within sixty (60) calendar days after the date of termination. If the requirements of this Section 4(g) are not satisfied by the Executive (or the Executive’s estate or legally appointed personal representative), then no Severance Benefits shall be due to the Executive (or the Executive’s estate) pursuant to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jc w:val="both"/>
        <w:ind w:firstLine="1305"/>
        <w:spacing w:after="0" w:line="245" w:lineRule="auto"/>
        <w:tabs>
          <w:tab w:leader="none" w:pos="2278" w:val="left"/>
        </w:tabs>
        <w:numPr>
          <w:ilvl w:val="1"/>
          <w:numId w:val="22"/>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termination of employment by the Company or the Executive shall be communicated by a written “</w:t>
      </w:r>
      <w:r>
        <w:rPr>
          <w:rFonts w:ascii="Arial" w:cs="Arial" w:eastAsia="Arial" w:hAnsi="Arial"/>
          <w:sz w:val="21"/>
          <w:szCs w:val="21"/>
          <w:b w:val="1"/>
          <w:bCs w:val="1"/>
          <w:i w:val="1"/>
          <w:iCs w:val="1"/>
          <w:color w:val="auto"/>
        </w:rPr>
        <w:t>Notice of Termination</w:t>
      </w:r>
      <w:r>
        <w:rPr>
          <w:rFonts w:ascii="Arial" w:cs="Arial" w:eastAsia="Arial" w:hAnsi="Arial"/>
          <w:sz w:val="21"/>
          <w:szCs w:val="21"/>
          <w:color w:val="auto"/>
        </w:rPr>
        <w:t>” to the other party hereto given in accordance with Section 8(k) of this Agreement. In the event of a termination by the Company for Cause or by the Executive for Good Reason, the Notice of Termination shall (i) indicate the specific termination provision in this Agreement relied upon, (ii) set forth in reasonable detail the facts and circumstances claimed to provide a basis for termination of the Executive’s employment under the provision so indicated, and (iii) specify the date of termination. The failure by the Executive or the Company to set forth in the Notice of Termination any fact or circumstance which contributes to a showing of Cause or Good Reason shall not waive any right of the Executive or the Company, respectively, hereunder or preclude the Executive or the Company, respectively, from asserting such fact or circumstance in enforcing the Executive’s or the Company’s rights hereunder.</w:t>
      </w:r>
    </w:p>
    <w:p>
      <w:pPr>
        <w:spacing w:after="0" w:line="212" w:lineRule="exact"/>
        <w:rPr>
          <w:rFonts w:ascii="Arial" w:cs="Arial" w:eastAsia="Arial" w:hAnsi="Arial"/>
          <w:sz w:val="21"/>
          <w:szCs w:val="21"/>
          <w:color w:val="auto"/>
        </w:rPr>
      </w:pPr>
    </w:p>
    <w:p>
      <w:pPr>
        <w:jc w:val="both"/>
        <w:ind w:firstLine="656"/>
        <w:spacing w:after="0" w:line="277" w:lineRule="auto"/>
        <w:tabs>
          <w:tab w:leader="none" w:pos="1513"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Non-Competition, Non-Solicitation and Confidentiality</w:t>
      </w:r>
      <w:r>
        <w:rPr>
          <w:rFonts w:ascii="Arial" w:cs="Arial" w:eastAsia="Arial" w:hAnsi="Arial"/>
          <w:sz w:val="19"/>
          <w:szCs w:val="19"/>
          <w:color w:val="auto"/>
        </w:rPr>
        <w:t xml:space="preserve">. As a condition to continued employment, the Executive shall execute the Non-Competition, Non-Solicitation and Confidentiality Agreement attached hereto as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Restrictive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Covenants</w:t>
      </w:r>
      <w:r>
        <w:rPr>
          <w:rFonts w:ascii="Arial" w:cs="Arial" w:eastAsia="Arial" w:hAnsi="Arial"/>
          <w:sz w:val="19"/>
          <w:szCs w:val="19"/>
          <w:color w:val="auto"/>
        </w:rPr>
        <w:t>”). Any material breach by the Executive of the Executive’s obligations under the Restrictive Covenants shall constitute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material breach of this Agreement. In the event that any other agreement between the Company and the Executive contains any non-competition, non-solicitation, or confidentiality covenant, the Restrictive Covenants set forth in this Agreement shall control, and any other non-competition, non-solicitation, or confidentiality covenant contained in any other agreement between the Company and the Executive shall be deemed satisfied by compliance with the Restrictive Covenants set forth in this Agreement.</w:t>
      </w:r>
    </w:p>
    <w:p>
      <w:pPr>
        <w:spacing w:after="0" w:line="179" w:lineRule="exact"/>
        <w:rPr>
          <w:rFonts w:ascii="Arial" w:cs="Arial" w:eastAsia="Arial" w:hAnsi="Arial"/>
          <w:sz w:val="19"/>
          <w:szCs w:val="19"/>
          <w:color w:val="auto"/>
        </w:rPr>
      </w:pPr>
    </w:p>
    <w:p>
      <w:pPr>
        <w:jc w:val="both"/>
        <w:ind w:firstLine="656"/>
        <w:spacing w:after="0" w:line="269" w:lineRule="auto"/>
        <w:tabs>
          <w:tab w:leader="none" w:pos="1715"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Section 280G Payments</w:t>
      </w:r>
      <w:r>
        <w:rPr>
          <w:rFonts w:ascii="Arial" w:cs="Arial" w:eastAsia="Arial" w:hAnsi="Arial"/>
          <w:sz w:val="19"/>
          <w:szCs w:val="19"/>
          <w:color w:val="auto"/>
        </w:rPr>
        <w:t>. Notwithstanding anything in this Agreement to the contrary, if the Executive is a “disqualified individual” (as defined in Section 280G(c) of the Code), and the payments and benefits provided for in this Agreement, together with any other payments and benefits which the Executive has the right to receive from the Parent or the Company or any other person, would constitute a “parachute payment” (as defined in Section 280G(b)(2) of the Code), then the payments and benefits provided for in this Agreement shall be either (a) reduced (but not below zero) so that the present value of such total amounts and benefits received by the Executive from the Parent or the Company and/or such person(s) will be $1.00 less than three (3)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applying principles, assumptions and procedures consistent with Section 280G of the Code by the 280G Firm. In order to assess whether payments under this Agreement or otherwise qualify as reasonable compensation that is exempt from being a parachute payment under Section 280G of the Code, the 280G Firm, the Parent or the Company may retain the services of an independent valuation expert. If a reduced payment or benefit is made or provided and through error or otherwise that payment or benefit, when aggregated with other payments and benefits from the Company or the Parent (or their affiliates) used in determining if a “parachute payment” exists, exceeds $1.00 less than three (3) times the Executive’s base amount, then the Executive shall immediately repay such excess to the Company or the Parent upon notification that an overpayment has been made. Nothing in this Section 6 shall require the Company or the Parent to be responsible for, or have any liability or obligation with respect to, the Executive’s excise tax liabilities under Section 4999 of the Code.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jc w:val="both"/>
        <w:ind w:firstLine="656"/>
        <w:spacing w:after="0" w:line="235" w:lineRule="auto"/>
        <w:tabs>
          <w:tab w:leader="none" w:pos="1459"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This Agreement is intended to either avoid the application of, or comply with, Section 409A of the Code. To that end this Agreement shall at all times be interpreted in a manner that is consistent with Section 409A of the Code.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of the Code. Further:</w:t>
      </w:r>
    </w:p>
    <w:p>
      <w:pPr>
        <w:spacing w:after="0" w:line="216" w:lineRule="exact"/>
        <w:rPr>
          <w:rFonts w:ascii="Arial" w:cs="Arial" w:eastAsia="Arial" w:hAnsi="Arial"/>
          <w:sz w:val="22"/>
          <w:szCs w:val="22"/>
          <w:color w:val="auto"/>
        </w:rPr>
      </w:pPr>
    </w:p>
    <w:p>
      <w:pPr>
        <w:jc w:val="both"/>
        <w:ind w:firstLine="1305"/>
        <w:spacing w:after="0" w:line="235" w:lineRule="auto"/>
        <w:tabs>
          <w:tab w:leader="none" w:pos="1960" w:val="left"/>
        </w:tabs>
        <w:numPr>
          <w:ilvl w:val="1"/>
          <w:numId w:val="24"/>
        </w:numPr>
        <w:rPr>
          <w:rFonts w:ascii="Arial" w:cs="Arial" w:eastAsia="Arial" w:hAnsi="Arial"/>
          <w:sz w:val="22"/>
          <w:szCs w:val="22"/>
          <w:color w:val="auto"/>
        </w:rPr>
      </w:pPr>
      <w:r>
        <w:rPr>
          <w:rFonts w:ascii="Arial" w:cs="Arial" w:eastAsia="Arial" w:hAnsi="Arial"/>
          <w:sz w:val="22"/>
          <w:szCs w:val="22"/>
          <w:color w:val="auto"/>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spacing w:after="0" w:line="215" w:lineRule="exact"/>
        <w:rPr>
          <w:rFonts w:ascii="Arial" w:cs="Arial" w:eastAsia="Arial" w:hAnsi="Arial"/>
          <w:sz w:val="22"/>
          <w:szCs w:val="22"/>
          <w:color w:val="auto"/>
        </w:rPr>
      </w:pPr>
    </w:p>
    <w:p>
      <w:pPr>
        <w:jc w:val="both"/>
        <w:ind w:firstLine="1305"/>
        <w:spacing w:after="0" w:line="287" w:lineRule="auto"/>
        <w:tabs>
          <w:tab w:leader="none" w:pos="2061" w:val="left"/>
        </w:tabs>
        <w:numPr>
          <w:ilvl w:val="1"/>
          <w:numId w:val="24"/>
        </w:numPr>
        <w:rPr>
          <w:rFonts w:ascii="Arial" w:cs="Arial" w:eastAsia="Arial" w:hAnsi="Arial"/>
          <w:sz w:val="19"/>
          <w:szCs w:val="19"/>
          <w:color w:val="auto"/>
        </w:rPr>
      </w:pPr>
      <w:r>
        <w:rPr>
          <w:rFonts w:ascii="Arial" w:cs="Arial" w:eastAsia="Arial" w:hAnsi="Arial"/>
          <w:sz w:val="19"/>
          <w:szCs w:val="19"/>
          <w:color w:val="auto"/>
        </w:rPr>
        <w:t>Any payment following a separation from service that would be subject to Section 409A(a)(2)(A)(i) of the Code as a distribution following a separation from service of a “specified employee” (as defined under Section 409A(a)(2)(B)(i) of the Code) shall be made on the first to occur of (i) ten (10) days after the expiration of the six-month (6) period following such separation from service, (ii) death, or (iii) such earlier date that complies with Section 409A of the Code.</w:t>
      </w:r>
    </w:p>
    <w:p>
      <w:pPr>
        <w:spacing w:after="0" w:line="170" w:lineRule="exact"/>
        <w:rPr>
          <w:rFonts w:ascii="Arial" w:cs="Arial" w:eastAsia="Arial" w:hAnsi="Arial"/>
          <w:sz w:val="19"/>
          <w:szCs w:val="19"/>
          <w:color w:val="auto"/>
        </w:rPr>
      </w:pPr>
    </w:p>
    <w:p>
      <w:pPr>
        <w:ind w:firstLine="1305"/>
        <w:spacing w:after="0" w:line="251" w:lineRule="auto"/>
        <w:tabs>
          <w:tab w:leader="none" w:pos="2027" w:val="left"/>
        </w:tabs>
        <w:numPr>
          <w:ilvl w:val="1"/>
          <w:numId w:val="24"/>
        </w:numPr>
        <w:rPr>
          <w:rFonts w:ascii="Arial" w:cs="Arial" w:eastAsia="Arial" w:hAnsi="Arial"/>
          <w:sz w:val="22"/>
          <w:szCs w:val="22"/>
          <w:color w:val="auto"/>
        </w:rPr>
      </w:pPr>
      <w:r>
        <w:rPr>
          <w:rFonts w:ascii="Arial" w:cs="Arial" w:eastAsia="Arial" w:hAnsi="Arial"/>
          <w:sz w:val="22"/>
          <w:szCs w:val="22"/>
          <w:color w:val="auto"/>
        </w:rPr>
        <w:t>Each payment that the Executive may receive under this Agreement shall be treated as a “separate payment” for purposes of Section 409A of the Code.</w:t>
      </w:r>
    </w:p>
    <w:p>
      <w:pPr>
        <w:spacing w:after="0" w:line="200" w:lineRule="exact"/>
        <w:rPr>
          <w:rFonts w:ascii="Arial" w:cs="Arial" w:eastAsia="Arial" w:hAnsi="Arial"/>
          <w:sz w:val="22"/>
          <w:szCs w:val="22"/>
          <w:color w:val="auto"/>
        </w:rPr>
      </w:pPr>
    </w:p>
    <w:p>
      <w:pPr>
        <w:jc w:val="both"/>
        <w:ind w:firstLine="1305"/>
        <w:spacing w:after="0" w:line="236" w:lineRule="auto"/>
        <w:tabs>
          <w:tab w:leader="none" w:pos="2102"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w:t>
      </w:r>
    </w:p>
    <w:p>
      <w:pPr>
        <w:spacing w:after="0" w:line="214" w:lineRule="exact"/>
        <w:rPr>
          <w:rFonts w:ascii="Arial" w:cs="Arial" w:eastAsia="Arial" w:hAnsi="Arial"/>
          <w:sz w:val="22"/>
          <w:szCs w:val="22"/>
          <w:color w:val="auto"/>
        </w:rPr>
      </w:pPr>
    </w:p>
    <w:p>
      <w:pPr>
        <w:ind w:left="1420" w:hanging="764"/>
        <w:spacing w:after="0"/>
        <w:tabs>
          <w:tab w:leader="none" w:pos="142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45" w:lineRule="auto"/>
        <w:tabs>
          <w:tab w:leader="none" w:pos="2130"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Defense of Claims</w:t>
      </w:r>
      <w:r>
        <w:rPr>
          <w:rFonts w:ascii="Arial" w:cs="Arial" w:eastAsia="Arial" w:hAnsi="Arial"/>
          <w:sz w:val="21"/>
          <w:szCs w:val="21"/>
          <w:color w:val="auto"/>
        </w:rPr>
        <w:t>. The Executive agrees that, during the Term and for a period of twelve (12) months following the Executive’s separation, upon reasonable request from the Company and at such times and places as are reasonably acceptable to the Executive, the Executive will reasonably cooperate with the Company in the defense of any claims or actions that may be made by or against the Company that affect the Executive’s prior areas of responsibility, except if the Executive’s reasonable interests are adverse to the Company in such claim or action. The Company agrees to promptly reimburse the Executive for all of the Executive’s reasonable legal fees, travel and other direct expenses incurred, or to be reasonably incurred, and, if the Executive is no longer employed with the Company, to compensate the Executive (at a pro rata hourly rate calculated based on the Executive’s salary at the time of the Executive’s separation) for the Executive’s time to comply with the Executive’s obligations under this Section 8(a).</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10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jc w:val="both"/>
        <w:ind w:firstLine="1305"/>
        <w:spacing w:after="0" w:line="279" w:lineRule="auto"/>
        <w:tabs>
          <w:tab w:leader="none" w:pos="1967"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Source of Payments</w:t>
      </w:r>
      <w:r>
        <w:rPr>
          <w:rFonts w:ascii="Arial" w:cs="Arial" w:eastAsia="Arial" w:hAnsi="Arial"/>
          <w:sz w:val="19"/>
          <w:szCs w:val="19"/>
          <w:color w:val="auto"/>
        </w:rPr>
        <w:t>. All payments provided under this Agreement, other than payments made pursuant to a plan or agreement which provides otherwise, shall be paid in cash from the general funds of the Company, and no special or separate fund shall be established, and no other segregation of assets shall be made, to assure payment. The Executive shall have no right, title or interest whatsoever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78" w:lineRule="exact"/>
        <w:rPr>
          <w:rFonts w:ascii="Arial" w:cs="Arial" w:eastAsia="Arial" w:hAnsi="Arial"/>
          <w:sz w:val="19"/>
          <w:szCs w:val="19"/>
          <w:color w:val="auto"/>
        </w:rPr>
      </w:pPr>
    </w:p>
    <w:p>
      <w:pPr>
        <w:jc w:val="both"/>
        <w:ind w:firstLine="1305"/>
        <w:spacing w:after="0" w:line="238" w:lineRule="auto"/>
        <w:tabs>
          <w:tab w:leader="none" w:pos="2036"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Amendment, Waiver</w:t>
      </w:r>
      <w:r>
        <w:rPr>
          <w:rFonts w:ascii="Arial" w:cs="Arial" w:eastAsia="Arial" w:hAnsi="Arial"/>
          <w:sz w:val="22"/>
          <w:szCs w:val="22"/>
          <w:color w:val="auto"/>
        </w:rPr>
        <w:t>.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212" w:lineRule="exact"/>
        <w:rPr>
          <w:rFonts w:ascii="Arial" w:cs="Arial" w:eastAsia="Arial" w:hAnsi="Arial"/>
          <w:sz w:val="22"/>
          <w:szCs w:val="22"/>
          <w:color w:val="auto"/>
        </w:rPr>
      </w:pPr>
    </w:p>
    <w:p>
      <w:pPr>
        <w:jc w:val="both"/>
        <w:ind w:firstLine="1305"/>
        <w:spacing w:after="0" w:line="282" w:lineRule="auto"/>
        <w:tabs>
          <w:tab w:leader="none" w:pos="1994"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Exhibits attached hereto, and the agreements referenced herein are the entire agreements and understandings of the parties hereto with respect to the matters covered herein and therein, and they supersede all prior or contemporaneous negotiations, commitments, agreements and writings with respect to the subject matter hereof and thereof, all such other negotiations, commitments, agreements and writings shall have no further force or effect, and the parties to any such other negotiation, commitment, agreement or writing shall have no further rights or obligations thereunder.</w:t>
      </w:r>
    </w:p>
    <w:p>
      <w:pPr>
        <w:spacing w:after="0" w:line="174" w:lineRule="exact"/>
        <w:rPr>
          <w:rFonts w:ascii="Arial" w:cs="Arial" w:eastAsia="Arial" w:hAnsi="Arial"/>
          <w:sz w:val="19"/>
          <w:szCs w:val="19"/>
          <w:color w:val="auto"/>
        </w:rPr>
      </w:pPr>
    </w:p>
    <w:p>
      <w:pPr>
        <w:jc w:val="both"/>
        <w:ind w:firstLine="1305"/>
        <w:spacing w:after="0" w:line="238" w:lineRule="auto"/>
        <w:tabs>
          <w:tab w:leader="none" w:pos="2117"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Governing Law/Venue</w:t>
      </w:r>
      <w:r>
        <w:rPr>
          <w:rFonts w:ascii="Arial" w:cs="Arial" w:eastAsia="Arial" w:hAnsi="Arial"/>
          <w:sz w:val="22"/>
          <w:szCs w:val="22"/>
          <w:color w:val="auto"/>
        </w:rPr>
        <w:t>. This Agreement shall be performable, governed by and construed in accordance with the laws of the State of Texas, without regard to conflict of laws principles thereof. Each party to this Agreement hereby irrevocably submits to the exclusive jurisdiction of the state and federal courts in Lubbock County, Texas, for the purposes of any proceeding arising out of or based upon this Agreement.</w:t>
      </w:r>
    </w:p>
    <w:p>
      <w:pPr>
        <w:spacing w:after="0" w:line="212" w:lineRule="exact"/>
        <w:rPr>
          <w:rFonts w:ascii="Arial" w:cs="Arial" w:eastAsia="Arial" w:hAnsi="Arial"/>
          <w:sz w:val="22"/>
          <w:szCs w:val="22"/>
          <w:color w:val="auto"/>
        </w:rPr>
      </w:pPr>
    </w:p>
    <w:p>
      <w:pPr>
        <w:jc w:val="both"/>
        <w:ind w:firstLine="1305"/>
        <w:spacing w:after="0"/>
        <w:tabs>
          <w:tab w:leader="none" w:pos="2107"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213" w:lineRule="exact"/>
        <w:rPr>
          <w:rFonts w:ascii="Arial" w:cs="Arial" w:eastAsia="Arial" w:hAnsi="Arial"/>
          <w:sz w:val="22"/>
          <w:szCs w:val="22"/>
          <w:color w:val="auto"/>
        </w:rPr>
      </w:pPr>
    </w:p>
    <w:p>
      <w:pPr>
        <w:jc w:val="both"/>
        <w:ind w:firstLine="1305"/>
        <w:spacing w:after="0"/>
        <w:tabs>
          <w:tab w:leader="none" w:pos="2143"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213" w:lineRule="exact"/>
        <w:rPr>
          <w:rFonts w:ascii="Arial" w:cs="Arial" w:eastAsia="Arial" w:hAnsi="Arial"/>
          <w:sz w:val="22"/>
          <w:szCs w:val="22"/>
          <w:color w:val="auto"/>
        </w:rPr>
      </w:pPr>
    </w:p>
    <w:p>
      <w:pPr>
        <w:jc w:val="both"/>
        <w:ind w:firstLine="1305"/>
        <w:spacing w:after="0"/>
        <w:tabs>
          <w:tab w:leader="none" w:pos="2062"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Specific Performance/Injunctive Relief</w:t>
      </w:r>
      <w:r>
        <w:rPr>
          <w:rFonts w:ascii="Arial" w:cs="Arial" w:eastAsia="Arial" w:hAnsi="Arial"/>
          <w:sz w:val="22"/>
          <w:szCs w:val="22"/>
          <w:color w:val="auto"/>
        </w:rPr>
        <w:t xml:space="preserve">. In the event of the Executive’s breach or violation of any of the Restrictive Covenants contained in </w:t>
      </w:r>
      <w:r>
        <w:rPr>
          <w:rFonts w:ascii="Arial" w:cs="Arial" w:eastAsia="Arial" w:hAnsi="Arial"/>
          <w:sz w:val="22"/>
          <w:szCs w:val="22"/>
          <w:b w:val="1"/>
          <w:bCs w:val="1"/>
          <w:u w:val="single" w:color="auto"/>
          <w:color w:val="auto"/>
        </w:rPr>
        <w:t>Exhibit C</w:t>
      </w:r>
      <w:r>
        <w:rPr>
          <w:rFonts w:ascii="Arial" w:cs="Arial" w:eastAsia="Arial" w:hAnsi="Arial"/>
          <w:sz w:val="22"/>
          <w:szCs w:val="22"/>
          <w:color w:val="auto"/>
        </w:rPr>
        <w:t>, the parties agree that, in addition to any other remedies it may have, the Company shall be entitled to seek equitable relief for specific performance.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jc w:val="both"/>
        <w:ind w:firstLine="1305"/>
        <w:spacing w:after="0" w:line="248" w:lineRule="auto"/>
        <w:tabs>
          <w:tab w:leader="none" w:pos="2027"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No Assignment</w:t>
      </w:r>
      <w:r>
        <w:rPr>
          <w:rFonts w:ascii="Arial" w:cs="Arial" w:eastAsia="Arial" w:hAnsi="Arial"/>
          <w:sz w:val="21"/>
          <w:szCs w:val="21"/>
          <w:color w:val="auto"/>
        </w:rPr>
        <w:t xml:space="preserve">. Neither this Agreement nor any rights or duties hereunder shall be assignable or delegable by a party hereto without the prior written consent of the other party hereto. Any purported assignment or delegation by a party in violation of the foregoing shall be null and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and of no force and effect. Notwithstanding the prior two sentences, this Agreement may be assigned by the Company to a person or entity which is a successor in interest to substantially all of the business operations of the Company provided that upon such assignment, the rights and obligations of the Company hereunder shall become the rights and obligations of such successor person or entity.</w:t>
      </w:r>
    </w:p>
    <w:p>
      <w:pPr>
        <w:spacing w:after="0" w:line="205" w:lineRule="exact"/>
        <w:rPr>
          <w:rFonts w:ascii="Arial" w:cs="Arial" w:eastAsia="Arial" w:hAnsi="Arial"/>
          <w:sz w:val="21"/>
          <w:szCs w:val="21"/>
          <w:color w:val="auto"/>
        </w:rPr>
      </w:pPr>
    </w:p>
    <w:p>
      <w:pPr>
        <w:ind w:firstLine="1305"/>
        <w:spacing w:after="0" w:line="274" w:lineRule="auto"/>
        <w:tabs>
          <w:tab w:leader="none" w:pos="2068"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Successors; Binding Agreement</w:t>
      </w:r>
      <w:r>
        <w:rPr>
          <w:rFonts w:ascii="Arial" w:cs="Arial" w:eastAsia="Arial" w:hAnsi="Arial"/>
          <w:sz w:val="21"/>
          <w:szCs w:val="21"/>
          <w:color w:val="auto"/>
        </w:rPr>
        <w:t>. Upon the death of the Executive, this Agreement shall be binding upon personal or legal representatives, executors, administrators, successors, heirs, distributes, devisees and/or legatees.</w:t>
      </w:r>
    </w:p>
    <w:p>
      <w:pPr>
        <w:spacing w:after="0" w:line="177" w:lineRule="exact"/>
        <w:rPr>
          <w:rFonts w:ascii="Arial" w:cs="Arial" w:eastAsia="Arial" w:hAnsi="Arial"/>
          <w:sz w:val="21"/>
          <w:szCs w:val="21"/>
          <w:color w:val="auto"/>
        </w:rPr>
      </w:pPr>
    </w:p>
    <w:p>
      <w:pPr>
        <w:jc w:val="both"/>
        <w:ind w:firstLine="1305"/>
        <w:spacing w:after="0" w:line="276" w:lineRule="auto"/>
        <w:tabs>
          <w:tab w:leader="none" w:pos="2224"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For the purpose of this Agreement, notices and all other communications provided for in this Agreement shall be in writing and shall be deemed to have been duly given when delivered by hand or overnight courier or three</w:t>
      </w:r>
    </w:p>
    <w:p>
      <w:pPr>
        <w:spacing w:after="0" w:line="1" w:lineRule="exact"/>
        <w:rPr>
          <w:rFonts w:ascii="Arial" w:cs="Arial" w:eastAsia="Arial" w:hAnsi="Arial"/>
          <w:sz w:val="19"/>
          <w:szCs w:val="19"/>
          <w:color w:val="auto"/>
        </w:rPr>
      </w:pPr>
    </w:p>
    <w:p>
      <w:pPr>
        <w:jc w:val="both"/>
        <w:ind w:firstLine="8"/>
        <w:spacing w:after="0" w:line="249" w:lineRule="auto"/>
        <w:tabs>
          <w:tab w:leader="none" w:pos="342" w:val="left"/>
        </w:tabs>
        <w:numPr>
          <w:ilvl w:val="0"/>
          <w:numId w:val="27"/>
        </w:numPr>
        <w:rPr>
          <w:rFonts w:ascii="Arial" w:cs="Arial" w:eastAsia="Arial" w:hAnsi="Arial"/>
          <w:sz w:val="21"/>
          <w:szCs w:val="21"/>
          <w:color w:val="auto"/>
        </w:rPr>
      </w:pPr>
      <w:r>
        <w:rPr>
          <w:rFonts w:ascii="Arial" w:cs="Arial" w:eastAsia="Arial" w:hAnsi="Arial"/>
          <w:sz w:val="21"/>
          <w:szCs w:val="21"/>
          <w:color w:val="auto"/>
        </w:rPr>
        <w:t>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206" w:lineRule="exact"/>
        <w:rPr>
          <w:sz w:val="20"/>
          <w:szCs w:val="20"/>
          <w:color w:val="auto"/>
        </w:rPr>
      </w:pPr>
    </w:p>
    <w:p>
      <w:pPr>
        <w:ind w:left="1300"/>
        <w:spacing w:after="0"/>
        <w:tabs>
          <w:tab w:leader="none" w:pos="3880" w:val="left"/>
        </w:tabs>
        <w:rPr>
          <w:sz w:val="20"/>
          <w:szCs w:val="20"/>
          <w:color w:val="auto"/>
        </w:rPr>
      </w:pPr>
      <w:r>
        <w:rPr>
          <w:rFonts w:ascii="Arial" w:cs="Arial" w:eastAsia="Arial" w:hAnsi="Arial"/>
          <w:sz w:val="18"/>
          <w:szCs w:val="18"/>
          <w:b w:val="1"/>
          <w:bCs w:val="1"/>
          <w:u w:val="single" w:color="auto"/>
          <w:color w:val="auto"/>
        </w:rPr>
        <w:t>If to the Company</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Board of Directors</w:t>
      </w:r>
    </w:p>
    <w:p>
      <w:pPr>
        <w:spacing w:after="0" w:line="1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South Plains Financial, Inc.</w:t>
      </w:r>
    </w:p>
    <w:p>
      <w:pPr>
        <w:ind w:left="3900"/>
        <w:spacing w:after="0" w:line="230" w:lineRule="auto"/>
        <w:rPr>
          <w:sz w:val="20"/>
          <w:szCs w:val="20"/>
          <w:color w:val="auto"/>
        </w:rPr>
      </w:pPr>
      <w:r>
        <w:rPr>
          <w:rFonts w:ascii="Arial" w:cs="Arial" w:eastAsia="Arial" w:hAnsi="Arial"/>
          <w:sz w:val="22"/>
          <w:szCs w:val="22"/>
          <w:color w:val="auto"/>
        </w:rPr>
        <w:t>5219 City Bank Parkway</w:t>
      </w:r>
    </w:p>
    <w:p>
      <w:pPr>
        <w:ind w:left="3900"/>
        <w:spacing w:after="0" w:line="231" w:lineRule="auto"/>
        <w:rPr>
          <w:sz w:val="20"/>
          <w:szCs w:val="20"/>
          <w:color w:val="auto"/>
        </w:rPr>
      </w:pPr>
      <w:r>
        <w:rPr>
          <w:rFonts w:ascii="Arial" w:cs="Arial" w:eastAsia="Arial" w:hAnsi="Arial"/>
          <w:sz w:val="22"/>
          <w:szCs w:val="22"/>
          <w:color w:val="auto"/>
        </w:rPr>
        <w:t>Lubbock, Texas 79407</w:t>
      </w:r>
    </w:p>
    <w:p>
      <w:pPr>
        <w:ind w:left="4220"/>
        <w:spacing w:after="0"/>
        <w:rPr>
          <w:sz w:val="20"/>
          <w:szCs w:val="20"/>
          <w:color w:val="auto"/>
        </w:rPr>
      </w:pPr>
      <w:r>
        <w:rPr>
          <w:rFonts w:ascii="Arial" w:cs="Arial" w:eastAsia="Arial" w:hAnsi="Arial"/>
          <w:sz w:val="22"/>
          <w:szCs w:val="22"/>
          <w:color w:val="auto"/>
        </w:rPr>
        <w:t>Attn: Cory Newsom, President</w:t>
      </w:r>
    </w:p>
    <w:p>
      <w:pPr>
        <w:spacing w:after="0" w:line="222" w:lineRule="exact"/>
        <w:rPr>
          <w:sz w:val="20"/>
          <w:szCs w:val="20"/>
          <w:color w:val="auto"/>
        </w:rPr>
      </w:pPr>
    </w:p>
    <w:p>
      <w:pPr>
        <w:ind w:left="1300"/>
        <w:spacing w:after="0"/>
        <w:tabs>
          <w:tab w:leader="none" w:pos="3880" w:val="left"/>
        </w:tabs>
        <w:rPr>
          <w:sz w:val="20"/>
          <w:szCs w:val="20"/>
          <w:color w:val="auto"/>
        </w:rPr>
      </w:pPr>
      <w:r>
        <w:rPr>
          <w:rFonts w:ascii="Arial" w:cs="Arial" w:eastAsia="Arial" w:hAnsi="Arial"/>
          <w:sz w:val="18"/>
          <w:szCs w:val="18"/>
          <w:i w:val="1"/>
          <w:iCs w:val="1"/>
          <w:color w:val="auto"/>
        </w:rPr>
        <w:t>With a Copy to:</w:t>
      </w:r>
      <w:r>
        <w:rPr>
          <w:sz w:val="20"/>
          <w:szCs w:val="20"/>
          <w:color w:val="auto"/>
        </w:rPr>
        <w:tab/>
      </w:r>
      <w:r>
        <w:rPr>
          <w:rFonts w:ascii="Arial" w:cs="Arial" w:eastAsia="Arial" w:hAnsi="Arial"/>
          <w:sz w:val="16"/>
          <w:szCs w:val="16"/>
          <w:color w:val="auto"/>
        </w:rPr>
        <w:t>Hunton Andrews Kurth LLP</w:t>
      </w:r>
    </w:p>
    <w:p>
      <w:pPr>
        <w:spacing w:after="0" w:line="1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1445 Ross Avenue, Suite 3700</w:t>
      </w:r>
    </w:p>
    <w:p>
      <w:pPr>
        <w:ind w:left="3900"/>
        <w:spacing w:after="0" w:line="230" w:lineRule="auto"/>
        <w:rPr>
          <w:sz w:val="20"/>
          <w:szCs w:val="20"/>
          <w:color w:val="auto"/>
        </w:rPr>
      </w:pPr>
      <w:r>
        <w:rPr>
          <w:rFonts w:ascii="Arial" w:cs="Arial" w:eastAsia="Arial" w:hAnsi="Arial"/>
          <w:sz w:val="22"/>
          <w:szCs w:val="22"/>
          <w:color w:val="auto"/>
        </w:rPr>
        <w:t>Dallas, Texas 75202</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Attn: Heather Eastep and Anthony Eppert</w:t>
      </w:r>
    </w:p>
    <w:p>
      <w:pPr>
        <w:spacing w:after="0" w:line="218" w:lineRule="exact"/>
        <w:rPr>
          <w:sz w:val="20"/>
          <w:szCs w:val="20"/>
          <w:color w:val="auto"/>
        </w:rPr>
      </w:pPr>
    </w:p>
    <w:p>
      <w:pPr>
        <w:ind w:left="1300"/>
        <w:spacing w:after="0"/>
        <w:tabs>
          <w:tab w:leader="none" w:pos="3880" w:val="left"/>
        </w:tabs>
        <w:rPr>
          <w:sz w:val="20"/>
          <w:szCs w:val="20"/>
          <w:color w:val="auto"/>
        </w:rPr>
      </w:pPr>
      <w:r>
        <w:rPr>
          <w:rFonts w:ascii="Arial" w:cs="Arial" w:eastAsia="Arial" w:hAnsi="Arial"/>
          <w:sz w:val="18"/>
          <w:szCs w:val="18"/>
          <w:b w:val="1"/>
          <w:bCs w:val="1"/>
          <w:u w:val="single" w:color="auto"/>
          <w:color w:val="auto"/>
        </w:rPr>
        <w:t>If to the Executive</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At the address shown in the records of the Company</w:t>
      </w:r>
    </w:p>
    <w:p>
      <w:pPr>
        <w:spacing w:after="0" w:line="249"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w:t>
      </w:r>
      <w:r>
        <w:rPr>
          <w:rFonts w:ascii="Arial" w:cs="Arial" w:eastAsia="Arial" w:hAnsi="Arial"/>
          <w:sz w:val="22"/>
          <w:szCs w:val="22"/>
          <w:color w:val="auto"/>
        </w:rPr>
        <w:t xml:space="preserve">) </w:t>
      </w:r>
      <w:r>
        <w:rPr>
          <w:rFonts w:ascii="Arial" w:cs="Arial" w:eastAsia="Arial" w:hAnsi="Arial"/>
          <w:sz w:val="22"/>
          <w:szCs w:val="22"/>
          <w:u w:val="single" w:color="auto"/>
          <w:color w:val="auto"/>
        </w:rPr>
        <w:t>Withholding of Taxes</w:t>
      </w:r>
      <w:r>
        <w:rPr>
          <w:rFonts w:ascii="Arial" w:cs="Arial" w:eastAsia="Arial" w:hAnsi="Arial"/>
          <w:sz w:val="22"/>
          <w:szCs w:val="22"/>
          <w:color w:val="auto"/>
        </w:rPr>
        <w:t>. The Company may withhold from any amounts or benefits payable under this Agreement all taxes it may be required to withhold pursuant to any applicable law or regulation.</w:t>
      </w:r>
    </w:p>
    <w:p>
      <w:pPr>
        <w:spacing w:after="0" w:line="200" w:lineRule="exact"/>
        <w:rPr>
          <w:sz w:val="20"/>
          <w:szCs w:val="20"/>
          <w:color w:val="auto"/>
        </w:rPr>
      </w:pPr>
    </w:p>
    <w:p>
      <w:pPr>
        <w:ind w:firstLine="1305"/>
        <w:spacing w:after="0" w:line="251" w:lineRule="auto"/>
        <w:tabs>
          <w:tab w:leader="none" w:pos="2054"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in this Agreement are inserted only as a matter of convenience, and in no way define, limit or interpret the scope of this Agreement or of any particular section.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jc w:val="both"/>
        <w:ind w:firstLine="1305"/>
        <w:spacing w:after="0" w:line="241" w:lineRule="auto"/>
        <w:tabs>
          <w:tab w:leader="none" w:pos="1994"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Construction</w:t>
      </w:r>
      <w:r>
        <w:rPr>
          <w:rFonts w:ascii="Arial" w:cs="Arial" w:eastAsia="Arial" w:hAnsi="Arial"/>
          <w:sz w:val="22"/>
          <w:szCs w:val="22"/>
          <w:color w:val="auto"/>
        </w:rPr>
        <w:t>. Whenever the context so requires herein, the masculine shall include the feminine and neuter, and the singular shall include the plural. The words “includes” and “including” as used in this Agreement shall be deemed to be followed by the phrase “without limitation.” The word “or” is not exclusive.</w:t>
      </w:r>
    </w:p>
    <w:p>
      <w:pPr>
        <w:spacing w:after="0" w:line="210" w:lineRule="exact"/>
        <w:rPr>
          <w:rFonts w:ascii="Arial" w:cs="Arial" w:eastAsia="Arial" w:hAnsi="Arial"/>
          <w:sz w:val="22"/>
          <w:szCs w:val="22"/>
          <w:color w:val="auto"/>
        </w:rPr>
      </w:pPr>
    </w:p>
    <w:p>
      <w:pPr>
        <w:ind w:firstLine="1305"/>
        <w:spacing w:after="0" w:line="251" w:lineRule="auto"/>
        <w:tabs>
          <w:tab w:leader="none" w:pos="210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signed in counterparts, each of which shall be an original, with the same effect as if the signatures thereto and hereto were upon the same instrument.</w:t>
      </w:r>
    </w:p>
    <w:p>
      <w:pPr>
        <w:spacing w:after="0" w:line="200" w:lineRule="exact"/>
        <w:rPr>
          <w:rFonts w:ascii="Arial" w:cs="Arial" w:eastAsia="Arial" w:hAnsi="Arial"/>
          <w:sz w:val="22"/>
          <w:szCs w:val="22"/>
          <w:color w:val="auto"/>
        </w:rPr>
      </w:pPr>
    </w:p>
    <w:p>
      <w:pPr>
        <w:jc w:val="both"/>
        <w:ind w:firstLine="1305"/>
        <w:spacing w:after="0" w:line="247" w:lineRule="auto"/>
        <w:tabs>
          <w:tab w:leader="none" w:pos="2048"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This Agreement shall terminate upon the termination of employment of the Executive; however, the following shall survive the termination of the Executive’s employment and/or the expiration or termination of this Agreement, regardless of the reasons for such expiration or termination: Section 3(n) (“</w:t>
      </w:r>
      <w:r>
        <w:rPr>
          <w:rFonts w:ascii="Arial" w:cs="Arial" w:eastAsia="Arial" w:hAnsi="Arial"/>
          <w:sz w:val="21"/>
          <w:szCs w:val="21"/>
          <w:u w:val="single" w:color="auto"/>
          <w:color w:val="auto"/>
        </w:rPr>
        <w:t>Indemnification</w:t>
      </w:r>
      <w:r>
        <w:rPr>
          <w:rFonts w:ascii="Arial" w:cs="Arial" w:eastAsia="Arial" w:hAnsi="Arial"/>
          <w:sz w:val="21"/>
          <w:szCs w:val="21"/>
          <w:color w:val="auto"/>
        </w:rPr>
        <w:t>”), Section 4 (“</w:t>
      </w:r>
      <w:r>
        <w:rPr>
          <w:rFonts w:ascii="Arial" w:cs="Arial" w:eastAsia="Arial" w:hAnsi="Arial"/>
          <w:sz w:val="21"/>
          <w:szCs w:val="21"/>
          <w:u w:val="single" w:color="auto"/>
          <w:color w:val="auto"/>
        </w:rPr>
        <w:t>Rights Upon a</w:t>
      </w:r>
      <w:r>
        <w:rPr>
          <w:rFonts w:ascii="Arial" w:cs="Arial" w:eastAsia="Arial" w:hAnsi="Arial"/>
          <w:sz w:val="21"/>
          <w:szCs w:val="21"/>
          <w:color w:val="auto"/>
        </w:rPr>
        <w:t xml:space="preserve"> </w:t>
      </w:r>
      <w:r>
        <w:rPr>
          <w:rFonts w:ascii="Arial" w:cs="Arial" w:eastAsia="Arial" w:hAnsi="Arial"/>
          <w:sz w:val="21"/>
          <w:szCs w:val="21"/>
          <w:u w:val="single" w:color="auto"/>
          <w:color w:val="auto"/>
        </w:rPr>
        <w:t>Termination of the Executive’s Employment</w:t>
      </w:r>
      <w:r>
        <w:rPr>
          <w:rFonts w:ascii="Arial" w:cs="Arial" w:eastAsia="Arial" w:hAnsi="Arial"/>
          <w:sz w:val="21"/>
          <w:szCs w:val="21"/>
          <w:color w:val="auto"/>
        </w:rPr>
        <w:t xml:space="preserve">”) and its corresponding </w:t>
      </w:r>
      <w:r>
        <w:rPr>
          <w:rFonts w:ascii="Arial" w:cs="Arial" w:eastAsia="Arial" w:hAnsi="Arial"/>
          <w:sz w:val="21"/>
          <w:szCs w:val="21"/>
          <w:b w:val="1"/>
          <w:bCs w:val="1"/>
          <w:u w:val="single" w:color="auto"/>
          <w:color w:val="auto"/>
        </w:rPr>
        <w:t>Exhibit B</w:t>
      </w:r>
      <w:r>
        <w:rPr>
          <w:rFonts w:ascii="Arial" w:cs="Arial" w:eastAsia="Arial" w:hAnsi="Arial"/>
          <w:sz w:val="21"/>
          <w:szCs w:val="21"/>
          <w:color w:val="auto"/>
        </w:rPr>
        <w:t>, Section 5 (“</w:t>
      </w:r>
      <w:r>
        <w:rPr>
          <w:rFonts w:ascii="Arial" w:cs="Arial" w:eastAsia="Arial" w:hAnsi="Arial"/>
          <w:sz w:val="21"/>
          <w:szCs w:val="21"/>
          <w:u w:val="single" w:color="auto"/>
          <w:color w:val="auto"/>
        </w:rPr>
        <w:t>Non-Competition, Non-Solicitation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and Confidentiality</w:t>
      </w:r>
      <w:r>
        <w:rPr>
          <w:rFonts w:ascii="Arial" w:cs="Arial" w:eastAsia="Arial" w:hAnsi="Arial"/>
          <w:sz w:val="21"/>
          <w:szCs w:val="21"/>
          <w:color w:val="auto"/>
        </w:rPr>
        <w:t xml:space="preserve">”) and its corresponding </w:t>
      </w:r>
      <w:r>
        <w:rPr>
          <w:rFonts w:ascii="Arial" w:cs="Arial" w:eastAsia="Arial" w:hAnsi="Arial"/>
          <w:sz w:val="21"/>
          <w:szCs w:val="21"/>
          <w:b w:val="1"/>
          <w:bCs w:val="1"/>
          <w:u w:val="single" w:color="auto"/>
          <w:color w:val="auto"/>
        </w:rPr>
        <w:t>Exhibit C</w:t>
      </w:r>
      <w:r>
        <w:rPr>
          <w:rFonts w:ascii="Arial" w:cs="Arial" w:eastAsia="Arial" w:hAnsi="Arial"/>
          <w:sz w:val="21"/>
          <w:szCs w:val="21"/>
          <w:color w:val="auto"/>
        </w:rPr>
        <w:t>, Section 8(a) (“</w:t>
      </w:r>
      <w:r>
        <w:rPr>
          <w:rFonts w:ascii="Arial" w:cs="Arial" w:eastAsia="Arial" w:hAnsi="Arial"/>
          <w:sz w:val="21"/>
          <w:szCs w:val="21"/>
          <w:u w:val="single" w:color="auto"/>
          <w:color w:val="auto"/>
        </w:rPr>
        <w:t>Defense of Claims</w:t>
      </w:r>
      <w:r>
        <w:rPr>
          <w:rFonts w:ascii="Arial" w:cs="Arial" w:eastAsia="Arial" w:hAnsi="Arial"/>
          <w:sz w:val="21"/>
          <w:szCs w:val="21"/>
          <w:color w:val="auto"/>
        </w:rPr>
        <w:t>”), Section 8(d) (“</w:t>
      </w:r>
      <w:r>
        <w:rPr>
          <w:rFonts w:ascii="Arial" w:cs="Arial" w:eastAsia="Arial" w:hAnsi="Arial"/>
          <w:sz w:val="21"/>
          <w:szCs w:val="21"/>
          <w:u w:val="single" w:color="auto"/>
          <w:color w:val="auto"/>
        </w:rPr>
        <w:t>Entire Agreement</w:t>
      </w:r>
      <w:r>
        <w:rPr>
          <w:rFonts w:ascii="Arial" w:cs="Arial" w:eastAsia="Arial" w:hAnsi="Arial"/>
          <w:sz w:val="21"/>
          <w:szCs w:val="21"/>
          <w:color w:val="auto"/>
        </w:rPr>
        <w:t>”), Section 8(e) (“</w:t>
      </w:r>
      <w:r>
        <w:rPr>
          <w:rFonts w:ascii="Arial" w:cs="Arial" w:eastAsia="Arial" w:hAnsi="Arial"/>
          <w:sz w:val="21"/>
          <w:szCs w:val="21"/>
          <w:u w:val="single" w:color="auto"/>
          <w:color w:val="auto"/>
        </w:rPr>
        <w:t>Governing Law/Venue</w:t>
      </w:r>
      <w:r>
        <w:rPr>
          <w:rFonts w:ascii="Arial" w:cs="Arial" w:eastAsia="Arial" w:hAnsi="Arial"/>
          <w:sz w:val="21"/>
          <w:szCs w:val="21"/>
          <w:color w:val="auto"/>
        </w:rPr>
        <w:t>”), Section 8(h) (“</w:t>
      </w:r>
      <w:r>
        <w:rPr>
          <w:rFonts w:ascii="Arial" w:cs="Arial" w:eastAsia="Arial" w:hAnsi="Arial"/>
          <w:sz w:val="21"/>
          <w:szCs w:val="21"/>
          <w:u w:val="single" w:color="auto"/>
          <w:color w:val="auto"/>
        </w:rPr>
        <w:t>Specific Performance/Injunctive Relief</w:t>
      </w:r>
      <w:r>
        <w:rPr>
          <w:rFonts w:ascii="Arial" w:cs="Arial" w:eastAsia="Arial" w:hAnsi="Arial"/>
          <w:sz w:val="21"/>
          <w:szCs w:val="21"/>
          <w:color w:val="auto"/>
        </w:rPr>
        <w:t>”), Section 8(j) (“</w:t>
      </w:r>
      <w:r>
        <w:rPr>
          <w:rFonts w:ascii="Arial" w:cs="Arial" w:eastAsia="Arial" w:hAnsi="Arial"/>
          <w:sz w:val="21"/>
          <w:szCs w:val="21"/>
          <w:u w:val="single" w:color="auto"/>
          <w:color w:val="auto"/>
        </w:rPr>
        <w:t>Successors/Binding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Section 8(k) (“</w:t>
      </w:r>
      <w:r>
        <w:rPr>
          <w:rFonts w:ascii="Arial" w:cs="Arial" w:eastAsia="Arial" w:hAnsi="Arial"/>
          <w:sz w:val="21"/>
          <w:szCs w:val="21"/>
          <w:u w:val="single" w:color="auto"/>
          <w:color w:val="auto"/>
        </w:rPr>
        <w:t>Notices</w:t>
      </w:r>
      <w:r>
        <w:rPr>
          <w:rFonts w:ascii="Arial" w:cs="Arial" w:eastAsia="Arial" w:hAnsi="Arial"/>
          <w:sz w:val="21"/>
          <w:szCs w:val="21"/>
          <w:color w:val="auto"/>
        </w:rPr>
        <w:t>”), and this Section 8(p) (“</w:t>
      </w:r>
      <w:r>
        <w:rPr>
          <w:rFonts w:ascii="Arial" w:cs="Arial" w:eastAsia="Arial" w:hAnsi="Arial"/>
          <w:sz w:val="21"/>
          <w:szCs w:val="21"/>
          <w:u w:val="single" w:color="auto"/>
          <w:color w:val="auto"/>
        </w:rPr>
        <w:t>Survival</w:t>
      </w:r>
      <w:r>
        <w:rPr>
          <w:rFonts w:ascii="Arial" w:cs="Arial" w:eastAsia="Arial" w:hAnsi="Arial"/>
          <w:sz w:val="21"/>
          <w:szCs w:val="21"/>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NEXT PAGE]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duly executed this Agreement effective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EXECUTIVE:</w:t>
            </w:r>
          </w:p>
        </w:tc>
        <w:tc>
          <w:tcPr>
            <w:tcW w:w="6260" w:type="dxa"/>
            <w:vAlign w:val="bottom"/>
            <w:gridSpan w:val="3"/>
          </w:tcPr>
          <w:p>
            <w:pPr>
              <w:ind w:left="1140"/>
              <w:spacing w:after="0"/>
              <w:rPr>
                <w:sz w:val="20"/>
                <w:szCs w:val="20"/>
                <w:color w:val="auto"/>
              </w:rPr>
            </w:pPr>
            <w:r>
              <w:rPr>
                <w:rFonts w:ascii="Arial" w:cs="Arial" w:eastAsia="Arial" w:hAnsi="Arial"/>
                <w:sz w:val="18"/>
                <w:szCs w:val="18"/>
                <w:b w:val="1"/>
                <w:bCs w:val="1"/>
                <w:color w:val="auto"/>
              </w:rPr>
              <w:t>CITY BANK, TEXAS:</w:t>
            </w: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4240" w:type="dxa"/>
            <w:vAlign w:val="bottom"/>
          </w:tcPr>
          <w:p>
            <w:pPr>
              <w:spacing w:after="0"/>
              <w:rPr>
                <w:sz w:val="20"/>
                <w:szCs w:val="20"/>
                <w:color w:val="auto"/>
              </w:rPr>
            </w:pPr>
            <w:r>
              <w:rPr>
                <w:rFonts w:ascii="Arial" w:cs="Arial" w:eastAsia="Arial" w:hAnsi="Arial"/>
                <w:sz w:val="18"/>
                <w:szCs w:val="18"/>
                <w:color w:val="auto"/>
              </w:rPr>
              <w:t>/s/ Curtis Griffith</w:t>
            </w:r>
          </w:p>
        </w:tc>
        <w:tc>
          <w:tcPr>
            <w:tcW w:w="6260" w:type="dxa"/>
            <w:vAlign w:val="bottom"/>
            <w:gridSpan w:val="3"/>
          </w:tcPr>
          <w:p>
            <w:pPr>
              <w:ind w:left="1140"/>
              <w:spacing w:after="0"/>
              <w:rPr>
                <w:sz w:val="20"/>
                <w:szCs w:val="20"/>
                <w:color w:val="auto"/>
              </w:rPr>
            </w:pPr>
            <w:r>
              <w:rPr>
                <w:rFonts w:ascii="Arial" w:cs="Arial" w:eastAsia="Arial" w:hAnsi="Arial"/>
                <w:sz w:val="18"/>
                <w:szCs w:val="18"/>
                <w:color w:val="auto"/>
              </w:rPr>
              <w:t>By: /s/ Cory Newsom</w:t>
            </w:r>
          </w:p>
        </w:tc>
      </w:tr>
      <w:tr>
        <w:trPr>
          <w:trHeight w:val="34"/>
        </w:trPr>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40" w:type="dxa"/>
            <w:vAlign w:val="bottom"/>
            <w:shd w:val="clear" w:color="auto" w:fill="000000"/>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560" w:type="dxa"/>
            <w:vAlign w:val="bottom"/>
            <w:shd w:val="clear" w:color="auto" w:fill="000000"/>
          </w:tcPr>
          <w:p>
            <w:pPr>
              <w:spacing w:after="0"/>
              <w:rPr>
                <w:sz w:val="2"/>
                <w:szCs w:val="2"/>
                <w:color w:val="auto"/>
              </w:rPr>
            </w:pPr>
          </w:p>
        </w:tc>
      </w:tr>
      <w:tr>
        <w:trPr>
          <w:trHeight w:val="419"/>
        </w:trPr>
        <w:tc>
          <w:tcPr>
            <w:tcW w:w="5160" w:type="dxa"/>
            <w:vAlign w:val="bottom"/>
            <w:gridSpan w:val="3"/>
          </w:tcPr>
          <w:p>
            <w:pPr>
              <w:spacing w:after="0"/>
              <w:rPr>
                <w:sz w:val="20"/>
                <w:szCs w:val="20"/>
                <w:color w:val="auto"/>
              </w:rPr>
            </w:pPr>
            <w:r>
              <w:rPr>
                <w:rFonts w:ascii="Arial" w:cs="Arial" w:eastAsia="Arial" w:hAnsi="Arial"/>
                <w:sz w:val="18"/>
                <w:szCs w:val="18"/>
                <w:color w:val="auto"/>
              </w:rPr>
              <w:t>Print Name: Curtis Griffith</w:t>
            </w:r>
          </w:p>
        </w:tc>
        <w:tc>
          <w:tcPr>
            <w:tcW w:w="6260" w:type="dxa"/>
            <w:vAlign w:val="bottom"/>
            <w:gridSpan w:val="3"/>
          </w:tcPr>
          <w:p>
            <w:pPr>
              <w:ind w:left="1140"/>
              <w:spacing w:after="0"/>
              <w:rPr>
                <w:sz w:val="20"/>
                <w:szCs w:val="20"/>
                <w:color w:val="auto"/>
              </w:rPr>
            </w:pPr>
            <w:r>
              <w:rPr>
                <w:rFonts w:ascii="Arial" w:cs="Arial" w:eastAsia="Arial" w:hAnsi="Arial"/>
                <w:sz w:val="18"/>
                <w:szCs w:val="18"/>
                <w:color w:val="auto"/>
              </w:rPr>
              <w:t>Cory Newsom, President and CEO</w:t>
            </w:r>
          </w:p>
        </w:tc>
      </w:tr>
      <w:tr>
        <w:trPr>
          <w:trHeight w:val="439"/>
        </w:trPr>
        <w:tc>
          <w:tcPr>
            <w:tcW w:w="5160" w:type="dxa"/>
            <w:vAlign w:val="bottom"/>
            <w:gridSpan w:val="3"/>
          </w:tcPr>
          <w:p>
            <w:pPr>
              <w:spacing w:after="0"/>
              <w:rPr>
                <w:sz w:val="20"/>
                <w:szCs w:val="20"/>
                <w:color w:val="auto"/>
              </w:rPr>
            </w:pPr>
            <w:r>
              <w:rPr>
                <w:rFonts w:ascii="Arial" w:cs="Arial" w:eastAsia="Arial" w:hAnsi="Arial"/>
                <w:sz w:val="18"/>
                <w:szCs w:val="18"/>
                <w:color w:val="auto"/>
              </w:rPr>
              <w:t>Date:  12/18/2019</w:t>
            </w:r>
          </w:p>
        </w:tc>
        <w:tc>
          <w:tcPr>
            <w:tcW w:w="6260" w:type="dxa"/>
            <w:vAlign w:val="bottom"/>
            <w:gridSpan w:val="3"/>
          </w:tcPr>
          <w:p>
            <w:pPr>
              <w:ind w:left="1120"/>
              <w:spacing w:after="0"/>
              <w:rPr>
                <w:sz w:val="20"/>
                <w:szCs w:val="20"/>
                <w:color w:val="auto"/>
              </w:rPr>
            </w:pPr>
            <w:r>
              <w:rPr>
                <w:rFonts w:ascii="Arial" w:cs="Arial" w:eastAsia="Arial" w:hAnsi="Arial"/>
                <w:sz w:val="18"/>
                <w:szCs w:val="18"/>
                <w:color w:val="auto"/>
              </w:rPr>
              <w:t>Date:  12/18/2019</w:t>
            </w:r>
          </w:p>
        </w:tc>
      </w:tr>
      <w:tr>
        <w:trPr>
          <w:trHeight w:val="34"/>
        </w:trPr>
        <w:tc>
          <w:tcPr>
            <w:tcW w:w="580" w:type="dxa"/>
            <w:vAlign w:val="bottom"/>
          </w:tcPr>
          <w:p>
            <w:pPr>
              <w:spacing w:after="0"/>
              <w:rPr>
                <w:sz w:val="2"/>
                <w:szCs w:val="2"/>
                <w:color w:val="auto"/>
              </w:rPr>
            </w:pPr>
          </w:p>
        </w:tc>
        <w:tc>
          <w:tcPr>
            <w:tcW w:w="4580" w:type="dxa"/>
            <w:vAlign w:val="bottom"/>
            <w:gridSpan w:val="2"/>
            <w:shd w:val="clear" w:color="auto" w:fill="000000"/>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60" w:type="dxa"/>
            <w:vAlign w:val="bottom"/>
            <w:shd w:val="clear" w:color="auto" w:fill="000000"/>
          </w:tcPr>
          <w:p>
            <w:pPr>
              <w:spacing w:after="0"/>
              <w:rPr>
                <w:sz w:val="2"/>
                <w:szCs w:val="2"/>
                <w:color w:val="auto"/>
              </w:rPr>
            </w:pPr>
          </w:p>
        </w:tc>
      </w:tr>
      <w:tr>
        <w:trPr>
          <w:trHeight w:val="459"/>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SOUTH PLAINS FINANCIAL, INC.:</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53"/>
        </w:trPr>
        <w:tc>
          <w:tcPr>
            <w:tcW w:w="92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Cory Newsom</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Cory Newsom, President</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12/18/2019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28987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A</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FORM OF INCENTIVE STOCK OPTION AWARD</w:t>
      </w:r>
    </w:p>
    <w:p>
      <w:pPr>
        <w:spacing w:after="0" w:line="239"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(Previously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273050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B</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CITY BANK, TEXAS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WAIVER AND RELEASE</w:t>
      </w:r>
    </w:p>
    <w:p>
      <w:pPr>
        <w:spacing w:after="0" w:line="21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THIS WAIVER AND RELEASE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Waiver and Release</w:t>
      </w:r>
      <w:r>
        <w:rPr>
          <w:rFonts w:ascii="Arial" w:cs="Arial" w:eastAsia="Arial" w:hAnsi="Arial"/>
          <w:sz w:val="18"/>
          <w:szCs w:val="18"/>
          <w:color w:val="auto"/>
        </w:rPr>
        <w:t>”) is made and entered into by and between City Bank, Texas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Curtis Griffith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each referred to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individually as “</w:t>
      </w:r>
      <w:r>
        <w:rPr>
          <w:rFonts w:ascii="Arial" w:cs="Arial" w:eastAsia="Arial" w:hAnsi="Arial"/>
          <w:sz w:val="18"/>
          <w:szCs w:val="18"/>
          <w:b w:val="1"/>
          <w:bCs w:val="1"/>
          <w:i w:val="1"/>
          <w:iCs w:val="1"/>
          <w:color w:val="auto"/>
        </w:rPr>
        <w:t>Party</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9"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the Executive, and South Plains Financial, Inc. are parties to a certain Employment Agreement dated December 18,</w:t>
      </w:r>
      <w:r>
        <w:rPr>
          <w:rFonts w:ascii="Arial" w:cs="Arial" w:eastAsia="Arial" w:hAnsi="Arial"/>
          <w:sz w:val="18"/>
          <w:szCs w:val="18"/>
          <w:b w:val="1"/>
          <w:bCs w:val="1"/>
          <w:color w:val="auto"/>
        </w:rPr>
        <w:t xml:space="preserve"> </w:t>
      </w:r>
      <w:r>
        <w:rPr>
          <w:rFonts w:ascii="Arial" w:cs="Arial" w:eastAsia="Arial" w:hAnsi="Arial"/>
          <w:sz w:val="18"/>
          <w:szCs w:val="18"/>
          <w:color w:val="auto"/>
        </w:rPr>
        <w:t>2019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w:t>
      </w:r>
    </w:p>
    <w:p>
      <w:pPr>
        <w:spacing w:after="0" w:line="189"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Employment Agreement, in consideration of the right to receive the Severance Benefits (as defined in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must sign, return and not revoke this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has executed and delivered this Agreement to Executive for the Executive’s review and consideration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 the (“</w:t>
      </w:r>
      <w:r>
        <w:rPr>
          <w:rFonts w:ascii="Arial" w:cs="Arial" w:eastAsia="Arial" w:hAnsi="Arial"/>
          <w:sz w:val="18"/>
          <w:szCs w:val="18"/>
          <w:b w:val="1"/>
          <w:bCs w:val="1"/>
          <w:i w:val="1"/>
          <w:iCs w:val="1"/>
          <w:color w:val="auto"/>
        </w:rPr>
        <w:t>Delivery Date</w:t>
      </w:r>
      <w:r>
        <w:rPr>
          <w:rFonts w:ascii="Arial" w:cs="Arial" w:eastAsia="Arial" w:hAnsi="Arial"/>
          <w:sz w:val="18"/>
          <w:szCs w:val="18"/>
          <w:color w:val="auto"/>
        </w:rPr>
        <w:t>”); and</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Executive and the Company each desire to settle all matters related to Executive’s employment by the Company.</w:t>
      </w:r>
    </w:p>
    <w:p>
      <w:pPr>
        <w:spacing w:after="0" w:line="252"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and the mutual covenants and agreements contained in the Employment Agreement and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for other good and valuable consideration, the sufficiency and receipt of which is hereby acknowledged, the Parties agree as follows:</w:t>
      </w:r>
    </w:p>
    <w:p>
      <w:pPr>
        <w:spacing w:after="0" w:line="140" w:lineRule="exact"/>
        <w:rPr>
          <w:sz w:val="20"/>
          <w:szCs w:val="20"/>
          <w:color w:val="auto"/>
        </w:rPr>
      </w:pPr>
    </w:p>
    <w:p>
      <w:pPr>
        <w:jc w:val="both"/>
        <w:ind w:firstLine="656"/>
        <w:spacing w:after="0" w:line="249" w:lineRule="auto"/>
        <w:tabs>
          <w:tab w:leader="none" w:pos="1648"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The Parties agree that Executive’s employment relationship with the Company, including all other offices and positions Executive has with the Company and all of its subsidiaries, affiliates, joint ventures, partnerships or any other business enterprises, as well as any office or position as a fiduciary or with any trade group or other industry organization which he holds on behalf of the Company or its subsidiaries or affiliates, shall be automatically terminated effective at ______________ on the ______________ (the “</w:t>
      </w:r>
      <w:r>
        <w:rPr>
          <w:rFonts w:ascii="Arial" w:cs="Arial" w:eastAsia="Arial" w:hAnsi="Arial"/>
          <w:sz w:val="21"/>
          <w:szCs w:val="21"/>
          <w:b w:val="1"/>
          <w:bCs w:val="1"/>
          <w:i w:val="1"/>
          <w:iCs w:val="1"/>
          <w:color w:val="auto"/>
        </w:rPr>
        <w:t>Termination Date</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jc w:val="both"/>
        <w:ind w:firstLine="656"/>
        <w:spacing w:after="0" w:line="273" w:lineRule="auto"/>
        <w:tabs>
          <w:tab w:leader="none" w:pos="1432"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Release of Company</w:t>
      </w:r>
      <w:r>
        <w:rPr>
          <w:rFonts w:ascii="Arial" w:cs="Arial" w:eastAsia="Arial" w:hAnsi="Arial"/>
          <w:sz w:val="19"/>
          <w:szCs w:val="19"/>
          <w:color w:val="auto"/>
        </w:rPr>
        <w:t>. In consideration for the right to receive the Severance Benefits in accordance with the terms of the Employment Agreement and the mutual promises contained in the Employment Agreement and in this Waiver and Release, Executive (on behalf of the Executive, the Executive’s heirs, administrators, representatives, executors, successors and assigns) hereby releases, waives, acquits and forever discharges the Company, its predecessors, successors, parents, shareholders, subsidiaries, assigns, agents, current and former directors, officers, employees, partners, representatives, and attorneys, affiliated companies, and all persons acting by, through, under or in concert with the Company (collectively, the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 from any and all demands, rights, disputes, debts, liabilities, obligations, liens, promises, acts, agreements, charges, complaints, claims, controversies, and causes of action of any nature whatsoever, whether statutory, civil, or administrative, that Executive now has or now may have against any of the Released Parties, arising in whole or in part at any time on or prior to the execution of this Waiver and Release, in connection with the Executive’s employment by the Company or the termination thereof.</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ind w:left="10300"/>
        <w:spacing w:after="0"/>
        <w:rPr>
          <w:sz w:val="20"/>
          <w:szCs w:val="20"/>
          <w:color w:val="auto"/>
        </w:rPr>
      </w:pPr>
      <w:r>
        <w:rPr>
          <w:rFonts w:ascii="Arial" w:cs="Arial" w:eastAsia="Arial" w:hAnsi="Arial"/>
          <w:sz w:val="22"/>
          <w:szCs w:val="22"/>
          <w:b w:val="1"/>
          <w:bCs w:val="1"/>
          <w:color w:val="auto"/>
        </w:rPr>
        <w:t>EXHIBIT B</w:t>
      </w:r>
    </w:p>
    <w:p>
      <w:pPr>
        <w:spacing w:after="0" w:line="2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release specifically includes, but is not limited to, any claims of discrimination of any kind, breach of contract or any implied covenant of good faith and fair dealing, tortious interference with a contract, intentional or negligent infliction of emotional distress, breach of privacy, misrepresentation, defamation, wrongful termination, or breach of fiduciary duty; provided, however, that the foregoing release shall not release the Company from the performance of its obligations under this Waiver and Release.</w:t>
      </w:r>
    </w:p>
    <w:p>
      <w:pPr>
        <w:spacing w:after="0" w:line="170"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Additionally, this release specifically includes, but is not limited to, any claim or cause of action arising under Title VII of the Civil Rights Act of 1964, 42 U.S.C.A. §§ 2000 </w:t>
      </w:r>
      <w:r>
        <w:rPr>
          <w:rFonts w:ascii="Arial" w:cs="Arial" w:eastAsia="Arial" w:hAnsi="Arial"/>
          <w:sz w:val="22"/>
          <w:szCs w:val="22"/>
          <w:i w:val="1"/>
          <w:iCs w:val="1"/>
          <w:color w:val="auto"/>
        </w:rPr>
        <w:t>et seq.</w:t>
      </w:r>
      <w:r>
        <w:rPr>
          <w:rFonts w:ascii="Arial" w:cs="Arial" w:eastAsia="Arial" w:hAnsi="Arial"/>
          <w:sz w:val="22"/>
          <w:szCs w:val="22"/>
          <w:color w:val="auto"/>
        </w:rPr>
        <w:t xml:space="preserve">, as amended by the Civil Rights Act of 1991; the Americans With Disabilities Act, 42 U.S.C. §§ 12101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42 U.S.C. §§ 1981; the Civil Rights Act of 1991, as amended; Texas Commission on Human Rights Act, Texas Labor Code §§ 21.001 et. seq.; Texas Labor Code §§ 451.001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the Age Discrimination in Employment Act of 1967, as amended, 29 U.S.C. §§ 621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the Older Workers Benefit Protection Act of 1990; the Employment Retirement Income Security Act of 1974, 29 U.S.C. §§ 1001 </w:t>
      </w:r>
      <w:r>
        <w:rPr>
          <w:rFonts w:ascii="Arial" w:cs="Arial" w:eastAsia="Arial" w:hAnsi="Arial"/>
          <w:sz w:val="22"/>
          <w:szCs w:val="22"/>
          <w:i w:val="1"/>
          <w:iCs w:val="1"/>
          <w:color w:val="auto"/>
        </w:rPr>
        <w:t>et seq.</w:t>
      </w:r>
      <w:r>
        <w:rPr>
          <w:rFonts w:ascii="Arial" w:cs="Arial" w:eastAsia="Arial" w:hAnsi="Arial"/>
          <w:sz w:val="22"/>
          <w:szCs w:val="22"/>
          <w:color w:val="auto"/>
        </w:rPr>
        <w:t>; the Family and Medical Leave Act; the Fair Labor Standards Act; the Worker Adjustment and Retraining Notification Act; the Rehabilitation Act of 1973; or any other federal, state or local statute or common law cause of action of similar effect regarding employment related causes of action of employees against their employer.</w:t>
      </w:r>
    </w:p>
    <w:p>
      <w:pPr>
        <w:spacing w:after="0" w:line="221" w:lineRule="exact"/>
        <w:rPr>
          <w:sz w:val="20"/>
          <w:szCs w:val="20"/>
          <w:color w:val="auto"/>
        </w:rPr>
      </w:pPr>
    </w:p>
    <w:p>
      <w:pPr>
        <w:jc w:val="both"/>
        <w:ind w:firstLine="656"/>
        <w:spacing w:after="0" w:line="249" w:lineRule="auto"/>
        <w:tabs>
          <w:tab w:leader="none" w:pos="1567"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Waiver of Certain Claims, Rights or Benefits</w:t>
      </w:r>
      <w:r>
        <w:rPr>
          <w:rFonts w:ascii="Arial" w:cs="Arial" w:eastAsia="Arial" w:hAnsi="Arial"/>
          <w:sz w:val="21"/>
          <w:szCs w:val="21"/>
          <w:color w:val="auto"/>
        </w:rPr>
        <w:t xml:space="preserve">. Without in any way limiting the generality of Section 2 of this Waiver and Release, by executing this Waiver and Release and accepting the Severance Benefits, Executive specifically agrees to release all claims, rights, or benefits the Executive may have for age discrimination arising out of or under the Age Discrimination in Employment Act of 1967, 29 U.S.C. § 621, </w:t>
      </w:r>
      <w:r>
        <w:rPr>
          <w:rFonts w:ascii="Arial" w:cs="Arial" w:eastAsia="Arial" w:hAnsi="Arial"/>
          <w:sz w:val="21"/>
          <w:szCs w:val="21"/>
          <w:i w:val="1"/>
          <w:iCs w:val="1"/>
          <w:color w:val="auto"/>
        </w:rPr>
        <w:t>et seq.</w:t>
      </w:r>
      <w:r>
        <w:rPr>
          <w:rFonts w:ascii="Arial" w:cs="Arial" w:eastAsia="Arial" w:hAnsi="Arial"/>
          <w:sz w:val="21"/>
          <w:szCs w:val="21"/>
          <w:color w:val="auto"/>
        </w:rPr>
        <w:t>, as currently amended, or any equivalent or comparable provision of state or local law, including, but not limited to, the Texas Commission on Human Rights Act.</w:t>
      </w:r>
    </w:p>
    <w:p>
      <w:pPr>
        <w:spacing w:after="0" w:line="205" w:lineRule="exact"/>
        <w:rPr>
          <w:rFonts w:ascii="Arial" w:cs="Arial" w:eastAsia="Arial" w:hAnsi="Arial"/>
          <w:sz w:val="21"/>
          <w:szCs w:val="21"/>
          <w:color w:val="auto"/>
        </w:rPr>
      </w:pPr>
    </w:p>
    <w:p>
      <w:pPr>
        <w:ind w:left="1420" w:hanging="764"/>
        <w:spacing w:after="0"/>
        <w:tabs>
          <w:tab w:leader="none" w:pos="142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Acknowledgements and Obligations of Executive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82" w:lineRule="auto"/>
        <w:tabs>
          <w:tab w:leader="none" w:pos="2091" w:val="left"/>
        </w:tabs>
        <w:numPr>
          <w:ilvl w:val="1"/>
          <w:numId w:val="31"/>
        </w:numPr>
        <w:rPr>
          <w:rFonts w:ascii="Arial" w:cs="Arial" w:eastAsia="Arial" w:hAnsi="Arial"/>
          <w:sz w:val="19"/>
          <w:szCs w:val="19"/>
          <w:color w:val="auto"/>
        </w:rPr>
      </w:pPr>
      <w:r>
        <w:rPr>
          <w:rFonts w:ascii="Arial" w:cs="Arial" w:eastAsia="Arial" w:hAnsi="Arial"/>
          <w:sz w:val="19"/>
          <w:szCs w:val="19"/>
          <w:color w:val="auto"/>
        </w:rPr>
        <w:t>Executive represents and acknowledges that in executing this Waiver and Release, Executive does not rely and has not relied upon any representation or statement made by the Company, or its agents, representatives, or attorneys regarding the subject matter, basis or effect of this Waiver and Release or otherwise, and that Executive has engaged or had the opportunity to engage an attorney of Executive’s choosing in the negotiation and execution of this Waiver and Release. Executive acknowledges that Executive has the right to consult with counsel of Executive’s choosing with regard to the review of this Waiver and Release.</w:t>
      </w:r>
    </w:p>
    <w:p>
      <w:pPr>
        <w:spacing w:after="0" w:line="168" w:lineRule="exact"/>
        <w:rPr>
          <w:rFonts w:ascii="Arial" w:cs="Arial" w:eastAsia="Arial" w:hAnsi="Arial"/>
          <w:sz w:val="19"/>
          <w:szCs w:val="19"/>
          <w:color w:val="auto"/>
        </w:rPr>
      </w:pPr>
    </w:p>
    <w:p>
      <w:pPr>
        <w:jc w:val="both"/>
        <w:ind w:firstLine="1305"/>
        <w:spacing w:after="0" w:line="233" w:lineRule="auto"/>
        <w:tabs>
          <w:tab w:leader="none" w:pos="2008" w:val="left"/>
        </w:tabs>
        <w:numPr>
          <w:ilvl w:val="1"/>
          <w:numId w:val="31"/>
        </w:numPr>
        <w:rPr>
          <w:rFonts w:ascii="Arial" w:cs="Arial" w:eastAsia="Arial" w:hAnsi="Arial"/>
          <w:sz w:val="22"/>
          <w:szCs w:val="22"/>
          <w:color w:val="auto"/>
        </w:rPr>
      </w:pPr>
      <w:r>
        <w:rPr>
          <w:rFonts w:ascii="Arial" w:cs="Arial" w:eastAsia="Arial" w:hAnsi="Arial"/>
          <w:sz w:val="22"/>
          <w:szCs w:val="22"/>
          <w:b w:val="1"/>
          <w:bCs w:val="1"/>
          <w:color w:val="auto"/>
        </w:rPr>
        <w:t>EXECUTIVE UNDERSTANDS THAT BY SIGNING AND NOT REVOKING THIS WAIVER AND RELEASE, EXECUTIVE IS WAIVING ANY AND ALL RIGHTS OR CLAIMS WHICH EXECUTIVE MAY HAVE UNDER THE AGE DISCRIMINATION IN EMPLOYMENT ACT AND/OR THE OLDER WORKERS BENEFIT PROTECTION ACT FOR AGE DISCRIMINATION ARISING FROM EMPLOYMENT WITH THE COMPANY, INCLUDING, WITHOUT LIMITATION, THE RIGHT TO SUE THE COMPANY IN FEDERAL OR STATE COURT FOR AGE DISCRIMINATION. EXECUTIVE FURTHER ACKNOWLEDGES THAT EXECUTIVE (i) DOES NOT WAIVE ANY CLAIMS OR RIGHTS THAT MAY ARISE AFTER THE DATE THIS WAIVER AND RELEASE IS EXECUTED; (ii) WAIVES CLAIMS OR RIGHTS ONLY IN EXCHANGE FOR CONSIDERATION IN ADDITION TO ANYTHING OF VALUE TO WHICH EXECUTIVE IS ALREADY ENTITLED; AND (iii) AGREES THAT THIS WAIVER AND RELEASE IS WRITTEN IN A MANNER CALCULATED TO BE UNDERSTOOD BY EXECUTIVE AND EXECUTIVE, IN FACT, UNDERSTANDS THE TERMS, CONTENTS, CONDITIONS AND EFFECTS OF THIS WAIVER AND RELEASE AND HAS ENTERED INTO THIS WAIVER AND RELEASE KNOWINGLY AND VOLUNTARILY.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ind w:left="10300"/>
        <w:spacing w:after="0"/>
        <w:rPr>
          <w:sz w:val="20"/>
          <w:szCs w:val="20"/>
          <w:color w:val="auto"/>
        </w:rPr>
      </w:pPr>
      <w:r>
        <w:rPr>
          <w:rFonts w:ascii="Arial" w:cs="Arial" w:eastAsia="Arial" w:hAnsi="Arial"/>
          <w:sz w:val="22"/>
          <w:szCs w:val="22"/>
          <w:b w:val="1"/>
          <w:bCs w:val="1"/>
          <w:color w:val="auto"/>
        </w:rPr>
        <w:t>EXHIBIT B</w:t>
      </w:r>
    </w:p>
    <w:p>
      <w:pPr>
        <w:spacing w:after="0" w:line="240" w:lineRule="exact"/>
        <w:rPr>
          <w:sz w:val="20"/>
          <w:szCs w:val="20"/>
          <w:color w:val="auto"/>
        </w:rPr>
      </w:pPr>
    </w:p>
    <w:p>
      <w:pPr>
        <w:jc w:val="both"/>
        <w:ind w:firstLine="1305"/>
        <w:spacing w:after="0" w:line="238" w:lineRule="auto"/>
        <w:tabs>
          <w:tab w:leader="none" w:pos="2003" w:val="left"/>
        </w:tabs>
        <w:numPr>
          <w:ilvl w:val="0"/>
          <w:numId w:val="32"/>
        </w:numPr>
        <w:rPr>
          <w:rFonts w:ascii="Arial" w:cs="Arial" w:eastAsia="Arial" w:hAnsi="Arial"/>
          <w:sz w:val="22"/>
          <w:szCs w:val="22"/>
          <w:color w:val="auto"/>
        </w:rPr>
      </w:pPr>
      <w:r>
        <w:rPr>
          <w:rFonts w:ascii="Arial" w:cs="Arial" w:eastAsia="Arial" w:hAnsi="Arial"/>
          <w:sz w:val="22"/>
          <w:szCs w:val="22"/>
          <w:color w:val="auto"/>
        </w:rPr>
        <w:t>Executive acknowledges that the Executive has been fully compensated for all labor and services performed for the Company and has been reimbursed for all business expenses incurred on behalf of the Company through the Termination Date, and that the Company does not owe Executive any expense reimbursement amounts, or wages, including vacation pay or paid time-off benefits.</w:t>
      </w:r>
    </w:p>
    <w:p>
      <w:pPr>
        <w:spacing w:after="0" w:line="212" w:lineRule="exact"/>
        <w:rPr>
          <w:rFonts w:ascii="Arial" w:cs="Arial" w:eastAsia="Arial" w:hAnsi="Arial"/>
          <w:sz w:val="22"/>
          <w:szCs w:val="22"/>
          <w:color w:val="auto"/>
        </w:rPr>
      </w:pPr>
    </w:p>
    <w:p>
      <w:pPr>
        <w:jc w:val="both"/>
        <w:ind w:firstLine="1305"/>
        <w:spacing w:after="0" w:line="272" w:lineRule="auto"/>
        <w:tabs>
          <w:tab w:leader="none" w:pos="2143" w:val="left"/>
        </w:tabs>
        <w:numPr>
          <w:ilvl w:val="0"/>
          <w:numId w:val="32"/>
        </w:numPr>
        <w:rPr>
          <w:rFonts w:ascii="Arial" w:cs="Arial" w:eastAsia="Arial" w:hAnsi="Arial"/>
          <w:sz w:val="19"/>
          <w:szCs w:val="19"/>
          <w:color w:val="auto"/>
        </w:rPr>
      </w:pPr>
      <w:r>
        <w:rPr>
          <w:rFonts w:ascii="Arial" w:cs="Arial" w:eastAsia="Arial" w:hAnsi="Arial"/>
          <w:sz w:val="19"/>
          <w:szCs w:val="19"/>
          <w:color w:val="auto"/>
        </w:rPr>
        <w:t>Notwithstanding anything contained in this Waiver and Release to the contrary, this Waiver and Release does not waive, release, or discharge: (i) any right to file an administrative charge or complaint with, or testify, assist, or participate in an investigation, hearing, or proceeding conducted by, the Equal Employment Opportunity Commission, the Texas Workforce Commission, or other similar federal or state administrative agencies, although Executive waives any right to monetary relief related to any filed charge or administrative complaint; (ii) claims pursuant to the terms and conditions of the federal law known as COBRA or similar state law; (iii) claims that cannot be waived by law, such as claims for unemployment benefit rights and workers’ compensation; (iv) claims for indemnity under any indemnification agreement with the Company or under its organizational documents, as provided by applicable state law or under any applicable insurance policy with respect to Executive’s liability as an employee, director or officer of the Company or its affiliates; (v) any right to file an unfair labor practice charge under the National Labor Relations Act; (vi) any rights to vested benefits, such as pension or retirement benefits, the rights to which are governed by the terms of the applicable plan documents and award agreements; and (vii) Executive’s right to receive award or monetary recovery pursuant to the Securities and Exchange Commission’s whistleblower program.</w:t>
      </w:r>
    </w:p>
    <w:p>
      <w:pPr>
        <w:spacing w:after="0" w:line="188" w:lineRule="exact"/>
        <w:rPr>
          <w:rFonts w:ascii="Arial" w:cs="Arial" w:eastAsia="Arial" w:hAnsi="Arial"/>
          <w:sz w:val="19"/>
          <w:szCs w:val="19"/>
          <w:color w:val="auto"/>
        </w:rPr>
      </w:pPr>
    </w:p>
    <w:p>
      <w:pPr>
        <w:jc w:val="both"/>
        <w:ind w:firstLine="1305"/>
        <w:spacing w:after="0" w:line="282" w:lineRule="auto"/>
        <w:tabs>
          <w:tab w:leader="none" w:pos="2056"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Executive acknowledges and agrees that the Employment Agreement, including but not limited to, Sections 8(a), 8(d), 8(e), 8(h), 8(j), 8(k), 8(p), 8(q), and 8(r) of the Employment Agreement and the Non-Competition, Non-Solicitation and Confidentiality Agreement included as its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sets forth certain obligations of the Executive which remain in effect following the Termination Date, and except as expressly set forth herein, nothing in this Waiver and Release shall modify such ongoing obligations, the continued performance of which by Executive are a condition of the Company’s obligations hereunder.</w:t>
      </w:r>
    </w:p>
    <w:p>
      <w:pPr>
        <w:spacing w:after="0" w:line="174" w:lineRule="exact"/>
        <w:rPr>
          <w:rFonts w:ascii="Arial" w:cs="Arial" w:eastAsia="Arial" w:hAnsi="Arial"/>
          <w:sz w:val="19"/>
          <w:szCs w:val="19"/>
          <w:color w:val="auto"/>
        </w:rPr>
      </w:pPr>
    </w:p>
    <w:p>
      <w:pPr>
        <w:jc w:val="both"/>
        <w:ind w:firstLine="1305"/>
        <w:spacing w:after="0" w:line="235" w:lineRule="auto"/>
        <w:tabs>
          <w:tab w:leader="none" w:pos="2107" w:val="left"/>
        </w:tabs>
        <w:numPr>
          <w:ilvl w:val="0"/>
          <w:numId w:val="32"/>
        </w:numPr>
        <w:rPr>
          <w:rFonts w:ascii="Arial" w:cs="Arial" w:eastAsia="Arial" w:hAnsi="Arial"/>
          <w:sz w:val="22"/>
          <w:szCs w:val="22"/>
          <w:color w:val="auto"/>
        </w:rPr>
      </w:pPr>
      <w:r>
        <w:rPr>
          <w:rFonts w:ascii="Arial" w:cs="Arial" w:eastAsia="Arial" w:hAnsi="Arial"/>
          <w:sz w:val="22"/>
          <w:szCs w:val="22"/>
          <w:color w:val="auto"/>
        </w:rPr>
        <w:t>Executive represents and warrants that Executive has returned to the Company, by no later than the date Executive executes this Waiver and Release, all Company property and confidential information, including, without limitation, all expense reports, notes, memoranda, records, documents, employment manuals, credit cards, keys, pass keys, computers, electronic media (including flash drives), office equipment and sales records and data, together with any and all other information or property, no matter how produced, reproduced or maintained, kept by Executive in his possession and pertaining to the business of the Company.</w:t>
      </w:r>
    </w:p>
    <w:p>
      <w:pPr>
        <w:spacing w:after="0" w:line="215" w:lineRule="exact"/>
        <w:rPr>
          <w:rFonts w:ascii="Arial" w:cs="Arial" w:eastAsia="Arial" w:hAnsi="Arial"/>
          <w:sz w:val="22"/>
          <w:szCs w:val="22"/>
          <w:color w:val="auto"/>
        </w:rPr>
      </w:pPr>
    </w:p>
    <w:p>
      <w:pPr>
        <w:jc w:val="both"/>
        <w:ind w:firstLine="1305"/>
        <w:spacing w:after="0" w:line="238" w:lineRule="auto"/>
        <w:tabs>
          <w:tab w:leader="none" w:pos="2285" w:val="left"/>
        </w:tabs>
        <w:numPr>
          <w:ilvl w:val="0"/>
          <w:numId w:val="32"/>
        </w:numPr>
        <w:rPr>
          <w:rFonts w:ascii="Arial" w:cs="Arial" w:eastAsia="Arial" w:hAnsi="Arial"/>
          <w:sz w:val="22"/>
          <w:szCs w:val="22"/>
          <w:color w:val="auto"/>
        </w:rPr>
      </w:pPr>
      <w:r>
        <w:rPr>
          <w:rFonts w:ascii="Arial" w:cs="Arial" w:eastAsia="Arial" w:hAnsi="Arial"/>
          <w:sz w:val="22"/>
          <w:szCs w:val="22"/>
          <w:color w:val="auto"/>
        </w:rPr>
        <w:t>Executive represents and warrants that, with respect to the Company’s equity securities, any and all transactions reportable under Section 16 of the Securities Exchange Act of 1934, as amended, that occurred on or prior to the Termination Date have been timely and properly reported by Executive to the Company in accordance with the Company’s policies and procedures.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B</w:t>
      </w:r>
    </w:p>
    <w:p>
      <w:pPr>
        <w:spacing w:after="0" w:line="240" w:lineRule="exact"/>
        <w:rPr>
          <w:sz w:val="20"/>
          <w:szCs w:val="20"/>
          <w:color w:val="auto"/>
        </w:rPr>
      </w:pPr>
    </w:p>
    <w:p>
      <w:pPr>
        <w:jc w:val="both"/>
        <w:ind w:firstLine="656"/>
        <w:spacing w:after="0" w:line="234" w:lineRule="auto"/>
        <w:tabs>
          <w:tab w:leader="none" w:pos="154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Executive agrees to keep this Waiver and Release, its terms, and the amount of the Severance Benefits completely confidential; provided, however, that the Executive may reveal such information to the Executive’s attorney, accountants, financial advisor, spouse, or as required by a court of competent jurisdiction, or as otherwise required by law. Nothing in this Waiver and Release prohibits Executive from reporting possible violations of federal law or regulation to any government agency or entity or making other disclosures that are protected under whistleblower provisions of law. Executive does not need prior authorization to make such reports or disclosures and is not required to notify the Company that the Executive has made any such report or disclosure.</w:t>
      </w:r>
    </w:p>
    <w:p>
      <w:pPr>
        <w:spacing w:after="0" w:line="218" w:lineRule="exact"/>
        <w:rPr>
          <w:rFonts w:ascii="Arial" w:cs="Arial" w:eastAsia="Arial" w:hAnsi="Arial"/>
          <w:sz w:val="22"/>
          <w:szCs w:val="22"/>
          <w:color w:val="auto"/>
        </w:rPr>
      </w:pPr>
    </w:p>
    <w:p>
      <w:pPr>
        <w:jc w:val="both"/>
        <w:ind w:firstLine="656"/>
        <w:spacing w:after="0" w:line="233" w:lineRule="auto"/>
        <w:tabs>
          <w:tab w:leader="none" w:pos="1432"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Defend Trade Secrets Act</w:t>
      </w:r>
      <w:r>
        <w:rPr>
          <w:rFonts w:ascii="Arial" w:cs="Arial" w:eastAsia="Arial" w:hAnsi="Arial"/>
          <w:sz w:val="22"/>
          <w:szCs w:val="22"/>
          <w:color w:val="auto"/>
        </w:rPr>
        <w:t>. Executive is hereby notified that under the Defend Trade Secrets Act: (a) no individual will be held criminally or civilly liable under federal or state trade secret law for disclosure of a trade secret (as defined in the Economic Espionage Act) that is made in: (i) confidence to a federal, state, or local government official, either directly or indirectly, or to an attorney, and made solely for the purpose of reporting or investigating a suspected violation of law; or (ii) a complaint or other document filed in a lawsuit or other proceeding, if such filing is made under seal so that it is not made public; and (b)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220" w:lineRule="exact"/>
        <w:rPr>
          <w:rFonts w:ascii="Arial" w:cs="Arial" w:eastAsia="Arial" w:hAnsi="Arial"/>
          <w:sz w:val="22"/>
          <w:szCs w:val="22"/>
          <w:color w:val="auto"/>
        </w:rPr>
      </w:pPr>
    </w:p>
    <w:p>
      <w:pPr>
        <w:jc w:val="both"/>
        <w:ind w:firstLine="656"/>
        <w:spacing w:after="0" w:line="272" w:lineRule="auto"/>
        <w:tabs>
          <w:tab w:leader="none" w:pos="160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Time Period for Enforceability/Revocation of Agreement</w:t>
      </w:r>
      <w:r>
        <w:rPr>
          <w:rFonts w:ascii="Arial" w:cs="Arial" w:eastAsia="Arial" w:hAnsi="Arial"/>
          <w:sz w:val="19"/>
          <w:szCs w:val="19"/>
          <w:color w:val="auto"/>
        </w:rPr>
        <w:t>. The Company’s obligations under this Waiver and Release are contingent upon Executive executing and delivering this Waiver and Release to the Company. Executive may take up to [twenty-one (21)/forty-five (45)] days from the Delivery Date (the “</w:t>
      </w:r>
      <w:r>
        <w:rPr>
          <w:rFonts w:ascii="Arial" w:cs="Arial" w:eastAsia="Arial" w:hAnsi="Arial"/>
          <w:sz w:val="19"/>
          <w:szCs w:val="19"/>
          <w:b w:val="1"/>
          <w:bCs w:val="1"/>
          <w:i w:val="1"/>
          <w:iCs w:val="1"/>
          <w:color w:val="auto"/>
        </w:rPr>
        <w:t>Consideration Period</w:t>
      </w:r>
      <w:r>
        <w:rPr>
          <w:rFonts w:ascii="Arial" w:cs="Arial" w:eastAsia="Arial" w:hAnsi="Arial"/>
          <w:sz w:val="19"/>
          <w:szCs w:val="19"/>
          <w:color w:val="auto"/>
        </w:rPr>
        <w:t>”) to consider this Waiver and Release prior to executing it. Executive may execute and deliver this Waiver and Release at any time during the Consideration Period. Any changes made to this Waiver and Release after the Delivery Date will not restart the running of the Consideration Period. Any execution and delivery of this Waiver and Release by Executive after the expiration of the Consideration Period shall be unenforceable, and the Company shall not be bound thereby. Executive shall have seven (7) days after execution of this Waiver and Release to revoke (“</w:t>
      </w:r>
      <w:r>
        <w:rPr>
          <w:rFonts w:ascii="Arial" w:cs="Arial" w:eastAsia="Arial" w:hAnsi="Arial"/>
          <w:sz w:val="19"/>
          <w:szCs w:val="19"/>
          <w:b w:val="1"/>
          <w:bCs w:val="1"/>
          <w:i w:val="1"/>
          <w:iCs w:val="1"/>
          <w:color w:val="auto"/>
        </w:rPr>
        <w:t>Revocation Period</w:t>
      </w:r>
      <w:r>
        <w:rPr>
          <w:rFonts w:ascii="Arial" w:cs="Arial" w:eastAsia="Arial" w:hAnsi="Arial"/>
          <w:sz w:val="19"/>
          <w:szCs w:val="19"/>
          <w:color w:val="auto"/>
        </w:rPr>
        <w:t>”) Executive’s consent to this Waiver and Release by executing and delivering a written notice of revocation to the Company in accordance with the Notice provision of the Employment Agreement. No such revocation by Executive shall be effective unless it is in writing and signed by Executive and received by the Company prior to the expiration of the Revocation Period. Upon delivery of a notice of revocation to the Company, the obligations of the Parties under this Waiver and Release shall be void and unenforceable, with the exception of Executive’s obligation to keep this Waiver and Release confidential under Section 5 of this Waiver and Release.</w:t>
      </w:r>
    </w:p>
    <w:p>
      <w:pPr>
        <w:spacing w:after="0" w:line="184" w:lineRule="exact"/>
        <w:rPr>
          <w:rFonts w:ascii="Arial" w:cs="Arial" w:eastAsia="Arial" w:hAnsi="Arial"/>
          <w:sz w:val="19"/>
          <w:szCs w:val="19"/>
          <w:color w:val="auto"/>
        </w:rPr>
      </w:pPr>
    </w:p>
    <w:p>
      <w:pPr>
        <w:jc w:val="both"/>
        <w:ind w:firstLine="656"/>
        <w:spacing w:after="0"/>
        <w:tabs>
          <w:tab w:leader="none" w:pos="1742"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This Waiver and Release shall become effective as of the date on which it is executed by Executive, provided that it is also signed by the Company and provided that Executive does not timely revoke this Waiver and Release in accordance with the provisions of Section 7 of this Waiver and Release.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B</w:t>
      </w:r>
    </w:p>
    <w:p>
      <w:pPr>
        <w:spacing w:after="0" w:line="240" w:lineRule="exact"/>
        <w:rPr>
          <w:sz w:val="20"/>
          <w:szCs w:val="20"/>
          <w:color w:val="auto"/>
        </w:rPr>
      </w:pPr>
    </w:p>
    <w:p>
      <w:pPr>
        <w:jc w:val="both"/>
        <w:ind w:firstLine="656"/>
        <w:spacing w:after="0" w:line="277" w:lineRule="auto"/>
        <w:tabs>
          <w:tab w:leader="none" w:pos="1432"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Governing Law, Jurisdiction &amp; Venue</w:t>
      </w:r>
      <w:r>
        <w:rPr>
          <w:rFonts w:ascii="Arial" w:cs="Arial" w:eastAsia="Arial" w:hAnsi="Arial"/>
          <w:sz w:val="19"/>
          <w:szCs w:val="19"/>
          <w:color w:val="auto"/>
        </w:rPr>
        <w:t>. This Waiver and Release, and any and all interactions between the Parties arising under or resulting from this Waiver and Release, is governed by and construed in accordance with the laws of the State of Texas, exclusive of its choice of law principles. Each Party irrevocably consents to the personal jurisdiction of the state or federal courts located in Lubbock County, Texas with regard to any dispute arising out of or relating to this Waiver and Release. All payments due hereunder and all obligations performable hereunder shall be payable and performable at the offices of the Company in Lubbock, Texas. Executive represents to the Company that Executive has not filed any charge or complaint, nor initiated any other proceedings, against the Company or any of its employees or agents, with any governmental entity or court.</w:t>
      </w:r>
    </w:p>
    <w:p>
      <w:pPr>
        <w:spacing w:after="0" w:line="179" w:lineRule="exact"/>
        <w:rPr>
          <w:rFonts w:ascii="Arial" w:cs="Arial" w:eastAsia="Arial" w:hAnsi="Arial"/>
          <w:sz w:val="19"/>
          <w:szCs w:val="19"/>
          <w:color w:val="auto"/>
        </w:rPr>
      </w:pPr>
    </w:p>
    <w:p>
      <w:pPr>
        <w:jc w:val="both"/>
        <w:ind w:firstLine="656"/>
        <w:spacing w:after="0" w:line="287" w:lineRule="auto"/>
        <w:tabs>
          <w:tab w:leader="none" w:pos="1459"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Notwithstanding any other term of this Waiver and Release, it is expressly agreed that a breach of this Waiver and Release may cause irreparable harm to the Company and that a remedy at law may be inadequate. Therefore, in addition to any and all remedies available at law, the Company will be entitled to seek injunctive and/or other equitable remedies in the event of any threatened or actual violation of any of the provisions of this Waiver and Release.</w:t>
      </w:r>
    </w:p>
    <w:p>
      <w:pPr>
        <w:spacing w:after="0" w:line="170" w:lineRule="exact"/>
        <w:rPr>
          <w:rFonts w:ascii="Arial" w:cs="Arial" w:eastAsia="Arial" w:hAnsi="Arial"/>
          <w:sz w:val="19"/>
          <w:szCs w:val="19"/>
          <w:color w:val="auto"/>
        </w:rPr>
      </w:pPr>
    </w:p>
    <w:p>
      <w:pPr>
        <w:jc w:val="both"/>
        <w:ind w:firstLine="656"/>
        <w:spacing w:after="0" w:line="282" w:lineRule="auto"/>
        <w:tabs>
          <w:tab w:leader="none" w:pos="1437"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The Employment Agreement (including all documents referenced therein) and this Waiver and Release comprise the entire agreement between the Parties pertaining to the matters encompassed therein and herein, and supersede any other agreement, written or oral, that may exist between them relating to the matters encompassed therein and herein, except that this Waiver and Release does not in any way supersede or alter the covenants contained in the Non-Competition, Non-Solicitation and Confidentiality Agreement included as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xml:space="preserve"> to the Employment Agreement.</w:t>
      </w:r>
    </w:p>
    <w:p>
      <w:pPr>
        <w:spacing w:after="0" w:line="174" w:lineRule="exact"/>
        <w:rPr>
          <w:rFonts w:ascii="Arial" w:cs="Arial" w:eastAsia="Arial" w:hAnsi="Arial"/>
          <w:sz w:val="19"/>
          <w:szCs w:val="19"/>
          <w:color w:val="auto"/>
        </w:rPr>
      </w:pPr>
    </w:p>
    <w:p>
      <w:pPr>
        <w:jc w:val="both"/>
        <w:ind w:firstLine="656"/>
        <w:spacing w:after="0" w:line="297" w:lineRule="auto"/>
        <w:tabs>
          <w:tab w:leader="none" w:pos="1418"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Waiver and Release is found to be illegal or unenforceable, such finding shall not invalidate the remainder of this Waiver and Release, and that provision shall be deemed to be severed or modified to the minimum extent necessary to equitably adjust the Parties’ respective rights and obligations under this Waiver and Release.</w:t>
      </w:r>
    </w:p>
    <w:p>
      <w:pPr>
        <w:spacing w:after="0" w:line="161" w:lineRule="exact"/>
        <w:rPr>
          <w:rFonts w:ascii="Arial" w:cs="Arial" w:eastAsia="Arial" w:hAnsi="Arial"/>
          <w:sz w:val="19"/>
          <w:szCs w:val="19"/>
          <w:color w:val="auto"/>
        </w:rPr>
      </w:pPr>
    </w:p>
    <w:p>
      <w:pPr>
        <w:ind w:firstLine="656"/>
        <w:spacing w:after="0" w:line="328" w:lineRule="auto"/>
        <w:tabs>
          <w:tab w:leader="none" w:pos="1432"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Execution</w:t>
      </w:r>
      <w:r>
        <w:rPr>
          <w:rFonts w:ascii="Arial" w:cs="Arial" w:eastAsia="Arial" w:hAnsi="Arial"/>
          <w:sz w:val="19"/>
          <w:szCs w:val="19"/>
          <w:color w:val="auto"/>
        </w:rPr>
        <w:t>. This Waiver and Release may be executed in multiple counterparts, each of which will be deemed an original for all purposes. Facsimile copies of signatures to this Waiver and Release are as valid as original signatures.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NEXT PAGE]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ind w:left="10300"/>
        <w:spacing w:after="0"/>
        <w:rPr>
          <w:sz w:val="20"/>
          <w:szCs w:val="20"/>
          <w:color w:val="auto"/>
        </w:rPr>
      </w:pPr>
      <w:r>
        <w:rPr>
          <w:rFonts w:ascii="Arial" w:cs="Arial" w:eastAsia="Arial" w:hAnsi="Arial"/>
          <w:sz w:val="22"/>
          <w:szCs w:val="22"/>
          <w:b w:val="1"/>
          <w:bCs w:val="1"/>
          <w:color w:val="auto"/>
        </w:rPr>
        <w:t>EXHIBIT B</w:t>
      </w:r>
    </w:p>
    <w:p>
      <w:pPr>
        <w:spacing w:after="0" w:line="234"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EXECUTIVE’S SIGNATURE BELOW MEANS THAT EXECUTIVE HAS READ THIS WAIVER AND RELEASE AND AGREES AND CONSENTS TO ALL THE TERMS AND CONDITIONS CONTAINED HEREIN.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CITY BANK, TEXAS</w:t>
            </w:r>
          </w:p>
        </w:tc>
        <w:tc>
          <w:tcPr>
            <w:tcW w:w="6840" w:type="dxa"/>
            <w:vAlign w:val="bottom"/>
            <w:gridSpan w:val="2"/>
          </w:tcPr>
          <w:p>
            <w:pPr>
              <w:ind w:left="2280"/>
              <w:spacing w:after="0"/>
              <w:rPr>
                <w:sz w:val="20"/>
                <w:szCs w:val="20"/>
                <w:color w:val="auto"/>
              </w:rPr>
            </w:pPr>
            <w:r>
              <w:rPr>
                <w:rFonts w:ascii="Arial" w:cs="Arial" w:eastAsia="Arial" w:hAnsi="Arial"/>
                <w:sz w:val="18"/>
                <w:szCs w:val="18"/>
                <w:b w:val="1"/>
                <w:bCs w:val="1"/>
                <w:color w:val="auto"/>
              </w:rPr>
              <w:t>EXECUTIVE</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4"/>
                <w:szCs w:val="24"/>
                <w:color w:val="auto"/>
              </w:rPr>
            </w:pPr>
          </w:p>
        </w:tc>
        <w:tc>
          <w:tcPr>
            <w:tcW w:w="3320" w:type="dxa"/>
            <w:vAlign w:val="bottom"/>
          </w:tcPr>
          <w:p>
            <w:pPr>
              <w:ind w:left="2280"/>
              <w:spacing w:after="0"/>
              <w:rPr>
                <w:sz w:val="20"/>
                <w:szCs w:val="20"/>
                <w:color w:val="auto"/>
              </w:rPr>
            </w:pPr>
            <w:r>
              <w:rPr>
                <w:rFonts w:ascii="Arial" w:cs="Arial" w:eastAsia="Arial" w:hAnsi="Arial"/>
                <w:sz w:val="18"/>
                <w:szCs w:val="18"/>
                <w:color w:val="auto"/>
              </w:rPr>
              <w:t>Signature:</w:t>
            </w:r>
          </w:p>
        </w:tc>
        <w:tc>
          <w:tcPr>
            <w:tcW w:w="3520" w:type="dxa"/>
            <w:vAlign w:val="bottom"/>
            <w:tcBorders>
              <w:bottom w:val="single" w:sz="8" w:color="auto"/>
            </w:tcBorders>
          </w:tcPr>
          <w:p>
            <w:pPr>
              <w:spacing w:after="0"/>
              <w:rPr>
                <w:sz w:val="24"/>
                <w:szCs w:val="24"/>
                <w:color w:val="auto"/>
              </w:rPr>
            </w:pPr>
          </w:p>
        </w:tc>
      </w:tr>
      <w:tr>
        <w:trPr>
          <w:trHeight w:val="48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000" w:type="dxa"/>
            <w:vAlign w:val="bottom"/>
            <w:tcBorders>
              <w:bottom w:val="single" w:sz="8" w:color="auto"/>
            </w:tcBorders>
          </w:tcPr>
          <w:p>
            <w:pPr>
              <w:spacing w:after="0"/>
              <w:rPr>
                <w:sz w:val="24"/>
                <w:szCs w:val="24"/>
                <w:color w:val="auto"/>
              </w:rPr>
            </w:pPr>
          </w:p>
        </w:tc>
        <w:tc>
          <w:tcPr>
            <w:tcW w:w="3320" w:type="dxa"/>
            <w:vAlign w:val="bottom"/>
          </w:tcPr>
          <w:p>
            <w:pPr>
              <w:ind w:left="2280"/>
              <w:spacing w:after="0"/>
              <w:rPr>
                <w:sz w:val="20"/>
                <w:szCs w:val="20"/>
                <w:color w:val="auto"/>
              </w:rPr>
            </w:pPr>
            <w:r>
              <w:rPr>
                <w:rFonts w:ascii="Arial" w:cs="Arial" w:eastAsia="Arial" w:hAnsi="Arial"/>
                <w:sz w:val="18"/>
                <w:szCs w:val="18"/>
                <w:color w:val="auto"/>
              </w:rPr>
              <w:t>Print Name:</w:t>
            </w:r>
          </w:p>
        </w:tc>
        <w:tc>
          <w:tcPr>
            <w:tcW w:w="3520" w:type="dxa"/>
            <w:vAlign w:val="bottom"/>
            <w:tcBorders>
              <w:bottom w:val="single" w:sz="8" w:color="auto"/>
            </w:tcBorders>
          </w:tcPr>
          <w:p>
            <w:pPr>
              <w:spacing w:after="0"/>
              <w:rPr>
                <w:sz w:val="24"/>
                <w:szCs w:val="24"/>
                <w:color w:val="auto"/>
              </w:rPr>
            </w:pPr>
          </w:p>
        </w:tc>
      </w:tr>
      <w:tr>
        <w:trPr>
          <w:trHeight w:val="48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4000" w:type="dxa"/>
            <w:vAlign w:val="bottom"/>
            <w:tcBorders>
              <w:bottom w:val="single" w:sz="8" w:color="auto"/>
            </w:tcBorders>
          </w:tcPr>
          <w:p>
            <w:pPr>
              <w:spacing w:after="0"/>
              <w:rPr>
                <w:sz w:val="24"/>
                <w:szCs w:val="24"/>
                <w:color w:val="auto"/>
              </w:rPr>
            </w:pPr>
          </w:p>
        </w:tc>
        <w:tc>
          <w:tcPr>
            <w:tcW w:w="3320" w:type="dxa"/>
            <w:vAlign w:val="bottom"/>
          </w:tcPr>
          <w:p>
            <w:pPr>
              <w:ind w:left="2280"/>
              <w:spacing w:after="0"/>
              <w:rPr>
                <w:sz w:val="20"/>
                <w:szCs w:val="20"/>
                <w:color w:val="auto"/>
              </w:rPr>
            </w:pPr>
            <w:r>
              <w:rPr>
                <w:rFonts w:ascii="Arial" w:cs="Arial" w:eastAsia="Arial" w:hAnsi="Arial"/>
                <w:sz w:val="18"/>
                <w:szCs w:val="18"/>
                <w:color w:val="auto"/>
              </w:rPr>
              <w:t>Dated:</w:t>
            </w:r>
          </w:p>
        </w:tc>
        <w:tc>
          <w:tcPr>
            <w:tcW w:w="3520" w:type="dxa"/>
            <w:vAlign w:val="bottom"/>
            <w:tcBorders>
              <w:bottom w:val="single" w:sz="8" w:color="auto"/>
            </w:tcBorders>
          </w:tcPr>
          <w:p>
            <w:pPr>
              <w:spacing w:after="0"/>
              <w:rPr>
                <w:sz w:val="24"/>
                <w:szCs w:val="24"/>
                <w:color w:val="auto"/>
              </w:rPr>
            </w:pPr>
          </w:p>
        </w:tc>
      </w:tr>
      <w:tr>
        <w:trPr>
          <w:trHeight w:val="582"/>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840" w:type="dxa"/>
            <w:vAlign w:val="bottom"/>
            <w:gridSpan w:val="2"/>
          </w:tcPr>
          <w:p>
            <w:pPr>
              <w:ind w:left="800"/>
              <w:spacing w:after="0"/>
              <w:rPr>
                <w:sz w:val="20"/>
                <w:szCs w:val="20"/>
                <w:color w:val="auto"/>
              </w:rPr>
            </w:pPr>
            <w:r>
              <w:rPr>
                <w:rFonts w:ascii="Arial" w:cs="Arial" w:eastAsia="Arial" w:hAnsi="Arial"/>
                <w:sz w:val="14"/>
                <w:szCs w:val="14"/>
                <w:color w:val="auto"/>
              </w:rPr>
              <w:t>Page 6 of 6</w:t>
            </w:r>
          </w:p>
        </w:tc>
      </w:tr>
      <w:tr>
        <w:trPr>
          <w:trHeight w:val="46"/>
        </w:trPr>
        <w:tc>
          <w:tcPr>
            <w:tcW w:w="58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EXHIBIT 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CITY BANK, TEXAS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NON-COMPETITION, NON-SOLICITATION AND CONFIDENTIALITY AGREEMENT</w:t>
      </w:r>
    </w:p>
    <w:p>
      <w:pPr>
        <w:spacing w:after="0" w:line="21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This Non-Competition, Non-Solicitation and Confidentiality Agreement (this “</w:t>
      </w:r>
      <w:r>
        <w:rPr>
          <w:rFonts w:ascii="Arial" w:cs="Arial" w:eastAsia="Arial" w:hAnsi="Arial"/>
          <w:sz w:val="22"/>
          <w:szCs w:val="22"/>
          <w:b w:val="1"/>
          <w:bCs w:val="1"/>
          <w:i w:val="1"/>
          <w:iCs w:val="1"/>
          <w:color w:val="auto"/>
        </w:rPr>
        <w:t>Restrictive Covenants Agreement</w:t>
      </w:r>
      <w:r>
        <w:rPr>
          <w:rFonts w:ascii="Arial" w:cs="Arial" w:eastAsia="Arial" w:hAnsi="Arial"/>
          <w:sz w:val="22"/>
          <w:szCs w:val="22"/>
          <w:color w:val="auto"/>
        </w:rPr>
        <w:t>”) is made and entered into by City Bank, Texas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Curtis Griffith (the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xml:space="preserve">”). This Restrictive Covenants Agreement is </w:t>
      </w:r>
      <w:r>
        <w:rPr>
          <w:rFonts w:ascii="Arial" w:cs="Arial" w:eastAsia="Arial" w:hAnsi="Arial"/>
          <w:sz w:val="22"/>
          <w:szCs w:val="22"/>
          <w:b w:val="1"/>
          <w:bCs w:val="1"/>
          <w:color w:val="auto"/>
        </w:rPr>
        <w:t>Exhibit C</w:t>
      </w:r>
      <w:r>
        <w:rPr>
          <w:rFonts w:ascii="Arial" w:cs="Arial" w:eastAsia="Arial" w:hAnsi="Arial"/>
          <w:sz w:val="22"/>
          <w:szCs w:val="22"/>
          <w:color w:val="auto"/>
        </w:rPr>
        <w:t xml:space="preserve"> to the Employment Agreement (the “</w:t>
      </w:r>
      <w:r>
        <w:rPr>
          <w:rFonts w:ascii="Arial" w:cs="Arial" w:eastAsia="Arial" w:hAnsi="Arial"/>
          <w:sz w:val="22"/>
          <w:szCs w:val="22"/>
          <w:b w:val="1"/>
          <w:bCs w:val="1"/>
          <w:i w:val="1"/>
          <w:iCs w:val="1"/>
          <w:color w:val="auto"/>
        </w:rPr>
        <w:t>Employment Agreement</w:t>
      </w:r>
      <w:r>
        <w:rPr>
          <w:rFonts w:ascii="Arial" w:cs="Arial" w:eastAsia="Arial" w:hAnsi="Arial"/>
          <w:sz w:val="22"/>
          <w:szCs w:val="22"/>
          <w:color w:val="auto"/>
        </w:rPr>
        <w:t>”) by and among the Company, the Executive, and South Plains Financial, Inc. dated December 18, 2019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and is to be read in conjunction with the Employment Agreement. In consideration of the mutual promises made herein, the parties hereto agree to the terms and conditions set forth below.</w:t>
      </w:r>
    </w:p>
    <w:p>
      <w:pPr>
        <w:spacing w:after="0" w:line="215" w:lineRule="exact"/>
        <w:rPr>
          <w:sz w:val="20"/>
          <w:szCs w:val="20"/>
          <w:color w:val="auto"/>
        </w:rPr>
      </w:pPr>
    </w:p>
    <w:p>
      <w:pPr>
        <w:ind w:left="1420" w:hanging="764"/>
        <w:spacing w:after="0"/>
        <w:tabs>
          <w:tab w:leader="none" w:pos="142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within this Restrictive Covenants Agreement, the following definitions shall apply:</w:t>
      </w:r>
    </w:p>
    <w:p>
      <w:pPr>
        <w:spacing w:after="0" w:line="233" w:lineRule="exact"/>
        <w:rPr>
          <w:rFonts w:ascii="Arial" w:cs="Arial" w:eastAsia="Arial" w:hAnsi="Arial"/>
          <w:sz w:val="22"/>
          <w:szCs w:val="22"/>
          <w:color w:val="auto"/>
        </w:rPr>
      </w:pPr>
    </w:p>
    <w:p>
      <w:pPr>
        <w:ind w:left="2040" w:hanging="735"/>
        <w:spacing w:after="0"/>
        <w:tabs>
          <w:tab w:leader="none" w:pos="2040" w:val="left"/>
        </w:tabs>
        <w:numPr>
          <w:ilvl w:val="1"/>
          <w:numId w:val="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Affiliates</w:t>
      </w:r>
      <w:r>
        <w:rPr>
          <w:rFonts w:ascii="Arial" w:cs="Arial" w:eastAsia="Arial" w:hAnsi="Arial"/>
          <w:sz w:val="19"/>
          <w:szCs w:val="19"/>
          <w:color w:val="auto"/>
        </w:rPr>
        <w:t>” means the Company’s parents, subsidiaries, successors, assigns, and any other affiliated entities.</w:t>
      </w:r>
    </w:p>
    <w:p>
      <w:pPr>
        <w:spacing w:after="0" w:line="267" w:lineRule="exact"/>
        <w:rPr>
          <w:rFonts w:ascii="Arial" w:cs="Arial" w:eastAsia="Arial" w:hAnsi="Arial"/>
          <w:sz w:val="19"/>
          <w:szCs w:val="19"/>
          <w:color w:val="auto"/>
        </w:rPr>
      </w:pPr>
    </w:p>
    <w:p>
      <w:pPr>
        <w:jc w:val="both"/>
        <w:ind w:firstLine="1305"/>
        <w:spacing w:after="0"/>
        <w:tabs>
          <w:tab w:leader="none" w:pos="2170" w:val="left"/>
        </w:tabs>
        <w:numPr>
          <w:ilvl w:val="1"/>
          <w:numId w:val="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Competitive Business</w:t>
      </w:r>
      <w:r>
        <w:rPr>
          <w:rFonts w:ascii="Arial" w:cs="Arial" w:eastAsia="Arial" w:hAnsi="Arial"/>
          <w:sz w:val="22"/>
          <w:szCs w:val="22"/>
          <w:color w:val="auto"/>
        </w:rPr>
        <w:t>” means any Person, and any parent, subsidiary, or affiliate of any Person, that engages in the banking and financial services business, which includes, without limitation, consumer savings, commercial banking, the savings and the loan business and mortgage lending.</w:t>
      </w:r>
    </w:p>
    <w:p>
      <w:pPr>
        <w:spacing w:after="0" w:line="213" w:lineRule="exact"/>
        <w:rPr>
          <w:rFonts w:ascii="Arial" w:cs="Arial" w:eastAsia="Arial" w:hAnsi="Arial"/>
          <w:sz w:val="22"/>
          <w:szCs w:val="22"/>
          <w:color w:val="auto"/>
        </w:rPr>
      </w:pPr>
    </w:p>
    <w:p>
      <w:pPr>
        <w:jc w:val="both"/>
        <w:ind w:firstLine="1305"/>
        <w:spacing w:after="0" w:line="273" w:lineRule="auto"/>
        <w:tabs>
          <w:tab w:leader="none" w:pos="2185" w:val="left"/>
        </w:tabs>
        <w:numPr>
          <w:ilvl w:val="1"/>
          <w:numId w:val="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information of any kind, nature, or description, that (i) relates to the Company’s business or the business of Affiliates, (ii) provides the Company or Affiliates economic value or any business advantage, (iii) is not generally known to the public, and (iv) is learned or developed by the Executive as a direct or indirect result of, or during the course of, the Executive’s employment with the Company. Confidential Information includes, but is not limited to, the Company’s trade secrets, Affiliates’ trade secrets, and intellectual property and may also relate to, without limitation: any customer; business, merchandise, or marketing procedures, processes, and services; hardware; software; research; marketing; developments; products; product lines; design; purchasing; finances and financial affairs; accounting; merchandising; selling; engineering; employees; training; business practices; acquisitions; potential acquisitions; customer lists; customer contact lists; vendor lists; supplier lists; pricing; pricing agreements; merchandise resources; supply resources; service resources; system designs; procedures or manuals; policies; the prices the Company or Affiliates obtain or have obtained or at which they sell or have sold their services or products; or the name of the Company’s or Affiliates’ personnel and those to whom the personnel report.</w:t>
      </w:r>
    </w:p>
    <w:p>
      <w:pPr>
        <w:spacing w:after="0" w:line="183" w:lineRule="exact"/>
        <w:rPr>
          <w:rFonts w:ascii="Arial" w:cs="Arial" w:eastAsia="Arial" w:hAnsi="Arial"/>
          <w:sz w:val="19"/>
          <w:szCs w:val="19"/>
          <w:color w:val="auto"/>
        </w:rPr>
      </w:pPr>
    </w:p>
    <w:p>
      <w:pPr>
        <w:ind w:right="20" w:firstLine="1305"/>
        <w:spacing w:after="0" w:line="251" w:lineRule="auto"/>
        <w:tabs>
          <w:tab w:leader="none" w:pos="2372" w:val="left"/>
        </w:tabs>
        <w:numPr>
          <w:ilvl w:val="1"/>
          <w:numId w:val="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 individual, a corporation, a bank, a limited liability company, an association, a partnership, an estate, a trust, or any other entity or organization.</w:t>
      </w:r>
    </w:p>
    <w:p>
      <w:pPr>
        <w:spacing w:after="0" w:line="200" w:lineRule="exact"/>
        <w:rPr>
          <w:rFonts w:ascii="Arial" w:cs="Arial" w:eastAsia="Arial" w:hAnsi="Arial"/>
          <w:sz w:val="22"/>
          <w:szCs w:val="22"/>
          <w:color w:val="auto"/>
        </w:rPr>
      </w:pPr>
    </w:p>
    <w:p>
      <w:pPr>
        <w:jc w:val="both"/>
        <w:ind w:firstLine="1305"/>
        <w:spacing w:after="0" w:line="249" w:lineRule="auto"/>
        <w:tabs>
          <w:tab w:leader="none" w:pos="2225" w:val="left"/>
        </w:tabs>
        <w:numPr>
          <w:ilvl w:val="1"/>
          <w:numId w:val="3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Restricted Customer</w:t>
      </w:r>
      <w:r>
        <w:rPr>
          <w:rFonts w:ascii="Arial" w:cs="Arial" w:eastAsia="Arial" w:hAnsi="Arial"/>
          <w:sz w:val="21"/>
          <w:szCs w:val="21"/>
          <w:color w:val="auto"/>
        </w:rPr>
        <w:t>” means those Persons with which the Company has contracted or to which the Company has sold or provided products or services to at any time during the one year during and immediately prior to the Executive’s last day of employment, and with respect to which the Executive has participated in any efforts related to the provision of goods or services, had contact with or supervised employees who had contact with, or received Confidential Information about within the one year immediately prior to the Executive’s last day of employment.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color w:val="auto"/>
        </w:rPr>
        <w:t>EXHIBIT C</w:t>
      </w:r>
    </w:p>
    <w:p>
      <w:pPr>
        <w:spacing w:after="0" w:line="240" w:lineRule="exact"/>
        <w:rPr>
          <w:sz w:val="20"/>
          <w:szCs w:val="20"/>
          <w:color w:val="auto"/>
        </w:rPr>
      </w:pPr>
    </w:p>
    <w:p>
      <w:pPr>
        <w:ind w:firstLine="1305"/>
        <w:spacing w:after="0" w:line="251" w:lineRule="auto"/>
        <w:tabs>
          <w:tab w:leader="none" w:pos="1999" w:val="left"/>
        </w:tabs>
        <w:numPr>
          <w:ilvl w:val="1"/>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Period</w:t>
      </w:r>
      <w:r>
        <w:rPr>
          <w:rFonts w:ascii="Arial" w:cs="Arial" w:eastAsia="Arial" w:hAnsi="Arial"/>
          <w:sz w:val="22"/>
          <w:szCs w:val="22"/>
          <w:color w:val="auto"/>
        </w:rPr>
        <w:t>” means the period during the Executive’s employment with the Company and the two-year period immediately following the Executive’s employment with the Company being terminated.</w:t>
      </w:r>
    </w:p>
    <w:p>
      <w:pPr>
        <w:spacing w:after="0" w:line="200" w:lineRule="exact"/>
        <w:rPr>
          <w:rFonts w:ascii="Arial" w:cs="Arial" w:eastAsia="Arial" w:hAnsi="Arial"/>
          <w:sz w:val="22"/>
          <w:szCs w:val="22"/>
          <w:color w:val="auto"/>
        </w:rPr>
      </w:pPr>
    </w:p>
    <w:p>
      <w:pPr>
        <w:ind w:left="1420" w:hanging="764"/>
        <w:spacing w:after="0"/>
        <w:tabs>
          <w:tab w:leader="none" w:pos="142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Covenants of the Company and the Executive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73" w:lineRule="auto"/>
        <w:tabs>
          <w:tab w:leader="none" w:pos="1955"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Covenants of the Company</w:t>
      </w:r>
      <w:r>
        <w:rPr>
          <w:rFonts w:ascii="Arial" w:cs="Arial" w:eastAsia="Arial" w:hAnsi="Arial"/>
          <w:sz w:val="19"/>
          <w:szCs w:val="19"/>
          <w:color w:val="auto"/>
        </w:rPr>
        <w:t>. The Executive acknowledges that the Company, on an ongoing basis, receives, creates, and maintains highly confidential third-party and proprietary information. As a result of the employment relationship that is continued because of this Restrictive Covenants Agreement, upon the full execution hereof, the Company will provide the Executive with (i) Confidential Information and access to such information, (ii) specialized training, including self-study materials and course work, classroom training, on-line training, on-the-job training, or instruction as to the Company’s products, services, operations, and methods of protecting Confidential Information, and/or (iii) goodwill support such as expense reimbursements in accordance with the Company’s policies, Confidential Information related to the Company’s current and prospective clients, customers, and business associates, or contact and relationships with current and potential clients, customers, and business associates, to help the Executive develop goodwill for the Company. The foregoing is not contingent upon continued employment of the Executive for any length of time, but is contingent upon the Executive’s full compliance with the restrictions in Sections 2 and 3 of this Restrictive Covenants Agreement.</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1305"/>
        <w:spacing w:after="0" w:line="248" w:lineRule="auto"/>
        <w:tabs>
          <w:tab w:leader="none" w:pos="1994" w:val="left"/>
        </w:tabs>
        <w:numPr>
          <w:ilvl w:val="1"/>
          <w:numId w:val="37"/>
        </w:numPr>
        <w:rPr>
          <w:rFonts w:ascii="Arial" w:cs="Arial" w:eastAsia="Arial" w:hAnsi="Arial"/>
          <w:sz w:val="21"/>
          <w:szCs w:val="21"/>
          <w:color w:val="auto"/>
        </w:rPr>
      </w:pPr>
      <w:r>
        <w:rPr>
          <w:rFonts w:ascii="Arial" w:cs="Arial" w:eastAsia="Arial" w:hAnsi="Arial"/>
          <w:sz w:val="21"/>
          <w:szCs w:val="21"/>
          <w:u w:val="single" w:color="auto"/>
          <w:color w:val="auto"/>
        </w:rPr>
        <w:t>Covenants of the Executive</w:t>
      </w:r>
      <w:r>
        <w:rPr>
          <w:rFonts w:ascii="Arial" w:cs="Arial" w:eastAsia="Arial" w:hAnsi="Arial"/>
          <w:sz w:val="21"/>
          <w:szCs w:val="21"/>
          <w:color w:val="auto"/>
        </w:rPr>
        <w:t>. The Executive agrees not to use or disclose any Confidential Information other than in the course of the Executive’s employment and for the benefit of the Company (as determined by the Executive in good faith). Notwithstanding the foregoing, nothing in this Restrictive Covenants Agreement prohibits the Executive from communicating with an appropriate governmental agency or entity regarding a possible violation of federal law or regulation or making disclosures that are protected under any whistleblower provisions of law or regulation. Importantly, the Executive is encouraged to communicate any such concerns directly with the Company.</w:t>
      </w:r>
    </w:p>
    <w:p>
      <w:pPr>
        <w:spacing w:after="0" w:line="204" w:lineRule="exact"/>
        <w:rPr>
          <w:rFonts w:ascii="Arial" w:cs="Arial" w:eastAsia="Arial" w:hAnsi="Arial"/>
          <w:sz w:val="21"/>
          <w:szCs w:val="21"/>
          <w:color w:val="auto"/>
        </w:rPr>
      </w:pPr>
    </w:p>
    <w:p>
      <w:pPr>
        <w:jc w:val="both"/>
        <w:ind w:firstLine="1305"/>
        <w:spacing w:after="0" w:line="238" w:lineRule="auto"/>
        <w:tabs>
          <w:tab w:leader="none" w:pos="2144"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Settlement of Rights</w:t>
      </w:r>
      <w:r>
        <w:rPr>
          <w:rFonts w:ascii="Arial" w:cs="Arial" w:eastAsia="Arial" w:hAnsi="Arial"/>
          <w:sz w:val="22"/>
          <w:szCs w:val="22"/>
          <w:color w:val="auto"/>
        </w:rPr>
        <w:t>. The Executive agrees that (i) all goodwill developed with the Company’s clients, customers, and other business contacts by the Executive during past employment with the Company are the exclusive property of the Company, and (ii) the Confidential Information and specialized training received by the Executive during any past employment with the Company will be used only for the benefit of the Company.</w:t>
      </w:r>
    </w:p>
    <w:p>
      <w:pPr>
        <w:spacing w:after="0" w:line="212" w:lineRule="exact"/>
        <w:rPr>
          <w:rFonts w:ascii="Arial" w:cs="Arial" w:eastAsia="Arial" w:hAnsi="Arial"/>
          <w:sz w:val="22"/>
          <w:szCs w:val="22"/>
          <w:color w:val="auto"/>
        </w:rPr>
      </w:pPr>
    </w:p>
    <w:p>
      <w:pPr>
        <w:jc w:val="both"/>
        <w:ind w:firstLine="1305"/>
        <w:spacing w:after="0" w:line="282" w:lineRule="auto"/>
        <w:tabs>
          <w:tab w:leader="none" w:pos="2075"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Goodwill with Customers</w:t>
      </w:r>
      <w:r>
        <w:rPr>
          <w:rFonts w:ascii="Arial" w:cs="Arial" w:eastAsia="Arial" w:hAnsi="Arial"/>
          <w:sz w:val="19"/>
          <w:szCs w:val="19"/>
          <w:color w:val="auto"/>
        </w:rPr>
        <w:t>. The Executive acknowledges that the Company and the Affiliates have lasting relationships with their customers and own the goodwill in the Executive’s relationships with customers that the Executive will or has developed or maintained in the course and scope of the Executive’s employment with the Company. If the Executive owned goodwill in a relationship with a customer when the Executive commenced employment with the Company, then the Executive hereby assigns any and all such goodwill to the Company, and the Company shall become the owner of such goodwill.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t>EXHIBIT C</w:t>
      </w:r>
    </w:p>
    <w:p>
      <w:pPr>
        <w:spacing w:after="0" w:line="240" w:lineRule="exact"/>
        <w:rPr>
          <w:sz w:val="20"/>
          <w:szCs w:val="20"/>
          <w:color w:val="auto"/>
        </w:rPr>
      </w:pPr>
    </w:p>
    <w:p>
      <w:pPr>
        <w:jc w:val="both"/>
        <w:ind w:firstLine="1305"/>
        <w:spacing w:after="0" w:line="234" w:lineRule="auto"/>
        <w:tabs>
          <w:tab w:leader="none" w:pos="2171"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The Company’s Property</w:t>
      </w:r>
      <w:r>
        <w:rPr>
          <w:rFonts w:ascii="Arial" w:cs="Arial" w:eastAsia="Arial" w:hAnsi="Arial"/>
          <w:sz w:val="22"/>
          <w:szCs w:val="22"/>
          <w:color w:val="auto"/>
        </w:rPr>
        <w:t>. All documents and things provided to the Executive by the Company or its Affiliates for use in connection with the Executive’s employment, or created by the Executive in the course and scope of the Executive’s employment with the Company, are the property of the Company or its Affiliates and shall be held by the Executive as a fiduciary on behalf of the Company. Upon termination of the Executive’s employment, the Executive shall surrender to the Company all such documents and things, including, but not limited to, all Confidential Information, together with all copies, reproductions or electronic versions of any kind to the extent that such copies, reproductions or versions contain Confidential Information.</w:t>
      </w:r>
    </w:p>
    <w:p>
      <w:pPr>
        <w:spacing w:after="0" w:line="218" w:lineRule="exact"/>
        <w:rPr>
          <w:rFonts w:ascii="Arial" w:cs="Arial" w:eastAsia="Arial" w:hAnsi="Arial"/>
          <w:sz w:val="22"/>
          <w:szCs w:val="22"/>
          <w:color w:val="auto"/>
        </w:rPr>
      </w:pPr>
    </w:p>
    <w:p>
      <w:pPr>
        <w:ind w:right="20" w:firstLine="1305"/>
        <w:spacing w:after="0" w:line="251" w:lineRule="auto"/>
        <w:tabs>
          <w:tab w:leader="none" w:pos="2039"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Duty of Loyalty</w:t>
      </w:r>
      <w:r>
        <w:rPr>
          <w:rFonts w:ascii="Arial" w:cs="Arial" w:eastAsia="Arial" w:hAnsi="Arial"/>
          <w:sz w:val="22"/>
          <w:szCs w:val="22"/>
          <w:color w:val="auto"/>
        </w:rPr>
        <w:t>. The Executive agrees that nothing in this Restrictive Covenants Agreement shall limit, in any way, the fiduciary duties that the Executive owes to the Company under any applicable law.</w:t>
      </w:r>
    </w:p>
    <w:p>
      <w:pPr>
        <w:spacing w:after="0" w:line="200" w:lineRule="exact"/>
        <w:rPr>
          <w:rFonts w:ascii="Arial" w:cs="Arial" w:eastAsia="Arial" w:hAnsi="Arial"/>
          <w:sz w:val="22"/>
          <w:szCs w:val="22"/>
          <w:color w:val="auto"/>
        </w:rPr>
      </w:pPr>
    </w:p>
    <w:p>
      <w:pPr>
        <w:ind w:right="20" w:firstLine="656"/>
        <w:spacing w:after="0" w:line="328" w:lineRule="auto"/>
        <w:tabs>
          <w:tab w:leader="none" w:pos="1594"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Non-Competition and Non-Solicitation</w:t>
      </w:r>
      <w:r>
        <w:rPr>
          <w:rFonts w:ascii="Arial" w:cs="Arial" w:eastAsia="Arial" w:hAnsi="Arial"/>
          <w:sz w:val="19"/>
          <w:szCs w:val="19"/>
          <w:color w:val="auto"/>
        </w:rPr>
        <w:t>. The Executive agrees that the following covenants are reasonable and necessary agreements for the protection of the business interests covered in Section 2 of this Restrictive Covenants Agreement.</w:t>
      </w:r>
    </w:p>
    <w:p>
      <w:pPr>
        <w:spacing w:after="0" w:line="132" w:lineRule="exact"/>
        <w:rPr>
          <w:rFonts w:ascii="Arial" w:cs="Arial" w:eastAsia="Arial" w:hAnsi="Arial"/>
          <w:sz w:val="19"/>
          <w:szCs w:val="19"/>
          <w:color w:val="auto"/>
        </w:rPr>
      </w:pPr>
    </w:p>
    <w:p>
      <w:pPr>
        <w:jc w:val="both"/>
        <w:ind w:firstLine="1305"/>
        <w:spacing w:after="0" w:line="277" w:lineRule="auto"/>
        <w:tabs>
          <w:tab w:leader="none" w:pos="2117"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The Executive agrees that during the Restricted Period, regardless of the reason for termination of employment, the Executive shall not, directly or indirectly, be employed by, supervise, assist, perform services, work, or otherwise engage in activities for a Competitive Business in any capacity within fifty (50) miles of any location where the Company or Affiliates are located, which the parties stipulate is a reasonable geographic area because of the scope of the Company’s operations and the Executive’s employment with the Company. The Executive may not avoid the purpose and intent of this paragraph by engaging in conduct within the geographically limited area from a remote location through means such as telecommunications, written correspondence, computer generated or assisted communications, or other similar methods.</w:t>
      </w:r>
    </w:p>
    <w:p>
      <w:pPr>
        <w:spacing w:after="0" w:line="179" w:lineRule="exact"/>
        <w:rPr>
          <w:rFonts w:ascii="Arial" w:cs="Arial" w:eastAsia="Arial" w:hAnsi="Arial"/>
          <w:sz w:val="19"/>
          <w:szCs w:val="19"/>
          <w:color w:val="auto"/>
        </w:rPr>
      </w:pPr>
    </w:p>
    <w:p>
      <w:pPr>
        <w:jc w:val="both"/>
        <w:ind w:firstLine="1305"/>
        <w:spacing w:after="0" w:line="275" w:lineRule="auto"/>
        <w:tabs>
          <w:tab w:leader="none" w:pos="2332"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Non-Solicitation of Restricted Customers</w:t>
      </w:r>
      <w:r>
        <w:rPr>
          <w:rFonts w:ascii="Arial" w:cs="Arial" w:eastAsia="Arial" w:hAnsi="Arial"/>
          <w:sz w:val="19"/>
          <w:szCs w:val="19"/>
          <w:color w:val="auto"/>
        </w:rPr>
        <w:t>. The Executive agrees that during the Restricted Period, regardless of the reason for termination of employment, the Executive shall not, on behalf of a Competitive Business, directly or indirectly solicit, cause to be solicited, sell to, contact, supervise, assist, or otherwise be involved with the solicitation of, or do or otherwise attempt to do business with a Restricted Customer. This paragraph is geographically limited to wherever any Restricted Customer can be found or is available for solicitation, which the parties stipulate is a reasonable geographic area because of the scope of the Company’s operations and the Executive’s employment with the Company. The Executive may not avoid the purpose and intent of this paragraph by engaging in conduct within the geographically limited area from a remote location through means such as telecommunications, written correspondence, computer generated or assisted communications, or other similar methods.</w:t>
      </w:r>
    </w:p>
    <w:p>
      <w:pPr>
        <w:spacing w:after="0" w:line="185" w:lineRule="exact"/>
        <w:rPr>
          <w:rFonts w:ascii="Arial" w:cs="Arial" w:eastAsia="Arial" w:hAnsi="Arial"/>
          <w:sz w:val="19"/>
          <w:szCs w:val="19"/>
          <w:color w:val="auto"/>
        </w:rPr>
      </w:pPr>
    </w:p>
    <w:p>
      <w:pPr>
        <w:jc w:val="both"/>
        <w:ind w:firstLine="1305"/>
        <w:spacing w:after="0" w:line="246" w:lineRule="auto"/>
        <w:tabs>
          <w:tab w:leader="none" w:pos="2103" w:val="left"/>
        </w:tabs>
        <w:numPr>
          <w:ilvl w:val="1"/>
          <w:numId w:val="39"/>
        </w:numPr>
        <w:rPr>
          <w:rFonts w:ascii="Arial" w:cs="Arial" w:eastAsia="Arial" w:hAnsi="Arial"/>
          <w:sz w:val="21"/>
          <w:szCs w:val="21"/>
          <w:color w:val="auto"/>
        </w:rPr>
      </w:pPr>
      <w:r>
        <w:rPr>
          <w:rFonts w:ascii="Arial" w:cs="Arial" w:eastAsia="Arial" w:hAnsi="Arial"/>
          <w:sz w:val="21"/>
          <w:szCs w:val="21"/>
          <w:u w:val="single" w:color="auto"/>
          <w:color w:val="auto"/>
        </w:rPr>
        <w:t>Non-Solicitation of Employees and Contractors</w:t>
      </w:r>
      <w:r>
        <w:rPr>
          <w:rFonts w:ascii="Arial" w:cs="Arial" w:eastAsia="Arial" w:hAnsi="Arial"/>
          <w:sz w:val="21"/>
          <w:szCs w:val="21"/>
          <w:color w:val="auto"/>
        </w:rPr>
        <w:t>. The Executive agrees that during the Restricted Period, regardless of the reason for termination of employment, the Executive shall not directly or indirectly solicit, cause to be solicited, assist, or otherwise be involved with the solicitation of, any employee, contractor or other person to terminate that person’s employment, contract or relationship with the Company or to breach that person’s employment agreement or contract with the Company. Further, the Executive agrees that during the Restricted Period, regardless of the reason for termination of employment, the Executive will not, directly or indirectly, hire, recruit, solicit, or participate or assist any person or entity in hiring, recruiting or soliciting, any individual who was an employee or contractor of the Company at any time within the last twelve (12) months of the Executive’s employment with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C</w:t>
      </w:r>
    </w:p>
    <w:p>
      <w:pPr>
        <w:spacing w:after="0" w:line="240" w:lineRule="exact"/>
        <w:rPr>
          <w:sz w:val="20"/>
          <w:szCs w:val="20"/>
          <w:color w:val="auto"/>
        </w:rPr>
      </w:pPr>
    </w:p>
    <w:p>
      <w:pPr>
        <w:jc w:val="both"/>
        <w:ind w:firstLine="1305"/>
        <w:spacing w:after="0" w:line="270" w:lineRule="auto"/>
        <w:tabs>
          <w:tab w:leader="none" w:pos="2305" w:val="left"/>
        </w:tabs>
        <w:numPr>
          <w:ilvl w:val="2"/>
          <w:numId w:val="40"/>
        </w:numPr>
        <w:rPr>
          <w:rFonts w:ascii="Arial" w:cs="Arial" w:eastAsia="Arial" w:hAnsi="Arial"/>
          <w:sz w:val="19"/>
          <w:szCs w:val="19"/>
          <w:color w:val="auto"/>
        </w:rPr>
      </w:pPr>
      <w:r>
        <w:rPr>
          <w:rFonts w:ascii="Arial" w:cs="Arial" w:eastAsia="Arial" w:hAnsi="Arial"/>
          <w:sz w:val="19"/>
          <w:szCs w:val="19"/>
          <w:u w:val="single" w:color="auto"/>
          <w:color w:val="auto"/>
        </w:rPr>
        <w:t>Early Resolution Conference</w:t>
      </w:r>
      <w:r>
        <w:rPr>
          <w:rFonts w:ascii="Arial" w:cs="Arial" w:eastAsia="Arial" w:hAnsi="Arial"/>
          <w:sz w:val="19"/>
          <w:szCs w:val="19"/>
          <w:color w:val="auto"/>
        </w:rPr>
        <w:t>. This Restrictive Covenants Agreement is understood to be clear and enforceable as written and is executed by both parties on that basis. However, should the Executive later challenge any provision as unclear, unenforceable, or inapplicable to any activity in which the Executive intends to engage, the Executive will first notify the Company in writing and meet with the Company’s representative and a neutral mediator (if the Company elects to retain one at its expense) to discuss resolution of any disputes between the parties. The Executive will provide this notification at least fourteen</w:t>
      </w:r>
    </w:p>
    <w:p>
      <w:pPr>
        <w:spacing w:after="0" w:line="4" w:lineRule="exact"/>
        <w:rPr>
          <w:rFonts w:ascii="Arial" w:cs="Arial" w:eastAsia="Arial" w:hAnsi="Arial"/>
          <w:sz w:val="19"/>
          <w:szCs w:val="19"/>
          <w:color w:val="auto"/>
        </w:rPr>
      </w:pPr>
    </w:p>
    <w:p>
      <w:pPr>
        <w:jc w:val="both"/>
        <w:ind w:firstLine="8"/>
        <w:spacing w:after="0" w:line="232" w:lineRule="auto"/>
        <w:tabs>
          <w:tab w:leader="none" w:pos="423" w:val="left"/>
        </w:tabs>
        <w:numPr>
          <w:ilvl w:val="0"/>
          <w:numId w:val="41"/>
        </w:numPr>
        <w:rPr>
          <w:rFonts w:ascii="Arial" w:cs="Arial" w:eastAsia="Arial" w:hAnsi="Arial"/>
          <w:sz w:val="22"/>
          <w:szCs w:val="22"/>
          <w:color w:val="auto"/>
        </w:rPr>
      </w:pPr>
      <w:r>
        <w:rPr>
          <w:rFonts w:ascii="Arial" w:cs="Arial" w:eastAsia="Arial" w:hAnsi="Arial"/>
          <w:sz w:val="22"/>
          <w:szCs w:val="22"/>
          <w:color w:val="auto"/>
        </w:rPr>
        <w:t>days before the Executive engages in any activity on behalf of a Competitive Business or engages in other activity that could foreseeably fall within a questioned restriction. The Executive agrees that during the term of the restrictions in Sections 3(a), 3(b) and 3(c) of this Restrictive Covenants Agreement, the Executive shall promptly inform the Company in writing of the identity of any new employer, the job title of the Executive’s new position, and a description of any services to be rendered to that employer; and, if the new employer is a Competitive Business, will communicate the Executive’s obligations under this Restrictive Covenants Agreement to each new employer, which shall include providing each new employer with a copy of this Restrictive Covenants Agreement.</w:t>
      </w:r>
    </w:p>
    <w:p>
      <w:pPr>
        <w:spacing w:after="0" w:line="215" w:lineRule="exact"/>
        <w:rPr>
          <w:rFonts w:ascii="Arial" w:cs="Arial" w:eastAsia="Arial" w:hAnsi="Arial"/>
          <w:sz w:val="22"/>
          <w:szCs w:val="22"/>
          <w:color w:val="auto"/>
        </w:rPr>
      </w:pPr>
    </w:p>
    <w:p>
      <w:pPr>
        <w:ind w:left="1460" w:hanging="804"/>
        <w:spacing w:after="0"/>
        <w:tabs>
          <w:tab w:leader="none" w:pos="1460"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Survival/Enforcement of Restrictive Covenants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75" w:lineRule="auto"/>
        <w:tabs>
          <w:tab w:leader="none" w:pos="2347" w:val="left"/>
        </w:tabs>
        <w:numPr>
          <w:ilvl w:val="2"/>
          <w:numId w:val="41"/>
        </w:numPr>
        <w:rPr>
          <w:rFonts w:ascii="Arial" w:cs="Arial" w:eastAsia="Arial" w:hAnsi="Arial"/>
          <w:sz w:val="19"/>
          <w:szCs w:val="19"/>
          <w:color w:val="auto"/>
        </w:rPr>
      </w:pPr>
      <w:r>
        <w:rPr>
          <w:rFonts w:ascii="Arial" w:cs="Arial" w:eastAsia="Arial" w:hAnsi="Arial"/>
          <w:sz w:val="19"/>
          <w:szCs w:val="19"/>
          <w:u w:val="single" w:color="auto"/>
          <w:color w:val="auto"/>
        </w:rPr>
        <w:t>Survival of Covenants</w:t>
      </w:r>
      <w:r>
        <w:rPr>
          <w:rFonts w:ascii="Arial" w:cs="Arial" w:eastAsia="Arial" w:hAnsi="Arial"/>
          <w:sz w:val="19"/>
          <w:szCs w:val="19"/>
          <w:color w:val="auto"/>
        </w:rPr>
        <w:t>. Each restriction set forth in Sections 2 and 3 of this Restrictive Covenants Agreement shall survive the termination of the Executive’s employment with the Company to the extent expressly set forth in this Agreement. The existence of any claim or cause of action of the Executive against the Company, whether predicated on this Restrictive Covenants Agreement or otherwise, shall not constitute a defense to the enforcement by the Company of any covenant contained in this Restrictive Covenants Agreement. In the event an enforcement remedy is sought under Sections 3(a), 3(b) or 3(c) of this Restrictive Covenants Agreement, the periods of time provided in those Sections shall be extended by one day for each day the Executive failed to comply with the restriction at issue, it being the intention of the parties hereto that the running of the applicable post-termination restriction period shall be tolled during any period of such violation.</w:t>
      </w:r>
    </w:p>
    <w:p>
      <w:pPr>
        <w:spacing w:after="0" w:line="185" w:lineRule="exact"/>
        <w:rPr>
          <w:rFonts w:ascii="Arial" w:cs="Arial" w:eastAsia="Arial" w:hAnsi="Arial"/>
          <w:sz w:val="19"/>
          <w:szCs w:val="19"/>
          <w:color w:val="auto"/>
        </w:rPr>
      </w:pPr>
    </w:p>
    <w:p>
      <w:pPr>
        <w:jc w:val="both"/>
        <w:ind w:firstLine="1305"/>
        <w:spacing w:after="0" w:line="277" w:lineRule="auto"/>
        <w:tabs>
          <w:tab w:leader="none" w:pos="1981" w:val="left"/>
        </w:tabs>
        <w:numPr>
          <w:ilvl w:val="2"/>
          <w:numId w:val="41"/>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In the event of breach or threatened breach by the Executive of any provision of Sections 2 or 3 of this Restrictive Covenants Agreement, the Company shall be entitled to (i) seek injunctive relief by temporary restraining order, temporary injunction, or permanent injunction, and (ii) any other legal and equitable relief to which the Company may be entitled, including without limitation any and all monetary costs and damages which the Company may incur as a result of any such breach or threatened breach. The Company may pursue any remedy available, without limitation, including declaratory relief, concurrently or consecutively in any order as to any breach, violation, or threatened breach or violation, and the pursuit of one such remedy at any time will not be deemed an election of remedies or waiver of the right to pursue any other remedy.</w:t>
      </w:r>
    </w:p>
    <w:p>
      <w:pPr>
        <w:spacing w:after="0" w:line="179" w:lineRule="exact"/>
        <w:rPr>
          <w:rFonts w:ascii="Arial" w:cs="Arial" w:eastAsia="Arial" w:hAnsi="Arial"/>
          <w:sz w:val="19"/>
          <w:szCs w:val="19"/>
          <w:color w:val="auto"/>
        </w:rPr>
      </w:pPr>
    </w:p>
    <w:p>
      <w:pPr>
        <w:ind w:firstLine="656"/>
        <w:spacing w:after="0" w:line="251" w:lineRule="auto"/>
        <w:tabs>
          <w:tab w:leader="none" w:pos="1337"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 The general provisions contained in Section 8 of the Employment Agreement are incorporated herein by reference and shall apply equally to this Restrictive Covenants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NEXT PAGE]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9" w:name="page30"/>
    <w:bookmarkEnd w:id="29"/>
    <w:p>
      <w:pPr>
        <w:ind w:left="10280"/>
        <w:spacing w:after="0"/>
        <w:rPr>
          <w:sz w:val="20"/>
          <w:szCs w:val="20"/>
          <w:color w:val="auto"/>
        </w:rPr>
      </w:pPr>
      <w:r>
        <w:rPr>
          <w:rFonts w:ascii="Arial" w:cs="Arial" w:eastAsia="Arial" w:hAnsi="Arial"/>
          <w:sz w:val="22"/>
          <w:szCs w:val="22"/>
          <w:b w:val="1"/>
          <w:bCs w:val="1"/>
          <w:color w:val="auto"/>
        </w:rPr>
        <w:t>EXHIBIT C</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duly executed this Restrictive Covenants Agreement effective as of the Effective Date.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CITY BANK, TEXAS</w:t>
            </w:r>
          </w:p>
        </w:tc>
        <w:tc>
          <w:tcPr>
            <w:tcW w:w="6840" w:type="dxa"/>
            <w:vAlign w:val="bottom"/>
            <w:gridSpan w:val="2"/>
          </w:tcPr>
          <w:p>
            <w:pPr>
              <w:ind w:left="2280"/>
              <w:spacing w:after="0"/>
              <w:rPr>
                <w:sz w:val="20"/>
                <w:szCs w:val="20"/>
                <w:color w:val="auto"/>
              </w:rPr>
            </w:pPr>
            <w:r>
              <w:rPr>
                <w:rFonts w:ascii="Arial" w:cs="Arial" w:eastAsia="Arial" w:hAnsi="Arial"/>
                <w:sz w:val="18"/>
                <w:szCs w:val="18"/>
                <w:b w:val="1"/>
                <w:bCs w:val="1"/>
                <w:color w:val="auto"/>
              </w:rPr>
              <w:t>EXECUTIVE</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4"/>
                <w:szCs w:val="24"/>
                <w:color w:val="auto"/>
              </w:rPr>
            </w:pPr>
          </w:p>
        </w:tc>
        <w:tc>
          <w:tcPr>
            <w:tcW w:w="3320" w:type="dxa"/>
            <w:vAlign w:val="bottom"/>
          </w:tcPr>
          <w:p>
            <w:pPr>
              <w:ind w:left="2280"/>
              <w:spacing w:after="0"/>
              <w:rPr>
                <w:sz w:val="20"/>
                <w:szCs w:val="20"/>
                <w:color w:val="auto"/>
              </w:rPr>
            </w:pPr>
            <w:r>
              <w:rPr>
                <w:rFonts w:ascii="Arial" w:cs="Arial" w:eastAsia="Arial" w:hAnsi="Arial"/>
                <w:sz w:val="18"/>
                <w:szCs w:val="18"/>
                <w:color w:val="auto"/>
              </w:rPr>
              <w:t>Signature:</w:t>
            </w:r>
          </w:p>
        </w:tc>
        <w:tc>
          <w:tcPr>
            <w:tcW w:w="3520" w:type="dxa"/>
            <w:vAlign w:val="bottom"/>
            <w:tcBorders>
              <w:bottom w:val="single" w:sz="8" w:color="auto"/>
            </w:tcBorders>
          </w:tcPr>
          <w:p>
            <w:pPr>
              <w:spacing w:after="0"/>
              <w:rPr>
                <w:sz w:val="24"/>
                <w:szCs w:val="24"/>
                <w:color w:val="auto"/>
              </w:rPr>
            </w:pPr>
          </w:p>
        </w:tc>
      </w:tr>
      <w:tr>
        <w:trPr>
          <w:trHeight w:val="48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000" w:type="dxa"/>
            <w:vAlign w:val="bottom"/>
            <w:tcBorders>
              <w:bottom w:val="single" w:sz="8" w:color="auto"/>
            </w:tcBorders>
          </w:tcPr>
          <w:p>
            <w:pPr>
              <w:spacing w:after="0"/>
              <w:rPr>
                <w:sz w:val="24"/>
                <w:szCs w:val="24"/>
                <w:color w:val="auto"/>
              </w:rPr>
            </w:pPr>
          </w:p>
        </w:tc>
        <w:tc>
          <w:tcPr>
            <w:tcW w:w="3320" w:type="dxa"/>
            <w:vAlign w:val="bottom"/>
          </w:tcPr>
          <w:p>
            <w:pPr>
              <w:ind w:left="2280"/>
              <w:spacing w:after="0"/>
              <w:rPr>
                <w:sz w:val="20"/>
                <w:szCs w:val="20"/>
                <w:color w:val="auto"/>
              </w:rPr>
            </w:pPr>
            <w:r>
              <w:rPr>
                <w:rFonts w:ascii="Arial" w:cs="Arial" w:eastAsia="Arial" w:hAnsi="Arial"/>
                <w:sz w:val="18"/>
                <w:szCs w:val="18"/>
                <w:color w:val="auto"/>
              </w:rPr>
              <w:t>Print Name:</w:t>
            </w:r>
          </w:p>
        </w:tc>
        <w:tc>
          <w:tcPr>
            <w:tcW w:w="3520" w:type="dxa"/>
            <w:vAlign w:val="bottom"/>
            <w:tcBorders>
              <w:bottom w:val="single" w:sz="8" w:color="auto"/>
            </w:tcBorders>
          </w:tcPr>
          <w:p>
            <w:pPr>
              <w:spacing w:after="0"/>
              <w:rPr>
                <w:sz w:val="24"/>
                <w:szCs w:val="24"/>
                <w:color w:val="auto"/>
              </w:rPr>
            </w:pPr>
          </w:p>
        </w:tc>
      </w:tr>
      <w:tr>
        <w:trPr>
          <w:trHeight w:val="48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4000" w:type="dxa"/>
            <w:vAlign w:val="bottom"/>
            <w:tcBorders>
              <w:bottom w:val="single" w:sz="8" w:color="auto"/>
            </w:tcBorders>
          </w:tcPr>
          <w:p>
            <w:pPr>
              <w:spacing w:after="0"/>
              <w:rPr>
                <w:sz w:val="24"/>
                <w:szCs w:val="24"/>
                <w:color w:val="auto"/>
              </w:rPr>
            </w:pPr>
          </w:p>
        </w:tc>
        <w:tc>
          <w:tcPr>
            <w:tcW w:w="3320" w:type="dxa"/>
            <w:vAlign w:val="bottom"/>
          </w:tcPr>
          <w:p>
            <w:pPr>
              <w:ind w:left="2280"/>
              <w:spacing w:after="0"/>
              <w:rPr>
                <w:sz w:val="20"/>
                <w:szCs w:val="20"/>
                <w:color w:val="auto"/>
              </w:rPr>
            </w:pPr>
            <w:r>
              <w:rPr>
                <w:rFonts w:ascii="Arial" w:cs="Arial" w:eastAsia="Arial" w:hAnsi="Arial"/>
                <w:sz w:val="18"/>
                <w:szCs w:val="18"/>
                <w:color w:val="auto"/>
              </w:rPr>
              <w:t>Dated:</w:t>
            </w:r>
          </w:p>
        </w:tc>
        <w:tc>
          <w:tcPr>
            <w:tcW w:w="3520" w:type="dxa"/>
            <w:vAlign w:val="bottom"/>
            <w:tcBorders>
              <w:bottom w:val="single" w:sz="8" w:color="auto"/>
            </w:tcBorders>
          </w:tcPr>
          <w:p>
            <w:pPr>
              <w:spacing w:after="0"/>
              <w:rPr>
                <w:sz w:val="24"/>
                <w:szCs w:val="24"/>
                <w:color w:val="auto"/>
              </w:rPr>
            </w:pPr>
          </w:p>
        </w:tc>
      </w:tr>
      <w:tr>
        <w:trPr>
          <w:trHeight w:val="650"/>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840" w:type="dxa"/>
            <w:vAlign w:val="bottom"/>
            <w:gridSpan w:val="2"/>
          </w:tcPr>
          <w:p>
            <w:pPr>
              <w:ind w:left="800"/>
              <w:spacing w:after="0"/>
              <w:rPr>
                <w:sz w:val="20"/>
                <w:szCs w:val="20"/>
                <w:color w:val="auto"/>
              </w:rPr>
            </w:pPr>
            <w:r>
              <w:rPr>
                <w:rFonts w:ascii="Arial" w:cs="Arial" w:eastAsia="Arial" w:hAnsi="Arial"/>
                <w:sz w:val="14"/>
                <w:szCs w:val="14"/>
                <w:color w:val="auto"/>
              </w:rPr>
              <w:t>Page 5 of 5</w:t>
            </w:r>
          </w:p>
        </w:tc>
      </w:tr>
      <w:tr>
        <w:trPr>
          <w:trHeight w:val="100"/>
        </w:trPr>
        <w:tc>
          <w:tcPr>
            <w:tcW w:w="58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lowerLetter"/>
      <w:start w:val="5"/>
    </w:lvl>
  </w:abstractNum>
  <w:abstractNum w:abstractNumId="2">
    <w:nsid w:val="721DA317"/>
    <w:multiLevelType w:val="hybridMultilevel"/>
    <w:lvl w:ilvl="0">
      <w:lvlJc w:val="left"/>
      <w:lvlText w:val="(%1)"/>
      <w:numFmt w:val="lowerLetter"/>
      <w:start w:val="4"/>
    </w:lvl>
  </w:abstractNum>
  <w:abstractNum w:abstractNumId="3">
    <w:nsid w:val="2443A858"/>
    <w:multiLevelType w:val="hybridMultilevel"/>
    <w:lvl w:ilvl="0">
      <w:lvlJc w:val="left"/>
      <w:lvlText w:val="%1."/>
      <w:numFmt w:val="decimal"/>
      <w:start w:val="1"/>
    </w:lvl>
    <w:lvl w:ilvl="1">
      <w:lvlJc w:val="left"/>
      <w:lvlText w:val="(%2)"/>
      <w:numFmt w:val="lowerLetter"/>
      <w:start w:val="1"/>
    </w:lvl>
  </w:abstractNum>
  <w:abstractNum w:abstractNumId="4">
    <w:nsid w:val="2D1D5AE9"/>
    <w:multiLevelType w:val="hybridMultilevel"/>
    <w:lvl w:ilvl="0">
      <w:lvlJc w:val="left"/>
      <w:lvlText w:val="%1."/>
      <w:numFmt w:val="decimal"/>
      <w:start w:val="2"/>
    </w:lvl>
    <w:lvl w:ilvl="1">
      <w:lvlJc w:val="left"/>
      <w:lvlText w:val="(%2)"/>
      <w:numFmt w:val="lowerLetter"/>
      <w:start w:val="1"/>
    </w:lvl>
  </w:abstractNum>
  <w:abstractNum w:abstractNumId="5">
    <w:nsid w:val="6763845E"/>
    <w:multiLevelType w:val="hybridMultilevel"/>
    <w:lvl w:ilvl="0">
      <w:lvlJc w:val="left"/>
      <w:lvlText w:val="(%1)"/>
      <w:numFmt w:val="lowerLetter"/>
      <w:start w:val="4"/>
    </w:lvl>
  </w:abstractNum>
  <w:abstractNum w:abstractNumId="6">
    <w:nsid w:val="75A2A8D4"/>
    <w:multiLevelType w:val="hybridMultilevel"/>
    <w:lvl w:ilvl="0">
      <w:lvlJc w:val="left"/>
      <w:lvlText w:val="(%1)"/>
      <w:numFmt w:val="lowerLetter"/>
      <w:start w:val="12"/>
    </w:lvl>
  </w:abstractNum>
  <w:abstractNum w:abstractNumId="7">
    <w:nsid w:val="8EDBDA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3"/>
    </w:lvl>
  </w:abstractNum>
  <w:abstractNum w:abstractNumId="8">
    <w:nsid w:val="79838CB2"/>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9">
    <w:nsid w:val="4353D0CD"/>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0">
    <w:nsid w:val="B03E0C6"/>
    <w:multiLevelType w:val="hybridMultilevel"/>
    <w:lvl w:ilvl="0">
      <w:lvlJc w:val="left"/>
      <w:lvlText w:val="(%1)"/>
      <w:numFmt w:val="lowerRoman"/>
      <w:start w:val="1"/>
    </w:lvl>
    <w:lvl w:ilvl="1">
      <w:lvlJc w:val="left"/>
      <w:lvlText w:val="(%2)"/>
      <w:numFmt w:val="upperLetter"/>
      <w:start w:val="1"/>
    </w:lvl>
  </w:abstractNum>
  <w:abstractNum w:abstractNumId="11">
    <w:nsid w:val="189A769B"/>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4"/>
    </w:lvl>
  </w:abstractNum>
  <w:abstractNum w:abstractNumId="12">
    <w:nsid w:val="54E49EB4"/>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13">
    <w:nsid w:val="71F32454"/>
    <w:multiLevelType w:val="hybridMultilevel"/>
    <w:lvl w:ilvl="0">
      <w:lvlJc w:val="left"/>
      <w:lvlText w:val="(%1)"/>
      <w:numFmt w:val="lowerRoman"/>
      <w:start w:val="10"/>
    </w:lvl>
    <w:lvl w:ilvl="1">
      <w:lvlJc w:val="left"/>
      <w:lvlText w:val="(%2)"/>
      <w:numFmt w:val="lowerRoman"/>
      <w:start w:val="4"/>
    </w:lvl>
    <w:lvl w:ilvl="2">
      <w:lvlJc w:val="left"/>
      <w:lvlText w:val="%3"/>
      <w:numFmt w:val="upperLetter"/>
      <w:start w:val="1"/>
    </w:lvl>
  </w:abstractNum>
  <w:abstractNum w:abstractNumId="14">
    <w:nsid w:val="2CA88611"/>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5">
    <w:nsid w:val="836C40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6">
    <w:nsid w:val="2901D82"/>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2"/>
    </w:lvl>
  </w:abstractNum>
  <w:abstractNum w:abstractNumId="17">
    <w:nsid w:val="3A95F874"/>
    <w:multiLevelType w:val="hybridMultilevel"/>
    <w:lvl w:ilvl="0">
      <w:lvlJc w:val="left"/>
      <w:lvlText w:val="%1"/>
      <w:numFmt w:val="lowerRoman"/>
      <w:start w:val="1"/>
    </w:lvl>
    <w:lvl w:ilvl="1">
      <w:lvlJc w:val="left"/>
      <w:lvlText w:val="(%2)"/>
      <w:numFmt w:val="lowerLetter"/>
      <w:start w:val="3"/>
    </w:lvl>
  </w:abstractNum>
  <w:abstractNum w:abstractNumId="18">
    <w:nsid w:val="8138641"/>
    <w:multiLevelType w:val="hybridMultilevel"/>
    <w:lvl w:ilvl="0">
      <w:lvlJc w:val="left"/>
      <w:lvlText w:val="(%1)"/>
      <w:numFmt w:val="lowerRoman"/>
      <w:start w:val="3"/>
    </w:lvl>
    <w:lvl w:ilvl="1">
      <w:lvlJc w:val="left"/>
      <w:lvlText w:val="%2"/>
      <w:numFmt w:val="lowerLetter"/>
      <w:start w:val="1"/>
    </w:lvl>
  </w:abstractNum>
  <w:abstractNum w:abstractNumId="19">
    <w:nsid w:val="1E7FF521"/>
    <w:multiLevelType w:val="hybridMultilevel"/>
    <w:lvl w:ilvl="0">
      <w:lvlJc w:val="left"/>
      <w:lvlText w:val="(%1)"/>
      <w:numFmt w:val="lowerRoman"/>
      <w:start w:val="6"/>
    </w:lvl>
    <w:lvl w:ilvl="1">
      <w:lvlJc w:val="left"/>
      <w:lvlText w:val="%2"/>
      <w:numFmt w:val="lowerLetter"/>
      <w:start w:val="1"/>
    </w:lvl>
  </w:abstractNum>
  <w:abstractNum w:abstractNumId="20">
    <w:nsid w:val="7C3DBD3D"/>
    <w:multiLevelType w:val="hybridMultilevel"/>
    <w:lvl w:ilvl="0">
      <w:lvlJc w:val="left"/>
      <w:lvlText w:val="(%1)"/>
      <w:numFmt w:val="lowerLetter"/>
      <w:start w:val="4"/>
    </w:lvl>
  </w:abstractNum>
  <w:abstractNum w:abstractNumId="21">
    <w:nsid w:val="737B8DDC"/>
    <w:multiLevelType w:val="hybridMultilevel"/>
    <w:lvl w:ilvl="0">
      <w:lvlJc w:val="left"/>
      <w:lvlText w:val="%1"/>
      <w:numFmt w:val="decimal"/>
      <w:start w:val="1"/>
    </w:lvl>
    <w:lvl w:ilvl="1">
      <w:lvlJc w:val="left"/>
      <w:lvlText w:val="(%2)"/>
      <w:numFmt w:val="lowerLetter"/>
      <w:start w:val="8"/>
    </w:lvl>
  </w:abstractNum>
  <w:abstractNum w:abstractNumId="22">
    <w:nsid w:val="6CEAF087"/>
    <w:multiLevelType w:val="hybridMultilevel"/>
    <w:lvl w:ilvl="0">
      <w:lvlJc w:val="left"/>
      <w:lvlText w:val="%1."/>
      <w:numFmt w:val="decimal"/>
      <w:start w:val="5"/>
    </w:lvl>
    <w:lvl w:ilvl="1">
      <w:lvlJc w:val="left"/>
      <w:lvlText w:val="%2"/>
      <w:numFmt w:val="lowerLetter"/>
      <w:start w:val="1"/>
    </w:lvl>
  </w:abstractNum>
  <w:abstractNum w:abstractNumId="23">
    <w:nsid w:val="22221A70"/>
    <w:multiLevelType w:val="hybridMultilevel"/>
    <w:lvl w:ilvl="0">
      <w:lvlJc w:val="left"/>
      <w:lvlText w:val="%1."/>
      <w:numFmt w:val="decimal"/>
      <w:start w:val="7"/>
    </w:lvl>
    <w:lvl w:ilvl="1">
      <w:lvlJc w:val="left"/>
      <w:lvlText w:val="(%2)"/>
      <w:numFmt w:val="lowerLetter"/>
      <w:start w:val="1"/>
    </w:lvl>
  </w:abstractNum>
  <w:abstractNum w:abstractNumId="24">
    <w:nsid w:val="4516DDE9"/>
    <w:multiLevelType w:val="hybridMultilevel"/>
    <w:lvl w:ilvl="0">
      <w:lvlJc w:val="left"/>
      <w:lvlText w:val="(%1)"/>
      <w:numFmt w:val="lowerLetter"/>
      <w:start w:val="2"/>
    </w:lvl>
  </w:abstractNum>
  <w:abstractNum w:abstractNumId="25">
    <w:nsid w:val="3006C83E"/>
    <w:multiLevelType w:val="hybridMultilevel"/>
    <w:lvl w:ilvl="0">
      <w:lvlJc w:val="left"/>
      <w:lvlText w:val="%1"/>
      <w:numFmt w:val="decimal"/>
      <w:start w:val="1"/>
    </w:lvl>
    <w:lvl w:ilvl="1">
      <w:lvlJc w:val="left"/>
      <w:lvlText w:val="(%2)"/>
      <w:numFmt w:val="lowerLetter"/>
      <w:start w:val="9"/>
    </w:lvl>
  </w:abstractNum>
  <w:abstractNum w:abstractNumId="26">
    <w:nsid w:val="614FD4A1"/>
    <w:multiLevelType w:val="hybridMultilevel"/>
    <w:lvl w:ilvl="0">
      <w:lvlJc w:val="left"/>
      <w:lvlText w:val="(%1)"/>
      <w:numFmt w:val="decimal"/>
      <w:start w:val="3"/>
    </w:lvl>
    <w:lvl w:ilvl="1">
      <w:lvlJc w:val="left"/>
      <w:lvlText w:val="%2"/>
      <w:numFmt w:val="lowerLetter"/>
      <w:start w:val="1"/>
    </w:lvl>
  </w:abstractNum>
  <w:abstractNum w:abstractNumId="27">
    <w:nsid w:val="419AC241"/>
    <w:multiLevelType w:val="hybridMultilevel"/>
    <w:lvl w:ilvl="0">
      <w:lvlJc w:val="left"/>
      <w:lvlText w:val="(%1)"/>
      <w:numFmt w:val="lowerLetter"/>
      <w:start w:val="13"/>
    </w:lvl>
  </w:abstractNum>
  <w:abstractNum w:abstractNumId="28">
    <w:nsid w:val="5577F8E1"/>
    <w:multiLevelType w:val="hybridMultilevel"/>
    <w:lvl w:ilvl="0">
      <w:lvlJc w:val="left"/>
      <w:lvlText w:val="(%1)"/>
      <w:numFmt w:val="lowerLetter"/>
      <w:start w:val="14"/>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3"/>
    </w:lvl>
    <w:lvl w:ilvl="1">
      <w:lvlJc w:val="left"/>
      <w:lvlText w:val="(%2)"/>
      <w:numFmt w:val="lowerLetter"/>
      <w:start w:val="1"/>
    </w:lvl>
  </w:abstractNum>
  <w:abstractNum w:abstractNumId="31">
    <w:nsid w:val="3804823E"/>
    <w:multiLevelType w:val="hybridMultilevel"/>
    <w:lvl w:ilvl="0">
      <w:lvlJc w:val="left"/>
      <w:lvlText w:val="(%1)"/>
      <w:numFmt w:val="lowerLetter"/>
      <w:start w:val="3"/>
    </w:lvl>
  </w:abstractNum>
  <w:abstractNum w:abstractNumId="32">
    <w:nsid w:val="77465F01"/>
    <w:multiLevelType w:val="hybridMultilevel"/>
    <w:lvl w:ilvl="0">
      <w:lvlJc w:val="left"/>
      <w:lvlText w:val="%1."/>
      <w:numFmt w:val="decimal"/>
      <w:start w:val="5"/>
    </w:lvl>
  </w:abstractNum>
  <w:abstractNum w:abstractNumId="33">
    <w:nsid w:val="7724C67E"/>
    <w:multiLevelType w:val="hybridMultilevel"/>
    <w:lvl w:ilvl="0">
      <w:lvlJc w:val="left"/>
      <w:lvlText w:val="%1."/>
      <w:numFmt w:val="decimal"/>
      <w:start w:val="9"/>
    </w:lvl>
  </w:abstractNum>
  <w:abstractNum w:abstractNumId="34">
    <w:nsid w:val="5C482A97"/>
    <w:multiLevelType w:val="hybridMultilevel"/>
    <w:lvl w:ilvl="0">
      <w:lvlJc w:val="left"/>
      <w:lvlText w:val="%1."/>
      <w:numFmt w:val="decimal"/>
      <w:start w:val="1"/>
    </w:lvl>
    <w:lvl w:ilvl="1">
      <w:lvlJc w:val="left"/>
      <w:lvlText w:val="(%2)"/>
      <w:numFmt w:val="lowerLetter"/>
      <w:start w:val="1"/>
    </w:lvl>
  </w:abstractNum>
  <w:abstractNum w:abstractNumId="35">
    <w:nsid w:val="2463B9EA"/>
    <w:multiLevelType w:val="hybridMultilevel"/>
    <w:lvl w:ilvl="0">
      <w:lvlJc w:val="left"/>
      <w:lvlText w:val="%1"/>
      <w:numFmt w:val="decimal"/>
      <w:start w:val="1"/>
    </w:lvl>
    <w:lvl w:ilvl="1">
      <w:lvlJc w:val="left"/>
      <w:lvlText w:val="(%2)"/>
      <w:numFmt w:val="lowerLetter"/>
      <w:start w:val="6"/>
    </w:lvl>
  </w:abstractNum>
  <w:abstractNum w:abstractNumId="36">
    <w:nsid w:val="5E884ADC"/>
    <w:multiLevelType w:val="hybridMultilevel"/>
    <w:lvl w:ilvl="0">
      <w:lvlJc w:val="left"/>
      <w:lvlText w:val="%1."/>
      <w:numFmt w:val="decimal"/>
      <w:start w:val="2"/>
    </w:lvl>
    <w:lvl w:ilvl="1">
      <w:lvlJc w:val="left"/>
      <w:lvlText w:val="(%2)"/>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5"/>
    </w:lvl>
  </w:abstractNum>
  <w:abstractNum w:abstractNumId="38">
    <w:nsid w:val="2D517796"/>
    <w:multiLevelType w:val="hybridMultilevel"/>
    <w:lvl w:ilvl="0">
      <w:lvlJc w:val="left"/>
      <w:lvlText w:val="%1."/>
      <w:numFmt w:val="decimal"/>
      <w:start w:val="3"/>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40">
    <w:nsid w:val="153EA438"/>
    <w:multiLevelType w:val="hybridMultilevel"/>
    <w:lvl w:ilvl="0">
      <w:lvlJc w:val="left"/>
      <w:lvlText w:val="(%1)"/>
      <w:numFmt w:val="decimal"/>
      <w:start w:val="14"/>
    </w:lvl>
    <w:lvl w:ilvl="1">
      <w:lvlJc w:val="left"/>
      <w:lvlText w:val="%2."/>
      <w:numFmt w:val="decimal"/>
      <w:start w:val="4"/>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2019-12-28T00:53:03Z</dcterms:created>
  <dcterms:modified xsi:type="dcterms:W3CDTF">2019-12-28T00:53:03Z</dcterms:modified>
</cp:coreProperties>
</file>