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229870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240030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South Plains Financial, Inc.</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001-38895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75-2453320</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40" w:space="720"/>
            <w:col w:w="2780" w:space="720"/>
            <w:col w:w="3080"/>
          </w:cols>
          <w:pgMar w:left="320" w:top="535" w:right="339" w:bottom="1440" w:gutter="0" w:footer="0" w:header="0"/>
          <w:type w:val="continuous"/>
        </w:sectPr>
      </w:pPr>
    </w:p>
    <w:p>
      <w:pPr>
        <w:spacing w:after="0" w:line="18" w:lineRule="exact"/>
        <w:rPr>
          <w:sz w:val="24"/>
          <w:szCs w:val="24"/>
          <w:color w:val="auto"/>
        </w:rPr>
      </w:pPr>
    </w:p>
    <w:p>
      <w:pPr>
        <w:jc w:val="center"/>
        <w:ind w:right="370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4"/>
          <w:szCs w:val="24"/>
          <w:color w:val="auto"/>
        </w:rPr>
      </w:pPr>
    </w:p>
    <w:p>
      <w:pPr>
        <w:jc w:val="center"/>
        <w:ind w:right="3700"/>
        <w:spacing w:after="0"/>
        <w:rPr>
          <w:sz w:val="20"/>
          <w:szCs w:val="20"/>
          <w:color w:val="auto"/>
        </w:rPr>
      </w:pPr>
      <w:r>
        <w:rPr>
          <w:rFonts w:ascii="Arial" w:cs="Arial" w:eastAsia="Arial" w:hAnsi="Arial"/>
          <w:sz w:val="18"/>
          <w:szCs w:val="18"/>
          <w:b w:val="1"/>
          <w:bCs w:val="1"/>
          <w:color w:val="auto"/>
        </w:rPr>
        <w:t>Lubbock, Texas</w:t>
      </w:r>
    </w:p>
    <w:p>
      <w:pPr>
        <w:spacing w:after="0" w:line="9" w:lineRule="exact"/>
        <w:rPr>
          <w:sz w:val="24"/>
          <w:szCs w:val="24"/>
          <w:color w:val="auto"/>
        </w:rPr>
      </w:pPr>
    </w:p>
    <w:p>
      <w:pPr>
        <w:jc w:val="center"/>
        <w:ind w:right="3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000" w:space="720"/>
            <w:col w:w="2520"/>
          </w:cols>
          <w:pgMar w:left="320" w:top="535" w:right="339" w:bottom="1440" w:gutter="0" w:footer="0" w:header="0"/>
          <w:type w:val="continuous"/>
        </w:sect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(806) 792-7101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217805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6"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29"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South Plains Financial, Inc. (the “Company”) held its 2023 Annual Meeting of Shareholders virtually on May 16, 2023 (the “Annual Meeting”). The record date for the determination of shareholders of the Company entitled to receive notice of and to vote at the Annual Meeting was the close of business on March 21, 2023. There were 17,054,768 shares of the Company’s common stock outstanding at the close of business on the record date and entitled to receive notice of and to vote at the Annual Meeting. Of that number, 14,809,177 shares of the Company’s common stock were represented by means of remote communication or by proxy at the Annual Meeting, which constituted a quorum to conduct business at the Annual Meeting. The shareholders of the Company voted on and approved the following proposals at the Annual Meeting, which are described in more detail in the Company’s Definitive Proxy Statement on Schedule 14A for the Annual Meeting filed by the Company with the U.S. Securities and Exchange Commission on April 5, 2023:</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Proposal 1 – To elect two (2) Class I directors to serve on the Company’s board of directors until the Company’s 2026 annual meeting of shareholders or each until their respective successor or successors are duly elected and qualified or until their earlier death, resignation or removal from office. Final voting results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Name of Class III Nominee</w:t>
            </w:r>
          </w:p>
        </w:tc>
        <w:tc>
          <w:tcPr>
            <w:tcW w:w="128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Votes For</w:t>
            </w:r>
          </w:p>
        </w:tc>
        <w:tc>
          <w:tcPr>
            <w:tcW w:w="1500" w:type="dxa"/>
            <w:vAlign w:val="bottom"/>
            <w:gridSpan w:val="2"/>
          </w:tcPr>
          <w:p>
            <w:pPr>
              <w:spacing w:after="0"/>
              <w:rPr>
                <w:sz w:val="20"/>
                <w:szCs w:val="20"/>
                <w:color w:val="auto"/>
              </w:rPr>
            </w:pPr>
            <w:r>
              <w:rPr>
                <w:rFonts w:ascii="Arial" w:cs="Arial" w:eastAsia="Arial" w:hAnsi="Arial"/>
                <w:sz w:val="18"/>
                <w:szCs w:val="18"/>
                <w:color w:val="auto"/>
              </w:rPr>
              <w:t>Votes Against</w:t>
            </w:r>
          </w:p>
        </w:tc>
        <w:tc>
          <w:tcPr>
            <w:tcW w:w="1380" w:type="dxa"/>
            <w:vAlign w:val="bottom"/>
            <w:gridSpan w:val="2"/>
          </w:tcPr>
          <w:p>
            <w:pPr>
              <w:jc w:val="center"/>
              <w:ind w:left="430"/>
              <w:spacing w:after="0"/>
              <w:rPr>
                <w:sz w:val="20"/>
                <w:szCs w:val="20"/>
                <w:color w:val="auto"/>
              </w:rPr>
            </w:pPr>
            <w:r>
              <w:rPr>
                <w:rFonts w:ascii="Arial" w:cs="Arial" w:eastAsia="Arial" w:hAnsi="Arial"/>
                <w:sz w:val="18"/>
                <w:szCs w:val="18"/>
                <w:color w:val="auto"/>
                <w:w w:val="91"/>
              </w:rPr>
              <w:t>Abstentions</w:t>
            </w:r>
          </w:p>
        </w:tc>
        <w:tc>
          <w:tcPr>
            <w:tcW w:w="2660" w:type="dxa"/>
            <w:vAlign w:val="bottom"/>
            <w:gridSpan w:val="3"/>
          </w:tcPr>
          <w:p>
            <w:pPr>
              <w:jc w:val="center"/>
              <w:ind w:left="470"/>
              <w:spacing w:after="0"/>
              <w:rPr>
                <w:sz w:val="20"/>
                <w:szCs w:val="20"/>
                <w:color w:val="auto"/>
              </w:rPr>
            </w:pPr>
            <w:r>
              <w:rPr>
                <w:rFonts w:ascii="Arial" w:cs="Arial" w:eastAsia="Arial" w:hAnsi="Arial"/>
                <w:sz w:val="18"/>
                <w:szCs w:val="18"/>
                <w:color w:val="auto"/>
                <w:w w:val="90"/>
              </w:rPr>
              <w:t>Broker Non-Votes</w:t>
            </w:r>
          </w:p>
        </w:tc>
      </w:tr>
      <w:tr>
        <w:trPr>
          <w:trHeight w:val="20"/>
        </w:trPr>
        <w:tc>
          <w:tcPr>
            <w:tcW w:w="58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Richard D. Campbell</w:t>
            </w:r>
          </w:p>
        </w:tc>
        <w:tc>
          <w:tcPr>
            <w:tcW w:w="312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color w:val="auto"/>
              </w:rPr>
              <w:t>9,161,980</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2,468,487</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533,467</w:t>
            </w:r>
          </w:p>
        </w:tc>
        <w:tc>
          <w:tcPr>
            <w:tcW w:w="22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89"/>
              </w:rPr>
              <w:t>2,645,243</w:t>
            </w:r>
          </w:p>
        </w:tc>
        <w:tc>
          <w:tcPr>
            <w:tcW w:w="400" w:type="dxa"/>
            <w:vAlign w:val="bottom"/>
            <w:shd w:val="clear" w:color="auto" w:fill="CCEEFF"/>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LaDana R. Washburn</w:t>
            </w:r>
          </w:p>
        </w:tc>
        <w:tc>
          <w:tcPr>
            <w:tcW w:w="3120" w:type="dxa"/>
            <w:vAlign w:val="bottom"/>
            <w:gridSpan w:val="3"/>
          </w:tcPr>
          <w:p>
            <w:pPr>
              <w:jc w:val="right"/>
              <w:ind w:right="1100"/>
              <w:spacing w:after="0"/>
              <w:rPr>
                <w:sz w:val="20"/>
                <w:szCs w:val="20"/>
                <w:color w:val="auto"/>
              </w:rPr>
            </w:pPr>
            <w:r>
              <w:rPr>
                <w:rFonts w:ascii="Arial" w:cs="Arial" w:eastAsia="Arial" w:hAnsi="Arial"/>
                <w:sz w:val="18"/>
                <w:szCs w:val="18"/>
                <w:color w:val="auto"/>
              </w:rPr>
              <w:t>11,593,230</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34,875</w:t>
            </w:r>
          </w:p>
        </w:tc>
        <w:tc>
          <w:tcPr>
            <w:tcW w:w="500" w:type="dxa"/>
            <w:vAlign w:val="bottom"/>
          </w:tcPr>
          <w:p>
            <w:pPr>
              <w:spacing w:after="0"/>
              <w:rPr>
                <w:sz w:val="20"/>
                <w:szCs w:val="20"/>
                <w:color w:val="auto"/>
              </w:rPr>
            </w:pPr>
          </w:p>
        </w:tc>
        <w:tc>
          <w:tcPr>
            <w:tcW w:w="138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535,829</w:t>
            </w:r>
          </w:p>
        </w:tc>
        <w:tc>
          <w:tcPr>
            <w:tcW w:w="2260" w:type="dxa"/>
            <w:vAlign w:val="bottom"/>
            <w:gridSpan w:val="2"/>
          </w:tcPr>
          <w:p>
            <w:pPr>
              <w:jc w:val="center"/>
              <w:ind w:left="890"/>
              <w:spacing w:after="0"/>
              <w:rPr>
                <w:sz w:val="20"/>
                <w:szCs w:val="20"/>
                <w:color w:val="auto"/>
              </w:rPr>
            </w:pPr>
            <w:r>
              <w:rPr>
                <w:rFonts w:ascii="Arial" w:cs="Arial" w:eastAsia="Arial" w:hAnsi="Arial"/>
                <w:sz w:val="18"/>
                <w:szCs w:val="18"/>
                <w:color w:val="auto"/>
                <w:w w:val="89"/>
              </w:rPr>
              <w:t>2,645,243</w:t>
            </w:r>
          </w:p>
        </w:tc>
        <w:tc>
          <w:tcPr>
            <w:tcW w:w="400" w:type="dxa"/>
            <w:vAlign w:val="bottom"/>
          </w:tcPr>
          <w:p>
            <w:pPr>
              <w:spacing w:after="0"/>
              <w:rPr>
                <w:sz w:val="20"/>
                <w:szCs w:val="20"/>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 2 – To approve the South Plains Financial, Inc. 2023 Employee Stock Purchase Plan. Final voting results were as follows:</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8"/>
                <w:szCs w:val="18"/>
                <w:color w:val="auto"/>
                <w:w w:val="89"/>
              </w:rPr>
              <w:t>Votes For</w:t>
            </w:r>
          </w:p>
        </w:tc>
        <w:tc>
          <w:tcPr>
            <w:tcW w:w="166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Votes Against</w:t>
            </w:r>
          </w:p>
        </w:tc>
        <w:tc>
          <w:tcPr>
            <w:tcW w:w="13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8"/>
                <w:szCs w:val="18"/>
                <w:color w:val="auto"/>
                <w:w w:val="89"/>
              </w:rPr>
              <w:t>Abstentions</w:t>
            </w:r>
          </w:p>
        </w:tc>
        <w:tc>
          <w:tcPr>
            <w:tcW w:w="116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Broker Non-Votes</w:t>
            </w:r>
          </w:p>
        </w:tc>
      </w:tr>
      <w:tr>
        <w:trPr>
          <w:trHeight w:val="20"/>
        </w:trPr>
        <w:tc>
          <w:tcPr>
            <w:tcW w:w="78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6"/>
        </w:trPr>
        <w:tc>
          <w:tcPr>
            <w:tcW w:w="22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11,574,404</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56,043</w:t>
            </w:r>
          </w:p>
        </w:tc>
        <w:tc>
          <w:tcPr>
            <w:tcW w:w="21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533,487</w:t>
            </w:r>
          </w:p>
        </w:tc>
        <w:tc>
          <w:tcPr>
            <w:tcW w:w="24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2,645,243</w:t>
            </w:r>
          </w:p>
        </w:tc>
        <w:tc>
          <w:tcPr>
            <w:tcW w:w="4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Proposal 3 – To ratify the appointment of FORVIS, LLP as the independent registered public accounting firm of the Company for the year ending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Final voting results were as follows:</w:t>
      </w:r>
    </w:p>
    <w:p>
      <w:pPr>
        <w:spacing w:after="0" w:line="194" w:lineRule="exact"/>
        <w:rPr>
          <w:sz w:val="20"/>
          <w:szCs w:val="20"/>
          <w:color w:val="auto"/>
        </w:rPr>
      </w:pPr>
    </w:p>
    <w:tbl>
      <w:tblPr>
        <w:tblLayout w:type="fixed"/>
        <w:tblInd w:w="224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8"/>
                <w:szCs w:val="18"/>
                <w:color w:val="auto"/>
                <w:w w:val="87"/>
              </w:rPr>
              <w:t>Votes For</w:t>
            </w:r>
          </w:p>
        </w:tc>
        <w:tc>
          <w:tcPr>
            <w:tcW w:w="166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Votes Against</w:t>
            </w:r>
          </w:p>
        </w:tc>
        <w:tc>
          <w:tcPr>
            <w:tcW w:w="1320" w:type="dxa"/>
            <w:vAlign w:val="bottom"/>
          </w:tcPr>
          <w:p>
            <w:pPr>
              <w:spacing w:after="0"/>
              <w:rPr>
                <w:sz w:val="17"/>
                <w:szCs w:val="17"/>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Abstentions</w:t>
            </w:r>
          </w:p>
        </w:tc>
      </w:tr>
      <w:tr>
        <w:trPr>
          <w:trHeight w:val="21"/>
        </w:trPr>
        <w:tc>
          <w:tcPr>
            <w:tcW w:w="80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6"/>
        </w:trPr>
        <w:tc>
          <w:tcPr>
            <w:tcW w:w="22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13,988,728</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482</w:t>
            </w:r>
          </w:p>
        </w:tc>
        <w:tc>
          <w:tcPr>
            <w:tcW w:w="2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819,967</w:t>
            </w:r>
          </w:p>
        </w:tc>
        <w:tc>
          <w:tcPr>
            <w:tcW w:w="7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240" w:hanging="558"/>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22, 2023</w:t>
      </w:r>
      <w:r>
        <w:rPr>
          <w:sz w:val="20"/>
          <w:szCs w:val="20"/>
          <w:color w:val="auto"/>
        </w:rPr>
        <w:tab/>
      </w:r>
      <w:r>
        <w:rPr>
          <w:rFonts w:ascii="Arial" w:cs="Arial" w:eastAsia="Arial" w:hAnsi="Arial"/>
          <w:sz w:val="16"/>
          <w:szCs w:val="16"/>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2023-05-22T15:36:25Z</dcterms:created>
  <dcterms:modified xsi:type="dcterms:W3CDTF">2023-05-22T15:36:25Z</dcterms:modified>
</cp:coreProperties>
</file>