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vMerge w:val="restart"/>
          </w:tcPr>
          <w:p>
            <w:pPr>
              <w:spacing w:after="0" w:line="250" w:lineRule="exact"/>
              <w:rPr>
                <w:rFonts w:ascii="Arial" w:cs="Arial" w:eastAsia="Arial" w:hAnsi="Arial"/>
                <w:sz w:val="22"/>
                <w:szCs w:val="22"/>
                <w:color w:val="0000EE"/>
                <w:w w:val="93"/>
              </w:rPr>
            </w:pPr>
            <w:hyperlink r:id="rId12">
              <w:r>
                <w:rPr>
                  <w:rFonts w:ascii="Arial" w:cs="Arial" w:eastAsia="Arial" w:hAnsi="Arial"/>
                  <w:sz w:val="22"/>
                  <w:szCs w:val="22"/>
                  <w:color w:val="0000EE"/>
                  <w:w w:val="93"/>
                </w:rPr>
                <w:t>Newsom Mikella D</w:t>
              </w:r>
            </w:hyperlink>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SOUTH PLAINS FINANCIAL,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SPFI</w:t>
            </w:r>
          </w:p>
        </w:tc>
        <w:tc>
          <w:tcPr>
            <w:tcW w:w="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Borders>
              <w:bottom w:val="single" w:sz="8" w:color="0000EE"/>
            </w:tcBorders>
            <w:gridSpan w:val="4"/>
            <w:vMerge w:val="continue"/>
          </w:tcPr>
          <w:p>
            <w:pPr>
              <w:spacing w:after="0"/>
              <w:rPr>
                <w:sz w:val="5"/>
                <w:szCs w:val="5"/>
                <w:color w:val="auto"/>
              </w:rPr>
            </w:pPr>
          </w:p>
        </w:tc>
        <w:tc>
          <w:tcPr>
            <w:tcW w:w="8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4"/>
          </w:tcPr>
          <w:p>
            <w:pPr>
              <w:spacing w:after="0"/>
              <w:rPr>
                <w:sz w:val="4"/>
                <w:szCs w:val="4"/>
                <w:color w:val="auto"/>
              </w:rPr>
            </w:pPr>
          </w:p>
        </w:tc>
        <w:tc>
          <w:tcPr>
            <w:tcW w:w="82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60"/>
              <w:spacing w:after="0"/>
              <w:rPr>
                <w:sz w:val="20"/>
                <w:szCs w:val="20"/>
                <w:color w:val="auto"/>
              </w:rPr>
            </w:pPr>
            <w:r>
              <w:rPr>
                <w:rFonts w:ascii="Arial" w:cs="Arial" w:eastAsia="Arial" w:hAnsi="Arial"/>
                <w:sz w:val="18"/>
                <w:szCs w:val="18"/>
                <w:color w:val="0000FF"/>
              </w:rPr>
              <w:t>Chief Risk Officer &amp; Secretary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5219 CITY BANK PARKWAY</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05/13/2019</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72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LUBBOCK</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79407-3544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jc w:val="center"/>
              <w:ind w:right="5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05/13/2019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550</w:t>
            </w:r>
            <w:r>
              <w:rPr>
                <w:rFonts w:ascii="Arial" w:cs="Arial" w:eastAsia="Arial" w:hAnsi="Arial"/>
                <w:sz w:val="22"/>
                <w:szCs w:val="22"/>
                <w:color w:val="008000"/>
                <w:w w:val="83"/>
                <w:vertAlign w:val="superscript"/>
              </w:rPr>
              <w:t>(1)</w:t>
            </w: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94"/>
              <w:spacing w:after="0"/>
              <w:rPr>
                <w:sz w:val="20"/>
                <w:szCs w:val="20"/>
                <w:color w:val="auto"/>
              </w:rPr>
            </w:pPr>
            <w:r>
              <w:rPr>
                <w:rFonts w:ascii="Arial" w:cs="Arial" w:eastAsia="Arial" w:hAnsi="Arial"/>
                <w:sz w:val="18"/>
                <w:szCs w:val="18"/>
                <w:color w:val="0000FF"/>
                <w:w w:val="93"/>
              </w:rPr>
              <w:t>5,050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8"/>
                <w:szCs w:val="18"/>
                <w:color w:val="0000FF"/>
                <w:w w:val="83"/>
              </w:rPr>
              <w:t>11,447</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ESOP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860" w:type="dxa"/>
            <w:vAlign w:val="bottom"/>
            <w:tcBorders>
              <w:top w:val="single" w:sz="8" w:color="2C2C2C"/>
            </w:tcBorders>
            <w:gridSpan w:val="19"/>
          </w:tcPr>
          <w:p>
            <w:pPr>
              <w:jc w:val="center"/>
              <w:ind w:right="3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5"/>
          </w:tcPr>
          <w:p>
            <w:pPr>
              <w:ind w:left="2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6"/>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purchased through a directed share program in connection with the initial public offering (the "IPO") of the Issuer's Common Stock which closed on May 13, 2019. These shares of common stock were purchased at the public offering price of $17.50 per share.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the ESOP and allocated to the Reporting Person's account.</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Mikella D. Newsom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5278"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2019-12-24T09:17:44Z</dcterms:created>
  <dcterms:modified xsi:type="dcterms:W3CDTF">2019-12-24T09:17:44Z</dcterms:modified>
</cp:coreProperties>
</file>